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1.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2.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3.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4.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5.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6.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7.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8.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9.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0.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1.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2.xml" ContentType="application/vnd.openxmlformats-officedocument.themeOverrid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3.xml" ContentType="application/vnd.openxmlformats-officedocument.themeOverrid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14.xml" ContentType="application/vnd.openxmlformats-officedocument.themeOverrid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15.xml" ContentType="application/vnd.openxmlformats-officedocument.themeOverrid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16.xml" ContentType="application/vnd.openxmlformats-officedocument.themeOverrid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theme/themeOverride17.xml" ContentType="application/vnd.openxmlformats-officedocument.themeOverrid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theme/themeOverride18.xml" ContentType="application/vnd.openxmlformats-officedocument.themeOverrid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theme/themeOverride19.xml" ContentType="application/vnd.openxmlformats-officedocument.themeOverrid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theme/themeOverride20.xml" ContentType="application/vnd.openxmlformats-officedocument.themeOverrid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theme/themeOverride21.xml" ContentType="application/vnd.openxmlformats-officedocument.themeOverrid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theme/themeOverride22.xml" ContentType="application/vnd.openxmlformats-officedocument.themeOverrid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theme/themeOverride23.xml" ContentType="application/vnd.openxmlformats-officedocument.themeOverrid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charts/chart34.xml" ContentType="application/vnd.openxmlformats-officedocument.drawingml.chart+xml"/>
  <Override PartName="/word/charts/style34.xml" ContentType="application/vnd.ms-office.chartstyle+xml"/>
  <Override PartName="/word/charts/colors34.xml" ContentType="application/vnd.ms-office.chartcolorstyle+xml"/>
  <Override PartName="/word/charts/chart35.xml" ContentType="application/vnd.openxmlformats-officedocument.drawingml.chart+xml"/>
  <Override PartName="/word/charts/style35.xml" ContentType="application/vnd.ms-office.chartstyle+xml"/>
  <Override PartName="/word/charts/colors35.xml" ContentType="application/vnd.ms-office.chartcolorstyle+xml"/>
  <Override PartName="/word/charts/chart36.xml" ContentType="application/vnd.openxmlformats-officedocument.drawingml.chart+xml"/>
  <Override PartName="/word/charts/style36.xml" ContentType="application/vnd.ms-office.chartstyle+xml"/>
  <Override PartName="/word/charts/colors36.xml" ContentType="application/vnd.ms-office.chartcolorstyle+xml"/>
  <Override PartName="/word/charts/chart37.xml" ContentType="application/vnd.openxmlformats-officedocument.drawingml.chart+xml"/>
  <Override PartName="/word/charts/style37.xml" ContentType="application/vnd.ms-office.chartstyle+xml"/>
  <Override PartName="/word/charts/colors37.xml" ContentType="application/vnd.ms-office.chartcolorstyle+xml"/>
  <Override PartName="/word/charts/chart38.xml" ContentType="application/vnd.openxmlformats-officedocument.drawingml.chart+xml"/>
  <Override PartName="/word/charts/style38.xml" ContentType="application/vnd.ms-office.chartstyle+xml"/>
  <Override PartName="/word/charts/colors38.xml" ContentType="application/vnd.ms-office.chartcolorstyle+xml"/>
  <Override PartName="/word/charts/chart39.xml" ContentType="application/vnd.openxmlformats-officedocument.drawingml.chart+xml"/>
  <Override PartName="/word/charts/style39.xml" ContentType="application/vnd.ms-office.chartstyle+xml"/>
  <Override PartName="/word/charts/colors39.xml" ContentType="application/vnd.ms-office.chartcolorstyle+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D055D8" w14:textId="4EC4D611" w:rsidR="00A873B0" w:rsidRDefault="00203CEC" w:rsidP="00947BF3">
      <w:pPr>
        <w:spacing w:before="6000" w:after="6000"/>
        <w:jc w:val="center"/>
        <w:rPr>
          <w:rFonts w:ascii="Arial Narrow" w:hAnsi="Arial Narrow"/>
          <w:b/>
          <w:color w:val="5B9BD5" w:themeColor="accent1"/>
          <w:sz w:val="36"/>
          <w:szCs w:val="36"/>
        </w:rPr>
      </w:pPr>
      <w:r>
        <w:rPr>
          <w:rFonts w:ascii="Arial Narrow" w:hAnsi="Arial Narrow"/>
          <w:b/>
          <w:color w:val="5B9BD5" w:themeColor="accent1"/>
          <w:sz w:val="36"/>
          <w:szCs w:val="36"/>
        </w:rPr>
        <w:t>Správa</w:t>
      </w:r>
      <w:r w:rsidR="00A873B0" w:rsidRPr="009B6DF1">
        <w:rPr>
          <w:rFonts w:ascii="Arial Narrow" w:hAnsi="Arial Narrow"/>
          <w:b/>
          <w:color w:val="5B9BD5" w:themeColor="accent1"/>
          <w:sz w:val="36"/>
          <w:szCs w:val="36"/>
        </w:rPr>
        <w:t xml:space="preserve"> vlády </w:t>
      </w:r>
      <w:bookmarkStart w:id="0" w:name="_Hlk201819465"/>
      <w:r w:rsidR="00A873B0" w:rsidRPr="009B6DF1">
        <w:rPr>
          <w:rFonts w:ascii="Arial Narrow" w:hAnsi="Arial Narrow"/>
          <w:b/>
          <w:color w:val="5B9BD5" w:themeColor="accent1"/>
          <w:sz w:val="36"/>
          <w:szCs w:val="36"/>
        </w:rPr>
        <w:t xml:space="preserve">Slovenskej republiky </w:t>
      </w:r>
      <w:bookmarkStart w:id="1" w:name="_Hlk201830933"/>
      <w:r w:rsidR="00A873B0" w:rsidRPr="009B6DF1">
        <w:rPr>
          <w:rFonts w:ascii="Arial Narrow" w:hAnsi="Arial Narrow"/>
          <w:b/>
          <w:color w:val="5B9BD5" w:themeColor="accent1"/>
          <w:sz w:val="36"/>
          <w:szCs w:val="36"/>
        </w:rPr>
        <w:t>o cenovom vývoji</w:t>
      </w:r>
      <w:bookmarkEnd w:id="0"/>
      <w:r w:rsidR="00A873B0" w:rsidRPr="009B6DF1">
        <w:rPr>
          <w:rFonts w:ascii="Arial Narrow" w:hAnsi="Arial Narrow"/>
          <w:b/>
          <w:color w:val="5B9BD5" w:themeColor="accent1"/>
          <w:sz w:val="36"/>
          <w:szCs w:val="36"/>
        </w:rPr>
        <w:t>, opatreniach na zamedzenie nežiadúceho cenového vývoja, plnení koncepcie cenovej politiky, uplatňovaní zákona o</w:t>
      </w:r>
      <w:r w:rsidR="00D54891">
        <w:rPr>
          <w:rFonts w:ascii="Arial Narrow" w:hAnsi="Arial Narrow"/>
          <w:b/>
          <w:color w:val="5B9BD5" w:themeColor="accent1"/>
          <w:sz w:val="36"/>
          <w:szCs w:val="36"/>
        </w:rPr>
        <w:t> </w:t>
      </w:r>
      <w:r w:rsidR="00A873B0" w:rsidRPr="009B6DF1">
        <w:rPr>
          <w:rFonts w:ascii="Arial Narrow" w:hAnsi="Arial Narrow"/>
          <w:b/>
          <w:color w:val="5B9BD5" w:themeColor="accent1"/>
          <w:sz w:val="36"/>
          <w:szCs w:val="36"/>
        </w:rPr>
        <w:t>cenách a o návrhoch opatrení vo verejnej</w:t>
      </w:r>
      <w:r w:rsidR="00D54891">
        <w:rPr>
          <w:rFonts w:ascii="Arial Narrow" w:hAnsi="Arial Narrow"/>
          <w:b/>
          <w:color w:val="5B9BD5" w:themeColor="accent1"/>
          <w:sz w:val="36"/>
          <w:szCs w:val="36"/>
        </w:rPr>
        <w:t xml:space="preserve"> </w:t>
      </w:r>
      <w:r w:rsidR="00A873B0" w:rsidRPr="009B6DF1">
        <w:rPr>
          <w:rFonts w:ascii="Arial Narrow" w:hAnsi="Arial Narrow"/>
          <w:b/>
          <w:color w:val="5B9BD5" w:themeColor="accent1"/>
          <w:sz w:val="36"/>
          <w:szCs w:val="36"/>
        </w:rPr>
        <w:t>politike</w:t>
      </w:r>
      <w:r w:rsidR="00D54891">
        <w:rPr>
          <w:rFonts w:ascii="Arial Narrow" w:hAnsi="Arial Narrow"/>
          <w:b/>
          <w:color w:val="5B9BD5" w:themeColor="accent1"/>
          <w:sz w:val="36"/>
          <w:szCs w:val="36"/>
        </w:rPr>
        <w:t xml:space="preserve"> </w:t>
      </w:r>
      <w:r w:rsidR="00A873B0" w:rsidRPr="009B6DF1">
        <w:rPr>
          <w:rFonts w:ascii="Arial Narrow" w:hAnsi="Arial Narrow"/>
          <w:b/>
          <w:color w:val="5B9BD5" w:themeColor="accent1"/>
          <w:sz w:val="36"/>
          <w:szCs w:val="36"/>
        </w:rPr>
        <w:t>v</w:t>
      </w:r>
      <w:r w:rsidR="00D54891">
        <w:rPr>
          <w:rFonts w:ascii="Arial Narrow" w:hAnsi="Arial Narrow"/>
          <w:b/>
          <w:color w:val="5B9BD5" w:themeColor="accent1"/>
          <w:sz w:val="36"/>
          <w:szCs w:val="36"/>
        </w:rPr>
        <w:t> </w:t>
      </w:r>
      <w:r w:rsidR="00A873B0" w:rsidRPr="009B6DF1">
        <w:rPr>
          <w:rFonts w:ascii="Arial Narrow" w:hAnsi="Arial Narrow"/>
          <w:b/>
          <w:color w:val="5B9BD5" w:themeColor="accent1"/>
          <w:sz w:val="36"/>
          <w:szCs w:val="36"/>
        </w:rPr>
        <w:t>oblasti</w:t>
      </w:r>
      <w:r w:rsidR="00D54891">
        <w:rPr>
          <w:rFonts w:ascii="Arial Narrow" w:hAnsi="Arial Narrow"/>
          <w:b/>
          <w:color w:val="5B9BD5" w:themeColor="accent1"/>
          <w:sz w:val="36"/>
          <w:szCs w:val="36"/>
        </w:rPr>
        <w:t> </w:t>
      </w:r>
      <w:r w:rsidR="00A873B0" w:rsidRPr="009B6DF1">
        <w:rPr>
          <w:rFonts w:ascii="Arial Narrow" w:hAnsi="Arial Narrow"/>
          <w:b/>
          <w:color w:val="5B9BD5" w:themeColor="accent1"/>
          <w:sz w:val="36"/>
          <w:szCs w:val="36"/>
        </w:rPr>
        <w:t>cien</w:t>
      </w:r>
      <w:bookmarkEnd w:id="1"/>
    </w:p>
    <w:p w14:paraId="1E54E9A3" w14:textId="77777777" w:rsidR="002C6E36" w:rsidRPr="002C6E36" w:rsidRDefault="002C6E36" w:rsidP="002C6E36">
      <w:pPr>
        <w:rPr>
          <w:rFonts w:ascii="Arial Narrow" w:hAnsi="Arial Narrow"/>
          <w:b/>
          <w:color w:val="5B9BD5" w:themeColor="accent1"/>
          <w:sz w:val="36"/>
          <w:szCs w:val="36"/>
        </w:rPr>
      </w:pPr>
    </w:p>
    <w:p w14:paraId="7DD0FB34" w14:textId="302BE09E" w:rsidR="002C6E36" w:rsidRDefault="002C6E36" w:rsidP="002C6E36">
      <w:pPr>
        <w:spacing w:after="240"/>
        <w:rPr>
          <w:rFonts w:ascii="Arial Narrow" w:hAnsi="Arial Narrow"/>
          <w:b/>
          <w:bCs/>
          <w:color w:val="5B9BD5" w:themeColor="accent1"/>
          <w:sz w:val="36"/>
          <w:szCs w:val="36"/>
        </w:rPr>
      </w:pPr>
      <w:r>
        <w:rPr>
          <w:rFonts w:ascii="Arial Narrow" w:hAnsi="Arial Narrow"/>
          <w:b/>
          <w:bCs/>
          <w:color w:val="5B9BD5" w:themeColor="accent1"/>
          <w:sz w:val="36"/>
          <w:szCs w:val="36"/>
        </w:rPr>
        <w:t>Manažérske zhrnutie</w:t>
      </w:r>
    </w:p>
    <w:p w14:paraId="28C1A056" w14:textId="235A42FF" w:rsidR="002C6E36" w:rsidRDefault="002C6E36" w:rsidP="002C6E36">
      <w:pPr>
        <w:spacing w:after="240"/>
        <w:jc w:val="both"/>
        <w:rPr>
          <w:rFonts w:ascii="Arial Narrow" w:hAnsi="Arial Narrow"/>
          <w:sz w:val="24"/>
          <w:szCs w:val="24"/>
        </w:rPr>
      </w:pPr>
      <w:r w:rsidRPr="002C6E36">
        <w:rPr>
          <w:rFonts w:ascii="Arial Narrow" w:hAnsi="Arial Narrow"/>
          <w:sz w:val="24"/>
          <w:szCs w:val="24"/>
        </w:rPr>
        <w:t>Rok 2024 bol charakteristický postupným spomalením inflácie a stabilizáciou cien potravín a energií po</w:t>
      </w:r>
      <w:r>
        <w:rPr>
          <w:rFonts w:ascii="Arial Narrow" w:hAnsi="Arial Narrow"/>
          <w:sz w:val="24"/>
          <w:szCs w:val="24"/>
        </w:rPr>
        <w:t> </w:t>
      </w:r>
      <w:r w:rsidRPr="002C6E36">
        <w:rPr>
          <w:rFonts w:ascii="Arial Narrow" w:hAnsi="Arial Narrow"/>
          <w:sz w:val="24"/>
          <w:szCs w:val="24"/>
        </w:rPr>
        <w:t xml:space="preserve">turbulentných rokoch 2022 – 2023. </w:t>
      </w:r>
      <w:r w:rsidR="00203CEC">
        <w:rPr>
          <w:rFonts w:ascii="Arial Narrow" w:hAnsi="Arial Narrow"/>
          <w:sz w:val="24"/>
          <w:szCs w:val="24"/>
        </w:rPr>
        <w:t>S</w:t>
      </w:r>
      <w:r>
        <w:rPr>
          <w:rFonts w:ascii="Arial Narrow" w:hAnsi="Arial Narrow"/>
          <w:sz w:val="24"/>
          <w:szCs w:val="24"/>
        </w:rPr>
        <w:t>práv</w:t>
      </w:r>
      <w:r w:rsidR="00203CEC">
        <w:rPr>
          <w:rFonts w:ascii="Arial Narrow" w:hAnsi="Arial Narrow"/>
          <w:sz w:val="24"/>
          <w:szCs w:val="24"/>
        </w:rPr>
        <w:t>a</w:t>
      </w:r>
      <w:r>
        <w:rPr>
          <w:rFonts w:ascii="Arial Narrow" w:hAnsi="Arial Narrow"/>
          <w:sz w:val="24"/>
          <w:szCs w:val="24"/>
        </w:rPr>
        <w:t xml:space="preserve"> vlády Slovenskej republiky</w:t>
      </w:r>
      <w:r w:rsidRPr="002C6E36">
        <w:rPr>
          <w:rFonts w:ascii="Arial Narrow" w:hAnsi="Arial Narrow"/>
          <w:sz w:val="24"/>
          <w:szCs w:val="24"/>
        </w:rPr>
        <w:t xml:space="preserve"> sumarizuje cenový vývoj, jeho príčiny, dopady na hospodárstvo a návrhy opatrení na podporu cenovej stability.</w:t>
      </w:r>
    </w:p>
    <w:p w14:paraId="19681576" w14:textId="0B8CA9DE" w:rsidR="002C6E36" w:rsidRDefault="002C6E36" w:rsidP="005313F5">
      <w:pPr>
        <w:tabs>
          <w:tab w:val="left" w:pos="2694"/>
        </w:tabs>
        <w:spacing w:after="120"/>
        <w:rPr>
          <w:rFonts w:ascii="Arial Narrow" w:eastAsia="Times New Roman" w:hAnsi="Arial Narrow"/>
          <w:b/>
          <w:bCs/>
          <w:color w:val="000000" w:themeColor="text1"/>
          <w:sz w:val="24"/>
          <w:szCs w:val="24"/>
        </w:rPr>
      </w:pPr>
      <w:r w:rsidRPr="002C6E36">
        <w:rPr>
          <w:rFonts w:ascii="Arial Narrow" w:eastAsia="Times New Roman" w:hAnsi="Arial Narrow"/>
          <w:b/>
          <w:bCs/>
          <w:color w:val="000000" w:themeColor="text1"/>
          <w:sz w:val="24"/>
          <w:szCs w:val="24"/>
        </w:rPr>
        <w:t>Kľúčové zistenia</w:t>
      </w:r>
    </w:p>
    <w:p w14:paraId="6BCFB75F" w14:textId="6B32FAC4" w:rsidR="002C6E36" w:rsidRPr="002C6E36" w:rsidRDefault="002C6E36" w:rsidP="002C6E36">
      <w:pPr>
        <w:tabs>
          <w:tab w:val="left" w:pos="2694"/>
        </w:tabs>
        <w:rPr>
          <w:rFonts w:ascii="Arial Narrow" w:eastAsia="Times New Roman" w:hAnsi="Arial Narrow"/>
          <w:b/>
          <w:bCs/>
          <w:color w:val="000000" w:themeColor="text1"/>
          <w:sz w:val="24"/>
          <w:szCs w:val="24"/>
        </w:rPr>
      </w:pPr>
      <w:r w:rsidRPr="002C6E36">
        <w:rPr>
          <w:rFonts w:ascii="Arial Narrow" w:eastAsia="Times New Roman" w:hAnsi="Arial Narrow"/>
          <w:b/>
          <w:bCs/>
          <w:color w:val="000000" w:themeColor="text1"/>
          <w:sz w:val="24"/>
          <w:szCs w:val="24"/>
        </w:rPr>
        <w:t>Celková inflácia:</w:t>
      </w:r>
    </w:p>
    <w:p w14:paraId="1ABAB9E4" w14:textId="77777777" w:rsidR="002C6E36" w:rsidRPr="002C6E36" w:rsidRDefault="002C6E36" w:rsidP="002C6E36">
      <w:pPr>
        <w:pStyle w:val="Odsekzoznamu"/>
        <w:numPr>
          <w:ilvl w:val="0"/>
          <w:numId w:val="8"/>
        </w:numPr>
        <w:ind w:left="378"/>
        <w:jc w:val="both"/>
        <w:rPr>
          <w:rFonts w:ascii="Arial Narrow" w:hAnsi="Arial Narrow"/>
          <w:sz w:val="24"/>
          <w:szCs w:val="24"/>
        </w:rPr>
      </w:pPr>
      <w:r w:rsidRPr="002C6E36">
        <w:rPr>
          <w:rFonts w:ascii="Arial Narrow" w:hAnsi="Arial Narrow"/>
          <w:sz w:val="24"/>
          <w:szCs w:val="24"/>
        </w:rPr>
        <w:t>Priemerná inflácia v roku 2024 dosiahla 2,8</w:t>
      </w:r>
      <w:r w:rsidRPr="002C6E36">
        <w:rPr>
          <w:rFonts w:ascii="Arial" w:hAnsi="Arial" w:cs="Arial"/>
          <w:sz w:val="24"/>
          <w:szCs w:val="24"/>
        </w:rPr>
        <w:t> </w:t>
      </w:r>
      <w:r w:rsidRPr="002C6E36">
        <w:rPr>
          <w:rFonts w:ascii="Arial Narrow" w:hAnsi="Arial Narrow"/>
          <w:sz w:val="24"/>
          <w:szCs w:val="24"/>
        </w:rPr>
        <w:t>%, čo predstavuje medziročný pokles o 7,7 p. b.</w:t>
      </w:r>
    </w:p>
    <w:p w14:paraId="087A1568" w14:textId="6959AEC1" w:rsidR="002C6E36" w:rsidRPr="002C6E36" w:rsidRDefault="002C6E36" w:rsidP="005313F5">
      <w:pPr>
        <w:pStyle w:val="Odsekzoznamu"/>
        <w:numPr>
          <w:ilvl w:val="0"/>
          <w:numId w:val="8"/>
        </w:numPr>
        <w:spacing w:after="120"/>
        <w:ind w:left="374" w:hanging="357"/>
        <w:jc w:val="both"/>
        <w:rPr>
          <w:rFonts w:ascii="Arial Narrow" w:hAnsi="Arial Narrow"/>
          <w:sz w:val="24"/>
          <w:szCs w:val="24"/>
        </w:rPr>
      </w:pPr>
      <w:r w:rsidRPr="002C6E36">
        <w:rPr>
          <w:rFonts w:ascii="Arial Narrow" w:hAnsi="Arial Narrow"/>
          <w:sz w:val="24"/>
          <w:szCs w:val="24"/>
        </w:rPr>
        <w:t>Potravinová inflácia spomalila na 2,5</w:t>
      </w:r>
      <w:r w:rsidRPr="002C6E36">
        <w:rPr>
          <w:rFonts w:ascii="Arial" w:hAnsi="Arial" w:cs="Arial"/>
          <w:sz w:val="24"/>
          <w:szCs w:val="24"/>
        </w:rPr>
        <w:t> </w:t>
      </w:r>
      <w:r w:rsidRPr="002C6E36">
        <w:rPr>
          <w:rFonts w:ascii="Arial Narrow" w:hAnsi="Arial Narrow"/>
          <w:sz w:val="24"/>
          <w:szCs w:val="24"/>
        </w:rPr>
        <w:t>% (</w:t>
      </w:r>
      <w:r w:rsidR="00C656B2">
        <w:rPr>
          <w:rFonts w:ascii="Arial Narrow" w:hAnsi="Arial Narrow"/>
          <w:sz w:val="24"/>
          <w:szCs w:val="24"/>
        </w:rPr>
        <w:t xml:space="preserve">medziročný </w:t>
      </w:r>
      <w:r w:rsidRPr="002C6E36">
        <w:rPr>
          <w:rFonts w:ascii="Arial Narrow" w:hAnsi="Arial Narrow"/>
          <w:sz w:val="24"/>
          <w:szCs w:val="24"/>
        </w:rPr>
        <w:t>pokles o 15 p. b.).</w:t>
      </w:r>
    </w:p>
    <w:p w14:paraId="4E93E563" w14:textId="447BBBFC" w:rsidR="002C6E36" w:rsidRPr="002C6E36" w:rsidRDefault="002C6E36" w:rsidP="002C6E36">
      <w:pPr>
        <w:tabs>
          <w:tab w:val="left" w:pos="2694"/>
        </w:tabs>
        <w:rPr>
          <w:rFonts w:ascii="Arial Narrow" w:eastAsia="Times New Roman" w:hAnsi="Arial Narrow"/>
          <w:b/>
          <w:bCs/>
          <w:color w:val="000000" w:themeColor="text1"/>
          <w:sz w:val="24"/>
          <w:szCs w:val="24"/>
        </w:rPr>
      </w:pPr>
      <w:r w:rsidRPr="002C6E36">
        <w:rPr>
          <w:rFonts w:ascii="Arial Narrow" w:eastAsia="Times New Roman" w:hAnsi="Arial Narrow"/>
          <w:b/>
          <w:bCs/>
          <w:color w:val="000000" w:themeColor="text1"/>
          <w:sz w:val="24"/>
          <w:szCs w:val="24"/>
        </w:rPr>
        <w:t>Vývoj cien potravín:</w:t>
      </w:r>
    </w:p>
    <w:p w14:paraId="1AD3E00F" w14:textId="77777777" w:rsidR="002C6E36" w:rsidRPr="002C6E36" w:rsidRDefault="002C6E36" w:rsidP="002C6E36">
      <w:pPr>
        <w:pStyle w:val="Odsekzoznamu"/>
        <w:numPr>
          <w:ilvl w:val="0"/>
          <w:numId w:val="8"/>
        </w:numPr>
        <w:ind w:left="378"/>
        <w:jc w:val="both"/>
        <w:rPr>
          <w:rFonts w:ascii="Arial Narrow" w:hAnsi="Arial Narrow"/>
          <w:sz w:val="24"/>
          <w:szCs w:val="24"/>
        </w:rPr>
      </w:pPr>
      <w:r w:rsidRPr="002C6E36">
        <w:rPr>
          <w:rFonts w:ascii="Arial Narrow" w:hAnsi="Arial Narrow"/>
          <w:sz w:val="24"/>
          <w:szCs w:val="24"/>
        </w:rPr>
        <w:t>Najväčší medziročný nárast ceny bol zaznamenaný pri masle (+45</w:t>
      </w:r>
      <w:r w:rsidRPr="002C6E36">
        <w:rPr>
          <w:rFonts w:ascii="Arial" w:hAnsi="Arial" w:cs="Arial"/>
          <w:sz w:val="24"/>
          <w:szCs w:val="24"/>
        </w:rPr>
        <w:t> </w:t>
      </w:r>
      <w:r w:rsidRPr="002C6E36">
        <w:rPr>
          <w:rFonts w:ascii="Arial Narrow" w:hAnsi="Arial Narrow"/>
          <w:sz w:val="24"/>
          <w:szCs w:val="24"/>
        </w:rPr>
        <w:t>%), vajciach (+19,8</w:t>
      </w:r>
      <w:r w:rsidRPr="002C6E36">
        <w:rPr>
          <w:rFonts w:ascii="Arial" w:hAnsi="Arial" w:cs="Arial"/>
          <w:sz w:val="24"/>
          <w:szCs w:val="24"/>
        </w:rPr>
        <w:t> </w:t>
      </w:r>
      <w:r w:rsidRPr="002C6E36">
        <w:rPr>
          <w:rFonts w:ascii="Arial Narrow" w:hAnsi="Arial Narrow"/>
          <w:sz w:val="24"/>
          <w:szCs w:val="24"/>
        </w:rPr>
        <w:t>%) a mlieku (+14,8</w:t>
      </w:r>
      <w:r w:rsidRPr="002C6E36">
        <w:rPr>
          <w:rFonts w:ascii="Arial" w:hAnsi="Arial" w:cs="Arial"/>
          <w:sz w:val="24"/>
          <w:szCs w:val="24"/>
        </w:rPr>
        <w:t> </w:t>
      </w:r>
      <w:r w:rsidRPr="002C6E36">
        <w:rPr>
          <w:rFonts w:ascii="Arial Narrow" w:hAnsi="Arial Narrow"/>
          <w:sz w:val="24"/>
          <w:szCs w:val="24"/>
        </w:rPr>
        <w:t>%).</w:t>
      </w:r>
    </w:p>
    <w:p w14:paraId="4D4751CD" w14:textId="77777777" w:rsidR="002C6E36" w:rsidRPr="002C6E36" w:rsidRDefault="002C6E36" w:rsidP="005313F5">
      <w:pPr>
        <w:pStyle w:val="Odsekzoznamu"/>
        <w:numPr>
          <w:ilvl w:val="0"/>
          <w:numId w:val="8"/>
        </w:numPr>
        <w:spacing w:after="120"/>
        <w:ind w:left="374" w:hanging="357"/>
        <w:jc w:val="both"/>
        <w:rPr>
          <w:rFonts w:ascii="Arial Narrow" w:hAnsi="Arial Narrow"/>
          <w:sz w:val="24"/>
          <w:szCs w:val="24"/>
        </w:rPr>
      </w:pPr>
      <w:r w:rsidRPr="002C6E36">
        <w:rPr>
          <w:rFonts w:ascii="Arial Narrow" w:hAnsi="Arial Narrow"/>
          <w:sz w:val="24"/>
          <w:szCs w:val="24"/>
        </w:rPr>
        <w:t>Najvýraznejší pokles: cukor (–31,2</w:t>
      </w:r>
      <w:r w:rsidRPr="002C6E36">
        <w:rPr>
          <w:rFonts w:ascii="Arial" w:hAnsi="Arial" w:cs="Arial"/>
          <w:sz w:val="24"/>
          <w:szCs w:val="24"/>
        </w:rPr>
        <w:t> </w:t>
      </w:r>
      <w:r w:rsidRPr="002C6E36">
        <w:rPr>
          <w:rFonts w:ascii="Arial Narrow" w:hAnsi="Arial Narrow"/>
          <w:sz w:val="24"/>
          <w:szCs w:val="24"/>
        </w:rPr>
        <w:t>%), bravčové karé (–14,1</w:t>
      </w:r>
      <w:r w:rsidRPr="002C6E36">
        <w:rPr>
          <w:rFonts w:ascii="Arial" w:hAnsi="Arial" w:cs="Arial"/>
          <w:sz w:val="24"/>
          <w:szCs w:val="24"/>
        </w:rPr>
        <w:t> </w:t>
      </w:r>
      <w:r w:rsidRPr="002C6E36">
        <w:rPr>
          <w:rFonts w:ascii="Arial Narrow" w:hAnsi="Arial Narrow"/>
          <w:sz w:val="24"/>
          <w:szCs w:val="24"/>
        </w:rPr>
        <w:t>%) a bravčová masť (–13,4</w:t>
      </w:r>
      <w:r w:rsidRPr="002C6E36">
        <w:rPr>
          <w:rFonts w:ascii="Arial" w:hAnsi="Arial" w:cs="Arial"/>
          <w:sz w:val="24"/>
          <w:szCs w:val="24"/>
        </w:rPr>
        <w:t> </w:t>
      </w:r>
      <w:r w:rsidRPr="002C6E36">
        <w:rPr>
          <w:rFonts w:ascii="Arial Narrow" w:hAnsi="Arial Narrow"/>
          <w:sz w:val="24"/>
          <w:szCs w:val="24"/>
        </w:rPr>
        <w:t>%).</w:t>
      </w:r>
    </w:p>
    <w:p w14:paraId="441A01B6" w14:textId="67080789" w:rsidR="002C6E36" w:rsidRPr="002C6E36" w:rsidRDefault="002C6E36" w:rsidP="002C6E36">
      <w:pPr>
        <w:tabs>
          <w:tab w:val="left" w:pos="2694"/>
        </w:tabs>
        <w:rPr>
          <w:rFonts w:ascii="Arial Narrow" w:eastAsia="Times New Roman" w:hAnsi="Arial Narrow"/>
          <w:b/>
          <w:bCs/>
          <w:color w:val="000000" w:themeColor="text1"/>
          <w:sz w:val="24"/>
          <w:szCs w:val="24"/>
        </w:rPr>
      </w:pPr>
      <w:r w:rsidRPr="002C6E36">
        <w:rPr>
          <w:rFonts w:ascii="Arial Narrow" w:eastAsia="Times New Roman" w:hAnsi="Arial Narrow"/>
          <w:b/>
          <w:bCs/>
          <w:color w:val="000000" w:themeColor="text1"/>
          <w:sz w:val="24"/>
          <w:szCs w:val="24"/>
        </w:rPr>
        <w:t>Medzinárodné porovnanie:</w:t>
      </w:r>
    </w:p>
    <w:p w14:paraId="34C06D99" w14:textId="77777777" w:rsidR="002C6E36" w:rsidRPr="002C6E36" w:rsidRDefault="002C6E36" w:rsidP="002C6E36">
      <w:pPr>
        <w:pStyle w:val="Odsekzoznamu"/>
        <w:numPr>
          <w:ilvl w:val="0"/>
          <w:numId w:val="8"/>
        </w:numPr>
        <w:ind w:left="378"/>
        <w:jc w:val="both"/>
        <w:rPr>
          <w:rFonts w:ascii="Arial Narrow" w:hAnsi="Arial Narrow"/>
          <w:sz w:val="24"/>
          <w:szCs w:val="24"/>
        </w:rPr>
      </w:pPr>
      <w:r w:rsidRPr="002C6E36">
        <w:rPr>
          <w:rFonts w:ascii="Arial Narrow" w:hAnsi="Arial Narrow"/>
          <w:sz w:val="24"/>
          <w:szCs w:val="24"/>
        </w:rPr>
        <w:t>Ceny potravín na Slovensku dosiahli 83,4</w:t>
      </w:r>
      <w:r w:rsidRPr="002C6E36">
        <w:rPr>
          <w:rFonts w:ascii="Arial" w:hAnsi="Arial" w:cs="Arial"/>
          <w:sz w:val="24"/>
          <w:szCs w:val="24"/>
        </w:rPr>
        <w:t> </w:t>
      </w:r>
      <w:r w:rsidRPr="002C6E36">
        <w:rPr>
          <w:rFonts w:ascii="Arial Narrow" w:hAnsi="Arial Narrow"/>
          <w:sz w:val="24"/>
          <w:szCs w:val="24"/>
        </w:rPr>
        <w:t>% priemeru EÚ, čo je mierne zvýšenie oproti 2023.</w:t>
      </w:r>
    </w:p>
    <w:p w14:paraId="55394F30" w14:textId="77777777" w:rsidR="002C6E36" w:rsidRPr="002C6E36" w:rsidRDefault="002C6E36" w:rsidP="002C6E36">
      <w:pPr>
        <w:pStyle w:val="Odsekzoznamu"/>
        <w:numPr>
          <w:ilvl w:val="0"/>
          <w:numId w:val="8"/>
        </w:numPr>
        <w:ind w:left="378"/>
        <w:jc w:val="both"/>
        <w:rPr>
          <w:rFonts w:ascii="Arial Narrow" w:hAnsi="Arial Narrow"/>
          <w:sz w:val="24"/>
          <w:szCs w:val="24"/>
        </w:rPr>
      </w:pPr>
      <w:r w:rsidRPr="002C6E36">
        <w:rPr>
          <w:rFonts w:ascii="Arial Narrow" w:hAnsi="Arial Narrow"/>
          <w:sz w:val="24"/>
          <w:szCs w:val="24"/>
        </w:rPr>
        <w:t>Slovensko patrilo medzi najlacnejšie krajiny v EÚ v oblasti mäsa, mlieka a múky.</w:t>
      </w:r>
    </w:p>
    <w:p w14:paraId="129FBEA7" w14:textId="106B7676" w:rsidR="002C6E36" w:rsidRPr="002C6E36" w:rsidRDefault="002C6E36" w:rsidP="005313F5">
      <w:pPr>
        <w:pStyle w:val="Odsekzoznamu"/>
        <w:numPr>
          <w:ilvl w:val="0"/>
          <w:numId w:val="8"/>
        </w:numPr>
        <w:spacing w:after="120"/>
        <w:ind w:left="374" w:hanging="357"/>
        <w:jc w:val="both"/>
        <w:rPr>
          <w:rFonts w:ascii="Arial Narrow" w:hAnsi="Arial Narrow"/>
          <w:sz w:val="24"/>
          <w:szCs w:val="24"/>
        </w:rPr>
      </w:pPr>
      <w:r w:rsidRPr="002C6E36">
        <w:rPr>
          <w:rFonts w:ascii="Arial Narrow" w:hAnsi="Arial Narrow"/>
          <w:sz w:val="24"/>
          <w:szCs w:val="24"/>
        </w:rPr>
        <w:t>Naopak, chlieb, vajcia, syr Eidam a zelenina boli drahšie než v okolitých krajinách</w:t>
      </w:r>
      <w:r w:rsidR="00C656B2">
        <w:rPr>
          <w:rFonts w:ascii="Arial Narrow" w:hAnsi="Arial Narrow"/>
          <w:sz w:val="24"/>
          <w:szCs w:val="24"/>
        </w:rPr>
        <w:t xml:space="preserve"> (AT, PL, HU, CZ)</w:t>
      </w:r>
      <w:r w:rsidRPr="002C6E36">
        <w:rPr>
          <w:rFonts w:ascii="Arial Narrow" w:hAnsi="Arial Narrow"/>
          <w:sz w:val="24"/>
          <w:szCs w:val="24"/>
        </w:rPr>
        <w:t>.</w:t>
      </w:r>
    </w:p>
    <w:p w14:paraId="1561DAD2" w14:textId="5098C400" w:rsidR="002C6E36" w:rsidRPr="002C6E36" w:rsidRDefault="002C6E36" w:rsidP="002C6E36">
      <w:pPr>
        <w:tabs>
          <w:tab w:val="left" w:pos="2694"/>
        </w:tabs>
        <w:rPr>
          <w:rFonts w:ascii="Arial Narrow" w:eastAsia="Times New Roman" w:hAnsi="Arial Narrow"/>
          <w:b/>
          <w:bCs/>
          <w:color w:val="000000" w:themeColor="text1"/>
          <w:sz w:val="24"/>
          <w:szCs w:val="24"/>
        </w:rPr>
      </w:pPr>
      <w:r w:rsidRPr="002C6E36">
        <w:rPr>
          <w:rFonts w:ascii="Arial Narrow" w:eastAsia="Times New Roman" w:hAnsi="Arial Narrow"/>
          <w:b/>
          <w:bCs/>
          <w:color w:val="000000" w:themeColor="text1"/>
          <w:sz w:val="24"/>
          <w:szCs w:val="24"/>
        </w:rPr>
        <w:t>Mzdy a kúpna sila:</w:t>
      </w:r>
    </w:p>
    <w:p w14:paraId="66146F12" w14:textId="77777777" w:rsidR="002C6E36" w:rsidRPr="002C6E36" w:rsidRDefault="002C6E36" w:rsidP="002C6E36">
      <w:pPr>
        <w:pStyle w:val="Odsekzoznamu"/>
        <w:numPr>
          <w:ilvl w:val="0"/>
          <w:numId w:val="8"/>
        </w:numPr>
        <w:ind w:left="378"/>
        <w:jc w:val="both"/>
        <w:rPr>
          <w:rFonts w:ascii="Arial Narrow" w:hAnsi="Arial Narrow"/>
          <w:sz w:val="24"/>
          <w:szCs w:val="24"/>
        </w:rPr>
      </w:pPr>
      <w:r w:rsidRPr="002C6E36">
        <w:rPr>
          <w:rFonts w:ascii="Arial Narrow" w:hAnsi="Arial Narrow"/>
          <w:sz w:val="24"/>
          <w:szCs w:val="24"/>
        </w:rPr>
        <w:t>Priemerná nominálna mzda vzrástla na 1 524</w:t>
      </w:r>
      <w:r w:rsidRPr="002C6E36">
        <w:rPr>
          <w:rFonts w:ascii="Arial" w:hAnsi="Arial" w:cs="Arial"/>
          <w:sz w:val="24"/>
          <w:szCs w:val="24"/>
        </w:rPr>
        <w:t> </w:t>
      </w:r>
      <w:r w:rsidRPr="002C6E36">
        <w:rPr>
          <w:rFonts w:ascii="Arial Narrow" w:hAnsi="Arial Narrow" w:cs="Arial Narrow"/>
          <w:sz w:val="24"/>
          <w:szCs w:val="24"/>
        </w:rPr>
        <w:t>€</w:t>
      </w:r>
      <w:r w:rsidRPr="002C6E36">
        <w:rPr>
          <w:rFonts w:ascii="Arial Narrow" w:hAnsi="Arial Narrow"/>
          <w:sz w:val="24"/>
          <w:szCs w:val="24"/>
        </w:rPr>
        <w:t>, reálny rast dosiahol +3,7</w:t>
      </w:r>
      <w:r w:rsidRPr="002C6E36">
        <w:rPr>
          <w:rFonts w:ascii="Arial" w:hAnsi="Arial" w:cs="Arial"/>
          <w:sz w:val="24"/>
          <w:szCs w:val="24"/>
        </w:rPr>
        <w:t> </w:t>
      </w:r>
      <w:r w:rsidRPr="002C6E36">
        <w:rPr>
          <w:rFonts w:ascii="Arial Narrow" w:hAnsi="Arial Narrow"/>
          <w:sz w:val="24"/>
          <w:szCs w:val="24"/>
        </w:rPr>
        <w:t>%.</w:t>
      </w:r>
    </w:p>
    <w:p w14:paraId="38F5FC00" w14:textId="77777777" w:rsidR="002C6E36" w:rsidRPr="002C6E36" w:rsidRDefault="002C6E36" w:rsidP="005313F5">
      <w:pPr>
        <w:pStyle w:val="Odsekzoznamu"/>
        <w:numPr>
          <w:ilvl w:val="0"/>
          <w:numId w:val="8"/>
        </w:numPr>
        <w:spacing w:after="120"/>
        <w:ind w:left="374" w:hanging="357"/>
        <w:jc w:val="both"/>
        <w:rPr>
          <w:rFonts w:ascii="Arial Narrow" w:hAnsi="Arial Narrow"/>
          <w:sz w:val="24"/>
          <w:szCs w:val="24"/>
        </w:rPr>
      </w:pPr>
      <w:r w:rsidRPr="002C6E36">
        <w:rPr>
          <w:rFonts w:ascii="Arial Narrow" w:hAnsi="Arial Narrow"/>
          <w:sz w:val="24"/>
          <w:szCs w:val="24"/>
        </w:rPr>
        <w:t>Minimálna mzda stúpla na 750</w:t>
      </w:r>
      <w:r w:rsidRPr="002C6E36">
        <w:rPr>
          <w:rFonts w:ascii="Arial" w:hAnsi="Arial" w:cs="Arial"/>
          <w:sz w:val="24"/>
          <w:szCs w:val="24"/>
        </w:rPr>
        <w:t> </w:t>
      </w:r>
      <w:r w:rsidRPr="002C6E36">
        <w:rPr>
          <w:rFonts w:ascii="Arial Narrow" w:hAnsi="Arial Narrow" w:cs="Arial Narrow"/>
          <w:sz w:val="24"/>
          <w:szCs w:val="24"/>
        </w:rPr>
        <w:t>€</w:t>
      </w:r>
      <w:r w:rsidRPr="002C6E36">
        <w:rPr>
          <w:rFonts w:ascii="Arial Narrow" w:hAnsi="Arial Narrow"/>
          <w:sz w:val="24"/>
          <w:szCs w:val="24"/>
        </w:rPr>
        <w:t>, čo pomohlo znížiť mzdovú nerovnosť.</w:t>
      </w:r>
    </w:p>
    <w:p w14:paraId="4FD16C82" w14:textId="7721CA41" w:rsidR="002C6E36" w:rsidRPr="002C6E36" w:rsidRDefault="002C6E36" w:rsidP="002C6E36">
      <w:pPr>
        <w:tabs>
          <w:tab w:val="left" w:pos="2694"/>
        </w:tabs>
        <w:rPr>
          <w:rFonts w:ascii="Arial Narrow" w:eastAsia="Times New Roman" w:hAnsi="Arial Narrow"/>
          <w:b/>
          <w:bCs/>
          <w:color w:val="000000" w:themeColor="text1"/>
          <w:sz w:val="24"/>
          <w:szCs w:val="24"/>
        </w:rPr>
      </w:pPr>
      <w:r w:rsidRPr="005313F5">
        <w:rPr>
          <w:rFonts w:ascii="Arial Narrow" w:eastAsia="Times New Roman" w:hAnsi="Arial Narrow"/>
          <w:b/>
          <w:bCs/>
          <w:color w:val="000000" w:themeColor="text1"/>
          <w:sz w:val="24"/>
          <w:szCs w:val="24"/>
        </w:rPr>
        <w:t>Rozklad</w:t>
      </w:r>
      <w:r w:rsidRPr="002C6E36">
        <w:rPr>
          <w:rFonts w:ascii="Arial Narrow" w:eastAsia="Times New Roman" w:hAnsi="Arial Narrow"/>
          <w:b/>
          <w:bCs/>
          <w:color w:val="000000" w:themeColor="text1"/>
          <w:sz w:val="24"/>
          <w:szCs w:val="24"/>
        </w:rPr>
        <w:t xml:space="preserve"> inflácie:</w:t>
      </w:r>
    </w:p>
    <w:p w14:paraId="1E510DF4" w14:textId="77777777" w:rsidR="002C6E36" w:rsidRPr="002C6E36" w:rsidRDefault="002C6E36" w:rsidP="002C6E36">
      <w:pPr>
        <w:pStyle w:val="Odsekzoznamu"/>
        <w:numPr>
          <w:ilvl w:val="0"/>
          <w:numId w:val="8"/>
        </w:numPr>
        <w:ind w:left="378"/>
        <w:jc w:val="both"/>
        <w:rPr>
          <w:rFonts w:ascii="Arial Narrow" w:hAnsi="Arial Narrow"/>
          <w:sz w:val="24"/>
          <w:szCs w:val="24"/>
        </w:rPr>
      </w:pPr>
      <w:r w:rsidRPr="002C6E36">
        <w:rPr>
          <w:rFonts w:ascii="Arial Narrow" w:hAnsi="Arial Narrow"/>
          <w:sz w:val="24"/>
          <w:szCs w:val="24"/>
        </w:rPr>
        <w:t>Dominantnými faktormi inflácie boli mzdové náklady a klimatické vplyvy.</w:t>
      </w:r>
    </w:p>
    <w:p w14:paraId="269112D9" w14:textId="77777777" w:rsidR="002C6E36" w:rsidRPr="002C6E36" w:rsidRDefault="002C6E36" w:rsidP="005313F5">
      <w:pPr>
        <w:pStyle w:val="Odsekzoznamu"/>
        <w:numPr>
          <w:ilvl w:val="0"/>
          <w:numId w:val="8"/>
        </w:numPr>
        <w:spacing w:after="120"/>
        <w:ind w:left="374" w:hanging="357"/>
        <w:jc w:val="both"/>
        <w:rPr>
          <w:rFonts w:ascii="Arial Narrow" w:hAnsi="Arial Narrow"/>
          <w:sz w:val="24"/>
          <w:szCs w:val="24"/>
        </w:rPr>
      </w:pPr>
      <w:r w:rsidRPr="002C6E36">
        <w:rPr>
          <w:rFonts w:ascii="Arial Narrow" w:hAnsi="Arial Narrow"/>
          <w:sz w:val="24"/>
          <w:szCs w:val="24"/>
        </w:rPr>
        <w:t>Ceny energií a agrokomodít sa stabilizovali, čo tlmilo náklady.</w:t>
      </w:r>
    </w:p>
    <w:p w14:paraId="268CD411" w14:textId="293AFAB6" w:rsidR="002C6E36" w:rsidRPr="002C6E36" w:rsidRDefault="002C6E36" w:rsidP="002C6E36">
      <w:pPr>
        <w:tabs>
          <w:tab w:val="left" w:pos="2694"/>
        </w:tabs>
        <w:rPr>
          <w:rFonts w:ascii="Arial Narrow" w:eastAsia="Times New Roman" w:hAnsi="Arial Narrow"/>
          <w:b/>
          <w:bCs/>
          <w:color w:val="000000" w:themeColor="text1"/>
          <w:sz w:val="24"/>
          <w:szCs w:val="24"/>
        </w:rPr>
      </w:pPr>
      <w:r w:rsidRPr="002C6E36">
        <w:rPr>
          <w:rFonts w:ascii="Arial Narrow" w:eastAsia="Times New Roman" w:hAnsi="Arial Narrow"/>
          <w:b/>
          <w:bCs/>
          <w:color w:val="000000" w:themeColor="text1"/>
          <w:sz w:val="24"/>
          <w:szCs w:val="24"/>
        </w:rPr>
        <w:t>Obchodné marže:</w:t>
      </w:r>
    </w:p>
    <w:p w14:paraId="03B063BA" w14:textId="77777777" w:rsidR="002C6E36" w:rsidRPr="002C6E36" w:rsidRDefault="002C6E36" w:rsidP="002C6E36">
      <w:pPr>
        <w:pStyle w:val="Odsekzoznamu"/>
        <w:numPr>
          <w:ilvl w:val="0"/>
          <w:numId w:val="8"/>
        </w:numPr>
        <w:ind w:left="378"/>
        <w:jc w:val="both"/>
        <w:rPr>
          <w:rFonts w:ascii="Arial Narrow" w:hAnsi="Arial Narrow"/>
          <w:sz w:val="24"/>
          <w:szCs w:val="24"/>
        </w:rPr>
      </w:pPr>
      <w:r w:rsidRPr="002C6E36">
        <w:rPr>
          <w:rFonts w:ascii="Arial Narrow" w:hAnsi="Arial Narrow"/>
          <w:sz w:val="24"/>
          <w:szCs w:val="24"/>
        </w:rPr>
        <w:t>V prvej polovici roka 2024 došlo k zníženiu pomeru spotrebiteľských a odbytových cien.</w:t>
      </w:r>
    </w:p>
    <w:p w14:paraId="20EE77FE" w14:textId="77777777" w:rsidR="002C6E36" w:rsidRPr="002C6E36" w:rsidRDefault="002C6E36" w:rsidP="005313F5">
      <w:pPr>
        <w:pStyle w:val="Odsekzoznamu"/>
        <w:numPr>
          <w:ilvl w:val="0"/>
          <w:numId w:val="8"/>
        </w:numPr>
        <w:spacing w:after="120"/>
        <w:ind w:left="374" w:hanging="357"/>
        <w:jc w:val="both"/>
        <w:rPr>
          <w:rFonts w:ascii="Arial Narrow" w:hAnsi="Arial Narrow"/>
          <w:sz w:val="24"/>
          <w:szCs w:val="24"/>
        </w:rPr>
      </w:pPr>
      <w:r w:rsidRPr="002C6E36">
        <w:rPr>
          <w:rFonts w:ascii="Arial Narrow" w:hAnsi="Arial Narrow"/>
          <w:sz w:val="24"/>
          <w:szCs w:val="24"/>
        </w:rPr>
        <w:t>V druhej polovici bol vývoj volatilný, ale bez plošného zvyšovania marží.</w:t>
      </w:r>
    </w:p>
    <w:p w14:paraId="777DFF32" w14:textId="3C78EFDF" w:rsidR="002C6E36" w:rsidRPr="002C6E36" w:rsidRDefault="002C6E36" w:rsidP="002C6E36">
      <w:pPr>
        <w:tabs>
          <w:tab w:val="left" w:pos="2694"/>
        </w:tabs>
        <w:rPr>
          <w:rFonts w:ascii="Arial Narrow" w:eastAsia="Times New Roman" w:hAnsi="Arial Narrow"/>
          <w:b/>
          <w:bCs/>
          <w:color w:val="000000" w:themeColor="text1"/>
          <w:sz w:val="24"/>
          <w:szCs w:val="24"/>
        </w:rPr>
      </w:pPr>
      <w:r w:rsidRPr="002C6E36">
        <w:rPr>
          <w:rFonts w:ascii="Arial Narrow" w:eastAsia="Times New Roman" w:hAnsi="Arial Narrow"/>
          <w:b/>
          <w:bCs/>
          <w:color w:val="000000" w:themeColor="text1"/>
          <w:sz w:val="24"/>
          <w:szCs w:val="24"/>
        </w:rPr>
        <w:t>Ceny pohonných látok:</w:t>
      </w:r>
    </w:p>
    <w:p w14:paraId="37B41CA6" w14:textId="77777777" w:rsidR="002C6E36" w:rsidRPr="002C6E36" w:rsidRDefault="002C6E36" w:rsidP="002C6E36">
      <w:pPr>
        <w:pStyle w:val="Odsekzoznamu"/>
        <w:numPr>
          <w:ilvl w:val="0"/>
          <w:numId w:val="8"/>
        </w:numPr>
        <w:ind w:left="378"/>
        <w:jc w:val="both"/>
        <w:rPr>
          <w:rFonts w:ascii="Arial Narrow" w:hAnsi="Arial Narrow"/>
          <w:sz w:val="24"/>
          <w:szCs w:val="24"/>
        </w:rPr>
      </w:pPr>
      <w:r w:rsidRPr="002C6E36">
        <w:rPr>
          <w:rFonts w:ascii="Arial Narrow" w:hAnsi="Arial Narrow"/>
          <w:sz w:val="24"/>
          <w:szCs w:val="24"/>
        </w:rPr>
        <w:t>Udržiavali sa v stabilnom pásme.</w:t>
      </w:r>
    </w:p>
    <w:p w14:paraId="13BBCCF9" w14:textId="77777777" w:rsidR="002C6E36" w:rsidRPr="002C6E36" w:rsidRDefault="002C6E36" w:rsidP="005313F5">
      <w:pPr>
        <w:pStyle w:val="Odsekzoznamu"/>
        <w:numPr>
          <w:ilvl w:val="0"/>
          <w:numId w:val="8"/>
        </w:numPr>
        <w:spacing w:after="120"/>
        <w:ind w:left="374" w:hanging="357"/>
        <w:jc w:val="both"/>
        <w:rPr>
          <w:rFonts w:ascii="Arial Narrow" w:hAnsi="Arial Narrow"/>
          <w:sz w:val="24"/>
          <w:szCs w:val="24"/>
        </w:rPr>
      </w:pPr>
      <w:r w:rsidRPr="002C6E36">
        <w:rPr>
          <w:rFonts w:ascii="Arial Narrow" w:hAnsi="Arial Narrow"/>
          <w:sz w:val="24"/>
          <w:szCs w:val="24"/>
        </w:rPr>
        <w:t>Ceny tradičných palív a alternatívnych energií nevytvárali inflačný tlak.</w:t>
      </w:r>
    </w:p>
    <w:p w14:paraId="0CB32FA5" w14:textId="5C32D0A5" w:rsidR="005313F5" w:rsidRPr="005313F5" w:rsidRDefault="005313F5" w:rsidP="00203CEC">
      <w:pPr>
        <w:tabs>
          <w:tab w:val="left" w:pos="2694"/>
        </w:tabs>
        <w:spacing w:before="240" w:after="120"/>
        <w:rPr>
          <w:rFonts w:ascii="Arial Narrow" w:eastAsia="Times New Roman" w:hAnsi="Arial Narrow"/>
          <w:b/>
          <w:bCs/>
          <w:color w:val="000000" w:themeColor="text1"/>
          <w:sz w:val="24"/>
          <w:szCs w:val="24"/>
        </w:rPr>
      </w:pPr>
      <w:r>
        <w:rPr>
          <w:rFonts w:ascii="Arial Narrow" w:eastAsia="Times New Roman" w:hAnsi="Arial Narrow"/>
          <w:b/>
          <w:bCs/>
          <w:color w:val="000000" w:themeColor="text1"/>
          <w:sz w:val="24"/>
          <w:szCs w:val="24"/>
        </w:rPr>
        <w:t>Záver</w:t>
      </w:r>
    </w:p>
    <w:p w14:paraId="0A706BA2" w14:textId="77777777" w:rsidR="00B06E68" w:rsidRDefault="005313F5" w:rsidP="005313F5">
      <w:pPr>
        <w:spacing w:after="240"/>
        <w:jc w:val="both"/>
        <w:rPr>
          <w:rFonts w:ascii="Arial Narrow" w:hAnsi="Arial Narrow"/>
          <w:sz w:val="24"/>
          <w:szCs w:val="24"/>
        </w:rPr>
      </w:pPr>
      <w:r w:rsidRPr="005313F5">
        <w:rPr>
          <w:rFonts w:ascii="Arial Narrow" w:hAnsi="Arial Narrow"/>
          <w:sz w:val="24"/>
          <w:szCs w:val="24"/>
        </w:rPr>
        <w:t>Rok 2024 priniesol pozitívne signály stabilizácie cien a reálneho rastu miezd. Hoci niektoré komodity zaznamenali výrazné zdraženie, celkový vývoj potravinovej inflácie bol priaznivý. Slovensko si udržalo konkurenčné ceny v rámci EÚ, ale zároveň čelí výzvam v oblasti potravinovej sebestačnosti, volatility cien a marží. Opatrenia zamerané na transparentnosť a zdravú hospodársku súťaž ostávajú kľúčové pre udržateľný vývoj cien aj v ďalších rokoch.</w:t>
      </w:r>
      <w:r w:rsidR="00B06E68">
        <w:rPr>
          <w:rFonts w:ascii="Arial Narrow" w:hAnsi="Arial Narrow"/>
          <w:sz w:val="24"/>
          <w:szCs w:val="24"/>
        </w:rPr>
        <w:t xml:space="preserve"> </w:t>
      </w:r>
    </w:p>
    <w:p w14:paraId="2C56C980" w14:textId="7087D07D" w:rsidR="002C6E36" w:rsidRPr="002C6E36" w:rsidRDefault="00B06E68" w:rsidP="005313F5">
      <w:pPr>
        <w:spacing w:after="240"/>
        <w:jc w:val="both"/>
        <w:rPr>
          <w:rFonts w:ascii="Arial Narrow" w:hAnsi="Arial Narrow"/>
          <w:b/>
          <w:bCs/>
          <w:color w:val="5B9BD5" w:themeColor="accent1"/>
          <w:sz w:val="36"/>
          <w:szCs w:val="36"/>
        </w:rPr>
      </w:pPr>
      <w:r>
        <w:rPr>
          <w:rFonts w:ascii="Arial Narrow" w:hAnsi="Arial Narrow"/>
          <w:sz w:val="24"/>
          <w:szCs w:val="24"/>
        </w:rPr>
        <w:t>Systematické monitorovanie cien je</w:t>
      </w:r>
      <w:r w:rsidR="009A1801">
        <w:rPr>
          <w:rFonts w:ascii="Arial Narrow" w:hAnsi="Arial Narrow"/>
          <w:sz w:val="24"/>
          <w:szCs w:val="24"/>
        </w:rPr>
        <w:t xml:space="preserve"> </w:t>
      </w:r>
      <w:r>
        <w:rPr>
          <w:rFonts w:ascii="Arial Narrow" w:hAnsi="Arial Narrow"/>
          <w:sz w:val="24"/>
          <w:szCs w:val="24"/>
        </w:rPr>
        <w:t>možné považovať</w:t>
      </w:r>
      <w:r w:rsidR="009A1801">
        <w:rPr>
          <w:rFonts w:ascii="Arial Narrow" w:hAnsi="Arial Narrow"/>
          <w:sz w:val="24"/>
          <w:szCs w:val="24"/>
        </w:rPr>
        <w:t xml:space="preserve"> na základe dostupných údajov o cenovom vývoji za najefektívnejší nástroj.</w:t>
      </w:r>
      <w:r>
        <w:rPr>
          <w:rFonts w:ascii="Arial Narrow" w:hAnsi="Arial Narrow"/>
          <w:sz w:val="24"/>
          <w:szCs w:val="24"/>
        </w:rPr>
        <w:t xml:space="preserve"> </w:t>
      </w:r>
      <w:r w:rsidRPr="00B06E68">
        <w:rPr>
          <w:rFonts w:ascii="Arial Narrow" w:hAnsi="Arial Narrow"/>
          <w:sz w:val="24"/>
          <w:szCs w:val="24"/>
        </w:rPr>
        <w:t>V prípade neúmerného a kontinuálneho zvyšovania spotrebiteľských cien bude potrebné zvažovať zavedenie dodatočných priamych opatrení na zamedzenie nepriaznivého cenového vývoja.</w:t>
      </w:r>
    </w:p>
    <w:p w14:paraId="381488F6" w14:textId="77777777" w:rsidR="005779C4" w:rsidRDefault="005779C4" w:rsidP="00947BF3">
      <w:pPr>
        <w:spacing w:after="160"/>
        <w:rPr>
          <w:rFonts w:ascii="Arial Narrow" w:hAnsi="Arial Narrow"/>
          <w:b/>
          <w:bCs/>
          <w:color w:val="5B9BD5" w:themeColor="accent1"/>
          <w:sz w:val="36"/>
          <w:szCs w:val="36"/>
        </w:rPr>
        <w:sectPr w:rsidR="005779C4" w:rsidSect="001641EB">
          <w:headerReference w:type="default" r:id="rId11"/>
          <w:footerReference w:type="default" r:id="rId12"/>
          <w:headerReference w:type="first" r:id="rId13"/>
          <w:pgSz w:w="11906" w:h="16838"/>
          <w:pgMar w:top="1418" w:right="1418" w:bottom="1418" w:left="1418" w:header="709" w:footer="709" w:gutter="0"/>
          <w:cols w:space="708"/>
          <w:titlePg/>
          <w:docGrid w:linePitch="360"/>
        </w:sectPr>
      </w:pPr>
    </w:p>
    <w:p w14:paraId="496FB60F" w14:textId="6EF72CB2" w:rsidR="001641EB" w:rsidRPr="001641EB" w:rsidRDefault="001641EB" w:rsidP="00601DA0">
      <w:pPr>
        <w:spacing w:before="600" w:after="240"/>
        <w:rPr>
          <w:rFonts w:ascii="Arial Narrow" w:hAnsi="Arial Narrow"/>
          <w:b/>
          <w:bCs/>
          <w:color w:val="5B9BD5" w:themeColor="accent1"/>
          <w:sz w:val="36"/>
          <w:szCs w:val="36"/>
        </w:rPr>
      </w:pPr>
      <w:r w:rsidRPr="001641EB">
        <w:rPr>
          <w:rFonts w:ascii="Arial Narrow" w:hAnsi="Arial Narrow"/>
          <w:b/>
          <w:bCs/>
          <w:color w:val="5B9BD5" w:themeColor="accent1"/>
          <w:sz w:val="36"/>
          <w:szCs w:val="36"/>
        </w:rPr>
        <w:lastRenderedPageBreak/>
        <w:t>Obsah</w:t>
      </w:r>
    </w:p>
    <w:p w14:paraId="7C46711B" w14:textId="1E9008E7" w:rsidR="00E82360" w:rsidRDefault="005779C4">
      <w:pPr>
        <w:pStyle w:val="Obsah1"/>
        <w:tabs>
          <w:tab w:val="left" w:pos="440"/>
          <w:tab w:val="right" w:leader="dot" w:pos="9060"/>
        </w:tabs>
        <w:rPr>
          <w:rFonts w:asciiTheme="minorHAnsi" w:eastAsiaTheme="minorEastAsia" w:hAnsiTheme="minorHAnsi" w:cstheme="minorBidi"/>
          <w:bCs w:val="0"/>
          <w:noProof/>
          <w:kern w:val="2"/>
          <w14:ligatures w14:val="standardContextual"/>
        </w:rPr>
      </w:pPr>
      <w:r w:rsidRPr="005779C4">
        <w:rPr>
          <w:bCs w:val="0"/>
          <w:caps/>
        </w:rPr>
        <w:fldChar w:fldCharType="begin"/>
      </w:r>
      <w:r w:rsidRPr="005779C4">
        <w:rPr>
          <w:bCs w:val="0"/>
          <w:caps/>
        </w:rPr>
        <w:instrText xml:space="preserve"> TOC \o "1-2" \h \z \u \t "Nadpis 5;5;Nadpis 6;6;Nadpis 7;7;Nadpis 8;8;Nadpis 9;9" </w:instrText>
      </w:r>
      <w:r w:rsidRPr="005779C4">
        <w:rPr>
          <w:bCs w:val="0"/>
          <w:caps/>
        </w:rPr>
        <w:fldChar w:fldCharType="separate"/>
      </w:r>
      <w:hyperlink w:anchor="_Toc202358577" w:history="1">
        <w:r w:rsidR="00E82360" w:rsidRPr="00CE6DAB">
          <w:rPr>
            <w:rStyle w:val="Hypertextovprepojenie"/>
            <w:noProof/>
          </w:rPr>
          <w:t>1.</w:t>
        </w:r>
        <w:r w:rsidR="00E82360">
          <w:rPr>
            <w:rFonts w:asciiTheme="minorHAnsi" w:eastAsiaTheme="minorEastAsia" w:hAnsiTheme="minorHAnsi" w:cstheme="minorBidi"/>
            <w:bCs w:val="0"/>
            <w:noProof/>
            <w:kern w:val="2"/>
            <w14:ligatures w14:val="standardContextual"/>
          </w:rPr>
          <w:tab/>
        </w:r>
        <w:r w:rsidR="00E82360" w:rsidRPr="00CE6DAB">
          <w:rPr>
            <w:rStyle w:val="Hypertextovprepojenie"/>
            <w:noProof/>
          </w:rPr>
          <w:t>Právny základ k správe vlády Slovenskej republiky o cenovom vývoji</w:t>
        </w:r>
        <w:r w:rsidR="00E82360">
          <w:rPr>
            <w:noProof/>
            <w:webHidden/>
          </w:rPr>
          <w:tab/>
        </w:r>
        <w:r w:rsidR="00E82360">
          <w:rPr>
            <w:noProof/>
            <w:webHidden/>
          </w:rPr>
          <w:fldChar w:fldCharType="begin"/>
        </w:r>
        <w:r w:rsidR="00E82360">
          <w:rPr>
            <w:noProof/>
            <w:webHidden/>
          </w:rPr>
          <w:instrText xml:space="preserve"> PAGEREF _Toc202358577 \h </w:instrText>
        </w:r>
        <w:r w:rsidR="00E82360">
          <w:rPr>
            <w:noProof/>
            <w:webHidden/>
          </w:rPr>
        </w:r>
        <w:r w:rsidR="00E82360">
          <w:rPr>
            <w:noProof/>
            <w:webHidden/>
          </w:rPr>
          <w:fldChar w:fldCharType="separate"/>
        </w:r>
        <w:r w:rsidR="00AA6A0F">
          <w:rPr>
            <w:noProof/>
            <w:webHidden/>
          </w:rPr>
          <w:t>2</w:t>
        </w:r>
        <w:r w:rsidR="00E82360">
          <w:rPr>
            <w:noProof/>
            <w:webHidden/>
          </w:rPr>
          <w:fldChar w:fldCharType="end"/>
        </w:r>
      </w:hyperlink>
    </w:p>
    <w:p w14:paraId="356E0F0C" w14:textId="130C8D55" w:rsidR="00E82360" w:rsidRDefault="00E82360">
      <w:pPr>
        <w:pStyle w:val="Obsah1"/>
        <w:tabs>
          <w:tab w:val="left" w:pos="440"/>
          <w:tab w:val="right" w:leader="dot" w:pos="9060"/>
        </w:tabs>
        <w:rPr>
          <w:rFonts w:asciiTheme="minorHAnsi" w:eastAsiaTheme="minorEastAsia" w:hAnsiTheme="minorHAnsi" w:cstheme="minorBidi"/>
          <w:bCs w:val="0"/>
          <w:noProof/>
          <w:kern w:val="2"/>
          <w14:ligatures w14:val="standardContextual"/>
        </w:rPr>
      </w:pPr>
      <w:hyperlink w:anchor="_Toc202358578" w:history="1">
        <w:r w:rsidRPr="00CE6DAB">
          <w:rPr>
            <w:rStyle w:val="Hypertextovprepojenie"/>
            <w:noProof/>
          </w:rPr>
          <w:t>2.</w:t>
        </w:r>
        <w:r>
          <w:rPr>
            <w:rFonts w:asciiTheme="minorHAnsi" w:eastAsiaTheme="minorEastAsia" w:hAnsiTheme="minorHAnsi" w:cstheme="minorBidi"/>
            <w:bCs w:val="0"/>
            <w:noProof/>
            <w:kern w:val="2"/>
            <w14:ligatures w14:val="standardContextual"/>
          </w:rPr>
          <w:tab/>
        </w:r>
        <w:r w:rsidRPr="00CE6DAB">
          <w:rPr>
            <w:rStyle w:val="Hypertextovprepojenie"/>
            <w:noProof/>
          </w:rPr>
          <w:t>Cenový vývoj</w:t>
        </w:r>
        <w:r>
          <w:rPr>
            <w:noProof/>
            <w:webHidden/>
          </w:rPr>
          <w:tab/>
        </w:r>
        <w:r>
          <w:rPr>
            <w:noProof/>
            <w:webHidden/>
          </w:rPr>
          <w:fldChar w:fldCharType="begin"/>
        </w:r>
        <w:r>
          <w:rPr>
            <w:noProof/>
            <w:webHidden/>
          </w:rPr>
          <w:instrText xml:space="preserve"> PAGEREF _Toc202358578 \h </w:instrText>
        </w:r>
        <w:r>
          <w:rPr>
            <w:noProof/>
            <w:webHidden/>
          </w:rPr>
        </w:r>
        <w:r>
          <w:rPr>
            <w:noProof/>
            <w:webHidden/>
          </w:rPr>
          <w:fldChar w:fldCharType="separate"/>
        </w:r>
        <w:r w:rsidR="00AA6A0F">
          <w:rPr>
            <w:noProof/>
            <w:webHidden/>
          </w:rPr>
          <w:t>9</w:t>
        </w:r>
        <w:r>
          <w:rPr>
            <w:noProof/>
            <w:webHidden/>
          </w:rPr>
          <w:fldChar w:fldCharType="end"/>
        </w:r>
      </w:hyperlink>
    </w:p>
    <w:p w14:paraId="5A440B1C" w14:textId="27FCC1F0" w:rsidR="00E82360" w:rsidRDefault="00E82360">
      <w:pPr>
        <w:pStyle w:val="Obsah2"/>
        <w:tabs>
          <w:tab w:val="left" w:pos="660"/>
          <w:tab w:val="right" w:leader="dot" w:pos="9060"/>
        </w:tabs>
        <w:rPr>
          <w:rFonts w:asciiTheme="minorHAnsi" w:eastAsiaTheme="minorEastAsia" w:hAnsiTheme="minorHAnsi" w:cstheme="minorBidi"/>
          <w:bCs w:val="0"/>
          <w:noProof/>
          <w:kern w:val="2"/>
          <w:szCs w:val="24"/>
          <w14:ligatures w14:val="standardContextual"/>
        </w:rPr>
      </w:pPr>
      <w:hyperlink w:anchor="_Toc202358579" w:history="1">
        <w:r w:rsidRPr="00CE6DAB">
          <w:rPr>
            <w:rStyle w:val="Hypertextovprepojenie"/>
            <w:b/>
            <w:noProof/>
            <w:lang w:eastAsia="en-US"/>
          </w:rPr>
          <w:t>2.1.</w:t>
        </w:r>
        <w:r>
          <w:rPr>
            <w:rFonts w:asciiTheme="minorHAnsi" w:eastAsiaTheme="minorEastAsia" w:hAnsiTheme="minorHAnsi" w:cstheme="minorBidi"/>
            <w:bCs w:val="0"/>
            <w:noProof/>
            <w:kern w:val="2"/>
            <w:szCs w:val="24"/>
            <w14:ligatures w14:val="standardContextual"/>
          </w:rPr>
          <w:tab/>
        </w:r>
        <w:r w:rsidRPr="00CE6DAB">
          <w:rPr>
            <w:rStyle w:val="Hypertextovprepojenie"/>
            <w:b/>
            <w:noProof/>
            <w:lang w:eastAsia="en-US"/>
          </w:rPr>
          <w:t>Ceny potravín na agregátnej úrovni a rast miezd</w:t>
        </w:r>
        <w:r>
          <w:rPr>
            <w:noProof/>
            <w:webHidden/>
          </w:rPr>
          <w:tab/>
        </w:r>
        <w:r>
          <w:rPr>
            <w:noProof/>
            <w:webHidden/>
          </w:rPr>
          <w:fldChar w:fldCharType="begin"/>
        </w:r>
        <w:r>
          <w:rPr>
            <w:noProof/>
            <w:webHidden/>
          </w:rPr>
          <w:instrText xml:space="preserve"> PAGEREF _Toc202358579 \h </w:instrText>
        </w:r>
        <w:r>
          <w:rPr>
            <w:noProof/>
            <w:webHidden/>
          </w:rPr>
        </w:r>
        <w:r>
          <w:rPr>
            <w:noProof/>
            <w:webHidden/>
          </w:rPr>
          <w:fldChar w:fldCharType="separate"/>
        </w:r>
        <w:r w:rsidR="00AA6A0F">
          <w:rPr>
            <w:noProof/>
            <w:webHidden/>
          </w:rPr>
          <w:t>10</w:t>
        </w:r>
        <w:r>
          <w:rPr>
            <w:noProof/>
            <w:webHidden/>
          </w:rPr>
          <w:fldChar w:fldCharType="end"/>
        </w:r>
      </w:hyperlink>
    </w:p>
    <w:p w14:paraId="7F6B2382" w14:textId="354847B0" w:rsidR="00E82360" w:rsidRDefault="00E82360">
      <w:pPr>
        <w:pStyle w:val="Obsah2"/>
        <w:tabs>
          <w:tab w:val="left" w:pos="660"/>
          <w:tab w:val="right" w:leader="dot" w:pos="9060"/>
        </w:tabs>
        <w:rPr>
          <w:rFonts w:asciiTheme="minorHAnsi" w:eastAsiaTheme="minorEastAsia" w:hAnsiTheme="minorHAnsi" w:cstheme="minorBidi"/>
          <w:bCs w:val="0"/>
          <w:noProof/>
          <w:kern w:val="2"/>
          <w:szCs w:val="24"/>
          <w14:ligatures w14:val="standardContextual"/>
        </w:rPr>
      </w:pPr>
      <w:hyperlink w:anchor="_Toc202358580" w:history="1">
        <w:r w:rsidRPr="00CE6DAB">
          <w:rPr>
            <w:rStyle w:val="Hypertextovprepojenie"/>
            <w:b/>
            <w:noProof/>
            <w:lang w:eastAsia="en-US"/>
          </w:rPr>
          <w:t>2.2.</w:t>
        </w:r>
        <w:r>
          <w:rPr>
            <w:rFonts w:asciiTheme="minorHAnsi" w:eastAsiaTheme="minorEastAsia" w:hAnsiTheme="minorHAnsi" w:cstheme="minorBidi"/>
            <w:bCs w:val="0"/>
            <w:noProof/>
            <w:kern w:val="2"/>
            <w:szCs w:val="24"/>
            <w14:ligatures w14:val="standardContextual"/>
          </w:rPr>
          <w:tab/>
        </w:r>
        <w:r w:rsidRPr="00CE6DAB">
          <w:rPr>
            <w:rStyle w:val="Hypertextovprepojenie"/>
            <w:b/>
            <w:noProof/>
            <w:lang w:eastAsia="en-US"/>
          </w:rPr>
          <w:t>Medzinárodné porovnanie cien základných potravín</w:t>
        </w:r>
        <w:r>
          <w:rPr>
            <w:noProof/>
            <w:webHidden/>
          </w:rPr>
          <w:tab/>
        </w:r>
        <w:r>
          <w:rPr>
            <w:noProof/>
            <w:webHidden/>
          </w:rPr>
          <w:fldChar w:fldCharType="begin"/>
        </w:r>
        <w:r>
          <w:rPr>
            <w:noProof/>
            <w:webHidden/>
          </w:rPr>
          <w:instrText xml:space="preserve"> PAGEREF _Toc202358580 \h </w:instrText>
        </w:r>
        <w:r>
          <w:rPr>
            <w:noProof/>
            <w:webHidden/>
          </w:rPr>
        </w:r>
        <w:r>
          <w:rPr>
            <w:noProof/>
            <w:webHidden/>
          </w:rPr>
          <w:fldChar w:fldCharType="separate"/>
        </w:r>
        <w:r w:rsidR="00AA6A0F">
          <w:rPr>
            <w:noProof/>
            <w:webHidden/>
          </w:rPr>
          <w:t>15</w:t>
        </w:r>
        <w:r>
          <w:rPr>
            <w:noProof/>
            <w:webHidden/>
          </w:rPr>
          <w:fldChar w:fldCharType="end"/>
        </w:r>
      </w:hyperlink>
    </w:p>
    <w:p w14:paraId="4C3E3979" w14:textId="748FA908" w:rsidR="00E82360" w:rsidRDefault="00E82360">
      <w:pPr>
        <w:pStyle w:val="Obsah2"/>
        <w:tabs>
          <w:tab w:val="left" w:pos="660"/>
          <w:tab w:val="right" w:leader="dot" w:pos="9060"/>
        </w:tabs>
        <w:rPr>
          <w:rFonts w:asciiTheme="minorHAnsi" w:eastAsiaTheme="minorEastAsia" w:hAnsiTheme="minorHAnsi" w:cstheme="minorBidi"/>
          <w:bCs w:val="0"/>
          <w:noProof/>
          <w:kern w:val="2"/>
          <w:szCs w:val="24"/>
          <w14:ligatures w14:val="standardContextual"/>
        </w:rPr>
      </w:pPr>
      <w:hyperlink w:anchor="_Toc202358581" w:history="1">
        <w:r w:rsidRPr="00CE6DAB">
          <w:rPr>
            <w:rStyle w:val="Hypertextovprepojenie"/>
            <w:b/>
            <w:noProof/>
            <w:lang w:eastAsia="en-US"/>
          </w:rPr>
          <w:t>2.3.</w:t>
        </w:r>
        <w:r>
          <w:rPr>
            <w:rFonts w:asciiTheme="minorHAnsi" w:eastAsiaTheme="minorEastAsia" w:hAnsiTheme="minorHAnsi" w:cstheme="minorBidi"/>
            <w:bCs w:val="0"/>
            <w:noProof/>
            <w:kern w:val="2"/>
            <w:szCs w:val="24"/>
            <w14:ligatures w14:val="standardContextual"/>
          </w:rPr>
          <w:tab/>
        </w:r>
        <w:r w:rsidRPr="00CE6DAB">
          <w:rPr>
            <w:rStyle w:val="Hypertextovprepojenie"/>
            <w:b/>
            <w:noProof/>
            <w:lang w:eastAsia="en-US"/>
          </w:rPr>
          <w:t>Rozklad inflácie potravín, nápojov a tabaku</w:t>
        </w:r>
        <w:r>
          <w:rPr>
            <w:noProof/>
            <w:webHidden/>
          </w:rPr>
          <w:tab/>
        </w:r>
        <w:r>
          <w:rPr>
            <w:noProof/>
            <w:webHidden/>
          </w:rPr>
          <w:fldChar w:fldCharType="begin"/>
        </w:r>
        <w:r>
          <w:rPr>
            <w:noProof/>
            <w:webHidden/>
          </w:rPr>
          <w:instrText xml:space="preserve"> PAGEREF _Toc202358581 \h </w:instrText>
        </w:r>
        <w:r>
          <w:rPr>
            <w:noProof/>
            <w:webHidden/>
          </w:rPr>
        </w:r>
        <w:r>
          <w:rPr>
            <w:noProof/>
            <w:webHidden/>
          </w:rPr>
          <w:fldChar w:fldCharType="separate"/>
        </w:r>
        <w:r w:rsidR="00AA6A0F">
          <w:rPr>
            <w:noProof/>
            <w:webHidden/>
          </w:rPr>
          <w:t>20</w:t>
        </w:r>
        <w:r>
          <w:rPr>
            <w:noProof/>
            <w:webHidden/>
          </w:rPr>
          <w:fldChar w:fldCharType="end"/>
        </w:r>
      </w:hyperlink>
    </w:p>
    <w:p w14:paraId="0A2FAB8E" w14:textId="375370CC" w:rsidR="00E82360" w:rsidRDefault="00E82360">
      <w:pPr>
        <w:pStyle w:val="Obsah2"/>
        <w:tabs>
          <w:tab w:val="left" w:pos="660"/>
          <w:tab w:val="right" w:leader="dot" w:pos="9060"/>
        </w:tabs>
        <w:rPr>
          <w:rFonts w:asciiTheme="minorHAnsi" w:eastAsiaTheme="minorEastAsia" w:hAnsiTheme="minorHAnsi" w:cstheme="minorBidi"/>
          <w:bCs w:val="0"/>
          <w:noProof/>
          <w:kern w:val="2"/>
          <w:szCs w:val="24"/>
          <w14:ligatures w14:val="standardContextual"/>
        </w:rPr>
      </w:pPr>
      <w:hyperlink w:anchor="_Toc202358582" w:history="1">
        <w:r w:rsidRPr="00CE6DAB">
          <w:rPr>
            <w:rStyle w:val="Hypertextovprepojenie"/>
            <w:b/>
            <w:noProof/>
            <w:lang w:eastAsia="en-US"/>
          </w:rPr>
          <w:t>2.4.</w:t>
        </w:r>
        <w:r>
          <w:rPr>
            <w:rFonts w:asciiTheme="minorHAnsi" w:eastAsiaTheme="minorEastAsia" w:hAnsiTheme="minorHAnsi" w:cstheme="minorBidi"/>
            <w:bCs w:val="0"/>
            <w:noProof/>
            <w:kern w:val="2"/>
            <w:szCs w:val="24"/>
            <w14:ligatures w14:val="standardContextual"/>
          </w:rPr>
          <w:tab/>
        </w:r>
        <w:r w:rsidRPr="00CE6DAB">
          <w:rPr>
            <w:rStyle w:val="Hypertextovprepojenie"/>
            <w:b/>
            <w:noProof/>
            <w:lang w:eastAsia="en-US"/>
          </w:rPr>
          <w:t>Pomer spotrebiteľských a odbytových cien vybraných základných druhov potravín</w:t>
        </w:r>
        <w:r>
          <w:rPr>
            <w:noProof/>
            <w:webHidden/>
          </w:rPr>
          <w:tab/>
        </w:r>
        <w:r>
          <w:rPr>
            <w:noProof/>
            <w:webHidden/>
          </w:rPr>
          <w:fldChar w:fldCharType="begin"/>
        </w:r>
        <w:r>
          <w:rPr>
            <w:noProof/>
            <w:webHidden/>
          </w:rPr>
          <w:instrText xml:space="preserve"> PAGEREF _Toc202358582 \h </w:instrText>
        </w:r>
        <w:r>
          <w:rPr>
            <w:noProof/>
            <w:webHidden/>
          </w:rPr>
        </w:r>
        <w:r>
          <w:rPr>
            <w:noProof/>
            <w:webHidden/>
          </w:rPr>
          <w:fldChar w:fldCharType="separate"/>
        </w:r>
        <w:r w:rsidR="00AA6A0F">
          <w:rPr>
            <w:noProof/>
            <w:webHidden/>
          </w:rPr>
          <w:t>22</w:t>
        </w:r>
        <w:r>
          <w:rPr>
            <w:noProof/>
            <w:webHidden/>
          </w:rPr>
          <w:fldChar w:fldCharType="end"/>
        </w:r>
      </w:hyperlink>
    </w:p>
    <w:p w14:paraId="61D51CD5" w14:textId="05A76F7B" w:rsidR="00E82360" w:rsidRDefault="00E82360">
      <w:pPr>
        <w:pStyle w:val="Obsah2"/>
        <w:tabs>
          <w:tab w:val="left" w:pos="660"/>
          <w:tab w:val="right" w:leader="dot" w:pos="9060"/>
        </w:tabs>
        <w:rPr>
          <w:rFonts w:asciiTheme="minorHAnsi" w:eastAsiaTheme="minorEastAsia" w:hAnsiTheme="minorHAnsi" w:cstheme="minorBidi"/>
          <w:bCs w:val="0"/>
          <w:noProof/>
          <w:kern w:val="2"/>
          <w:szCs w:val="24"/>
          <w14:ligatures w14:val="standardContextual"/>
        </w:rPr>
      </w:pPr>
      <w:hyperlink w:anchor="_Toc202358583" w:history="1">
        <w:r w:rsidRPr="00CE6DAB">
          <w:rPr>
            <w:rStyle w:val="Hypertextovprepojenie"/>
            <w:b/>
            <w:noProof/>
            <w:lang w:eastAsia="en-US"/>
          </w:rPr>
          <w:t>2.5.</w:t>
        </w:r>
        <w:r>
          <w:rPr>
            <w:rFonts w:asciiTheme="minorHAnsi" w:eastAsiaTheme="minorEastAsia" w:hAnsiTheme="minorHAnsi" w:cstheme="minorBidi"/>
            <w:bCs w:val="0"/>
            <w:noProof/>
            <w:kern w:val="2"/>
            <w:szCs w:val="24"/>
            <w14:ligatures w14:val="standardContextual"/>
          </w:rPr>
          <w:tab/>
        </w:r>
        <w:r w:rsidRPr="00CE6DAB">
          <w:rPr>
            <w:rStyle w:val="Hypertextovprepojenie"/>
            <w:b/>
            <w:noProof/>
            <w:lang w:eastAsia="en-US"/>
          </w:rPr>
          <w:t>Cenový vývoj pohonných hmôt</w:t>
        </w:r>
        <w:r>
          <w:rPr>
            <w:noProof/>
            <w:webHidden/>
          </w:rPr>
          <w:tab/>
        </w:r>
        <w:r>
          <w:rPr>
            <w:noProof/>
            <w:webHidden/>
          </w:rPr>
          <w:fldChar w:fldCharType="begin"/>
        </w:r>
        <w:r>
          <w:rPr>
            <w:noProof/>
            <w:webHidden/>
          </w:rPr>
          <w:instrText xml:space="preserve"> PAGEREF _Toc202358583 \h </w:instrText>
        </w:r>
        <w:r>
          <w:rPr>
            <w:noProof/>
            <w:webHidden/>
          </w:rPr>
        </w:r>
        <w:r>
          <w:rPr>
            <w:noProof/>
            <w:webHidden/>
          </w:rPr>
          <w:fldChar w:fldCharType="separate"/>
        </w:r>
        <w:r w:rsidR="00AA6A0F">
          <w:rPr>
            <w:noProof/>
            <w:webHidden/>
          </w:rPr>
          <w:t>27</w:t>
        </w:r>
        <w:r>
          <w:rPr>
            <w:noProof/>
            <w:webHidden/>
          </w:rPr>
          <w:fldChar w:fldCharType="end"/>
        </w:r>
      </w:hyperlink>
    </w:p>
    <w:p w14:paraId="47C004B3" w14:textId="7164A83F" w:rsidR="00E82360" w:rsidRDefault="00E82360">
      <w:pPr>
        <w:pStyle w:val="Obsah2"/>
        <w:tabs>
          <w:tab w:val="left" w:pos="660"/>
          <w:tab w:val="right" w:leader="dot" w:pos="9060"/>
        </w:tabs>
        <w:rPr>
          <w:rFonts w:asciiTheme="minorHAnsi" w:eastAsiaTheme="minorEastAsia" w:hAnsiTheme="minorHAnsi" w:cstheme="minorBidi"/>
          <w:bCs w:val="0"/>
          <w:noProof/>
          <w:kern w:val="2"/>
          <w:szCs w:val="24"/>
          <w14:ligatures w14:val="standardContextual"/>
        </w:rPr>
      </w:pPr>
      <w:hyperlink w:anchor="_Toc202358584" w:history="1">
        <w:r w:rsidRPr="00CE6DAB">
          <w:rPr>
            <w:rStyle w:val="Hypertextovprepojenie"/>
            <w:b/>
            <w:noProof/>
            <w:lang w:eastAsia="en-US"/>
          </w:rPr>
          <w:t>2.6.</w:t>
        </w:r>
        <w:r>
          <w:rPr>
            <w:rFonts w:asciiTheme="minorHAnsi" w:eastAsiaTheme="minorEastAsia" w:hAnsiTheme="minorHAnsi" w:cstheme="minorBidi"/>
            <w:bCs w:val="0"/>
            <w:noProof/>
            <w:kern w:val="2"/>
            <w:szCs w:val="24"/>
            <w14:ligatures w14:val="standardContextual"/>
          </w:rPr>
          <w:tab/>
        </w:r>
        <w:r w:rsidRPr="00CE6DAB">
          <w:rPr>
            <w:rStyle w:val="Hypertextovprepojenie"/>
            <w:b/>
            <w:noProof/>
            <w:lang w:eastAsia="en-US"/>
          </w:rPr>
          <w:t>Tempo cenového vývoja ostatných segmentov</w:t>
        </w:r>
        <w:r>
          <w:rPr>
            <w:noProof/>
            <w:webHidden/>
          </w:rPr>
          <w:tab/>
        </w:r>
        <w:r>
          <w:rPr>
            <w:noProof/>
            <w:webHidden/>
          </w:rPr>
          <w:fldChar w:fldCharType="begin"/>
        </w:r>
        <w:r>
          <w:rPr>
            <w:noProof/>
            <w:webHidden/>
          </w:rPr>
          <w:instrText xml:space="preserve"> PAGEREF _Toc202358584 \h </w:instrText>
        </w:r>
        <w:r>
          <w:rPr>
            <w:noProof/>
            <w:webHidden/>
          </w:rPr>
        </w:r>
        <w:r>
          <w:rPr>
            <w:noProof/>
            <w:webHidden/>
          </w:rPr>
          <w:fldChar w:fldCharType="separate"/>
        </w:r>
        <w:r w:rsidR="00AA6A0F">
          <w:rPr>
            <w:noProof/>
            <w:webHidden/>
          </w:rPr>
          <w:t>30</w:t>
        </w:r>
        <w:r>
          <w:rPr>
            <w:noProof/>
            <w:webHidden/>
          </w:rPr>
          <w:fldChar w:fldCharType="end"/>
        </w:r>
      </w:hyperlink>
    </w:p>
    <w:p w14:paraId="2C812164" w14:textId="762A233E" w:rsidR="00E82360" w:rsidRDefault="00E82360">
      <w:pPr>
        <w:pStyle w:val="Obsah2"/>
        <w:tabs>
          <w:tab w:val="left" w:pos="660"/>
          <w:tab w:val="right" w:leader="dot" w:pos="9060"/>
        </w:tabs>
        <w:rPr>
          <w:rFonts w:asciiTheme="minorHAnsi" w:eastAsiaTheme="minorEastAsia" w:hAnsiTheme="minorHAnsi" w:cstheme="minorBidi"/>
          <w:bCs w:val="0"/>
          <w:noProof/>
          <w:kern w:val="2"/>
          <w:szCs w:val="24"/>
          <w14:ligatures w14:val="standardContextual"/>
        </w:rPr>
      </w:pPr>
      <w:hyperlink w:anchor="_Toc202358585" w:history="1">
        <w:r w:rsidRPr="00CE6DAB">
          <w:rPr>
            <w:rStyle w:val="Hypertextovprepojenie"/>
            <w:b/>
            <w:noProof/>
            <w:lang w:eastAsia="en-US"/>
          </w:rPr>
          <w:t>2.7.</w:t>
        </w:r>
        <w:r>
          <w:rPr>
            <w:rFonts w:asciiTheme="minorHAnsi" w:eastAsiaTheme="minorEastAsia" w:hAnsiTheme="minorHAnsi" w:cstheme="minorBidi"/>
            <w:bCs w:val="0"/>
            <w:noProof/>
            <w:kern w:val="2"/>
            <w:szCs w:val="24"/>
            <w14:ligatures w14:val="standardContextual"/>
          </w:rPr>
          <w:tab/>
        </w:r>
        <w:r w:rsidRPr="00CE6DAB">
          <w:rPr>
            <w:rStyle w:val="Hypertextovprepojenie"/>
            <w:b/>
            <w:noProof/>
            <w:lang w:eastAsia="en-US"/>
          </w:rPr>
          <w:t>Zhrnutie cenového vývoja</w:t>
        </w:r>
        <w:r>
          <w:rPr>
            <w:noProof/>
            <w:webHidden/>
          </w:rPr>
          <w:tab/>
        </w:r>
        <w:r>
          <w:rPr>
            <w:noProof/>
            <w:webHidden/>
          </w:rPr>
          <w:fldChar w:fldCharType="begin"/>
        </w:r>
        <w:r>
          <w:rPr>
            <w:noProof/>
            <w:webHidden/>
          </w:rPr>
          <w:instrText xml:space="preserve"> PAGEREF _Toc202358585 \h </w:instrText>
        </w:r>
        <w:r>
          <w:rPr>
            <w:noProof/>
            <w:webHidden/>
          </w:rPr>
        </w:r>
        <w:r>
          <w:rPr>
            <w:noProof/>
            <w:webHidden/>
          </w:rPr>
          <w:fldChar w:fldCharType="separate"/>
        </w:r>
        <w:r w:rsidR="00AA6A0F">
          <w:rPr>
            <w:noProof/>
            <w:webHidden/>
          </w:rPr>
          <w:t>39</w:t>
        </w:r>
        <w:r>
          <w:rPr>
            <w:noProof/>
            <w:webHidden/>
          </w:rPr>
          <w:fldChar w:fldCharType="end"/>
        </w:r>
      </w:hyperlink>
    </w:p>
    <w:p w14:paraId="70EAD56A" w14:textId="3E24D12E" w:rsidR="00E82360" w:rsidRDefault="00E82360">
      <w:pPr>
        <w:pStyle w:val="Obsah1"/>
        <w:tabs>
          <w:tab w:val="left" w:pos="440"/>
          <w:tab w:val="right" w:leader="dot" w:pos="9060"/>
        </w:tabs>
        <w:rPr>
          <w:rFonts w:asciiTheme="minorHAnsi" w:eastAsiaTheme="minorEastAsia" w:hAnsiTheme="minorHAnsi" w:cstheme="minorBidi"/>
          <w:bCs w:val="0"/>
          <w:noProof/>
          <w:kern w:val="2"/>
          <w14:ligatures w14:val="standardContextual"/>
        </w:rPr>
      </w:pPr>
      <w:hyperlink w:anchor="_Toc202358586" w:history="1">
        <w:r w:rsidRPr="00CE6DAB">
          <w:rPr>
            <w:rStyle w:val="Hypertextovprepojenie"/>
            <w:noProof/>
          </w:rPr>
          <w:t>3.</w:t>
        </w:r>
        <w:r>
          <w:rPr>
            <w:rFonts w:asciiTheme="minorHAnsi" w:eastAsiaTheme="minorEastAsia" w:hAnsiTheme="minorHAnsi" w:cstheme="minorBidi"/>
            <w:bCs w:val="0"/>
            <w:noProof/>
            <w:kern w:val="2"/>
            <w14:ligatures w14:val="standardContextual"/>
          </w:rPr>
          <w:tab/>
        </w:r>
        <w:r w:rsidRPr="00CE6DAB">
          <w:rPr>
            <w:rStyle w:val="Hypertextovprepojenie"/>
            <w:noProof/>
          </w:rPr>
          <w:t>Uplatňovanie zákona o cenách</w:t>
        </w:r>
        <w:r>
          <w:rPr>
            <w:noProof/>
            <w:webHidden/>
          </w:rPr>
          <w:tab/>
        </w:r>
        <w:r>
          <w:rPr>
            <w:noProof/>
            <w:webHidden/>
          </w:rPr>
          <w:fldChar w:fldCharType="begin"/>
        </w:r>
        <w:r>
          <w:rPr>
            <w:noProof/>
            <w:webHidden/>
          </w:rPr>
          <w:instrText xml:space="preserve"> PAGEREF _Toc202358586 \h </w:instrText>
        </w:r>
        <w:r>
          <w:rPr>
            <w:noProof/>
            <w:webHidden/>
          </w:rPr>
        </w:r>
        <w:r>
          <w:rPr>
            <w:noProof/>
            <w:webHidden/>
          </w:rPr>
          <w:fldChar w:fldCharType="separate"/>
        </w:r>
        <w:r w:rsidR="00AA6A0F">
          <w:rPr>
            <w:noProof/>
            <w:webHidden/>
          </w:rPr>
          <w:t>40</w:t>
        </w:r>
        <w:r>
          <w:rPr>
            <w:noProof/>
            <w:webHidden/>
          </w:rPr>
          <w:fldChar w:fldCharType="end"/>
        </w:r>
      </w:hyperlink>
    </w:p>
    <w:p w14:paraId="7C0A2669" w14:textId="49242178" w:rsidR="00E82360" w:rsidRDefault="00E82360">
      <w:pPr>
        <w:pStyle w:val="Obsah1"/>
        <w:tabs>
          <w:tab w:val="left" w:pos="440"/>
          <w:tab w:val="right" w:leader="dot" w:pos="9060"/>
        </w:tabs>
        <w:rPr>
          <w:rFonts w:asciiTheme="minorHAnsi" w:eastAsiaTheme="minorEastAsia" w:hAnsiTheme="minorHAnsi" w:cstheme="minorBidi"/>
          <w:bCs w:val="0"/>
          <w:noProof/>
          <w:kern w:val="2"/>
          <w14:ligatures w14:val="standardContextual"/>
        </w:rPr>
      </w:pPr>
      <w:hyperlink w:anchor="_Toc202358587" w:history="1">
        <w:r w:rsidRPr="00CE6DAB">
          <w:rPr>
            <w:rStyle w:val="Hypertextovprepojenie"/>
            <w:noProof/>
          </w:rPr>
          <w:t>4.</w:t>
        </w:r>
        <w:r>
          <w:rPr>
            <w:rFonts w:asciiTheme="minorHAnsi" w:eastAsiaTheme="minorEastAsia" w:hAnsiTheme="minorHAnsi" w:cstheme="minorBidi"/>
            <w:bCs w:val="0"/>
            <w:noProof/>
            <w:kern w:val="2"/>
            <w14:ligatures w14:val="standardContextual"/>
          </w:rPr>
          <w:tab/>
        </w:r>
        <w:r w:rsidRPr="00CE6DAB">
          <w:rPr>
            <w:rStyle w:val="Hypertextovprepojenie"/>
            <w:noProof/>
          </w:rPr>
          <w:t>Koncepcia cenovej politiky a jej plnenie</w:t>
        </w:r>
        <w:r>
          <w:rPr>
            <w:noProof/>
            <w:webHidden/>
          </w:rPr>
          <w:tab/>
        </w:r>
        <w:r>
          <w:rPr>
            <w:noProof/>
            <w:webHidden/>
          </w:rPr>
          <w:fldChar w:fldCharType="begin"/>
        </w:r>
        <w:r>
          <w:rPr>
            <w:noProof/>
            <w:webHidden/>
          </w:rPr>
          <w:instrText xml:space="preserve"> PAGEREF _Toc202358587 \h </w:instrText>
        </w:r>
        <w:r>
          <w:rPr>
            <w:noProof/>
            <w:webHidden/>
          </w:rPr>
        </w:r>
        <w:r>
          <w:rPr>
            <w:noProof/>
            <w:webHidden/>
          </w:rPr>
          <w:fldChar w:fldCharType="separate"/>
        </w:r>
        <w:r w:rsidR="00AA6A0F">
          <w:rPr>
            <w:noProof/>
            <w:webHidden/>
          </w:rPr>
          <w:t>42</w:t>
        </w:r>
        <w:r>
          <w:rPr>
            <w:noProof/>
            <w:webHidden/>
          </w:rPr>
          <w:fldChar w:fldCharType="end"/>
        </w:r>
      </w:hyperlink>
    </w:p>
    <w:p w14:paraId="2C70815B" w14:textId="43A6871B" w:rsidR="00E82360" w:rsidRDefault="00E82360">
      <w:pPr>
        <w:pStyle w:val="Obsah1"/>
        <w:tabs>
          <w:tab w:val="left" w:pos="440"/>
          <w:tab w:val="right" w:leader="dot" w:pos="9060"/>
        </w:tabs>
        <w:rPr>
          <w:rFonts w:asciiTheme="minorHAnsi" w:eastAsiaTheme="minorEastAsia" w:hAnsiTheme="minorHAnsi" w:cstheme="minorBidi"/>
          <w:bCs w:val="0"/>
          <w:noProof/>
          <w:kern w:val="2"/>
          <w14:ligatures w14:val="standardContextual"/>
        </w:rPr>
      </w:pPr>
      <w:hyperlink w:anchor="_Toc202358588" w:history="1">
        <w:r w:rsidRPr="00CE6DAB">
          <w:rPr>
            <w:rStyle w:val="Hypertextovprepojenie"/>
            <w:noProof/>
          </w:rPr>
          <w:t>5.</w:t>
        </w:r>
        <w:r>
          <w:rPr>
            <w:rFonts w:asciiTheme="minorHAnsi" w:eastAsiaTheme="minorEastAsia" w:hAnsiTheme="minorHAnsi" w:cstheme="minorBidi"/>
            <w:bCs w:val="0"/>
            <w:noProof/>
            <w:kern w:val="2"/>
            <w14:ligatures w14:val="standardContextual"/>
          </w:rPr>
          <w:tab/>
        </w:r>
        <w:r w:rsidRPr="00CE6DAB">
          <w:rPr>
            <w:rStyle w:val="Hypertextovprepojenie"/>
            <w:noProof/>
          </w:rPr>
          <w:t>Opatrenia na zamedzenie nežiadúceho cenového vývoja a návrhy opatrení vo verejnej politike v oblasti cien</w:t>
        </w:r>
        <w:r>
          <w:rPr>
            <w:noProof/>
            <w:webHidden/>
          </w:rPr>
          <w:tab/>
        </w:r>
        <w:r>
          <w:rPr>
            <w:noProof/>
            <w:webHidden/>
          </w:rPr>
          <w:fldChar w:fldCharType="begin"/>
        </w:r>
        <w:r>
          <w:rPr>
            <w:noProof/>
            <w:webHidden/>
          </w:rPr>
          <w:instrText xml:space="preserve"> PAGEREF _Toc202358588 \h </w:instrText>
        </w:r>
        <w:r>
          <w:rPr>
            <w:noProof/>
            <w:webHidden/>
          </w:rPr>
        </w:r>
        <w:r>
          <w:rPr>
            <w:noProof/>
            <w:webHidden/>
          </w:rPr>
          <w:fldChar w:fldCharType="separate"/>
        </w:r>
        <w:r w:rsidR="00AA6A0F">
          <w:rPr>
            <w:noProof/>
            <w:webHidden/>
          </w:rPr>
          <w:t>44</w:t>
        </w:r>
        <w:r>
          <w:rPr>
            <w:noProof/>
            <w:webHidden/>
          </w:rPr>
          <w:fldChar w:fldCharType="end"/>
        </w:r>
      </w:hyperlink>
    </w:p>
    <w:p w14:paraId="0404C3D4" w14:textId="731F5998" w:rsidR="00091BA7" w:rsidRPr="005779C4" w:rsidRDefault="005779C4" w:rsidP="00947BF3">
      <w:pPr>
        <w:spacing w:before="9600"/>
        <w:rPr>
          <w:rFonts w:ascii="Arial Narrow" w:eastAsiaTheme="majorEastAsia" w:hAnsi="Arial Narrow" w:cs="Arial"/>
          <w:color w:val="ED7D31" w:themeColor="accent2"/>
          <w:sz w:val="36"/>
          <w:szCs w:val="32"/>
        </w:rPr>
        <w:sectPr w:rsidR="00091BA7" w:rsidRPr="005779C4" w:rsidSect="005779C4">
          <w:footerReference w:type="default" r:id="rId14"/>
          <w:headerReference w:type="first" r:id="rId15"/>
          <w:pgSz w:w="11906" w:h="16838"/>
          <w:pgMar w:top="1418" w:right="1418" w:bottom="1418" w:left="1418" w:header="709" w:footer="709" w:gutter="0"/>
          <w:cols w:space="708"/>
          <w:docGrid w:linePitch="360"/>
        </w:sectPr>
      </w:pPr>
      <w:r w:rsidRPr="005779C4">
        <w:rPr>
          <w:rFonts w:ascii="Arial Narrow" w:hAnsi="Arial Narrow" w:cstheme="majorHAnsi"/>
          <w:caps/>
          <w:sz w:val="24"/>
          <w:szCs w:val="24"/>
        </w:rPr>
        <w:fldChar w:fldCharType="end"/>
      </w:r>
    </w:p>
    <w:p w14:paraId="77670A3F" w14:textId="77777777" w:rsidR="00A873B0" w:rsidRPr="00A873B0" w:rsidRDefault="00A873B0" w:rsidP="00947BF3">
      <w:pPr>
        <w:pStyle w:val="Nadpis1"/>
        <w:numPr>
          <w:ilvl w:val="0"/>
          <w:numId w:val="1"/>
        </w:numPr>
        <w:spacing w:after="240" w:line="240" w:lineRule="auto"/>
        <w:ind w:left="283" w:hanging="357"/>
        <w:jc w:val="left"/>
        <w:rPr>
          <w:color w:val="5B9BD5" w:themeColor="accent1"/>
        </w:rPr>
      </w:pPr>
      <w:bookmarkStart w:id="2" w:name="_Toc202358577"/>
      <w:r w:rsidRPr="00A873B0">
        <w:rPr>
          <w:color w:val="5B9BD5" w:themeColor="accent1"/>
        </w:rPr>
        <w:lastRenderedPageBreak/>
        <w:t>Právny základ k správe vlády Slovenskej republiky o cenovom vývoji</w:t>
      </w:r>
      <w:bookmarkEnd w:id="2"/>
    </w:p>
    <w:p w14:paraId="054580FF" w14:textId="352EAC87" w:rsidR="00A873B0" w:rsidRPr="00A873B0" w:rsidRDefault="00A873B0" w:rsidP="00947BF3">
      <w:pPr>
        <w:spacing w:after="240"/>
        <w:jc w:val="both"/>
        <w:rPr>
          <w:rFonts w:ascii="Arial Narrow" w:hAnsi="Arial Narrow"/>
          <w:sz w:val="24"/>
          <w:szCs w:val="24"/>
        </w:rPr>
      </w:pPr>
      <w:r w:rsidRPr="00A873B0">
        <w:rPr>
          <w:rFonts w:ascii="Arial Narrow" w:hAnsi="Arial Narrow"/>
          <w:sz w:val="24"/>
          <w:szCs w:val="24"/>
        </w:rPr>
        <w:t>Podľa § 20 ods. 9 zákona č. 18/1996 Z. z. o cenách v znení neskorších predpisov (ďalej len „zákon o</w:t>
      </w:r>
      <w:r w:rsidR="0067192A">
        <w:rPr>
          <w:rFonts w:ascii="Arial Narrow" w:hAnsi="Arial Narrow"/>
          <w:sz w:val="24"/>
          <w:szCs w:val="24"/>
        </w:rPr>
        <w:t> </w:t>
      </w:r>
      <w:r w:rsidRPr="00A873B0">
        <w:rPr>
          <w:rFonts w:ascii="Arial Narrow" w:hAnsi="Arial Narrow"/>
          <w:sz w:val="24"/>
          <w:szCs w:val="24"/>
        </w:rPr>
        <w:t>cenách“) vláda Slovenskej republiky (ďalej len „vláda“) predkladá Národnej rade Slovenskej republiky každoročne v druhom štvrťroku správu za predchádzajúci kalendárny rok o cenovom vývoji, opatreniach na zamedzenie nežiadúceho cenového vývoja, plnení koncepcie cenovej politiky, uplatňovaní tohto zákona a o návrhoch opatrení vo verejnej politike v oblasti cien.</w:t>
      </w:r>
    </w:p>
    <w:p w14:paraId="7B97AC26" w14:textId="6798991F" w:rsidR="00A873B0" w:rsidRDefault="00A873B0" w:rsidP="00947BF3">
      <w:pPr>
        <w:spacing w:after="240"/>
        <w:jc w:val="both"/>
        <w:rPr>
          <w:rFonts w:ascii="Arial Narrow" w:hAnsi="Arial Narrow"/>
          <w:sz w:val="24"/>
          <w:szCs w:val="24"/>
        </w:rPr>
      </w:pPr>
      <w:r w:rsidRPr="00A873B0">
        <w:rPr>
          <w:rFonts w:ascii="Arial Narrow" w:hAnsi="Arial Narrow"/>
          <w:sz w:val="24"/>
          <w:szCs w:val="24"/>
        </w:rPr>
        <w:t>Ministerstvo financií Slovenskej republiky (ďalej len „ministerstvo“) vypracovalo dokument Správa vlády o</w:t>
      </w:r>
      <w:r w:rsidR="0067192A">
        <w:rPr>
          <w:rFonts w:ascii="Arial Narrow" w:hAnsi="Arial Narrow"/>
          <w:sz w:val="24"/>
          <w:szCs w:val="24"/>
        </w:rPr>
        <w:t> </w:t>
      </w:r>
      <w:r w:rsidRPr="00A873B0">
        <w:rPr>
          <w:rFonts w:ascii="Arial Narrow" w:hAnsi="Arial Narrow"/>
          <w:sz w:val="24"/>
          <w:szCs w:val="24"/>
        </w:rPr>
        <w:t>cenovom vývoji, opatreniach na zamedzenie nežiadúceho cenového vývoja, plnení koncepcie cenovej politiky, uplatňovaní zákona o cenách a o návrhoch opatrení vo verejnej politike v oblasti cien (ďalej len „správa vlády“) na základe činností, ktoré podľa zákona o cenách vykonáva v súvislosti so sledovaním cenového vývoja a smerovaním cenovej politiky štátu.</w:t>
      </w:r>
    </w:p>
    <w:p w14:paraId="0C95943D" w14:textId="271AF75A" w:rsidR="00A873B0" w:rsidRPr="002C6E36" w:rsidRDefault="00A873B0" w:rsidP="002C6E36">
      <w:pPr>
        <w:tabs>
          <w:tab w:val="left" w:pos="2694"/>
        </w:tabs>
        <w:spacing w:after="240"/>
        <w:rPr>
          <w:rFonts w:ascii="Arial Narrow" w:eastAsia="Times New Roman" w:hAnsi="Arial Narrow"/>
          <w:b/>
          <w:bCs/>
          <w:color w:val="000000" w:themeColor="text1"/>
          <w:sz w:val="24"/>
          <w:szCs w:val="24"/>
        </w:rPr>
      </w:pPr>
      <w:r w:rsidRPr="005779C4">
        <w:rPr>
          <w:rFonts w:ascii="Arial Narrow" w:eastAsia="Times New Roman" w:hAnsi="Arial Narrow"/>
          <w:b/>
          <w:bCs/>
          <w:color w:val="000000" w:themeColor="text1"/>
          <w:sz w:val="24"/>
          <w:szCs w:val="24"/>
        </w:rPr>
        <w:t>Cenové orgány v zmysle zákona o cenách</w:t>
      </w:r>
    </w:p>
    <w:p w14:paraId="61648EF9" w14:textId="77777777" w:rsidR="00A873B0" w:rsidRPr="00A873B0" w:rsidRDefault="00A873B0" w:rsidP="00947BF3">
      <w:pPr>
        <w:jc w:val="both"/>
        <w:rPr>
          <w:rFonts w:ascii="Arial Narrow" w:hAnsi="Arial Narrow"/>
          <w:sz w:val="24"/>
          <w:szCs w:val="24"/>
        </w:rPr>
      </w:pPr>
      <w:r w:rsidRPr="00A873B0">
        <w:rPr>
          <w:rFonts w:ascii="Arial Narrow" w:hAnsi="Arial Narrow"/>
          <w:sz w:val="24"/>
          <w:szCs w:val="24"/>
        </w:rPr>
        <w:t>V zmysle zákona o cenách podľa § 20 ods. 1 písm. a) až j) pôsobnosť v oblasti cien vykonávajú tieto cenové orgány:</w:t>
      </w:r>
    </w:p>
    <w:p w14:paraId="58C85264" w14:textId="77777777" w:rsidR="00D6754C" w:rsidRDefault="00A873B0" w:rsidP="00947BF3">
      <w:pPr>
        <w:pStyle w:val="Odsekzoznamu"/>
        <w:numPr>
          <w:ilvl w:val="0"/>
          <w:numId w:val="8"/>
        </w:numPr>
        <w:ind w:left="378"/>
        <w:jc w:val="both"/>
        <w:rPr>
          <w:rFonts w:ascii="Arial Narrow" w:hAnsi="Arial Narrow"/>
          <w:sz w:val="24"/>
          <w:szCs w:val="24"/>
        </w:rPr>
      </w:pPr>
      <w:r w:rsidRPr="00D6754C">
        <w:rPr>
          <w:rFonts w:ascii="Arial Narrow" w:hAnsi="Arial Narrow"/>
          <w:sz w:val="24"/>
          <w:szCs w:val="24"/>
        </w:rPr>
        <w:t>Ministerstvo financií Slovenskej republiky,</w:t>
      </w:r>
    </w:p>
    <w:p w14:paraId="1102A23D" w14:textId="77777777" w:rsidR="00D6754C" w:rsidRDefault="00A873B0" w:rsidP="00947BF3">
      <w:pPr>
        <w:pStyle w:val="Odsekzoznamu"/>
        <w:numPr>
          <w:ilvl w:val="0"/>
          <w:numId w:val="8"/>
        </w:numPr>
        <w:ind w:left="378"/>
        <w:jc w:val="both"/>
        <w:rPr>
          <w:rFonts w:ascii="Arial Narrow" w:hAnsi="Arial Narrow"/>
          <w:sz w:val="24"/>
          <w:szCs w:val="24"/>
        </w:rPr>
      </w:pPr>
      <w:r w:rsidRPr="00D6754C">
        <w:rPr>
          <w:rFonts w:ascii="Arial Narrow" w:hAnsi="Arial Narrow"/>
          <w:sz w:val="24"/>
          <w:szCs w:val="24"/>
        </w:rPr>
        <w:t>Ministerstvo zdravotníctva Slovenskej republiky,</w:t>
      </w:r>
    </w:p>
    <w:p w14:paraId="6DF48305" w14:textId="77777777" w:rsidR="00D6754C" w:rsidRDefault="00A873B0" w:rsidP="00947BF3">
      <w:pPr>
        <w:pStyle w:val="Odsekzoznamu"/>
        <w:numPr>
          <w:ilvl w:val="0"/>
          <w:numId w:val="8"/>
        </w:numPr>
        <w:ind w:left="378"/>
        <w:jc w:val="both"/>
        <w:rPr>
          <w:rFonts w:ascii="Arial Narrow" w:hAnsi="Arial Narrow"/>
          <w:sz w:val="24"/>
          <w:szCs w:val="24"/>
        </w:rPr>
      </w:pPr>
      <w:r w:rsidRPr="00D6754C">
        <w:rPr>
          <w:rFonts w:ascii="Arial Narrow" w:hAnsi="Arial Narrow"/>
          <w:sz w:val="24"/>
          <w:szCs w:val="24"/>
        </w:rPr>
        <w:t>Ministerstvo dopravy Slovenskej republiky,</w:t>
      </w:r>
    </w:p>
    <w:p w14:paraId="3EF92252" w14:textId="77777777" w:rsidR="00D6754C" w:rsidRDefault="00A873B0" w:rsidP="00947BF3">
      <w:pPr>
        <w:pStyle w:val="Odsekzoznamu"/>
        <w:numPr>
          <w:ilvl w:val="0"/>
          <w:numId w:val="8"/>
        </w:numPr>
        <w:ind w:left="378"/>
        <w:jc w:val="both"/>
        <w:rPr>
          <w:rFonts w:ascii="Arial Narrow" w:hAnsi="Arial Narrow"/>
          <w:sz w:val="24"/>
          <w:szCs w:val="24"/>
        </w:rPr>
      </w:pPr>
      <w:r w:rsidRPr="00D6754C">
        <w:rPr>
          <w:rFonts w:ascii="Arial Narrow" w:hAnsi="Arial Narrow"/>
          <w:sz w:val="24"/>
          <w:szCs w:val="24"/>
        </w:rPr>
        <w:t>Ministerstvo pôdohospodárstva a rozvoja vidieka Slovenskej republiky,</w:t>
      </w:r>
    </w:p>
    <w:p w14:paraId="6B27CF66" w14:textId="77777777" w:rsidR="00D6754C" w:rsidRDefault="00A873B0" w:rsidP="00947BF3">
      <w:pPr>
        <w:pStyle w:val="Odsekzoznamu"/>
        <w:numPr>
          <w:ilvl w:val="0"/>
          <w:numId w:val="8"/>
        </w:numPr>
        <w:ind w:left="378"/>
        <w:jc w:val="both"/>
        <w:rPr>
          <w:rFonts w:ascii="Arial Narrow" w:hAnsi="Arial Narrow"/>
          <w:sz w:val="24"/>
          <w:szCs w:val="24"/>
        </w:rPr>
      </w:pPr>
      <w:r w:rsidRPr="00D6754C">
        <w:rPr>
          <w:rFonts w:ascii="Arial Narrow" w:hAnsi="Arial Narrow"/>
          <w:sz w:val="24"/>
          <w:szCs w:val="24"/>
        </w:rPr>
        <w:t>iný orgán štátnej správy, Úrad pre reguláciu sieťových odvetví, Úrad pre reguláciu elektronických</w:t>
      </w:r>
      <w:r w:rsidR="00D6754C">
        <w:rPr>
          <w:rFonts w:ascii="Arial Narrow" w:hAnsi="Arial Narrow"/>
          <w:sz w:val="24"/>
          <w:szCs w:val="24"/>
        </w:rPr>
        <w:t xml:space="preserve"> </w:t>
      </w:r>
      <w:r w:rsidRPr="00D6754C">
        <w:rPr>
          <w:rFonts w:ascii="Arial Narrow" w:hAnsi="Arial Narrow"/>
          <w:sz w:val="24"/>
          <w:szCs w:val="24"/>
        </w:rPr>
        <w:t>komunikácií a poštových služieb,</w:t>
      </w:r>
    </w:p>
    <w:p w14:paraId="667487DB" w14:textId="77777777" w:rsidR="00D6754C" w:rsidRDefault="00A873B0" w:rsidP="00947BF3">
      <w:pPr>
        <w:pStyle w:val="Odsekzoznamu"/>
        <w:numPr>
          <w:ilvl w:val="0"/>
          <w:numId w:val="8"/>
        </w:numPr>
        <w:ind w:left="378"/>
        <w:jc w:val="both"/>
        <w:rPr>
          <w:rFonts w:ascii="Arial Narrow" w:hAnsi="Arial Narrow"/>
          <w:sz w:val="24"/>
          <w:szCs w:val="24"/>
        </w:rPr>
      </w:pPr>
      <w:r w:rsidRPr="00D6754C">
        <w:rPr>
          <w:rFonts w:ascii="Arial Narrow" w:hAnsi="Arial Narrow"/>
          <w:sz w:val="24"/>
          <w:szCs w:val="24"/>
        </w:rPr>
        <w:t>vyšší územný celok,</w:t>
      </w:r>
    </w:p>
    <w:p w14:paraId="5291F83D" w14:textId="77777777" w:rsidR="00D6754C" w:rsidRDefault="00A873B0" w:rsidP="00947BF3">
      <w:pPr>
        <w:pStyle w:val="Odsekzoznamu"/>
        <w:numPr>
          <w:ilvl w:val="0"/>
          <w:numId w:val="8"/>
        </w:numPr>
        <w:ind w:left="378"/>
        <w:jc w:val="both"/>
        <w:rPr>
          <w:rFonts w:ascii="Arial Narrow" w:hAnsi="Arial Narrow"/>
          <w:sz w:val="24"/>
          <w:szCs w:val="24"/>
        </w:rPr>
      </w:pPr>
      <w:r w:rsidRPr="00D6754C">
        <w:rPr>
          <w:rFonts w:ascii="Arial Narrow" w:hAnsi="Arial Narrow"/>
          <w:sz w:val="24"/>
          <w:szCs w:val="24"/>
        </w:rPr>
        <w:t>obec,</w:t>
      </w:r>
    </w:p>
    <w:p w14:paraId="5ECD114F" w14:textId="77777777" w:rsidR="00D6754C" w:rsidRDefault="00A873B0" w:rsidP="00947BF3">
      <w:pPr>
        <w:pStyle w:val="Odsekzoznamu"/>
        <w:numPr>
          <w:ilvl w:val="0"/>
          <w:numId w:val="8"/>
        </w:numPr>
        <w:ind w:left="378"/>
        <w:jc w:val="both"/>
        <w:rPr>
          <w:rFonts w:ascii="Arial Narrow" w:hAnsi="Arial Narrow"/>
          <w:sz w:val="24"/>
          <w:szCs w:val="24"/>
        </w:rPr>
      </w:pPr>
      <w:r w:rsidRPr="00D6754C">
        <w:rPr>
          <w:rFonts w:ascii="Arial Narrow" w:hAnsi="Arial Narrow"/>
          <w:sz w:val="24"/>
          <w:szCs w:val="24"/>
        </w:rPr>
        <w:t>Úrad vládneho auditu,</w:t>
      </w:r>
    </w:p>
    <w:p w14:paraId="3A8A6606" w14:textId="77777777" w:rsidR="00D6754C" w:rsidRDefault="00A873B0" w:rsidP="00947BF3">
      <w:pPr>
        <w:pStyle w:val="Odsekzoznamu"/>
        <w:numPr>
          <w:ilvl w:val="0"/>
          <w:numId w:val="8"/>
        </w:numPr>
        <w:ind w:left="378"/>
        <w:jc w:val="both"/>
        <w:rPr>
          <w:rFonts w:ascii="Arial Narrow" w:hAnsi="Arial Narrow"/>
          <w:sz w:val="24"/>
          <w:szCs w:val="24"/>
        </w:rPr>
      </w:pPr>
      <w:r w:rsidRPr="00D6754C">
        <w:rPr>
          <w:rFonts w:ascii="Arial Narrow" w:hAnsi="Arial Narrow"/>
          <w:sz w:val="24"/>
          <w:szCs w:val="24"/>
        </w:rPr>
        <w:t>Slovenská obchodná inšpekcia,</w:t>
      </w:r>
    </w:p>
    <w:p w14:paraId="2A56A2A8" w14:textId="169307B7" w:rsidR="00A873B0" w:rsidRPr="00D6754C" w:rsidRDefault="00A873B0" w:rsidP="00947BF3">
      <w:pPr>
        <w:pStyle w:val="Odsekzoznamu"/>
        <w:numPr>
          <w:ilvl w:val="0"/>
          <w:numId w:val="8"/>
        </w:numPr>
        <w:spacing w:after="240"/>
        <w:ind w:left="378"/>
        <w:jc w:val="both"/>
        <w:rPr>
          <w:rFonts w:ascii="Arial Narrow" w:hAnsi="Arial Narrow"/>
          <w:sz w:val="24"/>
          <w:szCs w:val="24"/>
        </w:rPr>
      </w:pPr>
      <w:r w:rsidRPr="00D6754C">
        <w:rPr>
          <w:rFonts w:ascii="Arial Narrow" w:hAnsi="Arial Narrow"/>
          <w:sz w:val="24"/>
          <w:szCs w:val="24"/>
        </w:rPr>
        <w:t>vláda Slovenskej republiky.</w:t>
      </w:r>
    </w:p>
    <w:p w14:paraId="58AADF25" w14:textId="77777777" w:rsidR="00A873B0" w:rsidRPr="005779C4" w:rsidRDefault="00A873B0" w:rsidP="00947BF3">
      <w:pPr>
        <w:tabs>
          <w:tab w:val="left" w:pos="2694"/>
        </w:tabs>
        <w:spacing w:after="240"/>
        <w:rPr>
          <w:rFonts w:ascii="Arial Narrow" w:eastAsia="Times New Roman" w:hAnsi="Arial Narrow"/>
          <w:b/>
          <w:bCs/>
          <w:color w:val="000000" w:themeColor="text1"/>
          <w:sz w:val="24"/>
          <w:szCs w:val="24"/>
        </w:rPr>
      </w:pPr>
      <w:r w:rsidRPr="005779C4">
        <w:rPr>
          <w:rFonts w:ascii="Arial Narrow" w:eastAsia="Times New Roman" w:hAnsi="Arial Narrow"/>
          <w:b/>
          <w:bCs/>
          <w:color w:val="000000" w:themeColor="text1"/>
          <w:sz w:val="24"/>
          <w:szCs w:val="24"/>
        </w:rPr>
        <w:t xml:space="preserve">Ministerstvo zdravotníctva Slovenskej republiky  </w:t>
      </w:r>
    </w:p>
    <w:p w14:paraId="55113B7A" w14:textId="77777777" w:rsidR="00A873B0" w:rsidRPr="00A873B0" w:rsidRDefault="00A873B0" w:rsidP="00947BF3">
      <w:pPr>
        <w:spacing w:after="240"/>
        <w:jc w:val="both"/>
        <w:rPr>
          <w:rFonts w:ascii="Arial Narrow" w:hAnsi="Arial Narrow"/>
          <w:sz w:val="24"/>
          <w:szCs w:val="24"/>
        </w:rPr>
      </w:pPr>
      <w:r w:rsidRPr="00A873B0">
        <w:rPr>
          <w:rFonts w:ascii="Arial Narrow" w:hAnsi="Arial Narrow"/>
          <w:sz w:val="24"/>
          <w:szCs w:val="24"/>
        </w:rPr>
        <w:t xml:space="preserve">Ministerstvo zdravotníctva Slovenskej republiky (ďalej len „ministerstvo zdravotníctva“) je podľa § 20 ods. 1 písm. b) zákona o cenách cenovým orgánom, ktorý vykonáva pôsobnosť v oblasti cien. Cenovým opatrením v oblasti zdravotníctva sa vydáva rozhodnutie ministerstva zdravotníctva o regulácii cien výrobkov a výkonov v zdravotníctve. </w:t>
      </w:r>
    </w:p>
    <w:p w14:paraId="1F3C4446" w14:textId="13D27C08" w:rsidR="00A873B0" w:rsidRPr="00A873B0" w:rsidRDefault="00A873B0" w:rsidP="00947BF3">
      <w:pPr>
        <w:spacing w:after="240"/>
        <w:jc w:val="both"/>
        <w:rPr>
          <w:rFonts w:ascii="Arial Narrow" w:hAnsi="Arial Narrow"/>
          <w:sz w:val="24"/>
          <w:szCs w:val="24"/>
        </w:rPr>
      </w:pPr>
      <w:r w:rsidRPr="00A873B0">
        <w:rPr>
          <w:rFonts w:ascii="Arial Narrow" w:hAnsi="Arial Narrow"/>
          <w:sz w:val="24"/>
          <w:szCs w:val="24"/>
        </w:rPr>
        <w:t>V Programovom vyhlásení vlády Slovenskej republiky 2023 – 2027 časti zdravotná politika - strednodobé priority je uvedené: „Na posilnenie ambulantnej zdravotnej starostlivosti, ako hlavného piliera efektívnej a</w:t>
      </w:r>
      <w:r w:rsidR="00E0458F">
        <w:rPr>
          <w:rFonts w:ascii="Arial Narrow" w:hAnsi="Arial Narrow"/>
          <w:sz w:val="24"/>
          <w:szCs w:val="24"/>
        </w:rPr>
        <w:t> </w:t>
      </w:r>
      <w:r w:rsidRPr="00A873B0">
        <w:rPr>
          <w:rFonts w:ascii="Arial Narrow" w:hAnsi="Arial Narrow"/>
          <w:sz w:val="24"/>
          <w:szCs w:val="24"/>
        </w:rPr>
        <w:t>kvalitnej zdravotnej starostlivosti, pripravíme aktualizáciu katalógu zdravotných výkonov a nastavíme plán jeho postupnej implementácie.“ Po aktualizácii katalógu zdravotných výkonov bude potrebné upraviť v</w:t>
      </w:r>
      <w:r w:rsidR="0067192A">
        <w:rPr>
          <w:rFonts w:ascii="Arial Narrow" w:hAnsi="Arial Narrow"/>
          <w:sz w:val="24"/>
          <w:szCs w:val="24"/>
        </w:rPr>
        <w:t> </w:t>
      </w:r>
      <w:r w:rsidRPr="00A873B0">
        <w:rPr>
          <w:rFonts w:ascii="Arial Narrow" w:hAnsi="Arial Narrow"/>
          <w:sz w:val="24"/>
          <w:szCs w:val="24"/>
        </w:rPr>
        <w:t>prílohe č. 4 časť C cenového opatrenia v súlade s nastavením plánu jeho postupnej implementácie.</w:t>
      </w:r>
    </w:p>
    <w:p w14:paraId="6613E49B" w14:textId="64F1D491" w:rsidR="00A873B0" w:rsidRPr="00A873B0" w:rsidRDefault="00A873B0" w:rsidP="00947BF3">
      <w:pPr>
        <w:spacing w:after="240"/>
        <w:jc w:val="both"/>
        <w:rPr>
          <w:rFonts w:ascii="Arial Narrow" w:hAnsi="Arial Narrow"/>
          <w:sz w:val="24"/>
          <w:szCs w:val="24"/>
        </w:rPr>
      </w:pPr>
      <w:r w:rsidRPr="00A873B0">
        <w:rPr>
          <w:rFonts w:ascii="Arial Narrow" w:hAnsi="Arial Narrow"/>
          <w:sz w:val="24"/>
          <w:szCs w:val="24"/>
        </w:rPr>
        <w:t>Ministerstvo zdravotníctva plánuje pokračovať v súčasnosti zabehnutom rámci regulácie. Je možné, že</w:t>
      </w:r>
      <w:r w:rsidR="0067192A">
        <w:rPr>
          <w:rFonts w:ascii="Arial Narrow" w:hAnsi="Arial Narrow"/>
          <w:sz w:val="24"/>
          <w:szCs w:val="24"/>
        </w:rPr>
        <w:t> </w:t>
      </w:r>
      <w:r w:rsidRPr="00A873B0">
        <w:rPr>
          <w:rFonts w:ascii="Arial Narrow" w:hAnsi="Arial Narrow"/>
          <w:sz w:val="24"/>
          <w:szCs w:val="24"/>
        </w:rPr>
        <w:t>diskusia ohľadom aktualizácie katalógu zdravotných výkonov bude prebiehať aj v smere regulovania ceny ambulantných zdravotných výkonov formou cenového opatrenia v oblasti zdravotníctva alebo iným spôsobom, avšak v tejto chvíli nevieme predikovať, kam nás diskusia privedie. V rámci ústavnej zdravotnej starostlivosti je pre ministerstvo zdravotníctva prioritou pokračovať v zavádzaní a rozširovaní klasifikačného systému diagnosticko-terapeutických skupín – SK-DRG do priamych úhrad, t. j. prechod od rozpočtových platieb na platby za reálnu produkciu.</w:t>
      </w:r>
    </w:p>
    <w:p w14:paraId="4370E778" w14:textId="77777777" w:rsidR="00A873B0" w:rsidRPr="005779C4" w:rsidRDefault="00A873B0" w:rsidP="00947BF3">
      <w:pPr>
        <w:tabs>
          <w:tab w:val="left" w:pos="2694"/>
        </w:tabs>
        <w:spacing w:after="240"/>
        <w:rPr>
          <w:rFonts w:ascii="Arial Narrow" w:eastAsia="Times New Roman" w:hAnsi="Arial Narrow"/>
          <w:b/>
          <w:bCs/>
          <w:color w:val="000000" w:themeColor="text1"/>
          <w:sz w:val="24"/>
          <w:szCs w:val="24"/>
        </w:rPr>
      </w:pPr>
      <w:r w:rsidRPr="005779C4">
        <w:rPr>
          <w:rFonts w:ascii="Arial Narrow" w:eastAsia="Times New Roman" w:hAnsi="Arial Narrow"/>
          <w:b/>
          <w:bCs/>
          <w:color w:val="000000" w:themeColor="text1"/>
          <w:sz w:val="24"/>
          <w:szCs w:val="24"/>
        </w:rPr>
        <w:t>Ministerstvo dopravy Slovenskej republiky</w:t>
      </w:r>
    </w:p>
    <w:p w14:paraId="2E282AA1" w14:textId="77777777" w:rsidR="00A873B0" w:rsidRPr="00A873B0" w:rsidRDefault="00A873B0" w:rsidP="00947BF3">
      <w:pPr>
        <w:spacing w:after="240"/>
        <w:jc w:val="both"/>
        <w:rPr>
          <w:rFonts w:ascii="Arial Narrow" w:hAnsi="Arial Narrow"/>
          <w:sz w:val="24"/>
          <w:szCs w:val="24"/>
        </w:rPr>
      </w:pPr>
      <w:r w:rsidRPr="00A873B0">
        <w:rPr>
          <w:rFonts w:ascii="Arial Narrow" w:hAnsi="Arial Narrow"/>
          <w:sz w:val="24"/>
          <w:szCs w:val="24"/>
        </w:rPr>
        <w:t>Ministerstvo dopravy Slovenskej republiky (ďalej len „ministerstvo dopravy“) zákonom č. 33/2024 Z. z., ktorým sa mení a dopĺňa zákon o cenách s účinnosťou od 6. marca 2024 ustanovilo ministerstvo financií za cenový orgán v oblasti cien nájmu bytov obstaraných z prostriedkov štátneho rozpočtu, štátnych fondov, rozpočtov vyšších územných celkov a rozpočtov obcí.</w:t>
      </w:r>
    </w:p>
    <w:p w14:paraId="2DF5E249" w14:textId="77777777" w:rsidR="00A873B0" w:rsidRPr="00A873B0" w:rsidRDefault="00A873B0" w:rsidP="00947BF3">
      <w:pPr>
        <w:spacing w:after="240"/>
        <w:jc w:val="both"/>
        <w:rPr>
          <w:rFonts w:ascii="Arial Narrow" w:hAnsi="Arial Narrow"/>
          <w:sz w:val="24"/>
          <w:szCs w:val="24"/>
        </w:rPr>
      </w:pPr>
      <w:r w:rsidRPr="00A873B0">
        <w:rPr>
          <w:rFonts w:ascii="Arial Narrow" w:hAnsi="Arial Narrow"/>
          <w:sz w:val="24"/>
          <w:szCs w:val="24"/>
        </w:rPr>
        <w:t xml:space="preserve">Ustanovenie ministerstva dopravy za nový cenový orgán vyplynulo z dlhodobej požiadavky dokumentov bytovej politiky, ktoré od roku 2010 poukazovali na potrebu prehodnotenia úpravy regulácie nájomného, ktorá je regulovaná opatrením Ministerstva financií Slovenskej republiky č. 01/R/2008 o regulácii cien nájmov bytov v znení neskorších predpisov a prijatie novej úpravy. Ako je uvedené v dokumente Bytová politika Slovenskej republiky do roku 2030 „V súčasnosti je maximálna cena ročného nájomného v bytoch s regulovaným nájmom 5 % z obstarávacej ceny. Regulácia však nereaguje tak na vývoj a rast nákladov spojených so správou a s údržbou obstaraných nájomných bytov, ako aj neumožňuje zarátať náklady spojené s obnovou týchto bytov do obstarávacej ceny. Týmto postupom nie je možné zvýšiť vyberané nájomné a obce nie sú schopné v dlhodobom horizonte financovať režijné náklady len z vyberaného nájomného.“. </w:t>
      </w:r>
    </w:p>
    <w:p w14:paraId="34E5E324" w14:textId="13926905" w:rsidR="00A873B0" w:rsidRPr="00A873B0" w:rsidRDefault="00A873B0" w:rsidP="00947BF3">
      <w:pPr>
        <w:spacing w:after="240"/>
        <w:jc w:val="both"/>
        <w:rPr>
          <w:rFonts w:ascii="Arial Narrow" w:hAnsi="Arial Narrow"/>
          <w:sz w:val="24"/>
          <w:szCs w:val="24"/>
        </w:rPr>
      </w:pPr>
      <w:r w:rsidRPr="00A873B0">
        <w:rPr>
          <w:rFonts w:ascii="Arial Narrow" w:hAnsi="Arial Narrow"/>
          <w:sz w:val="24"/>
          <w:szCs w:val="24"/>
        </w:rPr>
        <w:t>V nadväznosti na uvedené je cieľom ministerstva dopravy ako cenového orgánu v súlade s Programovým vyhlásením vlády Slovenskej republiky 2023 - 2027, v ktorom sa vláda SR zaviazala vytvoriť vhodné podmienky na udržateľnosť podmienok prevádzkovania dostupného nájomného bývania, príprava a</w:t>
      </w:r>
      <w:r w:rsidR="0067192A">
        <w:rPr>
          <w:rFonts w:ascii="Arial Narrow" w:hAnsi="Arial Narrow"/>
          <w:sz w:val="24"/>
          <w:szCs w:val="24"/>
        </w:rPr>
        <w:t> </w:t>
      </w:r>
      <w:r w:rsidRPr="00A873B0">
        <w:rPr>
          <w:rFonts w:ascii="Arial Narrow" w:hAnsi="Arial Narrow"/>
          <w:sz w:val="24"/>
          <w:szCs w:val="24"/>
        </w:rPr>
        <w:t xml:space="preserve">predloženie nového predpisu (vyhlášky) v oblasti regulácie nájmu bytov obstaraných z prostriedkov štátneho rozpočtu, štátnych fondov, rozpočtov vyšších územných celkov (,,ďalej len VÚC“) a rozpočtov obcí. Materiál bol predložený na pripomienkové konanie v mesiaci jún 2024 s navrhovanou účinnosťou od 1. januára 2025.  </w:t>
      </w:r>
    </w:p>
    <w:p w14:paraId="420701F8" w14:textId="77777777" w:rsidR="00A873B0" w:rsidRPr="00A873B0" w:rsidRDefault="00A873B0" w:rsidP="00947BF3">
      <w:pPr>
        <w:spacing w:after="240"/>
        <w:jc w:val="both"/>
        <w:rPr>
          <w:rFonts w:ascii="Arial Narrow" w:hAnsi="Arial Narrow"/>
          <w:sz w:val="24"/>
          <w:szCs w:val="24"/>
        </w:rPr>
      </w:pPr>
      <w:r w:rsidRPr="00A873B0">
        <w:rPr>
          <w:rFonts w:ascii="Arial Narrow" w:hAnsi="Arial Narrow"/>
          <w:sz w:val="24"/>
          <w:szCs w:val="24"/>
        </w:rPr>
        <w:t>Základným predpokladom novej úpravy regulácie nájmu je zabezpečenie udržateľnosti existujúcich nájomných bytov, ktorých obstaranie bolo zabezpečené z verejných zdrojov alebo sú vo vlastníctve štátu, VÚC a obcí. Aj preto návrh vyhlášky ustanovuje nový spôsob určenia maximálnej výšky regulovaného nájomného bytov, ktorý zabezpečuje pokrytie reálnych nákladov prevádzky nájomného bývania, vrátane investícií na údržbu, budúce rekonštrukcie, ako aj plynulý rast nájomného v nadväznosti na rast spotrebiteľských cien.</w:t>
      </w:r>
    </w:p>
    <w:p w14:paraId="21E35BB1" w14:textId="3C01B5D9" w:rsidR="00A873B0" w:rsidRPr="00A873B0" w:rsidRDefault="00A873B0" w:rsidP="00947BF3">
      <w:pPr>
        <w:spacing w:after="240"/>
        <w:jc w:val="both"/>
        <w:rPr>
          <w:rFonts w:ascii="Arial Narrow" w:hAnsi="Arial Narrow"/>
          <w:sz w:val="24"/>
          <w:szCs w:val="24"/>
        </w:rPr>
      </w:pPr>
      <w:r w:rsidRPr="00A873B0">
        <w:rPr>
          <w:rFonts w:ascii="Arial Narrow" w:hAnsi="Arial Narrow"/>
          <w:sz w:val="24"/>
          <w:szCs w:val="24"/>
        </w:rPr>
        <w:t>Ministerstvo dopravy priebežne vyhodnocuje účelnosť a účinnosť takto určenej cenovej regulácie v oblasti nájmu bytov obstaraných z prostriedkov štátneho rozpočtu, štátnych fondov, rozpočtov VÚC a rozpočtov obcí. V prípade, že nebudú docielené želané výsledky, je ministerstvo dopravy pripravené pristúpiť k</w:t>
      </w:r>
      <w:r w:rsidR="0067192A">
        <w:rPr>
          <w:rFonts w:ascii="Arial Narrow" w:hAnsi="Arial Narrow"/>
          <w:sz w:val="24"/>
          <w:szCs w:val="24"/>
        </w:rPr>
        <w:t> </w:t>
      </w:r>
      <w:r w:rsidRPr="00A873B0">
        <w:rPr>
          <w:rFonts w:ascii="Arial Narrow" w:hAnsi="Arial Narrow"/>
          <w:sz w:val="24"/>
          <w:szCs w:val="24"/>
        </w:rPr>
        <w:t xml:space="preserve">ďalším nevyhnutným úpravám. </w:t>
      </w:r>
    </w:p>
    <w:p w14:paraId="2A414B8D" w14:textId="77777777" w:rsidR="00A873B0" w:rsidRPr="00A873B0" w:rsidRDefault="00A873B0" w:rsidP="00947BF3">
      <w:pPr>
        <w:spacing w:after="240"/>
        <w:jc w:val="both"/>
        <w:rPr>
          <w:rFonts w:ascii="Arial Narrow" w:hAnsi="Arial Narrow"/>
          <w:sz w:val="24"/>
          <w:szCs w:val="24"/>
        </w:rPr>
      </w:pPr>
    </w:p>
    <w:p w14:paraId="25FC272F" w14:textId="77777777" w:rsidR="00A873B0" w:rsidRPr="00A873B0" w:rsidRDefault="00A873B0" w:rsidP="00947BF3">
      <w:pPr>
        <w:spacing w:after="240"/>
        <w:jc w:val="both"/>
        <w:rPr>
          <w:rFonts w:ascii="Arial Narrow" w:hAnsi="Arial Narrow"/>
          <w:sz w:val="24"/>
          <w:szCs w:val="24"/>
        </w:rPr>
      </w:pPr>
      <w:r w:rsidRPr="00A873B0">
        <w:rPr>
          <w:rFonts w:ascii="Arial Narrow" w:hAnsi="Arial Narrow"/>
          <w:sz w:val="24"/>
          <w:szCs w:val="24"/>
        </w:rPr>
        <w:t xml:space="preserve">V zmysle § 8 ods. 1 písm. p) zákona č. 575/2001 Z. z. o organizácií činnosti vlády SR a organizácií ústrednej štátnej správy v znení neskorších predpisov je ministerstvo dopravy ústredným orgánom štátnej správy pre štátom podporované nájomné bývanie od 1. februára 2024. </w:t>
      </w:r>
    </w:p>
    <w:p w14:paraId="745BB6FD" w14:textId="2079E793" w:rsidR="00A873B0" w:rsidRPr="00A873B0" w:rsidRDefault="00A873B0" w:rsidP="00947BF3">
      <w:pPr>
        <w:spacing w:after="240"/>
        <w:jc w:val="both"/>
        <w:rPr>
          <w:rFonts w:ascii="Arial Narrow" w:hAnsi="Arial Narrow"/>
          <w:sz w:val="24"/>
          <w:szCs w:val="24"/>
        </w:rPr>
      </w:pPr>
      <w:r w:rsidRPr="00A873B0">
        <w:rPr>
          <w:rFonts w:ascii="Arial Narrow" w:hAnsi="Arial Narrow"/>
          <w:sz w:val="24"/>
          <w:szCs w:val="24"/>
        </w:rPr>
        <w:t>Novelou zákona č. 222/2022 Z. z. o štátnej podpore nájomného bývania a o zmene a doplnení niektorých zákonov v znení neskorších predpisov (ďalej len „zákon o štátnej podpore nájomného bývania“) od 1.</w:t>
      </w:r>
      <w:r w:rsidR="0067192A">
        <w:rPr>
          <w:rFonts w:ascii="Arial Narrow" w:hAnsi="Arial Narrow"/>
          <w:sz w:val="24"/>
          <w:szCs w:val="24"/>
        </w:rPr>
        <w:t> </w:t>
      </w:r>
      <w:r w:rsidRPr="00A873B0">
        <w:rPr>
          <w:rFonts w:ascii="Arial Narrow" w:hAnsi="Arial Narrow"/>
          <w:sz w:val="24"/>
          <w:szCs w:val="24"/>
        </w:rPr>
        <w:t>februára 2024 prešla zakladateľská pôsobnosť vlády SR k Agentúre štátom podporovaného nájomného bývania  (ďalej len „agentúra“) a členstvo na ministerstvo dopravy.</w:t>
      </w:r>
    </w:p>
    <w:p w14:paraId="7D87EAD0" w14:textId="77777777" w:rsidR="00A873B0" w:rsidRPr="00A873B0" w:rsidRDefault="00A873B0" w:rsidP="00947BF3">
      <w:pPr>
        <w:spacing w:after="240"/>
        <w:jc w:val="both"/>
        <w:rPr>
          <w:rFonts w:ascii="Arial Narrow" w:hAnsi="Arial Narrow"/>
          <w:sz w:val="24"/>
          <w:szCs w:val="24"/>
        </w:rPr>
      </w:pPr>
      <w:r w:rsidRPr="00A873B0">
        <w:rPr>
          <w:rFonts w:ascii="Arial Narrow" w:hAnsi="Arial Narrow"/>
          <w:sz w:val="24"/>
          <w:szCs w:val="24"/>
        </w:rPr>
        <w:t>Agentúra predkladá vláde v zmysle zákona o štátnej podpore nájomného bývania návrh na určenie výšky maximálneho nájomného, návrh pravidiel výpočtu a aplikácie maximálnej výšky nájomného.</w:t>
      </w:r>
    </w:p>
    <w:p w14:paraId="04B79979" w14:textId="77777777" w:rsidR="00A873B0" w:rsidRPr="005779C4" w:rsidRDefault="00A873B0" w:rsidP="00947BF3">
      <w:pPr>
        <w:tabs>
          <w:tab w:val="left" w:pos="2694"/>
        </w:tabs>
        <w:spacing w:after="240"/>
        <w:rPr>
          <w:rFonts w:ascii="Arial Narrow" w:eastAsia="Times New Roman" w:hAnsi="Arial Narrow"/>
          <w:b/>
          <w:bCs/>
          <w:color w:val="000000" w:themeColor="text1"/>
          <w:sz w:val="24"/>
          <w:szCs w:val="24"/>
        </w:rPr>
      </w:pPr>
      <w:r w:rsidRPr="005779C4">
        <w:rPr>
          <w:rFonts w:ascii="Arial Narrow" w:eastAsia="Times New Roman" w:hAnsi="Arial Narrow"/>
          <w:b/>
          <w:bCs/>
          <w:color w:val="000000" w:themeColor="text1"/>
          <w:sz w:val="24"/>
          <w:szCs w:val="24"/>
        </w:rPr>
        <w:t xml:space="preserve">Ministerstvo pôdohospodárstva a rozvoja vidieka Slovenskej republiky </w:t>
      </w:r>
    </w:p>
    <w:p w14:paraId="706411FC" w14:textId="7864267E" w:rsidR="00A873B0" w:rsidRPr="00A873B0" w:rsidRDefault="00A873B0" w:rsidP="00947BF3">
      <w:pPr>
        <w:spacing w:after="240"/>
        <w:jc w:val="both"/>
        <w:rPr>
          <w:rFonts w:ascii="Arial Narrow" w:hAnsi="Arial Narrow"/>
          <w:sz w:val="24"/>
          <w:szCs w:val="24"/>
        </w:rPr>
      </w:pPr>
      <w:r w:rsidRPr="00A873B0">
        <w:rPr>
          <w:rFonts w:ascii="Arial Narrow" w:hAnsi="Arial Narrow"/>
          <w:sz w:val="24"/>
          <w:szCs w:val="24"/>
        </w:rPr>
        <w:t>MPRV SR zmysle ustanovenia § 20 ods. 1 písm. d) zákona o cenách bolo ustanovené za cenový orgán, ktorý vykonáva pôsobnosť v oblasti cien. Táto kompetencia pre MPRV SR bola schválená zákonom č.</w:t>
      </w:r>
      <w:r w:rsidR="0067192A">
        <w:rPr>
          <w:rFonts w:ascii="Arial Narrow" w:hAnsi="Arial Narrow"/>
          <w:sz w:val="24"/>
          <w:szCs w:val="24"/>
        </w:rPr>
        <w:t> </w:t>
      </w:r>
      <w:r w:rsidRPr="00A873B0">
        <w:rPr>
          <w:rFonts w:ascii="Arial Narrow" w:hAnsi="Arial Narrow"/>
          <w:sz w:val="24"/>
          <w:szCs w:val="24"/>
        </w:rPr>
        <w:t>112/2019 Z. z. ktorým sa mení a dopĺňa zákon o cenách, s účinnosťou od 1. mája 2019.</w:t>
      </w:r>
    </w:p>
    <w:p w14:paraId="51B3BE0E" w14:textId="5A106BF0" w:rsidR="00A873B0" w:rsidRPr="00A873B0" w:rsidRDefault="00A873B0" w:rsidP="00947BF3">
      <w:pPr>
        <w:spacing w:after="240"/>
        <w:jc w:val="both"/>
        <w:rPr>
          <w:rFonts w:ascii="Arial Narrow" w:hAnsi="Arial Narrow"/>
          <w:sz w:val="24"/>
          <w:szCs w:val="24"/>
        </w:rPr>
      </w:pPr>
      <w:r w:rsidRPr="00A873B0">
        <w:rPr>
          <w:rFonts w:ascii="Arial Narrow" w:hAnsi="Arial Narrow"/>
          <w:sz w:val="24"/>
          <w:szCs w:val="24"/>
        </w:rPr>
        <w:t>MPRV SR na základe tejto kompetencie ako cenový orgán a podľa ustanovenia § 20 ods. 5 zákona o</w:t>
      </w:r>
      <w:r w:rsidR="0067192A">
        <w:rPr>
          <w:rFonts w:ascii="Arial Narrow" w:hAnsi="Arial Narrow"/>
          <w:sz w:val="24"/>
          <w:szCs w:val="24"/>
        </w:rPr>
        <w:t> </w:t>
      </w:r>
      <w:r w:rsidRPr="00A873B0">
        <w:rPr>
          <w:rFonts w:ascii="Arial Narrow" w:hAnsi="Arial Narrow"/>
          <w:sz w:val="24"/>
          <w:szCs w:val="24"/>
        </w:rPr>
        <w:t>cenách, vykonáva pôsobnosť podľa odseku 2 písm. d) až f) uvedeného ustanovenia v oblasti cien potravinárskych výrobkov a na účely § 12 ods. 3 druhej vety zákona o cenách môže ustanoviť všeobecne záväzným právnym predpisom pre oblasť cien vybraných potravinárskych výrobkov rozsah, spôsob stanovenia a ostatné podrobnosti nevyhnutné pre určenie ekonomicky oprávnených nákladov u</w:t>
      </w:r>
      <w:r w:rsidR="0067192A">
        <w:rPr>
          <w:rFonts w:ascii="Arial Narrow" w:hAnsi="Arial Narrow"/>
          <w:sz w:val="24"/>
          <w:szCs w:val="24"/>
        </w:rPr>
        <w:t> </w:t>
      </w:r>
      <w:r w:rsidRPr="00A873B0">
        <w:rPr>
          <w:rFonts w:ascii="Arial Narrow" w:hAnsi="Arial Narrow"/>
          <w:sz w:val="24"/>
          <w:szCs w:val="24"/>
        </w:rPr>
        <w:t>predávajúceho, ktorý predáva kupujúcemu vo výhodnejšom hospodárskom postavení.</w:t>
      </w:r>
    </w:p>
    <w:p w14:paraId="41B71BDE" w14:textId="7DEF40D5" w:rsidR="00A873B0" w:rsidRPr="00A873B0" w:rsidRDefault="00A873B0" w:rsidP="00947BF3">
      <w:pPr>
        <w:spacing w:after="240"/>
        <w:jc w:val="both"/>
        <w:rPr>
          <w:rFonts w:ascii="Arial Narrow" w:hAnsi="Arial Narrow"/>
          <w:sz w:val="24"/>
          <w:szCs w:val="24"/>
        </w:rPr>
      </w:pPr>
      <w:r w:rsidRPr="00A873B0">
        <w:rPr>
          <w:rFonts w:ascii="Arial Narrow" w:hAnsi="Arial Narrow"/>
          <w:sz w:val="24"/>
          <w:szCs w:val="24"/>
        </w:rPr>
        <w:t>MPRV SR doteraz príslušné kompetencie cenového orgánu neaplikovalo a nevykonávalo zásahy do</w:t>
      </w:r>
      <w:r w:rsidR="0067192A">
        <w:rPr>
          <w:rFonts w:ascii="Arial Narrow" w:hAnsi="Arial Narrow"/>
          <w:sz w:val="24"/>
          <w:szCs w:val="24"/>
        </w:rPr>
        <w:t> </w:t>
      </w:r>
      <w:r w:rsidRPr="00A873B0">
        <w:rPr>
          <w:rFonts w:ascii="Arial Narrow" w:hAnsi="Arial Narrow"/>
          <w:sz w:val="24"/>
          <w:szCs w:val="24"/>
        </w:rPr>
        <w:t>usmerňovania cien jednotlivých poľnohospodárskych komodít a potravín. Cenové informácie nezískava MPRV SR priamo, nestanovuje rozsah cenovej evidencie, avšak analyzuje inflačný vývoj a</w:t>
      </w:r>
      <w:r w:rsidR="0067192A">
        <w:rPr>
          <w:rFonts w:ascii="Arial Narrow" w:hAnsi="Arial Narrow"/>
          <w:sz w:val="24"/>
          <w:szCs w:val="24"/>
        </w:rPr>
        <w:t> </w:t>
      </w:r>
      <w:r w:rsidRPr="00A873B0">
        <w:rPr>
          <w:rFonts w:ascii="Arial Narrow" w:hAnsi="Arial Narrow"/>
          <w:sz w:val="24"/>
          <w:szCs w:val="24"/>
        </w:rPr>
        <w:t>aktuálne ceny potravín na Slovensku a monitoruje vývoj cien potravín v dlhodobejšom horizonte, pričom využíva údaje získané prostredníctvom rezortných výkazov o štatistickom zisťovaní ŠÚ SR, rezortné výkazy Pôdohospodárskej platobnej agentúry – ATIS a údajov z Eurostat-u, ktoré boli doteraz v</w:t>
      </w:r>
      <w:r w:rsidR="0067192A">
        <w:rPr>
          <w:rFonts w:ascii="Arial Narrow" w:hAnsi="Arial Narrow"/>
          <w:sz w:val="24"/>
          <w:szCs w:val="24"/>
        </w:rPr>
        <w:t> </w:t>
      </w:r>
      <w:r w:rsidRPr="00A873B0">
        <w:rPr>
          <w:rFonts w:ascii="Arial Narrow" w:hAnsi="Arial Narrow"/>
          <w:sz w:val="24"/>
          <w:szCs w:val="24"/>
        </w:rPr>
        <w:t>dostatočnom rozsahu a štruktúre a boli zároveň dostupné aj za predchádzajúce obdobia.</w:t>
      </w:r>
    </w:p>
    <w:p w14:paraId="3E4CFA00" w14:textId="77777777" w:rsidR="00A873B0" w:rsidRPr="00A873B0" w:rsidRDefault="00A873B0" w:rsidP="00947BF3">
      <w:pPr>
        <w:spacing w:after="240"/>
        <w:jc w:val="both"/>
        <w:rPr>
          <w:rFonts w:ascii="Arial Narrow" w:hAnsi="Arial Narrow"/>
          <w:sz w:val="24"/>
          <w:szCs w:val="24"/>
        </w:rPr>
      </w:pPr>
      <w:r w:rsidRPr="00A873B0">
        <w:rPr>
          <w:rFonts w:ascii="Arial Narrow" w:hAnsi="Arial Narrow"/>
          <w:sz w:val="24"/>
          <w:szCs w:val="24"/>
        </w:rPr>
        <w:t>Cieľom analýz inflačného a cenového vývoja základných druhov potravín je zistenie existencie mimoriadnej trhovej situácie s priamym vplyvom na ceny základných potravín na tuzemskom trhu ohrozujúcim cenovú stabilitu alebo dostupnosť základných potravín.</w:t>
      </w:r>
    </w:p>
    <w:p w14:paraId="195E47D1" w14:textId="77777777" w:rsidR="00A873B0" w:rsidRPr="00A873B0" w:rsidRDefault="00A873B0" w:rsidP="00947BF3">
      <w:pPr>
        <w:spacing w:after="240"/>
        <w:jc w:val="both"/>
        <w:rPr>
          <w:rFonts w:ascii="Arial Narrow" w:hAnsi="Arial Narrow"/>
          <w:sz w:val="24"/>
          <w:szCs w:val="24"/>
        </w:rPr>
      </w:pPr>
      <w:r w:rsidRPr="00A873B0">
        <w:rPr>
          <w:rFonts w:ascii="Arial Narrow" w:hAnsi="Arial Narrow"/>
          <w:sz w:val="24"/>
          <w:szCs w:val="24"/>
        </w:rPr>
        <w:t xml:space="preserve">Výsledky a závery detailných analýz preukázali, že nie je ohrozená dostupnosť a spotreba základných potravín a súčasná cenová politika korešpondujúca s pravidlami Európskej únie si nevyžaduje zásadné zmeny.  </w:t>
      </w:r>
    </w:p>
    <w:p w14:paraId="05B55E24" w14:textId="68F3FEED" w:rsidR="00A873B0" w:rsidRPr="00A873B0" w:rsidRDefault="00A873B0" w:rsidP="00947BF3">
      <w:pPr>
        <w:spacing w:after="240"/>
        <w:jc w:val="both"/>
        <w:rPr>
          <w:rFonts w:ascii="Arial Narrow" w:hAnsi="Arial Narrow"/>
          <w:sz w:val="24"/>
          <w:szCs w:val="24"/>
        </w:rPr>
      </w:pPr>
      <w:r w:rsidRPr="00A873B0">
        <w:rPr>
          <w:rFonts w:ascii="Arial Narrow" w:hAnsi="Arial Narrow"/>
          <w:sz w:val="24"/>
          <w:szCs w:val="24"/>
        </w:rPr>
        <w:t>Na základe uznesenia vlády SR č. 575 zo dňa 02. novembra 2023 k analýze cenového vývoja základných druhov potravín MPRV SR spolupracuje s ostatnými cenovými orgánmi a výsledkom je spracovávanie analýz na štvrťročnej báze, ktorú ministerstvo financií predkladá na rokovania vlády SR. Následne vláda SR na základe analýzy a návrhov opatrení, prijala uznesenie č. 732 zo dňa 20. decembra 2023 a MPRV SR v spolupráci s ministerstvom financií a SOI dôsledne sledujú a vyhodnocujú vývoj cien potravín a</w:t>
      </w:r>
      <w:r w:rsidR="0067192A">
        <w:rPr>
          <w:rFonts w:ascii="Arial Narrow" w:hAnsi="Arial Narrow"/>
          <w:sz w:val="24"/>
          <w:szCs w:val="24"/>
        </w:rPr>
        <w:t> </w:t>
      </w:r>
      <w:r w:rsidRPr="00A873B0">
        <w:rPr>
          <w:rFonts w:ascii="Arial Narrow" w:hAnsi="Arial Narrow"/>
          <w:sz w:val="24"/>
          <w:szCs w:val="24"/>
        </w:rPr>
        <w:t>navrhujú účinné opatrenia. Výsledkom bude príprava analýzy cien potravín a marží v celej potravinovej vertikále s návrhom takých konkrétnych opatrení, s využitím zákonných nástrojov, ktoré by mohli prispieť k riešeniu vývoja v oblasti cien potravín.</w:t>
      </w:r>
    </w:p>
    <w:p w14:paraId="22233581" w14:textId="77777777" w:rsidR="00A873B0" w:rsidRPr="00A873B0" w:rsidRDefault="00A873B0" w:rsidP="00947BF3">
      <w:pPr>
        <w:spacing w:after="240"/>
        <w:jc w:val="both"/>
        <w:rPr>
          <w:rFonts w:ascii="Arial Narrow" w:hAnsi="Arial Narrow"/>
          <w:sz w:val="24"/>
          <w:szCs w:val="24"/>
        </w:rPr>
      </w:pPr>
      <w:r w:rsidRPr="00A873B0">
        <w:rPr>
          <w:rFonts w:ascii="Arial Narrow" w:hAnsi="Arial Narrow"/>
          <w:sz w:val="24"/>
          <w:szCs w:val="24"/>
        </w:rPr>
        <w:t>MPRV SR podporuje zvýšenie hospodárskej súťaže a konkurenčného prostredia v celej potravinovej vertikále,  od  výroby cez distribúciu až po predaj potravín na Slovensku, čím sa snaží vytvárať tlak na potláčanie vysokej miery inflácie a cien potravín. Rovnako však MPRV SR bude dbať na dodržiavanie zákona č. 108/2024 Z. z., o ochrane spotrebiteľa a o zmene a doplnení niektorých zákonov, princípov ochrany hospodárskej súťaže a zmluvy o fungovaní Európskej únie.</w:t>
      </w:r>
    </w:p>
    <w:p w14:paraId="105E8180" w14:textId="77777777" w:rsidR="00A873B0" w:rsidRPr="005779C4" w:rsidRDefault="00A873B0" w:rsidP="00947BF3">
      <w:pPr>
        <w:tabs>
          <w:tab w:val="left" w:pos="2694"/>
        </w:tabs>
        <w:spacing w:after="240"/>
        <w:rPr>
          <w:rFonts w:ascii="Arial Narrow" w:eastAsia="Times New Roman" w:hAnsi="Arial Narrow"/>
          <w:b/>
          <w:bCs/>
          <w:color w:val="000000" w:themeColor="text1"/>
          <w:sz w:val="24"/>
          <w:szCs w:val="24"/>
        </w:rPr>
      </w:pPr>
      <w:r w:rsidRPr="005779C4">
        <w:rPr>
          <w:rFonts w:ascii="Arial Narrow" w:eastAsia="Times New Roman" w:hAnsi="Arial Narrow"/>
          <w:b/>
          <w:bCs/>
          <w:color w:val="000000" w:themeColor="text1"/>
          <w:sz w:val="24"/>
          <w:szCs w:val="24"/>
        </w:rPr>
        <w:t xml:space="preserve">Vyšší územný celok </w:t>
      </w:r>
    </w:p>
    <w:p w14:paraId="120A3290" w14:textId="487128FB" w:rsidR="00A873B0" w:rsidRPr="00A873B0" w:rsidRDefault="00A873B0" w:rsidP="00947BF3">
      <w:pPr>
        <w:spacing w:after="240"/>
        <w:jc w:val="both"/>
        <w:rPr>
          <w:rFonts w:ascii="Arial Narrow" w:hAnsi="Arial Narrow"/>
          <w:sz w:val="24"/>
          <w:szCs w:val="24"/>
        </w:rPr>
      </w:pPr>
      <w:r w:rsidRPr="00A873B0">
        <w:rPr>
          <w:rFonts w:ascii="Arial Narrow" w:hAnsi="Arial Narrow"/>
          <w:sz w:val="24"/>
          <w:szCs w:val="24"/>
        </w:rPr>
        <w:t>VÚC, ktoré sa cenovým orgánom podľa zákona o cenách stali od 1. januára 2004  a pozitívne vnímajú rozšírenie svojich kompetencií prostredníctvom Opatrenia Ministerstva financií Slovenskej republiky z</w:t>
      </w:r>
      <w:r w:rsidR="0067192A">
        <w:rPr>
          <w:rFonts w:ascii="Arial Narrow" w:hAnsi="Arial Narrow"/>
          <w:sz w:val="24"/>
          <w:szCs w:val="24"/>
        </w:rPr>
        <w:t> </w:t>
      </w:r>
      <w:r w:rsidRPr="00A873B0">
        <w:rPr>
          <w:rFonts w:ascii="Arial Narrow" w:hAnsi="Arial Narrow"/>
          <w:sz w:val="24"/>
          <w:szCs w:val="24"/>
        </w:rPr>
        <w:t>9.</w:t>
      </w:r>
      <w:r w:rsidR="0067192A">
        <w:rPr>
          <w:rFonts w:ascii="Arial Narrow" w:hAnsi="Arial Narrow"/>
          <w:sz w:val="24"/>
          <w:szCs w:val="24"/>
        </w:rPr>
        <w:t> </w:t>
      </w:r>
      <w:r w:rsidRPr="00A873B0">
        <w:rPr>
          <w:rFonts w:ascii="Arial Narrow" w:hAnsi="Arial Narrow"/>
          <w:sz w:val="24"/>
          <w:szCs w:val="24"/>
        </w:rPr>
        <w:t>decembra 2003 č. 01/R/2003, ktorým sa ustanovuje rozsah regulácie cien v pôsobnosti Ministerstva financií Slovenskej republiky (oznámenie č. 566/2003 Z. z.) v znení neskorších predpisov o možnosť regulovať služby autobusových staníc poskytovaných dopravcom z dôvodu vysokého rastu cien vstupov a parkovania na jednotlivých autobusových staniciach, čím sa zabráni nekontrolovateľnému odlivu financií za služby vo verejnom záujme v prímestskej pravidelnej autobusovej doprave z rozpočtov objednávateľov, ktorými sú VÚC. Nová kompetencia v prílohe č.8 položka č.1 opatrenia č. 01/R/2023 so</w:t>
      </w:r>
      <w:r w:rsidR="0067192A">
        <w:rPr>
          <w:rFonts w:ascii="Arial Narrow" w:hAnsi="Arial Narrow"/>
          <w:sz w:val="24"/>
          <w:szCs w:val="24"/>
        </w:rPr>
        <w:t> </w:t>
      </w:r>
      <w:r w:rsidRPr="00A873B0">
        <w:rPr>
          <w:rFonts w:ascii="Arial Narrow" w:hAnsi="Arial Narrow"/>
          <w:sz w:val="24"/>
          <w:szCs w:val="24"/>
        </w:rPr>
        <w:t>znením ,,Služby autobusových staníc len služby poskytované pre dopravcov“ nadobudla účinnosť od</w:t>
      </w:r>
      <w:r w:rsidR="0067192A">
        <w:rPr>
          <w:rFonts w:ascii="Arial Narrow" w:hAnsi="Arial Narrow"/>
          <w:sz w:val="24"/>
          <w:szCs w:val="24"/>
        </w:rPr>
        <w:t> </w:t>
      </w:r>
      <w:r w:rsidRPr="00A873B0">
        <w:rPr>
          <w:rFonts w:ascii="Arial Narrow" w:hAnsi="Arial Narrow"/>
          <w:sz w:val="24"/>
          <w:szCs w:val="24"/>
        </w:rPr>
        <w:t>1.</w:t>
      </w:r>
      <w:r w:rsidR="0067192A">
        <w:rPr>
          <w:rFonts w:ascii="Arial Narrow" w:hAnsi="Arial Narrow"/>
          <w:sz w:val="24"/>
          <w:szCs w:val="24"/>
        </w:rPr>
        <w:t> </w:t>
      </w:r>
      <w:r w:rsidRPr="00A873B0">
        <w:rPr>
          <w:rFonts w:ascii="Arial Narrow" w:hAnsi="Arial Narrow"/>
          <w:sz w:val="24"/>
          <w:szCs w:val="24"/>
        </w:rPr>
        <w:t>júla 2024.</w:t>
      </w:r>
    </w:p>
    <w:p w14:paraId="431C37C3" w14:textId="77777777" w:rsidR="00D6754C" w:rsidRDefault="00A873B0" w:rsidP="00947BF3">
      <w:pPr>
        <w:spacing w:after="240"/>
        <w:jc w:val="both"/>
        <w:rPr>
          <w:rFonts w:ascii="Arial Narrow" w:hAnsi="Arial Narrow"/>
          <w:sz w:val="24"/>
          <w:szCs w:val="24"/>
        </w:rPr>
      </w:pPr>
      <w:r w:rsidRPr="00A873B0">
        <w:rPr>
          <w:rFonts w:ascii="Arial Narrow" w:hAnsi="Arial Narrow"/>
          <w:sz w:val="24"/>
          <w:szCs w:val="24"/>
        </w:rPr>
        <w:t>Medzi kompetencie VÚC v oblasti cien patrí:</w:t>
      </w:r>
    </w:p>
    <w:p w14:paraId="6E6CAE45" w14:textId="3E7B8EB2" w:rsidR="00D6754C" w:rsidRDefault="00A873B0" w:rsidP="00947BF3">
      <w:pPr>
        <w:pStyle w:val="Odsekzoznamu"/>
        <w:numPr>
          <w:ilvl w:val="0"/>
          <w:numId w:val="8"/>
        </w:numPr>
        <w:ind w:left="392"/>
        <w:jc w:val="both"/>
        <w:rPr>
          <w:rFonts w:ascii="Arial Narrow" w:hAnsi="Arial Narrow"/>
          <w:sz w:val="24"/>
          <w:szCs w:val="24"/>
        </w:rPr>
      </w:pPr>
      <w:r w:rsidRPr="00A873B0">
        <w:rPr>
          <w:rFonts w:ascii="Arial Narrow" w:hAnsi="Arial Narrow"/>
          <w:sz w:val="24"/>
          <w:szCs w:val="24"/>
        </w:rPr>
        <w:t>cenová regulácia tovarov miestneho významu v rozsahu ustanovenom ministerstvom financií. Na</w:t>
      </w:r>
      <w:r w:rsidR="0067192A">
        <w:rPr>
          <w:rFonts w:ascii="Arial Narrow" w:hAnsi="Arial Narrow"/>
          <w:sz w:val="24"/>
          <w:szCs w:val="24"/>
        </w:rPr>
        <w:t> </w:t>
      </w:r>
      <w:r w:rsidRPr="00A873B0">
        <w:rPr>
          <w:rFonts w:ascii="Arial Narrow" w:hAnsi="Arial Narrow"/>
          <w:sz w:val="24"/>
          <w:szCs w:val="24"/>
        </w:rPr>
        <w:t>tieto rozhodnutia sa nevzťahujú všeobecné predpisy o správnom konaní a nepodliehajú preskúmavaniu správnym súdom. Sú uverejňované na ich webovom sídle.</w:t>
      </w:r>
    </w:p>
    <w:p w14:paraId="337EF006" w14:textId="0E9759C8" w:rsidR="00A873B0" w:rsidRPr="0067192A" w:rsidRDefault="00A873B0" w:rsidP="00947BF3">
      <w:pPr>
        <w:pStyle w:val="Odsekzoznamu"/>
        <w:numPr>
          <w:ilvl w:val="0"/>
          <w:numId w:val="8"/>
        </w:numPr>
        <w:spacing w:after="240"/>
        <w:ind w:left="392"/>
        <w:jc w:val="both"/>
        <w:rPr>
          <w:rFonts w:ascii="Arial Narrow" w:hAnsi="Arial Narrow"/>
          <w:sz w:val="24"/>
          <w:szCs w:val="24"/>
        </w:rPr>
      </w:pPr>
      <w:r w:rsidRPr="00D6754C">
        <w:rPr>
          <w:rFonts w:ascii="Arial Narrow" w:hAnsi="Arial Narrow"/>
          <w:sz w:val="24"/>
          <w:szCs w:val="24"/>
        </w:rPr>
        <w:t>cenová kontrola a konania vo veciach porušenia cenovej disciplíny, ak k porušeniu zákona o cenách došlo v územnom obvode daného VÚC právnickými osobami a  fyzickými osobami, alebo ak ide o</w:t>
      </w:r>
      <w:r w:rsidR="0067192A">
        <w:rPr>
          <w:rFonts w:ascii="Arial Narrow" w:hAnsi="Arial Narrow"/>
          <w:sz w:val="24"/>
          <w:szCs w:val="24"/>
        </w:rPr>
        <w:t> </w:t>
      </w:r>
      <w:r w:rsidRPr="00D6754C">
        <w:rPr>
          <w:rFonts w:ascii="Arial Narrow" w:hAnsi="Arial Narrow"/>
          <w:sz w:val="24"/>
          <w:szCs w:val="24"/>
        </w:rPr>
        <w:t>jeho rozhodnutia o regulácii cien. Na rozhodnutia o porušení cenovej disciplíny sa vzťahujú všeobecné predpisy o správnom konaní. Odvolacím orgánom je ministerstvo financií. Tieto rozhodnutia podliehajú preskúmavaniu správnym súdom.</w:t>
      </w:r>
    </w:p>
    <w:p w14:paraId="4C19A486" w14:textId="6889B430" w:rsidR="001D298A" w:rsidRDefault="00A873B0" w:rsidP="00E0458F">
      <w:pPr>
        <w:spacing w:after="240"/>
        <w:jc w:val="both"/>
        <w:rPr>
          <w:rFonts w:ascii="Arial Narrow" w:eastAsia="Times New Roman" w:hAnsi="Arial Narrow"/>
          <w:b/>
          <w:bCs/>
          <w:color w:val="000000" w:themeColor="text1"/>
          <w:sz w:val="28"/>
          <w:szCs w:val="28"/>
        </w:rPr>
      </w:pPr>
      <w:r w:rsidRPr="00A873B0">
        <w:rPr>
          <w:rFonts w:ascii="Arial Narrow" w:hAnsi="Arial Narrow"/>
          <w:sz w:val="24"/>
          <w:szCs w:val="24"/>
        </w:rPr>
        <w:t>VÚC v rámci strategického smerovania vytvoria pracovnú skupinu v zložení zástupcov odborov financií a</w:t>
      </w:r>
      <w:r w:rsidR="0067192A">
        <w:rPr>
          <w:rFonts w:ascii="Arial Narrow" w:hAnsi="Arial Narrow"/>
          <w:sz w:val="24"/>
          <w:szCs w:val="24"/>
        </w:rPr>
        <w:t> </w:t>
      </w:r>
      <w:r w:rsidRPr="00A873B0">
        <w:rPr>
          <w:rFonts w:ascii="Arial Narrow" w:hAnsi="Arial Narrow"/>
          <w:sz w:val="24"/>
          <w:szCs w:val="24"/>
        </w:rPr>
        <w:t>odborov dopravy jednotlivých VÚC, ktorá bude mať za cieľ pripraviť jednotnú koncepciu regulácie služieb autobusových staníc poskytovaných pre dopravcov zabezpečujúcich služby vo verejnom záujme v pravidelnej prímestskej autobusovej doprave, t. j. rovnaké pravidlá pre posudzovanie ekonomicky oprávnených nákladov, vrátane primeraného zisku. Zároveň úzka spolupráca VÚC pomôže udržať zdravé verejné financie.</w:t>
      </w:r>
    </w:p>
    <w:p w14:paraId="647256E7" w14:textId="43CCDCF1" w:rsidR="00A873B0" w:rsidRPr="005779C4" w:rsidRDefault="00A873B0" w:rsidP="00947BF3">
      <w:pPr>
        <w:tabs>
          <w:tab w:val="left" w:pos="2694"/>
        </w:tabs>
        <w:spacing w:after="240"/>
        <w:rPr>
          <w:rFonts w:ascii="Arial Narrow" w:eastAsia="Times New Roman" w:hAnsi="Arial Narrow"/>
          <w:b/>
          <w:bCs/>
          <w:color w:val="000000" w:themeColor="text1"/>
          <w:sz w:val="24"/>
          <w:szCs w:val="24"/>
        </w:rPr>
      </w:pPr>
      <w:r w:rsidRPr="005779C4">
        <w:rPr>
          <w:rFonts w:ascii="Arial Narrow" w:eastAsia="Times New Roman" w:hAnsi="Arial Narrow"/>
          <w:b/>
          <w:bCs/>
          <w:color w:val="000000" w:themeColor="text1"/>
          <w:sz w:val="24"/>
          <w:szCs w:val="24"/>
        </w:rPr>
        <w:t>Úrad vládneho auditu</w:t>
      </w:r>
    </w:p>
    <w:p w14:paraId="7C2CB8EA" w14:textId="46CB41FF" w:rsidR="00A873B0" w:rsidRPr="00A873B0" w:rsidRDefault="00A873B0" w:rsidP="00947BF3">
      <w:pPr>
        <w:spacing w:after="240"/>
        <w:jc w:val="both"/>
        <w:rPr>
          <w:rFonts w:ascii="Arial Narrow" w:hAnsi="Arial Narrow"/>
          <w:sz w:val="24"/>
          <w:szCs w:val="24"/>
        </w:rPr>
      </w:pPr>
      <w:r w:rsidRPr="00A873B0">
        <w:rPr>
          <w:rFonts w:ascii="Arial Narrow" w:hAnsi="Arial Narrow"/>
          <w:sz w:val="24"/>
          <w:szCs w:val="24"/>
        </w:rPr>
        <w:t>Úrad vládneho auditu (,,ďalej len ÚVA“) podľa § 20 ods. 1 písm. h) zákona o cenách je jedným z cenových orgánov. Podľa ustanovenia § 20 ods. 11 uvedeného zákona má ÚVA pôsobnosť v oblasti cenovej kontroly v rozsahu ustanovenom ministerstvom financií, čo v praxi znamená, že poveruje ÚVA v zmysle § 20 ods. 2 písm. j) výkonom cenovej kontroly.</w:t>
      </w:r>
    </w:p>
    <w:p w14:paraId="5ABEF2CD" w14:textId="77777777" w:rsidR="00A873B0" w:rsidRPr="00A873B0" w:rsidRDefault="00A873B0" w:rsidP="00947BF3">
      <w:pPr>
        <w:spacing w:after="240"/>
        <w:jc w:val="both"/>
        <w:rPr>
          <w:rFonts w:ascii="Arial Narrow" w:hAnsi="Arial Narrow"/>
          <w:sz w:val="24"/>
          <w:szCs w:val="24"/>
        </w:rPr>
      </w:pPr>
      <w:r w:rsidRPr="00A873B0">
        <w:rPr>
          <w:rFonts w:ascii="Arial Narrow" w:hAnsi="Arial Narrow"/>
          <w:sz w:val="24"/>
          <w:szCs w:val="24"/>
        </w:rPr>
        <w:t>Základnými a nosnými kompetenciami ÚVA je výkon vládneho auditu verejných prostriedkov štátneho rozpočtu, Európskej únie a iných prostriedkov zo zahraničia poskytnutých na základe medzinárodných zmlúv, ukladanie a vymáhanie sankcií za porušenie finančnej disciplíny. Cenová kontrola je v poslednom období vykonávaná sporadicky na základe podnetov. V súčasnosti s prihliadnutím na vývoj cenovej hladiny ÚVA nenavrhuje legislatívne zmeny týkajúce sa kompetencií a pôsobnosti ÚVA v oblasti cenovej kontroly.</w:t>
      </w:r>
    </w:p>
    <w:p w14:paraId="160A7D81" w14:textId="2544D0CF" w:rsidR="00A873B0" w:rsidRPr="005779C4" w:rsidRDefault="00A873B0" w:rsidP="00947BF3">
      <w:pPr>
        <w:tabs>
          <w:tab w:val="left" w:pos="2694"/>
        </w:tabs>
        <w:spacing w:after="240"/>
        <w:rPr>
          <w:rFonts w:ascii="Arial Narrow" w:eastAsia="Times New Roman" w:hAnsi="Arial Narrow"/>
          <w:b/>
          <w:bCs/>
          <w:color w:val="000000" w:themeColor="text1"/>
          <w:sz w:val="24"/>
          <w:szCs w:val="24"/>
        </w:rPr>
      </w:pPr>
      <w:r w:rsidRPr="005779C4">
        <w:rPr>
          <w:rFonts w:ascii="Arial Narrow" w:eastAsia="Times New Roman" w:hAnsi="Arial Narrow"/>
          <w:b/>
          <w:bCs/>
          <w:color w:val="000000" w:themeColor="text1"/>
          <w:sz w:val="24"/>
          <w:szCs w:val="24"/>
        </w:rPr>
        <w:t>Slovenská obchodná inšpekcia</w:t>
      </w:r>
    </w:p>
    <w:p w14:paraId="2B7D6D38" w14:textId="03AB439F" w:rsidR="00A873B0" w:rsidRPr="00A873B0" w:rsidRDefault="00A873B0" w:rsidP="00947BF3">
      <w:pPr>
        <w:spacing w:after="240"/>
        <w:jc w:val="both"/>
        <w:rPr>
          <w:rFonts w:ascii="Arial Narrow" w:hAnsi="Arial Narrow"/>
          <w:sz w:val="24"/>
          <w:szCs w:val="24"/>
        </w:rPr>
      </w:pPr>
      <w:r w:rsidRPr="00A873B0">
        <w:rPr>
          <w:rFonts w:ascii="Arial Narrow" w:hAnsi="Arial Narrow"/>
          <w:sz w:val="24"/>
          <w:szCs w:val="24"/>
        </w:rPr>
        <w:t>SOI podľa § 20 ods. 1 písm. i) zákona o cenách má postavenie cenového orgánu. V prípade konania o</w:t>
      </w:r>
      <w:r w:rsidR="0067192A">
        <w:rPr>
          <w:rFonts w:ascii="Arial Narrow" w:hAnsi="Arial Narrow"/>
          <w:sz w:val="24"/>
          <w:szCs w:val="24"/>
        </w:rPr>
        <w:t> </w:t>
      </w:r>
      <w:r w:rsidRPr="00A873B0">
        <w:rPr>
          <w:rFonts w:ascii="Arial Narrow" w:hAnsi="Arial Narrow"/>
          <w:sz w:val="24"/>
          <w:szCs w:val="24"/>
        </w:rPr>
        <w:t xml:space="preserve">porušení cenovej disciplíny je však druhostupňovým orgánom ministerstvo financií. </w:t>
      </w:r>
    </w:p>
    <w:p w14:paraId="29C80533" w14:textId="77777777" w:rsidR="00A873B0" w:rsidRPr="00A873B0" w:rsidRDefault="00A873B0" w:rsidP="00947BF3">
      <w:pPr>
        <w:spacing w:after="240"/>
        <w:jc w:val="both"/>
        <w:rPr>
          <w:rFonts w:ascii="Arial Narrow" w:hAnsi="Arial Narrow"/>
          <w:sz w:val="24"/>
          <w:szCs w:val="24"/>
        </w:rPr>
      </w:pPr>
      <w:r w:rsidRPr="00A873B0">
        <w:rPr>
          <w:rFonts w:ascii="Arial Narrow" w:hAnsi="Arial Narrow"/>
          <w:sz w:val="24"/>
          <w:szCs w:val="24"/>
        </w:rPr>
        <w:t>V súvislosti s výkonom cenovej kontroly SOI v oblasti maloobchodného predaja tovaru kupujúcemu spolupracuje s cenovými orgánmi, najmä sa podieľa na vypracovaní a uskutočňovaní koncepcie cenovej politiky, predkladá podnety na zlepšovanie právnej úpravy v oblasti opatrení na zamedzenie nežiadúceho cenového vývoja a cenovej kontroly a podáva návrhy na zdokonaľovanie informačného systému vedeného ministerstvom financií.</w:t>
      </w:r>
    </w:p>
    <w:p w14:paraId="51E366B1" w14:textId="73EB3BF4" w:rsidR="00A873B0" w:rsidRPr="00A873B0" w:rsidRDefault="00A873B0" w:rsidP="00947BF3">
      <w:pPr>
        <w:spacing w:after="240"/>
        <w:jc w:val="both"/>
        <w:rPr>
          <w:rFonts w:ascii="Arial Narrow" w:hAnsi="Arial Narrow"/>
          <w:sz w:val="24"/>
          <w:szCs w:val="24"/>
        </w:rPr>
      </w:pPr>
      <w:r w:rsidRPr="00A873B0">
        <w:rPr>
          <w:rFonts w:ascii="Arial Narrow" w:hAnsi="Arial Narrow"/>
          <w:sz w:val="24"/>
          <w:szCs w:val="24"/>
        </w:rPr>
        <w:t>Súčasný legislatívny rámec, je pružný a dostatočný na okamžitú reakciu štátu na prípadné meniace sa podmienky trhu. Po sformovaní jednotnej cenovej politiky a nazhromaždení dostatočného množstva údajov za dlhšie časové obdobie sa vytvoria podmienky na skoré odhalenie prípadných výkyvov v</w:t>
      </w:r>
      <w:r w:rsidR="0067192A">
        <w:rPr>
          <w:rFonts w:ascii="Arial Narrow" w:hAnsi="Arial Narrow"/>
          <w:sz w:val="24"/>
          <w:szCs w:val="24"/>
        </w:rPr>
        <w:t> </w:t>
      </w:r>
      <w:r w:rsidRPr="00A873B0">
        <w:rPr>
          <w:rFonts w:ascii="Arial Narrow" w:hAnsi="Arial Narrow"/>
          <w:sz w:val="24"/>
          <w:szCs w:val="24"/>
        </w:rPr>
        <w:t>správaní sa sledovaných subjektov na trhu. Výkon cenovej kontroly vo forme cenových vývojov je tým nástrojom, ktorý bude mať na trh pozitívny efekt, neskôr aj merateľný.</w:t>
      </w:r>
    </w:p>
    <w:p w14:paraId="1B562BC6" w14:textId="0B58CD03" w:rsidR="00A873B0" w:rsidRPr="00A873B0" w:rsidRDefault="00A873B0" w:rsidP="00947BF3">
      <w:pPr>
        <w:spacing w:after="240"/>
        <w:jc w:val="both"/>
        <w:rPr>
          <w:rFonts w:ascii="Arial Narrow" w:hAnsi="Arial Narrow"/>
          <w:sz w:val="24"/>
          <w:szCs w:val="24"/>
        </w:rPr>
      </w:pPr>
      <w:r w:rsidRPr="00A873B0">
        <w:rPr>
          <w:rFonts w:ascii="Arial Narrow" w:hAnsi="Arial Narrow"/>
          <w:sz w:val="24"/>
          <w:szCs w:val="24"/>
        </w:rPr>
        <w:t>Cieľom cenovej kontroly potravín je ochrana spotrebiteľov pred neprimerane vysokými cenami, zabezpečenie dostupnosti potravín, podpora hospodárskej súťaže a stabilita cien. Cenová kontrola je</w:t>
      </w:r>
      <w:r w:rsidR="0067192A">
        <w:rPr>
          <w:rFonts w:ascii="Arial Narrow" w:hAnsi="Arial Narrow"/>
          <w:sz w:val="24"/>
          <w:szCs w:val="24"/>
        </w:rPr>
        <w:t> </w:t>
      </w:r>
      <w:r w:rsidRPr="00A873B0">
        <w:rPr>
          <w:rFonts w:ascii="Arial Narrow" w:hAnsi="Arial Narrow"/>
          <w:sz w:val="24"/>
          <w:szCs w:val="24"/>
        </w:rPr>
        <w:t>cielená a zameraná na najproblematickejšie oblasti trhu.</w:t>
      </w:r>
    </w:p>
    <w:p w14:paraId="53DA1542" w14:textId="6C7CC648" w:rsidR="00A873B0" w:rsidRPr="00A873B0" w:rsidRDefault="00A873B0" w:rsidP="00947BF3">
      <w:pPr>
        <w:spacing w:after="240"/>
        <w:jc w:val="both"/>
        <w:rPr>
          <w:rFonts w:ascii="Arial Narrow" w:hAnsi="Arial Narrow"/>
          <w:sz w:val="24"/>
          <w:szCs w:val="24"/>
        </w:rPr>
      </w:pPr>
      <w:r w:rsidRPr="00A873B0">
        <w:rPr>
          <w:rFonts w:ascii="Arial Narrow" w:hAnsi="Arial Narrow"/>
          <w:sz w:val="24"/>
          <w:szCs w:val="24"/>
        </w:rPr>
        <w:t>SOI je pripravená, po spracovaní prvotných dát z roku 2024, v budúcnosti prispôsobiť svoje aktivity o zber analytických dát o vývoji cien potravín rozšírením sledovaného koša potravín v rámci jednotlivých tovarových skupín. Takýto postup je využiteľný aj v prípade zmeny daňových predpisov, sledovaním ich efektu v maloobchode, gastro</w:t>
      </w:r>
      <w:r w:rsidR="00617781">
        <w:rPr>
          <w:rFonts w:ascii="Arial Narrow" w:hAnsi="Arial Narrow"/>
          <w:sz w:val="24"/>
          <w:szCs w:val="24"/>
        </w:rPr>
        <w:t xml:space="preserve"> </w:t>
      </w:r>
      <w:r w:rsidRPr="00A873B0">
        <w:rPr>
          <w:rFonts w:ascii="Arial Narrow" w:hAnsi="Arial Narrow"/>
          <w:sz w:val="24"/>
          <w:szCs w:val="24"/>
        </w:rPr>
        <w:t xml:space="preserve">sektore, či v iných sektoroch trhu. Za účelom plnenia týchto špecifických požiadaviek v oblasti cenovej politiky SOI zriadila špecializovaný organizačný útvar pre cenové kontroly vrátane analytického tímu, ktorého úlohou bude komplexné vyhodnocovanie získaných cenových informácii.  </w:t>
      </w:r>
    </w:p>
    <w:p w14:paraId="564C3D2E" w14:textId="77777777" w:rsidR="00A873B0" w:rsidRPr="00A873B0" w:rsidRDefault="00A873B0" w:rsidP="00947BF3">
      <w:pPr>
        <w:spacing w:after="240"/>
        <w:jc w:val="both"/>
        <w:rPr>
          <w:rFonts w:ascii="Arial Narrow" w:hAnsi="Arial Narrow"/>
          <w:sz w:val="24"/>
          <w:szCs w:val="24"/>
        </w:rPr>
      </w:pPr>
      <w:r w:rsidRPr="00A873B0">
        <w:rPr>
          <w:rFonts w:ascii="Arial Narrow" w:hAnsi="Arial Narrow"/>
          <w:sz w:val="24"/>
          <w:szCs w:val="24"/>
        </w:rPr>
        <w:t xml:space="preserve">Vláda SR sa vo svojom Programovom vyhlásení na roky 2023 – 2027 zaviazala k posilneniu cenových orgánov. Toto posilnenie je nevyhnutné vzhľadom na významný vplyv vývoja cien na životnú úroveň, sociálny a ekonomický rozvoj. </w:t>
      </w:r>
    </w:p>
    <w:p w14:paraId="06136589" w14:textId="334C1DBF" w:rsidR="00A873B0" w:rsidRPr="00A873B0" w:rsidRDefault="00A873B0" w:rsidP="00947BF3">
      <w:pPr>
        <w:spacing w:after="240"/>
        <w:jc w:val="both"/>
        <w:rPr>
          <w:rFonts w:ascii="Arial Narrow" w:hAnsi="Arial Narrow"/>
          <w:sz w:val="24"/>
          <w:szCs w:val="24"/>
        </w:rPr>
      </w:pPr>
      <w:r w:rsidRPr="00A873B0">
        <w:rPr>
          <w:rFonts w:ascii="Arial Narrow" w:hAnsi="Arial Narrow"/>
          <w:sz w:val="24"/>
          <w:szCs w:val="24"/>
        </w:rPr>
        <w:t>Uznesenie vlády Slovenskej republiky č. 732 z 20. decembra 2023 odporúča zvážiť potrebu posilnenia cenových orgánov po personálnej, informačno-technologickej a organizačnej stránke. SOI v posledných rokoch čelí značnému nárastu kompetencií, čo však nebolo sprevádzané adekvátnym posilnením personálnych kapacít. Nedostatočné personálne kapacity SOI a materiálno-technické zabezpečenie by mohli mať negatívne dôsledky aj na plnenie úloh SOI ako cenového orgánu. Po období prechodu na euro, kedy SOI dozorovala len osminu právnych predpisov v porovnaní so súčasným stavom, si získavanie, zhromažďovanie a spracúvanie takého množstva dát vyžaduje aspoň zachovanie súčasného stavu zamestnancov a investovanie do modernizácie informačno-komunikačných technológií. SOI si plne uvedomuje stav verejných financií, preto si svoje nároky bude uplatňovať výlučne na plnenie úloh cenového orgánu.</w:t>
      </w:r>
    </w:p>
    <w:p w14:paraId="5745B817" w14:textId="3D2B5287" w:rsidR="00A873B0" w:rsidRPr="005779C4" w:rsidRDefault="00A873B0" w:rsidP="00947BF3">
      <w:pPr>
        <w:tabs>
          <w:tab w:val="left" w:pos="2694"/>
        </w:tabs>
        <w:spacing w:after="240"/>
        <w:rPr>
          <w:rFonts w:ascii="Arial Narrow" w:eastAsia="Times New Roman" w:hAnsi="Arial Narrow"/>
          <w:b/>
          <w:bCs/>
          <w:color w:val="000000" w:themeColor="text1"/>
          <w:sz w:val="24"/>
          <w:szCs w:val="24"/>
        </w:rPr>
      </w:pPr>
      <w:r w:rsidRPr="005779C4">
        <w:rPr>
          <w:rFonts w:ascii="Arial Narrow" w:eastAsia="Times New Roman" w:hAnsi="Arial Narrow"/>
          <w:b/>
          <w:bCs/>
          <w:color w:val="000000" w:themeColor="text1"/>
          <w:sz w:val="24"/>
          <w:szCs w:val="24"/>
        </w:rPr>
        <w:t>Úrad pre reguláciu sieťových odvetví</w:t>
      </w:r>
    </w:p>
    <w:p w14:paraId="2569BAF9" w14:textId="6E23D2D9" w:rsidR="00A873B0" w:rsidRPr="00A873B0" w:rsidRDefault="00A873B0" w:rsidP="00947BF3">
      <w:pPr>
        <w:spacing w:after="240"/>
        <w:jc w:val="both"/>
        <w:rPr>
          <w:rFonts w:ascii="Arial Narrow" w:hAnsi="Arial Narrow"/>
          <w:sz w:val="24"/>
          <w:szCs w:val="24"/>
        </w:rPr>
      </w:pPr>
      <w:r w:rsidRPr="00A873B0">
        <w:rPr>
          <w:rFonts w:ascii="Arial Narrow" w:hAnsi="Arial Narrow"/>
          <w:sz w:val="24"/>
          <w:szCs w:val="24"/>
        </w:rPr>
        <w:t>Úrad pre reguláciu sieťových odvetví (ďalej len „ÚRSO“) súčasný regulačný rámec vykonáva v zmysle platnej primárnej národnej legislatívy, regulačnej politiky, európskej energetickej legislatívy ním vydávaných vyhlášok. ÚRSO považuje aj v súčasnom období svoje pôsobenie za nevyhnutné vzhľadom na nemožnosť iného spôsobu eliminácie dopadu prípadných cenových šokov trhových udalostí na</w:t>
      </w:r>
      <w:r w:rsidR="0067192A">
        <w:rPr>
          <w:rFonts w:ascii="Arial Narrow" w:hAnsi="Arial Narrow"/>
          <w:sz w:val="24"/>
          <w:szCs w:val="24"/>
        </w:rPr>
        <w:t> </w:t>
      </w:r>
      <w:r w:rsidRPr="00A873B0">
        <w:rPr>
          <w:rFonts w:ascii="Arial Narrow" w:hAnsi="Arial Narrow"/>
          <w:sz w:val="24"/>
          <w:szCs w:val="24"/>
        </w:rPr>
        <w:t>zraniteľných odberateľov elektriny a plynu, ako aj eliminácie prípadných diskriminačných dopadov na</w:t>
      </w:r>
      <w:r w:rsidR="0067192A">
        <w:rPr>
          <w:rFonts w:ascii="Arial Narrow" w:hAnsi="Arial Narrow"/>
          <w:sz w:val="24"/>
          <w:szCs w:val="24"/>
        </w:rPr>
        <w:t> </w:t>
      </w:r>
      <w:r w:rsidRPr="00A873B0">
        <w:rPr>
          <w:rFonts w:ascii="Arial Narrow" w:hAnsi="Arial Narrow"/>
          <w:sz w:val="24"/>
          <w:szCs w:val="24"/>
        </w:rPr>
        <w:t xml:space="preserve">rôznych účastníkov trhu. </w:t>
      </w:r>
    </w:p>
    <w:p w14:paraId="1D6200A7" w14:textId="346A4C76" w:rsidR="00A873B0" w:rsidRPr="00A873B0" w:rsidRDefault="00A873B0" w:rsidP="00947BF3">
      <w:pPr>
        <w:spacing w:after="240"/>
        <w:jc w:val="both"/>
        <w:rPr>
          <w:rFonts w:ascii="Arial Narrow" w:hAnsi="Arial Narrow"/>
          <w:sz w:val="24"/>
          <w:szCs w:val="24"/>
        </w:rPr>
      </w:pPr>
      <w:r w:rsidRPr="00A873B0">
        <w:rPr>
          <w:rFonts w:ascii="Arial Narrow" w:hAnsi="Arial Narrow"/>
          <w:sz w:val="24"/>
          <w:szCs w:val="24"/>
        </w:rPr>
        <w:t>Rok 2023 bol význačný predovšetkým poklesom spotreby energií, resp. objemu distribúcie elektriky a</w:t>
      </w:r>
      <w:r w:rsidR="0067192A">
        <w:rPr>
          <w:rFonts w:ascii="Arial Narrow" w:hAnsi="Arial Narrow"/>
          <w:sz w:val="24"/>
          <w:szCs w:val="24"/>
        </w:rPr>
        <w:t> </w:t>
      </w:r>
      <w:r w:rsidRPr="00A873B0">
        <w:rPr>
          <w:rFonts w:ascii="Arial Narrow" w:hAnsi="Arial Narrow"/>
          <w:sz w:val="24"/>
          <w:szCs w:val="24"/>
        </w:rPr>
        <w:t>plynu, prenosu elektriky a prepravy plynu a tiež vo všetkých sektoroch, ktoré spadajú do kompetencie ÚRSO. Zároveň sa rok 2023 vyznačoval postupným poklesom trhových cien komodít v</w:t>
      </w:r>
      <w:r w:rsidR="0067192A">
        <w:rPr>
          <w:rFonts w:ascii="Arial Narrow" w:hAnsi="Arial Narrow"/>
          <w:sz w:val="24"/>
          <w:szCs w:val="24"/>
        </w:rPr>
        <w:t> </w:t>
      </w:r>
      <w:r w:rsidRPr="00A873B0">
        <w:rPr>
          <w:rFonts w:ascii="Arial Narrow" w:hAnsi="Arial Narrow"/>
          <w:sz w:val="24"/>
          <w:szCs w:val="24"/>
        </w:rPr>
        <w:t>Európe</w:t>
      </w:r>
      <w:r w:rsidR="0067192A">
        <w:rPr>
          <w:rFonts w:ascii="Arial Narrow" w:hAnsi="Arial Narrow"/>
          <w:sz w:val="24"/>
          <w:szCs w:val="24"/>
        </w:rPr>
        <w:t> </w:t>
      </w:r>
      <w:r w:rsidRPr="00A873B0">
        <w:rPr>
          <w:rFonts w:ascii="Arial Narrow" w:hAnsi="Arial Narrow"/>
          <w:sz w:val="24"/>
          <w:szCs w:val="24"/>
        </w:rPr>
        <w:t>a</w:t>
      </w:r>
      <w:r w:rsidR="0067192A">
        <w:rPr>
          <w:rFonts w:ascii="Arial Narrow" w:hAnsi="Arial Narrow"/>
          <w:sz w:val="24"/>
          <w:szCs w:val="24"/>
        </w:rPr>
        <w:t> </w:t>
      </w:r>
      <w:r w:rsidRPr="00A873B0">
        <w:rPr>
          <w:rFonts w:ascii="Arial Narrow" w:hAnsi="Arial Narrow"/>
          <w:sz w:val="24"/>
          <w:szCs w:val="24"/>
        </w:rPr>
        <w:t>na</w:t>
      </w:r>
      <w:r w:rsidR="0067192A">
        <w:rPr>
          <w:rFonts w:ascii="Arial Narrow" w:hAnsi="Arial Narrow"/>
          <w:sz w:val="24"/>
          <w:szCs w:val="24"/>
        </w:rPr>
        <w:t> </w:t>
      </w:r>
      <w:r w:rsidRPr="00A873B0">
        <w:rPr>
          <w:rFonts w:ascii="Arial Narrow" w:hAnsi="Arial Narrow"/>
          <w:sz w:val="24"/>
          <w:szCs w:val="24"/>
        </w:rPr>
        <w:t>svetových burzách pričom aj napriek klesajúcim trhovým cenám elektriky a plynu tieto nedosiahli cenové úrovne z roku 2021.</w:t>
      </w:r>
    </w:p>
    <w:p w14:paraId="00ECC5BC" w14:textId="53A7BDED" w:rsidR="00A873B0" w:rsidRPr="00A873B0" w:rsidRDefault="00A873B0" w:rsidP="00947BF3">
      <w:pPr>
        <w:spacing w:after="240"/>
        <w:jc w:val="both"/>
        <w:rPr>
          <w:rFonts w:ascii="Arial Narrow" w:hAnsi="Arial Narrow"/>
          <w:sz w:val="24"/>
          <w:szCs w:val="24"/>
        </w:rPr>
      </w:pPr>
      <w:r w:rsidRPr="00A873B0">
        <w:rPr>
          <w:rFonts w:ascii="Arial Narrow" w:hAnsi="Arial Narrow"/>
          <w:sz w:val="24"/>
          <w:szCs w:val="24"/>
        </w:rPr>
        <w:t>ÚRSO nedisponoval dostatočnými regulačnými nástrojmi a právomocami na zmiernenie vyššie spomenutého cenového vývoja v roku 2023 a jeho dopadu na konečnú cenu pre spotrebiteľov energií, z</w:t>
      </w:r>
      <w:r w:rsidR="0067192A">
        <w:rPr>
          <w:rFonts w:ascii="Arial Narrow" w:hAnsi="Arial Narrow"/>
          <w:sz w:val="24"/>
          <w:szCs w:val="24"/>
        </w:rPr>
        <w:t> </w:t>
      </w:r>
      <w:r w:rsidRPr="00A873B0">
        <w:rPr>
          <w:rFonts w:ascii="Arial Narrow" w:hAnsi="Arial Narrow"/>
          <w:sz w:val="24"/>
          <w:szCs w:val="24"/>
        </w:rPr>
        <w:t>toho dôvodu bolo realizované nariadenie vlády SR o zavedení cenového stropu pre zraniteľných odberateľov a dodávky tepla pre bytové objekty. Tieto opatrenia boli prijaté pre oblasti elektroenergetiky a plynárenstva, ako aj teplárenstva.</w:t>
      </w:r>
    </w:p>
    <w:p w14:paraId="0A3C0736" w14:textId="18BF8B45" w:rsidR="00A873B0" w:rsidRPr="00A873B0" w:rsidRDefault="00A873B0" w:rsidP="00947BF3">
      <w:pPr>
        <w:spacing w:after="240"/>
        <w:jc w:val="both"/>
        <w:rPr>
          <w:rFonts w:ascii="Arial Narrow" w:hAnsi="Arial Narrow"/>
          <w:sz w:val="24"/>
          <w:szCs w:val="24"/>
        </w:rPr>
      </w:pPr>
      <w:r w:rsidRPr="00A873B0">
        <w:rPr>
          <w:rFonts w:ascii="Arial Narrow" w:hAnsi="Arial Narrow"/>
          <w:sz w:val="24"/>
          <w:szCs w:val="24"/>
        </w:rPr>
        <w:t>Vo vodnom hospodárstve vykonáva ÚRSO cenovú reguláciu v oblasti verejných vodovodov a verejných kanalizácií a tiež v oblasti služieb súvisiacich s užívaním povrchových vôd. Vývoj dodávky pitnej vody, ako aj odvádzania a čistenia odpadovej vody, zaznamenal v roku 2023 pokles, ktorý mohol byť spôsobený nižšími odbermi vody a následne aj vypúšťaním odpadovej vody z dôvodu úsporných opatrení na strane odberateľov ako následku zvyšujúcej sa inflácie a zvýšenia cien za vodohospodárske služby.</w:t>
      </w:r>
    </w:p>
    <w:p w14:paraId="1E415378" w14:textId="67430CB4" w:rsidR="00A873B0" w:rsidRPr="00A873B0" w:rsidRDefault="00A873B0" w:rsidP="00947BF3">
      <w:pPr>
        <w:spacing w:after="240"/>
        <w:jc w:val="both"/>
        <w:rPr>
          <w:rFonts w:ascii="Arial Narrow" w:hAnsi="Arial Narrow"/>
          <w:sz w:val="24"/>
          <w:szCs w:val="24"/>
        </w:rPr>
      </w:pPr>
      <w:r w:rsidRPr="00A873B0">
        <w:rPr>
          <w:rFonts w:ascii="Arial Narrow" w:hAnsi="Arial Narrow"/>
          <w:sz w:val="24"/>
          <w:szCs w:val="24"/>
        </w:rPr>
        <w:t>Strategickými prioritami ÚRSO sú najmä rešpektovanie smerníc a nariadení Európskej únie v oblasti energetiky, v závislosti od kompetencií ÚRSO vhodná transpozícia ustanovení európskej legislatívy do</w:t>
      </w:r>
      <w:r w:rsidR="0067192A">
        <w:rPr>
          <w:rFonts w:ascii="Arial Narrow" w:hAnsi="Arial Narrow"/>
          <w:sz w:val="24"/>
          <w:szCs w:val="24"/>
        </w:rPr>
        <w:t> </w:t>
      </w:r>
      <w:r w:rsidRPr="00A873B0">
        <w:rPr>
          <w:rFonts w:ascii="Arial Narrow" w:hAnsi="Arial Narrow"/>
          <w:sz w:val="24"/>
          <w:szCs w:val="24"/>
        </w:rPr>
        <w:t>národného regulačného rámca, rozvoj a podpora obnoviteľných zdrojov energií s dôrazom na rozumné využitie zodpovedajúceho potenciálu v Slovenskej republike a rozvoj a podpora efektívnej výroby tepla v</w:t>
      </w:r>
      <w:r w:rsidR="0067192A">
        <w:rPr>
          <w:rFonts w:ascii="Arial Narrow" w:hAnsi="Arial Narrow"/>
          <w:sz w:val="24"/>
          <w:szCs w:val="24"/>
        </w:rPr>
        <w:t> </w:t>
      </w:r>
      <w:r w:rsidRPr="00A873B0">
        <w:rPr>
          <w:rFonts w:ascii="Arial Narrow" w:hAnsi="Arial Narrow"/>
          <w:sz w:val="24"/>
          <w:szCs w:val="24"/>
        </w:rPr>
        <w:t>systémoch centralizovaného zásobovania teplom (ďalej len „CTZ“), vrátane primeranej podpory prechodu na účinné CZT a primeranej podpory vysoko účinnej kombinovanej výroby elektriny a tepla s</w:t>
      </w:r>
      <w:r w:rsidR="0067192A">
        <w:rPr>
          <w:rFonts w:ascii="Arial Narrow" w:hAnsi="Arial Narrow"/>
          <w:sz w:val="24"/>
          <w:szCs w:val="24"/>
        </w:rPr>
        <w:t> </w:t>
      </w:r>
      <w:r w:rsidRPr="00A873B0">
        <w:rPr>
          <w:rFonts w:ascii="Arial Narrow" w:hAnsi="Arial Narrow"/>
          <w:sz w:val="24"/>
          <w:szCs w:val="24"/>
        </w:rPr>
        <w:t>cieľom zabezpečiť zdrojovú primeranosť v elektrizačnej sústave. Je potrebné prijať rad legislatívnych noriem pre rozvoj a podporu elektromobility, pre rozvoj využitia vodíka, tak aby boli udržateľné a</w:t>
      </w:r>
      <w:r w:rsidR="0067192A">
        <w:rPr>
          <w:rFonts w:ascii="Arial Narrow" w:hAnsi="Arial Narrow"/>
          <w:sz w:val="24"/>
          <w:szCs w:val="24"/>
        </w:rPr>
        <w:t> </w:t>
      </w:r>
      <w:r w:rsidRPr="00A873B0">
        <w:rPr>
          <w:rFonts w:ascii="Arial Narrow" w:hAnsi="Arial Narrow"/>
          <w:sz w:val="24"/>
          <w:szCs w:val="24"/>
        </w:rPr>
        <w:t>zmysluplne realizovateľné s ohľadom na kapacity hospodárstva a trhu v Slovenskej republike. Výsledkom strategického smerovania v týchto oblastiach má byť primeraná výška cien, bezpečnosť dodávky a dostatočné množstvo energií pre účastníkov trhu.</w:t>
      </w:r>
    </w:p>
    <w:p w14:paraId="7074AC05" w14:textId="3120B9CB" w:rsidR="00A873B0" w:rsidRPr="00A873B0" w:rsidRDefault="00A873B0" w:rsidP="00947BF3">
      <w:pPr>
        <w:spacing w:after="240"/>
        <w:jc w:val="both"/>
        <w:rPr>
          <w:rFonts w:ascii="Arial Narrow" w:hAnsi="Arial Narrow"/>
          <w:sz w:val="24"/>
          <w:szCs w:val="24"/>
        </w:rPr>
      </w:pPr>
      <w:r w:rsidRPr="00A873B0">
        <w:rPr>
          <w:rFonts w:ascii="Arial Narrow" w:hAnsi="Arial Narrow"/>
          <w:sz w:val="24"/>
          <w:szCs w:val="24"/>
        </w:rPr>
        <w:t>Z kontextu lepšej organizácie a odstránenia bariér na trhu s elektrinou a plynom, prehľadnejších zmluvných vzťahov ako aj bezpečnosti dodávok energií boli v roku 2024 prijaté dve kľúčové novely zákonov. Zmeny sa uskutočnili zákonom č. 128/2024 Z. z., ktorým sa mení a dopĺňa zákon č. 250/2012 Z. z. o regulácii v sieťových odvetviach v znení neskorších predpisov a ktorým sa menia a dopĺňajú niektoré zákony, a novelou zákona č. 251/2012 Z. z. o energetike a o zmene a doplnení niektorých zákonov došlo k úprave kompetencií ÚRSO v súvislosti s prijatím zákona č. 143/2024 Z. z., ktorým sa</w:t>
      </w:r>
      <w:r w:rsidR="0067192A">
        <w:rPr>
          <w:rFonts w:ascii="Arial Narrow" w:hAnsi="Arial Narrow"/>
          <w:sz w:val="24"/>
          <w:szCs w:val="24"/>
        </w:rPr>
        <w:t> </w:t>
      </w:r>
      <w:r w:rsidRPr="00A873B0">
        <w:rPr>
          <w:rFonts w:ascii="Arial Narrow" w:hAnsi="Arial Narrow"/>
          <w:sz w:val="24"/>
          <w:szCs w:val="24"/>
        </w:rPr>
        <w:t>mení a dopĺňa zákon č. 250/2012 Z. z. o regulácii v sieťových odvetviach v znení neskorších predpisov a</w:t>
      </w:r>
      <w:r w:rsidR="0067192A">
        <w:rPr>
          <w:rFonts w:ascii="Arial Narrow" w:hAnsi="Arial Narrow"/>
          <w:sz w:val="24"/>
          <w:szCs w:val="24"/>
        </w:rPr>
        <w:t> </w:t>
      </w:r>
      <w:r w:rsidRPr="00A873B0">
        <w:rPr>
          <w:rFonts w:ascii="Arial Narrow" w:hAnsi="Arial Narrow"/>
          <w:sz w:val="24"/>
          <w:szCs w:val="24"/>
        </w:rPr>
        <w:t>ktorým sa menia a dopĺňajú niektoré zákony. V roku 2024 ÚRSO upravil aj sekundárnu legislatívu v</w:t>
      </w:r>
      <w:r w:rsidR="0067192A">
        <w:rPr>
          <w:rFonts w:ascii="Arial Narrow" w:hAnsi="Arial Narrow"/>
          <w:sz w:val="24"/>
          <w:szCs w:val="24"/>
        </w:rPr>
        <w:t> </w:t>
      </w:r>
      <w:r w:rsidRPr="00A873B0">
        <w:rPr>
          <w:rFonts w:ascii="Arial Narrow" w:hAnsi="Arial Narrow"/>
          <w:sz w:val="24"/>
          <w:szCs w:val="24"/>
        </w:rPr>
        <w:t>oblasti cenovej regulácie ako aj v oblasti pravidiel trhu s elektrinou a plynom.</w:t>
      </w:r>
    </w:p>
    <w:p w14:paraId="3C03BEE9" w14:textId="7EDC1754" w:rsidR="00A873B0" w:rsidRPr="00A873B0" w:rsidRDefault="00A873B0" w:rsidP="00947BF3">
      <w:pPr>
        <w:spacing w:after="240"/>
        <w:jc w:val="both"/>
        <w:rPr>
          <w:rFonts w:ascii="Arial Narrow" w:hAnsi="Arial Narrow"/>
          <w:sz w:val="24"/>
          <w:szCs w:val="24"/>
        </w:rPr>
      </w:pPr>
      <w:r w:rsidRPr="00A873B0">
        <w:rPr>
          <w:rFonts w:ascii="Arial Narrow" w:hAnsi="Arial Narrow"/>
          <w:sz w:val="24"/>
          <w:szCs w:val="24"/>
        </w:rPr>
        <w:t>Najdôležitejšia úloha ÚRSO bude udržanie akceptovateľnej úrovne taríf a koncových cien pre zraniteľných odberateľov, najmä vo svetle očakávaných zmien v podpore domácností a zraniteľných odberateľov zo strany štátu.</w:t>
      </w:r>
    </w:p>
    <w:p w14:paraId="37C1DD78" w14:textId="4D315F1D" w:rsidR="00A873B0" w:rsidRPr="00A873B0" w:rsidRDefault="00A873B0" w:rsidP="00947BF3">
      <w:pPr>
        <w:spacing w:after="240"/>
        <w:jc w:val="both"/>
        <w:rPr>
          <w:rFonts w:ascii="Arial Narrow" w:hAnsi="Arial Narrow"/>
          <w:sz w:val="24"/>
          <w:szCs w:val="24"/>
        </w:rPr>
      </w:pPr>
      <w:r w:rsidRPr="00A873B0">
        <w:rPr>
          <w:rFonts w:ascii="Arial Narrow" w:hAnsi="Arial Narrow"/>
          <w:sz w:val="24"/>
          <w:szCs w:val="24"/>
        </w:rPr>
        <w:t>Cenová politika úradu bude aj v období 2025 - 2027 prioritne zameraná na udržanie primeraných cien pre koncových odberateľov energií a na dosiahnutie takých cien a taríf, aby priemysel a podnikateľský sektor na Slovensku bol konkurencieschopný v podmienkach Európskej únie.</w:t>
      </w:r>
    </w:p>
    <w:p w14:paraId="235A10CC" w14:textId="77777777" w:rsidR="00A873B0" w:rsidRPr="005779C4" w:rsidRDefault="00A873B0" w:rsidP="00947BF3">
      <w:pPr>
        <w:tabs>
          <w:tab w:val="left" w:pos="2694"/>
        </w:tabs>
        <w:spacing w:after="240"/>
        <w:rPr>
          <w:rFonts w:ascii="Arial Narrow" w:eastAsia="Times New Roman" w:hAnsi="Arial Narrow"/>
          <w:b/>
          <w:bCs/>
          <w:color w:val="000000" w:themeColor="text1"/>
          <w:sz w:val="24"/>
          <w:szCs w:val="24"/>
        </w:rPr>
      </w:pPr>
      <w:r w:rsidRPr="005779C4">
        <w:rPr>
          <w:rFonts w:ascii="Arial Narrow" w:eastAsia="Times New Roman" w:hAnsi="Arial Narrow"/>
          <w:b/>
          <w:bCs/>
          <w:color w:val="000000" w:themeColor="text1"/>
          <w:sz w:val="24"/>
          <w:szCs w:val="24"/>
        </w:rPr>
        <w:t>Úrad pre reguláciu elektronických komunikácií a poštových služieb</w:t>
      </w:r>
    </w:p>
    <w:p w14:paraId="5FF286DD" w14:textId="0F632CCE" w:rsidR="00A873B0" w:rsidRPr="00A873B0" w:rsidRDefault="00A873B0" w:rsidP="00947BF3">
      <w:pPr>
        <w:spacing w:after="240"/>
        <w:jc w:val="both"/>
        <w:rPr>
          <w:rFonts w:ascii="Arial Narrow" w:hAnsi="Arial Narrow"/>
          <w:sz w:val="24"/>
          <w:szCs w:val="24"/>
        </w:rPr>
      </w:pPr>
      <w:r w:rsidRPr="00A873B0">
        <w:rPr>
          <w:rFonts w:ascii="Arial Narrow" w:hAnsi="Arial Narrow"/>
          <w:sz w:val="24"/>
          <w:szCs w:val="24"/>
        </w:rPr>
        <w:t>Úrad pre reguláciu elektronických komunikácií a poštových služieb (ďalej len „úrad“) je podľa § 2 ods. 1</w:t>
      </w:r>
      <w:r w:rsidR="0067192A">
        <w:rPr>
          <w:rFonts w:ascii="Arial Narrow" w:hAnsi="Arial Narrow"/>
          <w:sz w:val="24"/>
          <w:szCs w:val="24"/>
        </w:rPr>
        <w:t> </w:t>
      </w:r>
      <w:r w:rsidRPr="00A873B0">
        <w:rPr>
          <w:rFonts w:ascii="Arial Narrow" w:hAnsi="Arial Narrow"/>
          <w:sz w:val="24"/>
          <w:szCs w:val="24"/>
        </w:rPr>
        <w:t>zákona č. 402/2013 Z. z. o Úrade pre reguláciu elektronických komunikácií a poštových služieb a</w:t>
      </w:r>
      <w:r w:rsidR="0067192A">
        <w:rPr>
          <w:rFonts w:ascii="Arial Narrow" w:hAnsi="Arial Narrow"/>
          <w:sz w:val="24"/>
          <w:szCs w:val="24"/>
        </w:rPr>
        <w:t> </w:t>
      </w:r>
      <w:r w:rsidRPr="00A873B0">
        <w:rPr>
          <w:rFonts w:ascii="Arial Narrow" w:hAnsi="Arial Narrow"/>
          <w:sz w:val="24"/>
          <w:szCs w:val="24"/>
        </w:rPr>
        <w:t>Dopravnom úrade a o zmene a doplnení niektorých zákonov v znení neskorších predpisov regulačným a cenovým orgánom a vykonáva štátny dohľad v oblasti elektronických komunikácií a poštových služieb v rozsahu a za podmienok ustanovených týmto zákonom a osobitnými predpismi.</w:t>
      </w:r>
    </w:p>
    <w:p w14:paraId="762CB329" w14:textId="005CFA27" w:rsidR="00A873B0" w:rsidRPr="00A873B0" w:rsidRDefault="00A873B0" w:rsidP="00947BF3">
      <w:pPr>
        <w:spacing w:after="240"/>
        <w:jc w:val="both"/>
        <w:rPr>
          <w:rFonts w:ascii="Arial Narrow" w:hAnsi="Arial Narrow"/>
          <w:sz w:val="24"/>
          <w:szCs w:val="24"/>
        </w:rPr>
      </w:pPr>
      <w:r w:rsidRPr="00A873B0">
        <w:rPr>
          <w:rFonts w:ascii="Arial Narrow" w:hAnsi="Arial Narrow"/>
          <w:sz w:val="24"/>
          <w:szCs w:val="24"/>
        </w:rPr>
        <w:t>Rámec regulácie poštových sadzieb upravuje § 11 ods. 1 zákona o cenách, pričom v spojení so zákonom č. 324/2011 Z. z. o poštových službách a o zmene a doplnení niektorých zákonov v znení neskorších predpisov úrad vykonáva reguláciu cien úradným určením cien, a to určením maximálnej ceny. Zákon o</w:t>
      </w:r>
      <w:r w:rsidR="0067192A">
        <w:rPr>
          <w:rFonts w:ascii="Arial Narrow" w:hAnsi="Arial Narrow"/>
          <w:sz w:val="24"/>
          <w:szCs w:val="24"/>
        </w:rPr>
        <w:t> </w:t>
      </w:r>
      <w:r w:rsidRPr="00A873B0">
        <w:rPr>
          <w:rFonts w:ascii="Arial Narrow" w:hAnsi="Arial Narrow"/>
          <w:sz w:val="24"/>
          <w:szCs w:val="24"/>
        </w:rPr>
        <w:t>cenách sa nevzťahuje na medzinárodné tarify v oblasti poštových služieb a elektronických komunikačných služieb (§ 1 ods. 3 zákona o cenách). Rámec cenovej regulácie na európskej úrovni predstavuje Smernica Európskeho parlamentu a Rady 97/67/ES z 15. decembra 1997 o spoločných pravidlách rozvoja vnútorného trhu poštových služieb spoločenstva a zlepšovaní kvality služieb v platnom znení (ďalej len „poštová smernica“) a Nariadenie Európskeho parlamentu a Rady (EÚ) 2018/644 z</w:t>
      </w:r>
      <w:r w:rsidR="0067192A">
        <w:rPr>
          <w:rFonts w:ascii="Arial Narrow" w:hAnsi="Arial Narrow"/>
          <w:sz w:val="24"/>
          <w:szCs w:val="24"/>
        </w:rPr>
        <w:t> </w:t>
      </w:r>
      <w:r w:rsidRPr="00A873B0">
        <w:rPr>
          <w:rFonts w:ascii="Arial Narrow" w:hAnsi="Arial Narrow"/>
          <w:sz w:val="24"/>
          <w:szCs w:val="24"/>
        </w:rPr>
        <w:t>18.</w:t>
      </w:r>
      <w:r w:rsidR="0067192A">
        <w:rPr>
          <w:rFonts w:ascii="Arial Narrow" w:hAnsi="Arial Narrow"/>
          <w:sz w:val="24"/>
          <w:szCs w:val="24"/>
        </w:rPr>
        <w:t> </w:t>
      </w:r>
      <w:r w:rsidRPr="00A873B0">
        <w:rPr>
          <w:rFonts w:ascii="Arial Narrow" w:hAnsi="Arial Narrow"/>
          <w:sz w:val="24"/>
          <w:szCs w:val="24"/>
        </w:rPr>
        <w:t xml:space="preserve">apríla 2018 o službách cezhraničného dodávania balíkov. Úrad v súčasnosti, vzhľadom na charakter a rozsah regulovaných služieb, vykonáva reguláciu cien úradným určením cien, a to určením maximálnej ceny, ktorú nie je prípustné prekročiť. Zároveň prihliada na článok 12 poštovej smernice, v zmysle ktorého majú byť uplatňované ceny v súlade so zásadami cenovej dostupnosti, nákladovo orientované, transparentné a nediskriminačné. </w:t>
      </w:r>
    </w:p>
    <w:p w14:paraId="3113FD82" w14:textId="6ABA8492" w:rsidR="00A873B0" w:rsidRPr="00A873B0" w:rsidRDefault="00A873B0" w:rsidP="00947BF3">
      <w:pPr>
        <w:spacing w:after="240"/>
        <w:jc w:val="both"/>
        <w:rPr>
          <w:rFonts w:ascii="Arial Narrow" w:hAnsi="Arial Narrow"/>
          <w:sz w:val="24"/>
          <w:szCs w:val="24"/>
        </w:rPr>
      </w:pPr>
      <w:r w:rsidRPr="00A873B0">
        <w:rPr>
          <w:rFonts w:ascii="Arial Narrow" w:hAnsi="Arial Narrow"/>
          <w:sz w:val="24"/>
          <w:szCs w:val="24"/>
        </w:rPr>
        <w:t>Úrad každoročne analyzuje sadzby deviatich kategórií kusových zásielok poskytovateľa univerzálnej služby podávané do krajín Európskej únie. Na základe výsledkov vykonanej analýzy úrad konštatoval, že hodnotené sadzby poskytovateľa univerzálnej služby (upravené paritou kúpnej sily) nepatria medzi 25 % najvyšších sadzieb v rámci Európskej únie a v zmysle platnej metodiky nie sú považované za neprimerane vysoké.</w:t>
      </w:r>
    </w:p>
    <w:p w14:paraId="66F13107" w14:textId="1D2E02FC" w:rsidR="00A873B0" w:rsidRPr="00A873B0" w:rsidRDefault="00A873B0" w:rsidP="00947BF3">
      <w:pPr>
        <w:spacing w:after="240"/>
        <w:jc w:val="both"/>
        <w:rPr>
          <w:rFonts w:ascii="Arial Narrow" w:hAnsi="Arial Narrow"/>
          <w:sz w:val="24"/>
          <w:szCs w:val="24"/>
        </w:rPr>
      </w:pPr>
      <w:r w:rsidRPr="00A873B0">
        <w:rPr>
          <w:rFonts w:ascii="Arial Narrow" w:hAnsi="Arial Narrow"/>
          <w:sz w:val="24"/>
          <w:szCs w:val="24"/>
        </w:rPr>
        <w:t>Regulácia cien sa uplatňuje na tú časť segmentu, kde má poskytovateľ univerzálnej služby výraznú trhovú pozíciu, čo v podmienkach slovenského poštového trhu predstavuje oblasť poskytovania listových zásielok (obyčajné listové zásielky, doporučené listové zásielky, úradné zásielky). Najmä v tejto oblasti univerzálnej služby si vývoj situácie vyžaduje regulačné zásahy do sféry poštových sadzieb z dôvodu udržateľnosti jej poskytovania a zachovania primeranej ceny a kvality pre všetkých užívateľov vo</w:t>
      </w:r>
      <w:r w:rsidR="0067192A">
        <w:rPr>
          <w:rFonts w:ascii="Arial Narrow" w:hAnsi="Arial Narrow"/>
          <w:sz w:val="24"/>
          <w:szCs w:val="24"/>
        </w:rPr>
        <w:t> </w:t>
      </w:r>
      <w:r w:rsidRPr="00A873B0">
        <w:rPr>
          <w:rFonts w:ascii="Arial Narrow" w:hAnsi="Arial Narrow"/>
          <w:sz w:val="24"/>
          <w:szCs w:val="24"/>
        </w:rPr>
        <w:t>verejnom záujme. Nemožno vylúčiť prípadné legislatívne zmeny na európskej i národnej úrovni v</w:t>
      </w:r>
      <w:r w:rsidR="0067192A">
        <w:rPr>
          <w:rFonts w:ascii="Arial Narrow" w:hAnsi="Arial Narrow"/>
          <w:sz w:val="24"/>
          <w:szCs w:val="24"/>
        </w:rPr>
        <w:t> </w:t>
      </w:r>
      <w:r w:rsidRPr="00A873B0">
        <w:rPr>
          <w:rFonts w:ascii="Arial Narrow" w:hAnsi="Arial Narrow"/>
          <w:sz w:val="24"/>
          <w:szCs w:val="24"/>
        </w:rPr>
        <w:t>budúcom smerovaní, keďže sa aktuálne pripravuje zo strany Európskej komisie štúdia mapujúca budúci vývoj v poštovom sektore a prípadne na ňu nadväzujúca zmena poštovej smernice. Táto by si následne vyžiadala prijatie účinnej úpravy aj na národnej úrovni. Aplikovaná cenová regulácia formou maximálnych cien je v súčasnosti účinná, bez potreby ďalších zásadných úprav cenovej legislatívy z krátkodobého hľadiska.</w:t>
      </w:r>
    </w:p>
    <w:p w14:paraId="078536A8" w14:textId="0553478E" w:rsidR="00A873B0" w:rsidRPr="005779C4" w:rsidRDefault="00A873B0" w:rsidP="00947BF3">
      <w:pPr>
        <w:tabs>
          <w:tab w:val="left" w:pos="2694"/>
        </w:tabs>
        <w:spacing w:after="240"/>
        <w:rPr>
          <w:rFonts w:ascii="Arial Narrow" w:eastAsia="Times New Roman" w:hAnsi="Arial Narrow"/>
          <w:b/>
          <w:bCs/>
          <w:color w:val="000000" w:themeColor="text1"/>
          <w:sz w:val="24"/>
          <w:szCs w:val="24"/>
        </w:rPr>
      </w:pPr>
      <w:r w:rsidRPr="005779C4">
        <w:rPr>
          <w:rFonts w:ascii="Arial Narrow" w:eastAsia="Times New Roman" w:hAnsi="Arial Narrow"/>
          <w:b/>
          <w:bCs/>
          <w:color w:val="000000" w:themeColor="text1"/>
          <w:sz w:val="24"/>
          <w:szCs w:val="24"/>
        </w:rPr>
        <w:t>Vláda Slovenskej republiky</w:t>
      </w:r>
    </w:p>
    <w:p w14:paraId="1F592CC4" w14:textId="5F512EDF" w:rsidR="00A873B0" w:rsidRPr="00A873B0" w:rsidRDefault="00A873B0" w:rsidP="00947BF3">
      <w:pPr>
        <w:spacing w:after="240"/>
        <w:jc w:val="both"/>
        <w:rPr>
          <w:rFonts w:ascii="Arial Narrow" w:hAnsi="Arial Narrow"/>
          <w:sz w:val="24"/>
          <w:szCs w:val="24"/>
        </w:rPr>
      </w:pPr>
      <w:r w:rsidRPr="00A873B0">
        <w:rPr>
          <w:rFonts w:ascii="Arial Narrow" w:hAnsi="Arial Narrow"/>
          <w:sz w:val="24"/>
          <w:szCs w:val="24"/>
        </w:rPr>
        <w:t xml:space="preserve">Vláda SR je podľa § 20 ods. 1 písm. j) zákona o cenách cenovým orgánom od 1. júla 2022 a vykonáva pôsobnosť v oblasti maximálnych cien nájmu bytov podľa zákona o štátnej podpore nájomného bývania. </w:t>
      </w:r>
    </w:p>
    <w:p w14:paraId="01529B97" w14:textId="48800E2F" w:rsidR="00A873B0" w:rsidRPr="00A873B0" w:rsidRDefault="00A873B0" w:rsidP="00947BF3">
      <w:pPr>
        <w:spacing w:after="240"/>
        <w:jc w:val="both"/>
        <w:rPr>
          <w:rFonts w:ascii="Arial Narrow" w:hAnsi="Arial Narrow"/>
          <w:sz w:val="24"/>
          <w:szCs w:val="24"/>
        </w:rPr>
      </w:pPr>
      <w:r w:rsidRPr="00A873B0">
        <w:rPr>
          <w:rFonts w:ascii="Arial Narrow" w:hAnsi="Arial Narrow"/>
          <w:sz w:val="24"/>
          <w:szCs w:val="24"/>
        </w:rPr>
        <w:t>V zmysle § 3 ods. 1 uvedeného zákona o štátnej podpore nájomného bývania agentúra predkladá vláde SR návrh na určenie výšky maximálneho nájomného, návrh pravidiel výpočtu a aplikácie maximálnej výšky  nájomného podľa § 9 ods. 1 na základe ktorého vláda SR ustanoví nariadením vlády SR maximálnu výšku nájomného bez úhrad za plnenia poskytované s užívaním bytu a bez nákladov na prevádzku, údržbu a opravy bytového domu, vláda SR môže ustanoviť odlišnú maximálnu výšku nájomného v</w:t>
      </w:r>
      <w:r w:rsidR="0067192A">
        <w:rPr>
          <w:rFonts w:ascii="Arial Narrow" w:hAnsi="Arial Narrow"/>
          <w:sz w:val="24"/>
          <w:szCs w:val="24"/>
        </w:rPr>
        <w:t> </w:t>
      </w:r>
      <w:r w:rsidRPr="00A873B0">
        <w:rPr>
          <w:rFonts w:ascii="Arial Narrow" w:hAnsi="Arial Narrow"/>
          <w:sz w:val="24"/>
          <w:szCs w:val="24"/>
        </w:rPr>
        <w:t>závislosti od regiónov, projektov nájomného bývania a roku ich kolaudácie. Vláda SR ustanoví nariadením vlády SR pravidlá výpočtu a aplikácie maximálnej výšky nájomného.</w:t>
      </w:r>
    </w:p>
    <w:p w14:paraId="066A7015" w14:textId="14E9B5CA" w:rsidR="00916520" w:rsidRDefault="00A873B0" w:rsidP="00947BF3">
      <w:pPr>
        <w:spacing w:after="240"/>
        <w:jc w:val="both"/>
        <w:rPr>
          <w:rFonts w:ascii="Arial Narrow" w:hAnsi="Arial Narrow"/>
          <w:sz w:val="24"/>
          <w:szCs w:val="24"/>
        </w:rPr>
      </w:pPr>
      <w:r w:rsidRPr="00A873B0">
        <w:rPr>
          <w:rFonts w:ascii="Arial Narrow" w:hAnsi="Arial Narrow"/>
          <w:sz w:val="24"/>
          <w:szCs w:val="24"/>
        </w:rPr>
        <w:t>Podľa § 20 ods. 9 zákona č. 18/1996 Z. z. o cenách v znení neskorších predpisov (ďalej len „zákon o</w:t>
      </w:r>
      <w:r w:rsidR="0067192A">
        <w:rPr>
          <w:rFonts w:ascii="Arial Narrow" w:hAnsi="Arial Narrow"/>
          <w:sz w:val="24"/>
          <w:szCs w:val="24"/>
        </w:rPr>
        <w:t> </w:t>
      </w:r>
      <w:r w:rsidRPr="00A873B0">
        <w:rPr>
          <w:rFonts w:ascii="Arial Narrow" w:hAnsi="Arial Narrow"/>
          <w:sz w:val="24"/>
          <w:szCs w:val="24"/>
        </w:rPr>
        <w:t>cenách“) vláda Slovenskej republiky (ďalej len „vláda“) predkladá Národnej rade Slovenskej republiky každoročne v druhom štvrťroku správu za predchádzajúci kalendárny rok o cenovom vývoji, opatreniach na zamedzenie nežiadúceho cenového vývoja, plnení koncepcie cenovej politiky, uplatňovaní tohto zákona a o návrhoch opatrení vo verejnej politike v oblasti cien.</w:t>
      </w:r>
    </w:p>
    <w:p w14:paraId="2B31DA0F" w14:textId="512DC548" w:rsidR="00091BA7" w:rsidRDefault="001641EB" w:rsidP="00947BF3">
      <w:pPr>
        <w:pStyle w:val="Nadpis1"/>
        <w:numPr>
          <w:ilvl w:val="0"/>
          <w:numId w:val="1"/>
        </w:numPr>
        <w:spacing w:after="240" w:line="240" w:lineRule="auto"/>
        <w:ind w:left="283" w:hanging="357"/>
        <w:jc w:val="left"/>
        <w:rPr>
          <w:color w:val="5B9BD5" w:themeColor="accent1"/>
        </w:rPr>
      </w:pPr>
      <w:bookmarkStart w:id="3" w:name="_Toc160443402"/>
      <w:bookmarkStart w:id="4" w:name="_Toc160443403"/>
      <w:bookmarkStart w:id="5" w:name="_Toc201832582"/>
      <w:bookmarkStart w:id="6" w:name="_Toc202358578"/>
      <w:bookmarkEnd w:id="3"/>
      <w:bookmarkEnd w:id="4"/>
      <w:r>
        <w:rPr>
          <w:color w:val="5B9BD5" w:themeColor="accent1"/>
        </w:rPr>
        <w:t>C</w:t>
      </w:r>
      <w:r w:rsidR="00BD1778">
        <w:rPr>
          <w:color w:val="5B9BD5" w:themeColor="accent1"/>
        </w:rPr>
        <w:t>enový vývoj</w:t>
      </w:r>
      <w:bookmarkStart w:id="7" w:name="_Toc137116257"/>
      <w:bookmarkEnd w:id="5"/>
      <w:bookmarkEnd w:id="6"/>
    </w:p>
    <w:p w14:paraId="33F8FBE9" w14:textId="05A9B105" w:rsidR="00A873B0" w:rsidRPr="00A873B0" w:rsidRDefault="00A873B0" w:rsidP="00947BF3">
      <w:pPr>
        <w:spacing w:after="240"/>
        <w:jc w:val="both"/>
        <w:rPr>
          <w:rFonts w:ascii="Arial Narrow" w:hAnsi="Arial Narrow"/>
          <w:sz w:val="24"/>
          <w:szCs w:val="24"/>
        </w:rPr>
      </w:pPr>
      <w:r w:rsidRPr="00A873B0">
        <w:rPr>
          <w:rFonts w:ascii="Arial Narrow" w:hAnsi="Arial Narrow"/>
          <w:sz w:val="24"/>
          <w:szCs w:val="24"/>
        </w:rPr>
        <w:t>Dáta použité na analýzu cenového vývoja základných potravín boli spracované na základe detailného a</w:t>
      </w:r>
      <w:r w:rsidR="005779C4">
        <w:rPr>
          <w:rFonts w:ascii="Arial Narrow" w:hAnsi="Arial Narrow"/>
          <w:sz w:val="24"/>
          <w:szCs w:val="24"/>
        </w:rPr>
        <w:t> </w:t>
      </w:r>
      <w:r w:rsidRPr="00A873B0">
        <w:rPr>
          <w:rFonts w:ascii="Arial Narrow" w:hAnsi="Arial Narrow"/>
          <w:sz w:val="24"/>
          <w:szCs w:val="24"/>
        </w:rPr>
        <w:t>kontinuálneho monitoringu počas roku 2024, v súlade s povinnosťou stanovenou zákonom č. 18/1996 Z.</w:t>
      </w:r>
      <w:r w:rsidR="005779C4">
        <w:rPr>
          <w:rFonts w:ascii="Arial Narrow" w:hAnsi="Arial Narrow"/>
          <w:sz w:val="24"/>
          <w:szCs w:val="24"/>
        </w:rPr>
        <w:t> </w:t>
      </w:r>
      <w:r w:rsidRPr="00A873B0">
        <w:rPr>
          <w:rFonts w:ascii="Arial Narrow" w:hAnsi="Arial Narrow"/>
          <w:sz w:val="24"/>
          <w:szCs w:val="24"/>
        </w:rPr>
        <w:t>z. o cenách.</w:t>
      </w:r>
    </w:p>
    <w:p w14:paraId="44B61640" w14:textId="34E3AC2A" w:rsidR="00A873B0" w:rsidRPr="0067192A" w:rsidRDefault="00A873B0" w:rsidP="00947BF3">
      <w:pPr>
        <w:spacing w:after="240"/>
        <w:jc w:val="both"/>
        <w:rPr>
          <w:rFonts w:ascii="Arial Narrow" w:hAnsi="Arial Narrow"/>
          <w:sz w:val="24"/>
          <w:szCs w:val="24"/>
        </w:rPr>
      </w:pPr>
      <w:r w:rsidRPr="00A873B0">
        <w:rPr>
          <w:rFonts w:ascii="Arial Narrow" w:hAnsi="Arial Narrow"/>
          <w:sz w:val="24"/>
          <w:szCs w:val="24"/>
        </w:rPr>
        <w:t>Ostatné časti analýzy, vrátane segmentov ako odevy a obuv, bývanie, voda, elektrina, plyn a iné palivá, nábytok, bytové zariadenie a bežná údržba domácnosti, zdravotníctvo, doprava, pošty a spoje, rekreácia a kultúra, vzdelávanie a reštaurácie a hotely, sú spracované na základe verejne dostupných údajov zverejnených Štatistickým úradom Slovenskej republiky.</w:t>
      </w:r>
    </w:p>
    <w:p w14:paraId="51BF181F" w14:textId="77777777" w:rsidR="00BD1778" w:rsidRPr="00BD1778" w:rsidRDefault="00BD1778" w:rsidP="00947BF3">
      <w:pPr>
        <w:spacing w:after="240"/>
        <w:jc w:val="both"/>
        <w:rPr>
          <w:rFonts w:ascii="Arial Narrow" w:hAnsi="Arial Narrow"/>
          <w:sz w:val="24"/>
          <w:szCs w:val="24"/>
        </w:rPr>
      </w:pPr>
      <w:r w:rsidRPr="00BD1778">
        <w:rPr>
          <w:rFonts w:ascii="Arial Narrow" w:hAnsi="Arial Narrow"/>
          <w:sz w:val="24"/>
          <w:szCs w:val="24"/>
        </w:rPr>
        <w:t>V nadväznosti na uznesenie vlády Slovenskej republiky č. 732 z 20. decembra 2023, ktorým bolo ministrovi financií uložené dôsledne sledovať a vyhodnocovať vývoj cien potravín a navrhovať účinné opatrenia, Ministerstvo financií Slovenskej republiky (ďalej len „MF SR“) priebežne vykonáva analýzy cenového vývoja základných druhov potravín.</w:t>
      </w:r>
    </w:p>
    <w:p w14:paraId="3491D76C" w14:textId="1D50909D" w:rsidR="00BD1778" w:rsidRPr="00BD1778" w:rsidRDefault="00BD1778" w:rsidP="00947BF3">
      <w:pPr>
        <w:spacing w:after="240"/>
        <w:jc w:val="both"/>
        <w:rPr>
          <w:rFonts w:ascii="Arial Narrow" w:hAnsi="Arial Narrow"/>
          <w:sz w:val="24"/>
          <w:szCs w:val="24"/>
        </w:rPr>
      </w:pPr>
      <w:r w:rsidRPr="00BD1778">
        <w:rPr>
          <w:rFonts w:ascii="Arial Narrow" w:hAnsi="Arial Narrow"/>
          <w:sz w:val="24"/>
          <w:szCs w:val="24"/>
        </w:rPr>
        <w:t>Analýzy predstavujú dôležitý nástroj monitorovania trhových javov s cieľom identifikovať potenciálne mimoriadne situácie, ktoré by mohli ohroziť cenovú stabilitu alebo dostupnosť základných potravín na tuzemskom trhu.</w:t>
      </w:r>
    </w:p>
    <w:p w14:paraId="1BB0C6CC" w14:textId="5122B7DF" w:rsidR="00BD1778" w:rsidRPr="00BD1778" w:rsidRDefault="00BD1778" w:rsidP="00947BF3">
      <w:pPr>
        <w:spacing w:after="240"/>
        <w:jc w:val="both"/>
        <w:rPr>
          <w:rFonts w:ascii="Arial Narrow" w:hAnsi="Arial Narrow"/>
          <w:sz w:val="24"/>
          <w:szCs w:val="24"/>
        </w:rPr>
      </w:pPr>
      <w:r w:rsidRPr="00BD1778">
        <w:rPr>
          <w:rFonts w:ascii="Arial Narrow" w:hAnsi="Arial Narrow"/>
          <w:sz w:val="24"/>
          <w:szCs w:val="24"/>
        </w:rPr>
        <w:t>Rok 2024 bol obdobím pozvoľného upokojovania cenového vývoja po výrazných turbulenciách z</w:t>
      </w:r>
      <w:r w:rsidR="005779C4">
        <w:rPr>
          <w:rFonts w:ascii="Arial Narrow" w:hAnsi="Arial Narrow"/>
          <w:sz w:val="24"/>
          <w:szCs w:val="24"/>
        </w:rPr>
        <w:t> </w:t>
      </w:r>
      <w:r w:rsidRPr="00BD1778">
        <w:rPr>
          <w:rFonts w:ascii="Arial Narrow" w:hAnsi="Arial Narrow"/>
          <w:sz w:val="24"/>
          <w:szCs w:val="24"/>
        </w:rPr>
        <w:t>predchádzajúceho obdobia výskytu ochorenia COVID-19. Potravinová inflácia sa v priebehu roka postupne spomaľovala, pričom k jej najvýraznejšiemu poklesu došlo v poslednom kvartáli roka. Priemerná celková inflácia za rok 2024 dosiahla úroveň 2,8 %, zatiaľ čo priemerná potravinová inflácia predstavovala 2,5 %. V porovnaní s rokom 2023 ide o výrazný pokles — celková inflácia medziročne klesla o 7,7 p. b.</w:t>
      </w:r>
      <w:r w:rsidR="00B14452">
        <w:rPr>
          <w:rFonts w:ascii="Arial Narrow" w:hAnsi="Arial Narrow"/>
          <w:sz w:val="24"/>
          <w:szCs w:val="24"/>
        </w:rPr>
        <w:t xml:space="preserve"> </w:t>
      </w:r>
      <w:r w:rsidRPr="00BD1778">
        <w:rPr>
          <w:rFonts w:ascii="Arial Narrow" w:hAnsi="Arial Narrow"/>
          <w:sz w:val="24"/>
          <w:szCs w:val="24"/>
        </w:rPr>
        <w:t>a</w:t>
      </w:r>
      <w:r w:rsidR="00B14452">
        <w:rPr>
          <w:rFonts w:ascii="Arial Narrow" w:hAnsi="Arial Narrow"/>
          <w:sz w:val="24"/>
          <w:szCs w:val="24"/>
        </w:rPr>
        <w:t> </w:t>
      </w:r>
      <w:r w:rsidRPr="00BD1778">
        <w:rPr>
          <w:rFonts w:ascii="Arial Narrow" w:hAnsi="Arial Narrow"/>
          <w:sz w:val="24"/>
          <w:szCs w:val="24"/>
        </w:rPr>
        <w:t>potravinová inflácia až o 15 p. b.</w:t>
      </w:r>
    </w:p>
    <w:p w14:paraId="625A58E9" w14:textId="4B367E8E" w:rsidR="00BD1778" w:rsidRPr="00BD1778" w:rsidRDefault="00BD1778" w:rsidP="00947BF3">
      <w:pPr>
        <w:spacing w:after="240"/>
        <w:jc w:val="both"/>
        <w:rPr>
          <w:rFonts w:ascii="Arial Narrow" w:hAnsi="Arial Narrow"/>
          <w:sz w:val="24"/>
          <w:szCs w:val="24"/>
        </w:rPr>
      </w:pPr>
      <w:r w:rsidRPr="00BD1778">
        <w:rPr>
          <w:rFonts w:ascii="Arial Narrow" w:hAnsi="Arial Narrow"/>
          <w:sz w:val="24"/>
          <w:szCs w:val="24"/>
        </w:rPr>
        <w:t>Vývoj cien v roku 2024 ovplyvňovala kombinácia domácich a medzinárodných faktorov. Geopolitické napätie, klimatické extrémy, vývoj cien energií a ziskovosť subjektov v potravinovej vertikále formovali dynamiku cien na rôznych úrovniach dodávateľského reťazca.</w:t>
      </w:r>
    </w:p>
    <w:p w14:paraId="537867EE" w14:textId="04A1FC7C" w:rsidR="00FC67AE" w:rsidRDefault="00BD1778" w:rsidP="00947BF3">
      <w:pPr>
        <w:spacing w:after="240"/>
        <w:jc w:val="both"/>
        <w:rPr>
          <w:rFonts w:ascii="Arial Narrow" w:hAnsi="Arial Narrow"/>
          <w:sz w:val="24"/>
          <w:szCs w:val="24"/>
        </w:rPr>
      </w:pPr>
      <w:r w:rsidRPr="00BD1778">
        <w:rPr>
          <w:rFonts w:ascii="Arial Narrow" w:hAnsi="Arial Narrow"/>
          <w:sz w:val="24"/>
          <w:szCs w:val="24"/>
        </w:rPr>
        <w:t>Z doterajších analýz vyplýva, že hoci boli zaznamenané čiastkové cenové výkyvy pri niektorých druhoch potravín, aktuálny vývoj cien základných druhov potravín je primeraný a neodôvodňuje zavedenie priamej cenovej regulácie. Analýzy zároveň poskytli odporúčania na prijatie systematických opatrení na podporu cenovej dostupnosti potravín v strednodobom horizonte</w:t>
      </w:r>
      <w:r w:rsidR="000E18B5">
        <w:rPr>
          <w:rFonts w:ascii="Arial Narrow" w:hAnsi="Arial Narrow"/>
          <w:sz w:val="24"/>
          <w:szCs w:val="24"/>
        </w:rPr>
        <w:t>,</w:t>
      </w:r>
      <w:r w:rsidRPr="00BD1778">
        <w:rPr>
          <w:rFonts w:ascii="Arial Narrow" w:hAnsi="Arial Narrow"/>
          <w:sz w:val="24"/>
          <w:szCs w:val="24"/>
        </w:rPr>
        <w:t xml:space="preserve"> medzi ktoré patrila legislatívna úprava zníženia sadzby DPH na vybrané potraviny (5 %) a ostatné potraviny (19 %), či vytvorenie web portálu cenyslovensko.sk s cieľom podporiť zdravú konkurenciu medzi predajcami potravín. </w:t>
      </w:r>
    </w:p>
    <w:p w14:paraId="278406B1" w14:textId="555FCDEE" w:rsidR="00BD1778" w:rsidRPr="00BD1778" w:rsidRDefault="00FC67AE" w:rsidP="00947BF3">
      <w:pPr>
        <w:spacing w:after="240"/>
        <w:jc w:val="both"/>
        <w:rPr>
          <w:rFonts w:ascii="Arial Narrow" w:hAnsi="Arial Narrow"/>
          <w:sz w:val="24"/>
          <w:szCs w:val="24"/>
        </w:rPr>
      </w:pPr>
      <w:r w:rsidRPr="00FC67AE">
        <w:rPr>
          <w:rFonts w:ascii="Arial Narrow" w:hAnsi="Arial Narrow"/>
          <w:sz w:val="24"/>
          <w:szCs w:val="24"/>
        </w:rPr>
        <w:t xml:space="preserve">V roku 2024 sa ceny pohonných látok a alternatívnych palív na Slovensku držali v stabilnom pásme. Tradičné palivá ako benzín a nafta zaznamenali len mierne výkyvy, pričom ich cenová úroveň zostala konkurencieschopná v rámci </w:t>
      </w:r>
      <w:r>
        <w:rPr>
          <w:rFonts w:ascii="Arial Narrow" w:hAnsi="Arial Narrow"/>
          <w:sz w:val="24"/>
          <w:szCs w:val="24"/>
        </w:rPr>
        <w:t>susediacich krajín</w:t>
      </w:r>
      <w:r w:rsidRPr="00FC67AE">
        <w:rPr>
          <w:rFonts w:ascii="Arial Narrow" w:hAnsi="Arial Narrow"/>
          <w:sz w:val="24"/>
          <w:szCs w:val="24"/>
        </w:rPr>
        <w:t>.</w:t>
      </w:r>
      <w:r>
        <w:rPr>
          <w:rFonts w:ascii="Arial Narrow" w:hAnsi="Arial Narrow"/>
          <w:sz w:val="24"/>
          <w:szCs w:val="24"/>
        </w:rPr>
        <w:t xml:space="preserve"> </w:t>
      </w:r>
      <w:r w:rsidRPr="00FC67AE">
        <w:rPr>
          <w:rFonts w:ascii="Arial Narrow" w:hAnsi="Arial Narrow"/>
          <w:sz w:val="24"/>
          <w:szCs w:val="24"/>
        </w:rPr>
        <w:t>Plyny ako CNG, LNG a bioLNG vykázali mierny nárast cien, zatiaľ čo cena AdBlue postupne klesala. Cena vodíka ostala po celý rok nemenná. Ceny nabíjania elektrických vozidiel sa nemenili, čo prispelo k väčšej stabilite a predvídateľnosti v oblasti prevádzkových nákladov</w:t>
      </w:r>
      <w:r>
        <w:rPr>
          <w:rFonts w:ascii="Arial Narrow" w:hAnsi="Arial Narrow"/>
          <w:sz w:val="24"/>
          <w:szCs w:val="24"/>
        </w:rPr>
        <w:t xml:space="preserve"> vlastníkov elektromobilov</w:t>
      </w:r>
      <w:r w:rsidRPr="00FC67AE">
        <w:rPr>
          <w:rFonts w:ascii="Arial Narrow" w:hAnsi="Arial Narrow"/>
          <w:sz w:val="24"/>
          <w:szCs w:val="24"/>
        </w:rPr>
        <w:t>.</w:t>
      </w:r>
    </w:p>
    <w:p w14:paraId="7E88B19F" w14:textId="58C90920" w:rsidR="0067192A" w:rsidRPr="0067192A" w:rsidRDefault="00BD1778" w:rsidP="00947BF3">
      <w:pPr>
        <w:spacing w:after="240"/>
        <w:jc w:val="both"/>
        <w:rPr>
          <w:rFonts w:ascii="Arial Narrow" w:hAnsi="Arial Narrow"/>
          <w:sz w:val="24"/>
          <w:szCs w:val="24"/>
        </w:rPr>
      </w:pPr>
      <w:r w:rsidRPr="00BD1778">
        <w:rPr>
          <w:rFonts w:ascii="Arial Narrow" w:hAnsi="Arial Narrow"/>
          <w:sz w:val="24"/>
          <w:szCs w:val="24"/>
        </w:rPr>
        <w:t>Cieľom materiálu je priniesť ucelený pohľad na vývoj cien potravín v priebehu roka 2024, s dôrazom na identifikáciu trendov, vývoj inflácie, ako aj širších súvislostí, ktoré formujú vývoj cien základných druhov potravín na Slovensku.</w:t>
      </w:r>
    </w:p>
    <w:p w14:paraId="5A0D566B" w14:textId="3FD59017" w:rsidR="00BD1778" w:rsidRPr="007E6704" w:rsidRDefault="00BD1778" w:rsidP="005779C4">
      <w:pPr>
        <w:pStyle w:val="Nadpis2"/>
        <w:numPr>
          <w:ilvl w:val="1"/>
          <w:numId w:val="1"/>
        </w:numPr>
        <w:spacing w:after="240"/>
        <w:ind w:left="426"/>
        <w:rPr>
          <w:rFonts w:ascii="Arial Narrow" w:hAnsi="Arial Narrow"/>
          <w:b/>
          <w:bCs/>
          <w:color w:val="5B9BD5" w:themeColor="accent1"/>
          <w:lang w:eastAsia="en-US"/>
        </w:rPr>
      </w:pPr>
      <w:bookmarkStart w:id="8" w:name="_Toc201832583"/>
      <w:bookmarkStart w:id="9" w:name="_Toc202358579"/>
      <w:r w:rsidRPr="007E6704">
        <w:rPr>
          <w:rFonts w:ascii="Arial Narrow" w:hAnsi="Arial Narrow"/>
          <w:b/>
          <w:bCs/>
          <w:color w:val="5B9BD5" w:themeColor="accent1"/>
          <w:lang w:eastAsia="en-US"/>
        </w:rPr>
        <w:t>Ceny potravín na agregátnej úrovni a rast miezd</w:t>
      </w:r>
      <w:bookmarkEnd w:id="8"/>
      <w:bookmarkEnd w:id="9"/>
    </w:p>
    <w:p w14:paraId="4DFD543E" w14:textId="197641EF" w:rsidR="000B28BE" w:rsidRPr="005779C4" w:rsidRDefault="004C75C9" w:rsidP="005779C4">
      <w:pPr>
        <w:tabs>
          <w:tab w:val="left" w:pos="2694"/>
        </w:tabs>
        <w:spacing w:after="240"/>
        <w:rPr>
          <w:rFonts w:ascii="Arial Narrow" w:eastAsia="Times New Roman" w:hAnsi="Arial Narrow"/>
          <w:b/>
          <w:bCs/>
          <w:color w:val="000000" w:themeColor="text1"/>
          <w:sz w:val="24"/>
          <w:szCs w:val="24"/>
        </w:rPr>
      </w:pPr>
      <w:r w:rsidRPr="005779C4">
        <w:rPr>
          <w:rFonts w:ascii="Arial Narrow" w:eastAsia="Times New Roman" w:hAnsi="Arial Narrow"/>
          <w:b/>
          <w:bCs/>
          <w:color w:val="000000" w:themeColor="text1"/>
          <w:sz w:val="24"/>
          <w:szCs w:val="24"/>
        </w:rPr>
        <w:t>Ceny potravín v medzinárodnom porovnaní</w:t>
      </w:r>
      <w:r w:rsidR="000B28BE" w:rsidRPr="005779C4">
        <w:rPr>
          <w:rFonts w:ascii="Arial Narrow" w:eastAsia="Times New Roman" w:hAnsi="Arial Narrow"/>
          <w:b/>
          <w:bCs/>
          <w:color w:val="000000" w:themeColor="text1"/>
          <w:sz w:val="24"/>
          <w:szCs w:val="24"/>
        </w:rPr>
        <w:t xml:space="preserve"> </w:t>
      </w:r>
    </w:p>
    <w:p w14:paraId="16FD5464" w14:textId="669CBA2A" w:rsidR="000B28BE" w:rsidRPr="000B28BE" w:rsidRDefault="000B28BE" w:rsidP="00947BF3">
      <w:pPr>
        <w:spacing w:after="240"/>
        <w:jc w:val="both"/>
        <w:rPr>
          <w:rFonts w:ascii="Arial Narrow" w:hAnsi="Arial Narrow"/>
          <w:sz w:val="24"/>
          <w:szCs w:val="24"/>
        </w:rPr>
      </w:pPr>
      <w:r w:rsidRPr="000B28BE">
        <w:rPr>
          <w:rFonts w:ascii="Arial Narrow" w:hAnsi="Arial Narrow"/>
          <w:sz w:val="24"/>
          <w:szCs w:val="24"/>
        </w:rPr>
        <w:t>Ceny potravín na Slovensku boli v roku 2024 na úrovni 83,4</w:t>
      </w:r>
      <w:r w:rsidRPr="0067192A">
        <w:rPr>
          <w:rFonts w:ascii="Arial" w:hAnsi="Arial" w:cs="Arial"/>
          <w:sz w:val="24"/>
          <w:szCs w:val="24"/>
        </w:rPr>
        <w:t> </w:t>
      </w:r>
      <w:r w:rsidRPr="000B28BE">
        <w:rPr>
          <w:rFonts w:ascii="Arial Narrow" w:hAnsi="Arial Narrow"/>
          <w:sz w:val="24"/>
          <w:szCs w:val="24"/>
        </w:rPr>
        <w:t>% priemeru Eur</w:t>
      </w:r>
      <w:r w:rsidRPr="0067192A">
        <w:rPr>
          <w:rFonts w:ascii="Arial Narrow" w:hAnsi="Arial Narrow"/>
          <w:sz w:val="24"/>
          <w:szCs w:val="24"/>
        </w:rPr>
        <w:t>ó</w:t>
      </w:r>
      <w:r w:rsidRPr="000B28BE">
        <w:rPr>
          <w:rFonts w:ascii="Arial Narrow" w:hAnsi="Arial Narrow"/>
          <w:sz w:val="24"/>
          <w:szCs w:val="24"/>
        </w:rPr>
        <w:t xml:space="preserve">pskej </w:t>
      </w:r>
      <w:r w:rsidRPr="0067192A">
        <w:rPr>
          <w:rFonts w:ascii="Arial Narrow" w:hAnsi="Arial Narrow"/>
          <w:sz w:val="24"/>
          <w:szCs w:val="24"/>
        </w:rPr>
        <w:t>ú</w:t>
      </w:r>
      <w:r w:rsidRPr="000B28BE">
        <w:rPr>
          <w:rFonts w:ascii="Arial Narrow" w:hAnsi="Arial Narrow"/>
          <w:sz w:val="24"/>
          <w:szCs w:val="24"/>
        </w:rPr>
        <w:t>nie (E</w:t>
      </w:r>
      <w:r w:rsidRPr="0067192A">
        <w:rPr>
          <w:rFonts w:ascii="Arial Narrow" w:hAnsi="Arial Narrow"/>
          <w:sz w:val="24"/>
          <w:szCs w:val="24"/>
        </w:rPr>
        <w:t>Ú</w:t>
      </w:r>
      <w:r w:rsidRPr="000B28BE">
        <w:rPr>
          <w:rFonts w:ascii="Arial Narrow" w:hAnsi="Arial Narrow"/>
          <w:sz w:val="24"/>
          <w:szCs w:val="24"/>
        </w:rPr>
        <w:t>). V porovnan</w:t>
      </w:r>
      <w:r w:rsidRPr="0067192A">
        <w:rPr>
          <w:rFonts w:ascii="Arial Narrow" w:hAnsi="Arial Narrow"/>
          <w:sz w:val="24"/>
          <w:szCs w:val="24"/>
        </w:rPr>
        <w:t>í</w:t>
      </w:r>
      <w:r w:rsidRPr="000B28BE">
        <w:rPr>
          <w:rFonts w:ascii="Arial Narrow" w:hAnsi="Arial Narrow"/>
          <w:sz w:val="24"/>
          <w:szCs w:val="24"/>
        </w:rPr>
        <w:t xml:space="preserve"> s rokom 2023 (82,3</w:t>
      </w:r>
      <w:r w:rsidRPr="0067192A">
        <w:rPr>
          <w:rFonts w:ascii="Arial" w:hAnsi="Arial" w:cs="Arial"/>
          <w:sz w:val="24"/>
          <w:szCs w:val="24"/>
        </w:rPr>
        <w:t> </w:t>
      </w:r>
      <w:r w:rsidRPr="000B28BE">
        <w:rPr>
          <w:rFonts w:ascii="Arial Narrow" w:hAnsi="Arial Narrow"/>
          <w:sz w:val="24"/>
          <w:szCs w:val="24"/>
        </w:rPr>
        <w:t>%) ide o mierny n</w:t>
      </w:r>
      <w:r w:rsidRPr="0067192A">
        <w:rPr>
          <w:rFonts w:ascii="Arial Narrow" w:hAnsi="Arial Narrow"/>
          <w:sz w:val="24"/>
          <w:szCs w:val="24"/>
        </w:rPr>
        <w:t>á</w:t>
      </w:r>
      <w:r w:rsidRPr="000B28BE">
        <w:rPr>
          <w:rFonts w:ascii="Arial Narrow" w:hAnsi="Arial Narrow"/>
          <w:sz w:val="24"/>
          <w:szCs w:val="24"/>
        </w:rPr>
        <w:t>rast. Porovnate</w:t>
      </w:r>
      <w:r w:rsidRPr="0067192A">
        <w:rPr>
          <w:rFonts w:ascii="Arial Narrow" w:hAnsi="Arial Narrow"/>
          <w:sz w:val="24"/>
          <w:szCs w:val="24"/>
        </w:rPr>
        <w:t>ľ</w:t>
      </w:r>
      <w:r w:rsidRPr="000B28BE">
        <w:rPr>
          <w:rFonts w:ascii="Arial Narrow" w:hAnsi="Arial Narrow"/>
          <w:sz w:val="24"/>
          <w:szCs w:val="24"/>
        </w:rPr>
        <w:t>n</w:t>
      </w:r>
      <w:r w:rsidRPr="0067192A">
        <w:rPr>
          <w:rFonts w:ascii="Arial Narrow" w:hAnsi="Arial Narrow"/>
          <w:sz w:val="24"/>
          <w:szCs w:val="24"/>
        </w:rPr>
        <w:t>é</w:t>
      </w:r>
      <w:r w:rsidRPr="000B28BE">
        <w:rPr>
          <w:rFonts w:ascii="Arial Narrow" w:hAnsi="Arial Narrow"/>
          <w:sz w:val="24"/>
          <w:szCs w:val="24"/>
        </w:rPr>
        <w:t xml:space="preserve"> ceny boli v Po</w:t>
      </w:r>
      <w:r w:rsidRPr="0067192A">
        <w:rPr>
          <w:rFonts w:ascii="Arial Narrow" w:hAnsi="Arial Narrow"/>
          <w:sz w:val="24"/>
          <w:szCs w:val="24"/>
        </w:rPr>
        <w:t>ľ</w:t>
      </w:r>
      <w:r w:rsidRPr="000B28BE">
        <w:rPr>
          <w:rFonts w:ascii="Arial Narrow" w:hAnsi="Arial Narrow"/>
          <w:sz w:val="24"/>
          <w:szCs w:val="24"/>
        </w:rPr>
        <w:t>sku (86,8</w:t>
      </w:r>
      <w:r w:rsidRPr="0067192A">
        <w:rPr>
          <w:rFonts w:ascii="Arial" w:hAnsi="Arial" w:cs="Arial"/>
          <w:sz w:val="24"/>
          <w:szCs w:val="24"/>
        </w:rPr>
        <w:t> </w:t>
      </w:r>
      <w:r w:rsidRPr="000B28BE">
        <w:rPr>
          <w:rFonts w:ascii="Arial Narrow" w:hAnsi="Arial Narrow"/>
          <w:sz w:val="24"/>
          <w:szCs w:val="24"/>
        </w:rPr>
        <w:t>%), ktor</w:t>
      </w:r>
      <w:r w:rsidRPr="0067192A">
        <w:rPr>
          <w:rFonts w:ascii="Arial Narrow" w:hAnsi="Arial Narrow"/>
          <w:sz w:val="24"/>
          <w:szCs w:val="24"/>
        </w:rPr>
        <w:t>é</w:t>
      </w:r>
      <w:r w:rsidRPr="000B28BE">
        <w:rPr>
          <w:rFonts w:ascii="Arial Narrow" w:hAnsi="Arial Narrow"/>
          <w:sz w:val="24"/>
          <w:szCs w:val="24"/>
        </w:rPr>
        <w:t xml:space="preserve"> zaznamenalo prud</w:t>
      </w:r>
      <w:r w:rsidRPr="0067192A">
        <w:rPr>
          <w:rFonts w:ascii="Arial Narrow" w:hAnsi="Arial Narrow"/>
          <w:sz w:val="24"/>
          <w:szCs w:val="24"/>
        </w:rPr>
        <w:t>ší</w:t>
      </w:r>
      <w:r w:rsidRPr="000B28BE">
        <w:rPr>
          <w:rFonts w:ascii="Arial Narrow" w:hAnsi="Arial Narrow"/>
          <w:sz w:val="24"/>
          <w:szCs w:val="24"/>
        </w:rPr>
        <w:t xml:space="preserve"> medziro</w:t>
      </w:r>
      <w:r w:rsidRPr="0067192A">
        <w:rPr>
          <w:rFonts w:ascii="Arial Narrow" w:hAnsi="Arial Narrow"/>
          <w:sz w:val="24"/>
          <w:szCs w:val="24"/>
        </w:rPr>
        <w:t>č</w:t>
      </w:r>
      <w:r w:rsidRPr="000B28BE">
        <w:rPr>
          <w:rFonts w:ascii="Arial Narrow" w:hAnsi="Arial Narrow"/>
          <w:sz w:val="24"/>
          <w:szCs w:val="24"/>
        </w:rPr>
        <w:t>n</w:t>
      </w:r>
      <w:r w:rsidRPr="0067192A">
        <w:rPr>
          <w:rFonts w:ascii="Arial Narrow" w:hAnsi="Arial Narrow"/>
          <w:sz w:val="24"/>
          <w:szCs w:val="24"/>
        </w:rPr>
        <w:t>ý</w:t>
      </w:r>
      <w:r w:rsidRPr="000B28BE">
        <w:rPr>
          <w:rFonts w:ascii="Arial Narrow" w:hAnsi="Arial Narrow"/>
          <w:sz w:val="24"/>
          <w:szCs w:val="24"/>
        </w:rPr>
        <w:t xml:space="preserve"> n</w:t>
      </w:r>
      <w:r w:rsidRPr="0067192A">
        <w:rPr>
          <w:rFonts w:ascii="Arial Narrow" w:hAnsi="Arial Narrow"/>
          <w:sz w:val="24"/>
          <w:szCs w:val="24"/>
        </w:rPr>
        <w:t>á</w:t>
      </w:r>
      <w:r w:rsidRPr="000B28BE">
        <w:rPr>
          <w:rFonts w:ascii="Arial Narrow" w:hAnsi="Arial Narrow"/>
          <w:sz w:val="24"/>
          <w:szCs w:val="24"/>
        </w:rPr>
        <w:t>rast (z 82,4</w:t>
      </w:r>
      <w:r w:rsidRPr="0067192A">
        <w:rPr>
          <w:rFonts w:ascii="Arial" w:hAnsi="Arial" w:cs="Arial"/>
          <w:sz w:val="24"/>
          <w:szCs w:val="24"/>
        </w:rPr>
        <w:t> </w:t>
      </w:r>
      <w:r w:rsidRPr="000B28BE">
        <w:rPr>
          <w:rFonts w:ascii="Arial Narrow" w:hAnsi="Arial Narrow"/>
          <w:sz w:val="24"/>
          <w:szCs w:val="24"/>
        </w:rPr>
        <w:t xml:space="preserve">% v roku 2023). V </w:t>
      </w:r>
      <w:r w:rsidRPr="0067192A">
        <w:rPr>
          <w:rFonts w:ascii="Arial Narrow" w:hAnsi="Arial Narrow"/>
          <w:sz w:val="24"/>
          <w:szCs w:val="24"/>
        </w:rPr>
        <w:t>Č</w:t>
      </w:r>
      <w:r w:rsidRPr="000B28BE">
        <w:rPr>
          <w:rFonts w:ascii="Arial Narrow" w:hAnsi="Arial Narrow"/>
          <w:sz w:val="24"/>
          <w:szCs w:val="24"/>
        </w:rPr>
        <w:t xml:space="preserve">eskej republike boli ceny na </w:t>
      </w:r>
      <w:r w:rsidRPr="0067192A">
        <w:rPr>
          <w:rFonts w:ascii="Arial Narrow" w:hAnsi="Arial Narrow"/>
          <w:sz w:val="24"/>
          <w:szCs w:val="24"/>
        </w:rPr>
        <w:t>ú</w:t>
      </w:r>
      <w:r w:rsidRPr="000B28BE">
        <w:rPr>
          <w:rFonts w:ascii="Arial Narrow" w:hAnsi="Arial Narrow"/>
          <w:sz w:val="24"/>
          <w:szCs w:val="24"/>
        </w:rPr>
        <w:t>rovni 89,0</w:t>
      </w:r>
      <w:r w:rsidRPr="0067192A">
        <w:rPr>
          <w:rFonts w:ascii="Arial" w:hAnsi="Arial" w:cs="Arial"/>
          <w:sz w:val="24"/>
          <w:szCs w:val="24"/>
        </w:rPr>
        <w:t> </w:t>
      </w:r>
      <w:r w:rsidRPr="000B28BE">
        <w:rPr>
          <w:rFonts w:ascii="Arial Narrow" w:hAnsi="Arial Narrow"/>
          <w:sz w:val="24"/>
          <w:szCs w:val="24"/>
        </w:rPr>
        <w:t>%, v</w:t>
      </w:r>
      <w:r w:rsidR="0067192A">
        <w:rPr>
          <w:rFonts w:ascii="Arial Narrow" w:hAnsi="Arial Narrow"/>
          <w:sz w:val="24"/>
          <w:szCs w:val="24"/>
        </w:rPr>
        <w:t> </w:t>
      </w:r>
      <w:r w:rsidRPr="000B28BE">
        <w:rPr>
          <w:rFonts w:ascii="Arial Narrow" w:hAnsi="Arial Narrow"/>
          <w:sz w:val="24"/>
          <w:szCs w:val="24"/>
        </w:rPr>
        <w:t>Ma</w:t>
      </w:r>
      <w:r w:rsidRPr="0067192A">
        <w:rPr>
          <w:rFonts w:ascii="Arial Narrow" w:hAnsi="Arial Narrow"/>
          <w:sz w:val="24"/>
          <w:szCs w:val="24"/>
        </w:rPr>
        <w:t>ď</w:t>
      </w:r>
      <w:r w:rsidRPr="000B28BE">
        <w:rPr>
          <w:rFonts w:ascii="Arial Narrow" w:hAnsi="Arial Narrow"/>
          <w:sz w:val="24"/>
          <w:szCs w:val="24"/>
        </w:rPr>
        <w:t>arsku dosiahli 94,8</w:t>
      </w:r>
      <w:r w:rsidRPr="0067192A">
        <w:rPr>
          <w:rFonts w:ascii="Arial" w:hAnsi="Arial" w:cs="Arial"/>
          <w:sz w:val="24"/>
          <w:szCs w:val="24"/>
        </w:rPr>
        <w:t> </w:t>
      </w:r>
      <w:r w:rsidRPr="000B28BE">
        <w:rPr>
          <w:rFonts w:ascii="Arial Narrow" w:hAnsi="Arial Narrow"/>
          <w:sz w:val="24"/>
          <w:szCs w:val="24"/>
        </w:rPr>
        <w:t>% a v Slovinsku dosiahli rovn</w:t>
      </w:r>
      <w:r w:rsidRPr="0067192A">
        <w:rPr>
          <w:rFonts w:ascii="Arial Narrow" w:hAnsi="Arial Narrow"/>
          <w:sz w:val="24"/>
          <w:szCs w:val="24"/>
        </w:rPr>
        <w:t>ý</w:t>
      </w:r>
      <w:r w:rsidRPr="000B28BE">
        <w:rPr>
          <w:rFonts w:ascii="Arial Narrow" w:hAnsi="Arial Narrow"/>
          <w:sz w:val="24"/>
          <w:szCs w:val="24"/>
        </w:rPr>
        <w:t>ch 100</w:t>
      </w:r>
      <w:r w:rsidRPr="0067192A">
        <w:rPr>
          <w:rFonts w:ascii="Arial" w:hAnsi="Arial" w:cs="Arial"/>
          <w:sz w:val="24"/>
          <w:szCs w:val="24"/>
        </w:rPr>
        <w:t> </w:t>
      </w:r>
      <w:r w:rsidRPr="000B28BE">
        <w:rPr>
          <w:rFonts w:ascii="Arial Narrow" w:hAnsi="Arial Narrow"/>
          <w:sz w:val="24"/>
          <w:szCs w:val="24"/>
        </w:rPr>
        <w:t>% priemeru E</w:t>
      </w:r>
      <w:r w:rsidRPr="0067192A">
        <w:rPr>
          <w:rFonts w:ascii="Arial Narrow" w:hAnsi="Arial Narrow"/>
          <w:sz w:val="24"/>
          <w:szCs w:val="24"/>
        </w:rPr>
        <w:t>Ú</w:t>
      </w:r>
      <w:r w:rsidRPr="000B28BE">
        <w:rPr>
          <w:rFonts w:ascii="Arial Narrow" w:hAnsi="Arial Narrow"/>
          <w:sz w:val="24"/>
          <w:szCs w:val="24"/>
        </w:rPr>
        <w:t>.</w:t>
      </w:r>
    </w:p>
    <w:p w14:paraId="0884370D" w14:textId="54552702" w:rsidR="000B28BE" w:rsidRDefault="000B28BE" w:rsidP="00947BF3">
      <w:pPr>
        <w:spacing w:after="240"/>
        <w:jc w:val="both"/>
        <w:rPr>
          <w:rFonts w:ascii="Arial Narrow" w:hAnsi="Arial Narrow"/>
          <w:sz w:val="24"/>
          <w:szCs w:val="24"/>
        </w:rPr>
      </w:pPr>
      <w:r w:rsidRPr="000B28BE">
        <w:rPr>
          <w:rFonts w:ascii="Arial Narrow" w:hAnsi="Arial Narrow"/>
          <w:sz w:val="24"/>
          <w:szCs w:val="24"/>
        </w:rPr>
        <w:t>V Litve (101,2</w:t>
      </w:r>
      <w:r w:rsidRPr="0067192A">
        <w:rPr>
          <w:rFonts w:ascii="Arial" w:hAnsi="Arial" w:cs="Arial"/>
          <w:sz w:val="24"/>
          <w:szCs w:val="24"/>
        </w:rPr>
        <w:t> </w:t>
      </w:r>
      <w:r w:rsidRPr="000B28BE">
        <w:rPr>
          <w:rFonts w:ascii="Arial Narrow" w:hAnsi="Arial Narrow"/>
          <w:sz w:val="24"/>
          <w:szCs w:val="24"/>
        </w:rPr>
        <w:t>%), Nemecku (102,7</w:t>
      </w:r>
      <w:r w:rsidRPr="0067192A">
        <w:rPr>
          <w:rFonts w:ascii="Arial" w:hAnsi="Arial" w:cs="Arial"/>
          <w:sz w:val="24"/>
          <w:szCs w:val="24"/>
        </w:rPr>
        <w:t> </w:t>
      </w:r>
      <w:r w:rsidRPr="000B28BE">
        <w:rPr>
          <w:rFonts w:ascii="Arial Narrow" w:hAnsi="Arial Narrow"/>
          <w:sz w:val="24"/>
          <w:szCs w:val="24"/>
        </w:rPr>
        <w:t>%), Loty</w:t>
      </w:r>
      <w:r w:rsidRPr="0067192A">
        <w:rPr>
          <w:rFonts w:ascii="Arial Narrow" w:hAnsi="Arial Narrow"/>
          <w:sz w:val="24"/>
          <w:szCs w:val="24"/>
        </w:rPr>
        <w:t>š</w:t>
      </w:r>
      <w:r w:rsidRPr="000B28BE">
        <w:rPr>
          <w:rFonts w:ascii="Arial Narrow" w:hAnsi="Arial Narrow"/>
          <w:sz w:val="24"/>
          <w:szCs w:val="24"/>
        </w:rPr>
        <w:t>sku (105,4</w:t>
      </w:r>
      <w:r w:rsidRPr="0067192A">
        <w:rPr>
          <w:rFonts w:ascii="Arial" w:hAnsi="Arial" w:cs="Arial"/>
          <w:sz w:val="24"/>
          <w:szCs w:val="24"/>
        </w:rPr>
        <w:t> </w:t>
      </w:r>
      <w:r w:rsidRPr="000B28BE">
        <w:rPr>
          <w:rFonts w:ascii="Arial Narrow" w:hAnsi="Arial Narrow"/>
          <w:sz w:val="24"/>
          <w:szCs w:val="24"/>
        </w:rPr>
        <w:t>%) a Est</w:t>
      </w:r>
      <w:r w:rsidRPr="0067192A">
        <w:rPr>
          <w:rFonts w:ascii="Arial Narrow" w:hAnsi="Arial Narrow"/>
          <w:sz w:val="24"/>
          <w:szCs w:val="24"/>
        </w:rPr>
        <w:t>ó</w:t>
      </w:r>
      <w:r w:rsidRPr="000B28BE">
        <w:rPr>
          <w:rFonts w:ascii="Arial Narrow" w:hAnsi="Arial Narrow"/>
          <w:sz w:val="24"/>
          <w:szCs w:val="24"/>
        </w:rPr>
        <w:t>nsku (106,2</w:t>
      </w:r>
      <w:r w:rsidRPr="0067192A">
        <w:rPr>
          <w:rFonts w:ascii="Arial" w:hAnsi="Arial" w:cs="Arial"/>
          <w:sz w:val="24"/>
          <w:szCs w:val="24"/>
        </w:rPr>
        <w:t> </w:t>
      </w:r>
      <w:r w:rsidRPr="000B28BE">
        <w:rPr>
          <w:rFonts w:ascii="Arial Narrow" w:hAnsi="Arial Narrow"/>
          <w:sz w:val="24"/>
          <w:szCs w:val="24"/>
        </w:rPr>
        <w:t>%) boli ceny mierne a</w:t>
      </w:r>
      <w:r w:rsidRPr="0067192A">
        <w:rPr>
          <w:rFonts w:ascii="Arial Narrow" w:hAnsi="Arial Narrow"/>
          <w:sz w:val="24"/>
          <w:szCs w:val="24"/>
        </w:rPr>
        <w:t>ž</w:t>
      </w:r>
      <w:r w:rsidRPr="000B28BE">
        <w:rPr>
          <w:rFonts w:ascii="Arial Narrow" w:hAnsi="Arial Narrow"/>
          <w:sz w:val="24"/>
          <w:szCs w:val="24"/>
        </w:rPr>
        <w:t xml:space="preserve"> v</w:t>
      </w:r>
      <w:r w:rsidRPr="0067192A">
        <w:rPr>
          <w:rFonts w:ascii="Arial Narrow" w:hAnsi="Arial Narrow"/>
          <w:sz w:val="24"/>
          <w:szCs w:val="24"/>
        </w:rPr>
        <w:t>ý</w:t>
      </w:r>
      <w:r w:rsidRPr="000B28BE">
        <w:rPr>
          <w:rFonts w:ascii="Arial Narrow" w:hAnsi="Arial Narrow"/>
          <w:sz w:val="24"/>
          <w:szCs w:val="24"/>
        </w:rPr>
        <w:t>razne nad priemerom E</w:t>
      </w:r>
      <w:r w:rsidRPr="0067192A">
        <w:rPr>
          <w:rFonts w:ascii="Arial Narrow" w:hAnsi="Arial Narrow"/>
          <w:sz w:val="24"/>
          <w:szCs w:val="24"/>
        </w:rPr>
        <w:t>Ú</w:t>
      </w:r>
      <w:r w:rsidRPr="000B28BE">
        <w:rPr>
          <w:rFonts w:ascii="Arial Narrow" w:hAnsi="Arial Narrow"/>
          <w:sz w:val="24"/>
          <w:szCs w:val="24"/>
        </w:rPr>
        <w:t>, zatia</w:t>
      </w:r>
      <w:r w:rsidRPr="0067192A">
        <w:rPr>
          <w:rFonts w:ascii="Arial Narrow" w:hAnsi="Arial Narrow"/>
          <w:sz w:val="24"/>
          <w:szCs w:val="24"/>
        </w:rPr>
        <w:t>ľ</w:t>
      </w:r>
      <w:r w:rsidRPr="000B28BE">
        <w:rPr>
          <w:rFonts w:ascii="Arial Narrow" w:hAnsi="Arial Narrow"/>
          <w:sz w:val="24"/>
          <w:szCs w:val="24"/>
        </w:rPr>
        <w:t xml:space="preserve"> </w:t>
      </w:r>
      <w:r w:rsidRPr="0067192A">
        <w:rPr>
          <w:rFonts w:ascii="Arial Narrow" w:hAnsi="Arial Narrow"/>
          <w:sz w:val="24"/>
          <w:szCs w:val="24"/>
        </w:rPr>
        <w:t>č</w:t>
      </w:r>
      <w:r w:rsidRPr="000B28BE">
        <w:rPr>
          <w:rFonts w:ascii="Arial Narrow" w:hAnsi="Arial Narrow"/>
          <w:sz w:val="24"/>
          <w:szCs w:val="24"/>
        </w:rPr>
        <w:t>o v Rak</w:t>
      </w:r>
      <w:r w:rsidRPr="0067192A">
        <w:rPr>
          <w:rFonts w:ascii="Arial Narrow" w:hAnsi="Arial Narrow"/>
          <w:sz w:val="24"/>
          <w:szCs w:val="24"/>
        </w:rPr>
        <w:t>ú</w:t>
      </w:r>
      <w:r w:rsidRPr="000B28BE">
        <w:rPr>
          <w:rFonts w:ascii="Arial Narrow" w:hAnsi="Arial Narrow"/>
          <w:sz w:val="24"/>
          <w:szCs w:val="24"/>
        </w:rPr>
        <w:t>sku dosiahli najvy</w:t>
      </w:r>
      <w:r w:rsidRPr="0067192A">
        <w:rPr>
          <w:rFonts w:ascii="Arial Narrow" w:hAnsi="Arial Narrow"/>
          <w:sz w:val="24"/>
          <w:szCs w:val="24"/>
        </w:rPr>
        <w:t>šš</w:t>
      </w:r>
      <w:r w:rsidRPr="000B28BE">
        <w:rPr>
          <w:rFonts w:ascii="Arial Narrow" w:hAnsi="Arial Narrow"/>
          <w:sz w:val="24"/>
          <w:szCs w:val="24"/>
        </w:rPr>
        <w:t xml:space="preserve">iu hodnotu na </w:t>
      </w:r>
      <w:r w:rsidRPr="0067192A">
        <w:rPr>
          <w:rFonts w:ascii="Arial Narrow" w:hAnsi="Arial Narrow"/>
          <w:sz w:val="24"/>
          <w:szCs w:val="24"/>
        </w:rPr>
        <w:t>ú</w:t>
      </w:r>
      <w:r w:rsidRPr="000B28BE">
        <w:rPr>
          <w:rFonts w:ascii="Arial Narrow" w:hAnsi="Arial Narrow"/>
          <w:sz w:val="24"/>
          <w:szCs w:val="24"/>
        </w:rPr>
        <w:t>rovni 110,5</w:t>
      </w:r>
      <w:r w:rsidRPr="0067192A">
        <w:rPr>
          <w:rFonts w:ascii="Arial" w:hAnsi="Arial" w:cs="Arial"/>
          <w:sz w:val="24"/>
          <w:szCs w:val="24"/>
        </w:rPr>
        <w:t> </w:t>
      </w:r>
      <w:r w:rsidRPr="000B28BE">
        <w:rPr>
          <w:rFonts w:ascii="Arial Narrow" w:hAnsi="Arial Narrow"/>
          <w:sz w:val="24"/>
          <w:szCs w:val="24"/>
        </w:rPr>
        <w:t>%. Slovensko sa tak aj v roku 2024 zaradilo medzi krajiny s najni</w:t>
      </w:r>
      <w:r w:rsidRPr="0067192A">
        <w:rPr>
          <w:rFonts w:ascii="Arial Narrow" w:hAnsi="Arial Narrow"/>
          <w:sz w:val="24"/>
          <w:szCs w:val="24"/>
        </w:rPr>
        <w:t>žší</w:t>
      </w:r>
      <w:r w:rsidRPr="000B28BE">
        <w:rPr>
          <w:rFonts w:ascii="Arial Narrow" w:hAnsi="Arial Narrow"/>
          <w:sz w:val="24"/>
          <w:szCs w:val="24"/>
        </w:rPr>
        <w:t>mi cenami potrav</w:t>
      </w:r>
      <w:r w:rsidRPr="0067192A">
        <w:rPr>
          <w:rFonts w:ascii="Arial Narrow" w:hAnsi="Arial Narrow"/>
          <w:sz w:val="24"/>
          <w:szCs w:val="24"/>
        </w:rPr>
        <w:t>í</w:t>
      </w:r>
      <w:r w:rsidRPr="000B28BE">
        <w:rPr>
          <w:rFonts w:ascii="Arial Narrow" w:hAnsi="Arial Narrow"/>
          <w:sz w:val="24"/>
          <w:szCs w:val="24"/>
        </w:rPr>
        <w:t>n v r</w:t>
      </w:r>
      <w:r w:rsidRPr="0067192A">
        <w:rPr>
          <w:rFonts w:ascii="Arial Narrow" w:hAnsi="Arial Narrow"/>
          <w:sz w:val="24"/>
          <w:szCs w:val="24"/>
        </w:rPr>
        <w:t>á</w:t>
      </w:r>
      <w:r w:rsidRPr="000B28BE">
        <w:rPr>
          <w:rFonts w:ascii="Arial Narrow" w:hAnsi="Arial Narrow"/>
          <w:sz w:val="24"/>
          <w:szCs w:val="24"/>
        </w:rPr>
        <w:t>mci E</w:t>
      </w:r>
      <w:r w:rsidRPr="0067192A">
        <w:rPr>
          <w:rFonts w:ascii="Arial Narrow" w:hAnsi="Arial Narrow"/>
          <w:sz w:val="24"/>
          <w:szCs w:val="24"/>
        </w:rPr>
        <w:t>Ú</w:t>
      </w:r>
      <w:r w:rsidRPr="000B28BE">
        <w:rPr>
          <w:rFonts w:ascii="Arial Narrow" w:hAnsi="Arial Narrow"/>
          <w:sz w:val="24"/>
          <w:szCs w:val="24"/>
        </w:rPr>
        <w:t>, pri</w:t>
      </w:r>
      <w:r w:rsidRPr="0067192A">
        <w:rPr>
          <w:rFonts w:ascii="Arial Narrow" w:hAnsi="Arial Narrow"/>
          <w:sz w:val="24"/>
          <w:szCs w:val="24"/>
        </w:rPr>
        <w:t>č</w:t>
      </w:r>
      <w:r w:rsidRPr="000B28BE">
        <w:rPr>
          <w:rFonts w:ascii="Arial Narrow" w:hAnsi="Arial Narrow"/>
          <w:sz w:val="24"/>
          <w:szCs w:val="24"/>
        </w:rPr>
        <w:t>om v porovnan</w:t>
      </w:r>
      <w:r w:rsidRPr="0067192A">
        <w:rPr>
          <w:rFonts w:ascii="Arial Narrow" w:hAnsi="Arial Narrow"/>
          <w:sz w:val="24"/>
          <w:szCs w:val="24"/>
        </w:rPr>
        <w:t>í</w:t>
      </w:r>
      <w:r w:rsidRPr="000B28BE">
        <w:rPr>
          <w:rFonts w:ascii="Arial Narrow" w:hAnsi="Arial Narrow"/>
          <w:sz w:val="24"/>
          <w:szCs w:val="24"/>
        </w:rPr>
        <w:t xml:space="preserve"> s krajinami z</w:t>
      </w:r>
      <w:r w:rsidRPr="0067192A">
        <w:rPr>
          <w:rFonts w:ascii="Arial Narrow" w:hAnsi="Arial Narrow"/>
          <w:sz w:val="24"/>
          <w:szCs w:val="24"/>
        </w:rPr>
        <w:t>á</w:t>
      </w:r>
      <w:r w:rsidRPr="000B28BE">
        <w:rPr>
          <w:rFonts w:ascii="Arial Narrow" w:hAnsi="Arial Narrow"/>
          <w:sz w:val="24"/>
          <w:szCs w:val="24"/>
        </w:rPr>
        <w:t>padnej Eur</w:t>
      </w:r>
      <w:r w:rsidRPr="0067192A">
        <w:rPr>
          <w:rFonts w:ascii="Arial Narrow" w:hAnsi="Arial Narrow"/>
          <w:sz w:val="24"/>
          <w:szCs w:val="24"/>
        </w:rPr>
        <w:t>ó</w:t>
      </w:r>
      <w:r w:rsidRPr="000B28BE">
        <w:rPr>
          <w:rFonts w:ascii="Arial Narrow" w:hAnsi="Arial Narrow"/>
          <w:sz w:val="24"/>
          <w:szCs w:val="24"/>
        </w:rPr>
        <w:t>py zost</w:t>
      </w:r>
      <w:r w:rsidRPr="0067192A">
        <w:rPr>
          <w:rFonts w:ascii="Arial Narrow" w:hAnsi="Arial Narrow"/>
          <w:sz w:val="24"/>
          <w:szCs w:val="24"/>
        </w:rPr>
        <w:t>á</w:t>
      </w:r>
      <w:r w:rsidRPr="000B28BE">
        <w:rPr>
          <w:rFonts w:ascii="Arial Narrow" w:hAnsi="Arial Narrow"/>
          <w:sz w:val="24"/>
          <w:szCs w:val="24"/>
        </w:rPr>
        <w:t>va v</w:t>
      </w:r>
      <w:r w:rsidRPr="0067192A">
        <w:rPr>
          <w:rFonts w:ascii="Arial Narrow" w:hAnsi="Arial Narrow"/>
          <w:sz w:val="24"/>
          <w:szCs w:val="24"/>
        </w:rPr>
        <w:t>ý</w:t>
      </w:r>
      <w:r w:rsidRPr="000B28BE">
        <w:rPr>
          <w:rFonts w:ascii="Arial Narrow" w:hAnsi="Arial Narrow"/>
          <w:sz w:val="24"/>
          <w:szCs w:val="24"/>
        </w:rPr>
        <w:t>razne lacnej</w:t>
      </w:r>
      <w:r w:rsidRPr="0067192A">
        <w:rPr>
          <w:rFonts w:ascii="Arial Narrow" w:hAnsi="Arial Narrow"/>
          <w:sz w:val="24"/>
          <w:szCs w:val="24"/>
        </w:rPr>
        <w:t>š</w:t>
      </w:r>
      <w:r w:rsidRPr="000B28BE">
        <w:rPr>
          <w:rFonts w:ascii="Arial Narrow" w:hAnsi="Arial Narrow"/>
          <w:sz w:val="24"/>
          <w:szCs w:val="24"/>
        </w:rPr>
        <w:t>ie.</w:t>
      </w:r>
    </w:p>
    <w:p w14:paraId="40B2C860" w14:textId="77777777" w:rsidR="00D54891" w:rsidRDefault="00D54891" w:rsidP="00947BF3">
      <w:pPr>
        <w:spacing w:after="240"/>
        <w:jc w:val="both"/>
        <w:rPr>
          <w:rFonts w:ascii="Arial Narrow" w:hAnsi="Arial Narrow"/>
          <w:sz w:val="24"/>
          <w:szCs w:val="24"/>
        </w:rPr>
      </w:pPr>
    </w:p>
    <w:p w14:paraId="0201A663" w14:textId="77777777" w:rsidR="00D54891" w:rsidRDefault="00D54891" w:rsidP="00947BF3">
      <w:pPr>
        <w:spacing w:after="240"/>
        <w:jc w:val="both"/>
        <w:rPr>
          <w:rFonts w:ascii="Arial Narrow" w:hAnsi="Arial Narrow"/>
          <w:sz w:val="24"/>
          <w:szCs w:val="24"/>
        </w:rPr>
      </w:pPr>
    </w:p>
    <w:tbl>
      <w:tblPr>
        <w:tblW w:w="4899"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1E0" w:firstRow="1" w:lastRow="1" w:firstColumn="1" w:lastColumn="1" w:noHBand="0" w:noVBand="0"/>
      </w:tblPr>
      <w:tblGrid>
        <w:gridCol w:w="4250"/>
        <w:gridCol w:w="167"/>
        <w:gridCol w:w="4470"/>
      </w:tblGrid>
      <w:tr w:rsidR="00091BA7" w:rsidRPr="00866785" w14:paraId="22D4E1A7" w14:textId="77777777" w:rsidTr="7D6FFD56">
        <w:trPr>
          <w:trHeight w:val="321"/>
        </w:trPr>
        <w:tc>
          <w:tcPr>
            <w:tcW w:w="2391" w:type="pct"/>
            <w:tcBorders>
              <w:top w:val="nil"/>
              <w:left w:val="nil"/>
              <w:bottom w:val="single" w:sz="4" w:space="0" w:color="auto"/>
              <w:right w:val="nil"/>
            </w:tcBorders>
            <w:shd w:val="clear" w:color="auto" w:fill="auto"/>
            <w:vAlign w:val="center"/>
          </w:tcPr>
          <w:p w14:paraId="36DAD8E2" w14:textId="54FE2C08" w:rsidR="00091BA7" w:rsidRPr="00866785" w:rsidRDefault="00091BA7" w:rsidP="00947BF3">
            <w:pPr>
              <w:spacing w:after="120"/>
              <w:rPr>
                <w:rFonts w:ascii="Arial Narrow" w:hAnsi="Arial Narrow" w:cs="Arial"/>
                <w:b/>
                <w:bCs/>
                <w:color w:val="2C9ADC"/>
                <w:sz w:val="20"/>
                <w:szCs w:val="20"/>
              </w:rPr>
            </w:pPr>
            <w:r w:rsidRPr="00866785">
              <w:rPr>
                <w:rFonts w:ascii="Arial Narrow" w:hAnsi="Arial Narrow" w:cs="Arial"/>
                <w:b/>
                <w:bCs/>
                <w:color w:val="2C9ADC"/>
                <w:sz w:val="20"/>
                <w:szCs w:val="20"/>
              </w:rPr>
              <w:t>Medzinárodné porovnanie cien potravín v rámci zberu PKS (% EÚ)</w:t>
            </w:r>
            <w:r w:rsidR="0061015B">
              <w:rPr>
                <w:rFonts w:ascii="Arial Narrow" w:hAnsi="Arial Narrow" w:cs="Arial"/>
                <w:b/>
                <w:bCs/>
                <w:color w:val="2C9ADC"/>
                <w:sz w:val="20"/>
                <w:szCs w:val="20"/>
              </w:rPr>
              <w:t xml:space="preserve"> za rok 2024</w:t>
            </w:r>
          </w:p>
        </w:tc>
        <w:tc>
          <w:tcPr>
            <w:tcW w:w="94" w:type="pct"/>
            <w:tcBorders>
              <w:top w:val="nil"/>
              <w:left w:val="nil"/>
              <w:bottom w:val="nil"/>
              <w:right w:val="nil"/>
            </w:tcBorders>
            <w:shd w:val="clear" w:color="auto" w:fill="auto"/>
            <w:vAlign w:val="center"/>
          </w:tcPr>
          <w:p w14:paraId="04BF1D10" w14:textId="77777777" w:rsidR="00091BA7" w:rsidRPr="00866785" w:rsidRDefault="00091BA7" w:rsidP="00947BF3">
            <w:pPr>
              <w:spacing w:after="120"/>
              <w:rPr>
                <w:rFonts w:ascii="Arial Narrow" w:hAnsi="Arial Narrow" w:cs="Arial"/>
                <w:b/>
                <w:color w:val="2C9ADC"/>
                <w:sz w:val="20"/>
                <w:szCs w:val="18"/>
              </w:rPr>
            </w:pPr>
          </w:p>
        </w:tc>
        <w:tc>
          <w:tcPr>
            <w:tcW w:w="2515" w:type="pct"/>
            <w:tcBorders>
              <w:top w:val="nil"/>
              <w:left w:val="nil"/>
              <w:bottom w:val="single" w:sz="4" w:space="0" w:color="auto"/>
              <w:right w:val="nil"/>
            </w:tcBorders>
            <w:shd w:val="clear" w:color="auto" w:fill="auto"/>
            <w:vAlign w:val="center"/>
          </w:tcPr>
          <w:p w14:paraId="32CAA2D0" w14:textId="578F6FAF" w:rsidR="00091BA7" w:rsidRPr="00866785" w:rsidRDefault="00091BA7" w:rsidP="00947BF3">
            <w:pPr>
              <w:spacing w:after="120"/>
              <w:rPr>
                <w:rFonts w:ascii="Arial Narrow" w:hAnsi="Arial Narrow" w:cs="Arial"/>
                <w:b/>
                <w:bCs/>
                <w:color w:val="2C9ADC"/>
                <w:sz w:val="20"/>
                <w:szCs w:val="20"/>
              </w:rPr>
            </w:pPr>
            <w:r w:rsidRPr="00866785">
              <w:rPr>
                <w:rFonts w:ascii="Arial Narrow" w:hAnsi="Arial Narrow" w:cs="Arial"/>
                <w:b/>
                <w:bCs/>
                <w:color w:val="2C9ADC"/>
                <w:sz w:val="20"/>
                <w:szCs w:val="20"/>
              </w:rPr>
              <w:t>Ceny jednotlivých kategórii potravín v SR zo zberu PKS (% EÚ)</w:t>
            </w:r>
            <w:r w:rsidR="0061015B">
              <w:rPr>
                <w:rFonts w:ascii="Arial Narrow" w:hAnsi="Arial Narrow" w:cs="Arial"/>
                <w:b/>
                <w:bCs/>
                <w:color w:val="2C9ADC"/>
                <w:sz w:val="20"/>
                <w:szCs w:val="20"/>
              </w:rPr>
              <w:t xml:space="preserve"> za rok 2024</w:t>
            </w:r>
          </w:p>
        </w:tc>
      </w:tr>
      <w:tr w:rsidR="00091BA7" w:rsidRPr="00866785" w14:paraId="6B82024B" w14:textId="77777777" w:rsidTr="00513677">
        <w:trPr>
          <w:trHeight w:val="820"/>
        </w:trPr>
        <w:tc>
          <w:tcPr>
            <w:tcW w:w="2391" w:type="pct"/>
            <w:tcBorders>
              <w:top w:val="single" w:sz="4" w:space="0" w:color="auto"/>
              <w:left w:val="nil"/>
              <w:bottom w:val="single" w:sz="4" w:space="0" w:color="auto"/>
              <w:right w:val="nil"/>
            </w:tcBorders>
            <w:vAlign w:val="center"/>
          </w:tcPr>
          <w:p w14:paraId="5BE18035" w14:textId="191971DA" w:rsidR="00091BA7" w:rsidRPr="00866785" w:rsidRDefault="0061015B" w:rsidP="00947BF3">
            <w:pPr>
              <w:spacing w:after="120"/>
              <w:jc w:val="center"/>
              <w:rPr>
                <w:rFonts w:ascii="Arial Narrow" w:hAnsi="Arial Narrow" w:cs="Arial"/>
                <w:b/>
                <w:bCs/>
                <w:sz w:val="20"/>
                <w:szCs w:val="20"/>
              </w:rPr>
            </w:pPr>
            <w:r>
              <w:rPr>
                <w:noProof/>
              </w:rPr>
              <w:drawing>
                <wp:inline distT="0" distB="0" distL="0" distR="0" wp14:anchorId="00318201" wp14:editId="41B5418B">
                  <wp:extent cx="2610485" cy="1714500"/>
                  <wp:effectExtent l="0" t="0" r="0" b="0"/>
                  <wp:docPr id="1768532593" name="Graf 1">
                    <a:extLst xmlns:a="http://schemas.openxmlformats.org/drawingml/2006/main">
                      <a:ext uri="{FF2B5EF4-FFF2-40B4-BE49-F238E27FC236}">
                        <a16:creationId xmlns:a16="http://schemas.microsoft.com/office/drawing/2014/main" id="{D5231503-E5EE-4F38-8A1F-197EC858D3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c>
        <w:tc>
          <w:tcPr>
            <w:tcW w:w="94" w:type="pct"/>
            <w:tcBorders>
              <w:top w:val="nil"/>
              <w:left w:val="nil"/>
              <w:bottom w:val="nil"/>
              <w:right w:val="nil"/>
            </w:tcBorders>
            <w:vAlign w:val="center"/>
          </w:tcPr>
          <w:p w14:paraId="75006876" w14:textId="77777777" w:rsidR="00091BA7" w:rsidRPr="00866785" w:rsidRDefault="00091BA7" w:rsidP="00947BF3">
            <w:pPr>
              <w:spacing w:after="120"/>
              <w:jc w:val="center"/>
              <w:rPr>
                <w:rFonts w:ascii="Arial Narrow" w:hAnsi="Arial Narrow" w:cs="Arial"/>
                <w:b/>
                <w:sz w:val="20"/>
                <w:szCs w:val="20"/>
              </w:rPr>
            </w:pPr>
          </w:p>
          <w:p w14:paraId="2BB476B2" w14:textId="77777777" w:rsidR="00091BA7" w:rsidRPr="00866785" w:rsidRDefault="00091BA7" w:rsidP="00947BF3">
            <w:pPr>
              <w:spacing w:after="120"/>
              <w:jc w:val="center"/>
              <w:rPr>
                <w:rFonts w:ascii="Arial Narrow" w:hAnsi="Arial Narrow" w:cs="Arial"/>
                <w:b/>
                <w:sz w:val="20"/>
                <w:szCs w:val="20"/>
              </w:rPr>
            </w:pPr>
          </w:p>
        </w:tc>
        <w:tc>
          <w:tcPr>
            <w:tcW w:w="2515" w:type="pct"/>
            <w:tcBorders>
              <w:top w:val="single" w:sz="4" w:space="0" w:color="auto"/>
              <w:left w:val="nil"/>
              <w:bottom w:val="single" w:sz="4" w:space="0" w:color="auto"/>
              <w:right w:val="nil"/>
            </w:tcBorders>
            <w:vAlign w:val="center"/>
          </w:tcPr>
          <w:p w14:paraId="453A6002" w14:textId="08A7FFF0" w:rsidR="00091BA7" w:rsidRPr="00866785" w:rsidRDefault="00513677" w:rsidP="00947BF3">
            <w:pPr>
              <w:spacing w:after="120"/>
              <w:jc w:val="center"/>
              <w:rPr>
                <w:rFonts w:ascii="Arial Narrow" w:hAnsi="Arial Narrow" w:cs="Arial"/>
                <w:b/>
                <w:bCs/>
                <w:sz w:val="20"/>
                <w:szCs w:val="20"/>
              </w:rPr>
            </w:pPr>
            <w:r>
              <w:rPr>
                <w:noProof/>
              </w:rPr>
              <w:drawing>
                <wp:inline distT="0" distB="0" distL="0" distR="0" wp14:anchorId="30124CB1" wp14:editId="446DC1EC">
                  <wp:extent cx="2628900" cy="1581150"/>
                  <wp:effectExtent l="0" t="0" r="0" b="0"/>
                  <wp:docPr id="1922135274" name="Graf 1">
                    <a:extLst xmlns:a="http://schemas.openxmlformats.org/drawingml/2006/main">
                      <a:ext uri="{FF2B5EF4-FFF2-40B4-BE49-F238E27FC236}">
                        <a16:creationId xmlns:a16="http://schemas.microsoft.com/office/drawing/2014/main" id="{D3EC8F08-CEC5-1540-2368-9DE9D346C19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r>
      <w:tr w:rsidR="00091BA7" w:rsidRPr="00866785" w14:paraId="5D3957E1" w14:textId="77777777" w:rsidTr="7D6FFD56">
        <w:trPr>
          <w:trHeight w:val="104"/>
        </w:trPr>
        <w:tc>
          <w:tcPr>
            <w:tcW w:w="2391" w:type="pct"/>
            <w:tcBorders>
              <w:top w:val="single" w:sz="4" w:space="0" w:color="auto"/>
              <w:left w:val="nil"/>
              <w:bottom w:val="nil"/>
              <w:right w:val="nil"/>
            </w:tcBorders>
            <w:vAlign w:val="center"/>
          </w:tcPr>
          <w:p w14:paraId="759EE1B7" w14:textId="1B4B3085" w:rsidR="00091BA7" w:rsidRPr="00866785" w:rsidRDefault="00091BA7" w:rsidP="00947BF3">
            <w:pPr>
              <w:spacing w:after="120"/>
              <w:jc w:val="right"/>
              <w:rPr>
                <w:rFonts w:ascii="Arial Narrow" w:hAnsi="Arial Narrow" w:cs="Arial"/>
                <w:i/>
                <w:sz w:val="16"/>
                <w:szCs w:val="16"/>
              </w:rPr>
            </w:pPr>
            <w:r w:rsidRPr="00866785">
              <w:rPr>
                <w:rFonts w:ascii="Arial Narrow" w:hAnsi="Arial Narrow" w:cs="Arial"/>
                <w:i/>
                <w:sz w:val="16"/>
                <w:szCs w:val="16"/>
              </w:rPr>
              <w:t>Zdroj: Eurostat,  IFP</w:t>
            </w:r>
            <w:r w:rsidR="0061015B">
              <w:rPr>
                <w:rFonts w:ascii="Arial Narrow" w:hAnsi="Arial Narrow" w:cs="Arial"/>
                <w:i/>
                <w:sz w:val="16"/>
                <w:szCs w:val="16"/>
              </w:rPr>
              <w:t>, MF SR</w:t>
            </w:r>
            <w:r w:rsidRPr="00866785">
              <w:rPr>
                <w:rFonts w:ascii="Arial Narrow" w:hAnsi="Arial Narrow" w:cs="Arial"/>
                <w:i/>
                <w:sz w:val="16"/>
                <w:szCs w:val="16"/>
              </w:rPr>
              <w:t xml:space="preserve"> </w:t>
            </w:r>
          </w:p>
        </w:tc>
        <w:tc>
          <w:tcPr>
            <w:tcW w:w="94" w:type="pct"/>
            <w:tcBorders>
              <w:top w:val="nil"/>
              <w:left w:val="nil"/>
              <w:bottom w:val="nil"/>
              <w:right w:val="nil"/>
            </w:tcBorders>
            <w:vAlign w:val="center"/>
          </w:tcPr>
          <w:p w14:paraId="6B462E07" w14:textId="77777777" w:rsidR="00091BA7" w:rsidRPr="00866785" w:rsidRDefault="00091BA7" w:rsidP="00947BF3">
            <w:pPr>
              <w:spacing w:after="120"/>
              <w:jc w:val="center"/>
              <w:rPr>
                <w:rFonts w:ascii="Arial Narrow" w:hAnsi="Arial Narrow" w:cs="Arial"/>
                <w:i/>
                <w:sz w:val="16"/>
                <w:szCs w:val="16"/>
              </w:rPr>
            </w:pPr>
          </w:p>
        </w:tc>
        <w:tc>
          <w:tcPr>
            <w:tcW w:w="2515" w:type="pct"/>
            <w:tcBorders>
              <w:top w:val="single" w:sz="4" w:space="0" w:color="auto"/>
              <w:left w:val="nil"/>
              <w:bottom w:val="nil"/>
              <w:right w:val="nil"/>
            </w:tcBorders>
            <w:vAlign w:val="center"/>
          </w:tcPr>
          <w:p w14:paraId="7E60A8D1" w14:textId="67B9369D" w:rsidR="00091BA7" w:rsidRPr="00866785" w:rsidRDefault="00091BA7" w:rsidP="00947BF3">
            <w:pPr>
              <w:spacing w:after="120"/>
              <w:jc w:val="right"/>
              <w:rPr>
                <w:rFonts w:ascii="Arial Narrow" w:hAnsi="Arial Narrow" w:cs="Arial"/>
                <w:i/>
                <w:sz w:val="16"/>
                <w:szCs w:val="16"/>
              </w:rPr>
            </w:pPr>
            <w:r w:rsidRPr="00866785">
              <w:rPr>
                <w:rFonts w:ascii="Arial Narrow" w:hAnsi="Arial Narrow" w:cs="Arial"/>
                <w:i/>
                <w:sz w:val="16"/>
                <w:szCs w:val="16"/>
              </w:rPr>
              <w:t>Zdroj: Eurostat, IFP</w:t>
            </w:r>
            <w:r w:rsidR="0061015B">
              <w:rPr>
                <w:rFonts w:ascii="Arial Narrow" w:hAnsi="Arial Narrow" w:cs="Arial"/>
                <w:i/>
                <w:sz w:val="16"/>
                <w:szCs w:val="16"/>
              </w:rPr>
              <w:t>, MF SR</w:t>
            </w:r>
          </w:p>
        </w:tc>
      </w:tr>
    </w:tbl>
    <w:p w14:paraId="0668E93B" w14:textId="77777777" w:rsidR="000B28BE" w:rsidRPr="000B28BE" w:rsidRDefault="000B28BE" w:rsidP="00C656B2">
      <w:pPr>
        <w:spacing w:before="240" w:after="240"/>
        <w:jc w:val="both"/>
        <w:rPr>
          <w:rFonts w:ascii="Arial Narrow" w:hAnsi="Arial Narrow"/>
          <w:sz w:val="24"/>
          <w:szCs w:val="24"/>
        </w:rPr>
      </w:pPr>
      <w:r w:rsidRPr="000B28BE">
        <w:rPr>
          <w:rFonts w:ascii="Arial Narrow" w:hAnsi="Arial Narrow"/>
          <w:sz w:val="24"/>
          <w:szCs w:val="24"/>
        </w:rPr>
        <w:t>Pri detailnejšom pohľade vidíme, že najlacnejšou kategóriou potravín na Slovensku v roku 2024 bolo mäso, ktorého cena dosahovala len 70,2</w:t>
      </w:r>
      <w:r w:rsidRPr="0067192A">
        <w:rPr>
          <w:rFonts w:ascii="Arial" w:hAnsi="Arial" w:cs="Arial"/>
          <w:sz w:val="24"/>
          <w:szCs w:val="24"/>
        </w:rPr>
        <w:t> </w:t>
      </w:r>
      <w:r w:rsidRPr="000B28BE">
        <w:rPr>
          <w:rFonts w:ascii="Arial Narrow" w:hAnsi="Arial Narrow"/>
          <w:sz w:val="24"/>
          <w:szCs w:val="24"/>
        </w:rPr>
        <w:t>% priemeru EÚ. Naopak najvyššie ceny vzhľadom na priemer EÚ boli zaznamenané pri kategórii oleje a tuky (96,1</w:t>
      </w:r>
      <w:r w:rsidRPr="0067192A">
        <w:rPr>
          <w:rFonts w:ascii="Arial" w:hAnsi="Arial" w:cs="Arial"/>
          <w:sz w:val="24"/>
          <w:szCs w:val="24"/>
        </w:rPr>
        <w:t> </w:t>
      </w:r>
      <w:r w:rsidRPr="000B28BE">
        <w:rPr>
          <w:rFonts w:ascii="Arial Narrow" w:hAnsi="Arial Narrow"/>
          <w:sz w:val="24"/>
          <w:szCs w:val="24"/>
        </w:rPr>
        <w:t>%), čo súvisí aj s dlhodobo vysokou cenou masla.</w:t>
      </w:r>
    </w:p>
    <w:p w14:paraId="01C82C64" w14:textId="0953EE99" w:rsidR="000B28BE" w:rsidRPr="000B28BE" w:rsidRDefault="000B28BE" w:rsidP="00947BF3">
      <w:pPr>
        <w:spacing w:after="240"/>
        <w:jc w:val="both"/>
        <w:rPr>
          <w:rFonts w:ascii="Arial Narrow" w:hAnsi="Arial Narrow"/>
          <w:sz w:val="24"/>
          <w:szCs w:val="24"/>
        </w:rPr>
      </w:pPr>
      <w:r w:rsidRPr="000B28BE">
        <w:rPr>
          <w:rFonts w:ascii="Arial Narrow" w:hAnsi="Arial Narrow"/>
          <w:sz w:val="24"/>
          <w:szCs w:val="24"/>
        </w:rPr>
        <w:t>Nealkoholické nápoje (88,6</w:t>
      </w:r>
      <w:r w:rsidRPr="0067192A">
        <w:rPr>
          <w:rFonts w:ascii="Arial" w:hAnsi="Arial" w:cs="Arial"/>
          <w:sz w:val="24"/>
          <w:szCs w:val="24"/>
        </w:rPr>
        <w:t> </w:t>
      </w:r>
      <w:r w:rsidRPr="000B28BE">
        <w:rPr>
          <w:rFonts w:ascii="Arial Narrow" w:hAnsi="Arial Narrow"/>
          <w:sz w:val="24"/>
          <w:szCs w:val="24"/>
        </w:rPr>
        <w:t>%) a mliečne výrobky s vajcami (86,3</w:t>
      </w:r>
      <w:r w:rsidRPr="0067192A">
        <w:rPr>
          <w:rFonts w:ascii="Arial" w:hAnsi="Arial" w:cs="Arial"/>
          <w:sz w:val="24"/>
          <w:szCs w:val="24"/>
        </w:rPr>
        <w:t> </w:t>
      </w:r>
      <w:r w:rsidRPr="000B28BE">
        <w:rPr>
          <w:rFonts w:ascii="Arial Narrow" w:hAnsi="Arial Narrow"/>
          <w:sz w:val="24"/>
          <w:szCs w:val="24"/>
        </w:rPr>
        <w:t xml:space="preserve">%) sa nachádzali nad celkovým priemerom cenovej hladiny potravín </w:t>
      </w:r>
      <w:r w:rsidR="003363A3">
        <w:rPr>
          <w:rFonts w:ascii="Arial Narrow" w:hAnsi="Arial Narrow"/>
          <w:sz w:val="24"/>
          <w:szCs w:val="24"/>
        </w:rPr>
        <w:t>na Slovensku</w:t>
      </w:r>
      <w:r w:rsidRPr="000B28BE">
        <w:rPr>
          <w:rFonts w:ascii="Arial Narrow" w:hAnsi="Arial Narrow"/>
          <w:sz w:val="24"/>
          <w:szCs w:val="24"/>
        </w:rPr>
        <w:t>, zatiaľ čo chlieb a obilniny (82,9</w:t>
      </w:r>
      <w:r w:rsidRPr="0067192A">
        <w:rPr>
          <w:rFonts w:ascii="Arial" w:hAnsi="Arial" w:cs="Arial"/>
          <w:sz w:val="24"/>
          <w:szCs w:val="24"/>
        </w:rPr>
        <w:t> </w:t>
      </w:r>
      <w:r w:rsidRPr="000B28BE">
        <w:rPr>
          <w:rFonts w:ascii="Arial Narrow" w:hAnsi="Arial Narrow"/>
          <w:sz w:val="24"/>
          <w:szCs w:val="24"/>
        </w:rPr>
        <w:t>%) a ovocie, zelenina a zemiaky (84,2</w:t>
      </w:r>
      <w:r w:rsidRPr="0067192A">
        <w:rPr>
          <w:rFonts w:ascii="Arial" w:hAnsi="Arial" w:cs="Arial"/>
          <w:sz w:val="24"/>
          <w:szCs w:val="24"/>
        </w:rPr>
        <w:t> </w:t>
      </w:r>
      <w:r w:rsidRPr="000B28BE">
        <w:rPr>
          <w:rFonts w:ascii="Arial Narrow" w:hAnsi="Arial Narrow"/>
          <w:sz w:val="24"/>
          <w:szCs w:val="24"/>
        </w:rPr>
        <w:t>%) mierne zaostávali.</w:t>
      </w:r>
    </w:p>
    <w:p w14:paraId="33D6E59E" w14:textId="5633B6E3" w:rsidR="005779C4" w:rsidRPr="0067192A" w:rsidRDefault="000B28BE" w:rsidP="00947BF3">
      <w:pPr>
        <w:spacing w:after="240"/>
        <w:jc w:val="both"/>
        <w:rPr>
          <w:rFonts w:ascii="Arial Narrow" w:hAnsi="Arial Narrow"/>
          <w:sz w:val="24"/>
          <w:szCs w:val="24"/>
        </w:rPr>
      </w:pPr>
      <w:r w:rsidRPr="000B28BE">
        <w:rPr>
          <w:rFonts w:ascii="Arial Narrow" w:hAnsi="Arial Narrow"/>
          <w:sz w:val="24"/>
          <w:szCs w:val="24"/>
        </w:rPr>
        <w:t>Zmeny v metodike zberu údajov od roku 2023, konkrétne prechod Štatistického úradu SR na zber údajov zo skenerov pokladní, významne ovplyvnili výstupy parít kúpnej sily a medzinárodné porovnania. Nové dáta lepšie odrážajú skutočne zaplatené ceny po zľavách, na rozdiel od predchádzajúcich údajov vychádzajúcich z pultových cien. Preto je pravdepodobné, že nominálny pokles cien v medzinárodnom porovnaní medzi rokmi 2022 a 2023 neodráža reálnu zmenu cenovej úrovne, ale skôr metodickú korekciu.</w:t>
      </w:r>
    </w:p>
    <w:p w14:paraId="7BED399D" w14:textId="61C66C9D" w:rsidR="00091BA7" w:rsidRPr="005779C4" w:rsidRDefault="00091BA7" w:rsidP="005779C4">
      <w:pPr>
        <w:tabs>
          <w:tab w:val="left" w:pos="2694"/>
        </w:tabs>
        <w:spacing w:after="240"/>
        <w:rPr>
          <w:rFonts w:ascii="Arial Narrow" w:eastAsia="Times New Roman" w:hAnsi="Arial Narrow"/>
          <w:b/>
          <w:bCs/>
          <w:color w:val="000000" w:themeColor="text1"/>
          <w:sz w:val="24"/>
          <w:szCs w:val="24"/>
        </w:rPr>
      </w:pPr>
      <w:r w:rsidRPr="005779C4">
        <w:rPr>
          <w:rFonts w:ascii="Arial Narrow" w:eastAsia="Times New Roman" w:hAnsi="Arial Narrow"/>
          <w:b/>
          <w:bCs/>
          <w:color w:val="000000" w:themeColor="text1"/>
          <w:sz w:val="24"/>
          <w:szCs w:val="24"/>
        </w:rPr>
        <w:t xml:space="preserve">Vývoj cien potravín </w:t>
      </w:r>
    </w:p>
    <w:p w14:paraId="5572FAE5" w14:textId="77777777" w:rsidR="00844C8C" w:rsidRPr="00844C8C" w:rsidRDefault="00844C8C" w:rsidP="00947BF3">
      <w:pPr>
        <w:spacing w:after="240"/>
        <w:jc w:val="both"/>
        <w:rPr>
          <w:rFonts w:ascii="Arial Narrow" w:hAnsi="Arial Narrow"/>
          <w:sz w:val="24"/>
          <w:szCs w:val="24"/>
        </w:rPr>
      </w:pPr>
      <w:r w:rsidRPr="00844C8C">
        <w:rPr>
          <w:rFonts w:ascii="Arial Narrow" w:hAnsi="Arial Narrow"/>
          <w:sz w:val="24"/>
          <w:szCs w:val="24"/>
        </w:rPr>
        <w:t xml:space="preserve">Rast cien potravín na Slovensku dosiahol svoj </w:t>
      </w:r>
      <w:r w:rsidRPr="006B3622">
        <w:rPr>
          <w:rFonts w:ascii="Arial Narrow" w:hAnsi="Arial Narrow"/>
          <w:sz w:val="24"/>
          <w:szCs w:val="24"/>
        </w:rPr>
        <w:t>vrchol v marci 2023, odkedy potravinová inflácia postupne spomaľuje.</w:t>
      </w:r>
      <w:r w:rsidRPr="00844C8C">
        <w:rPr>
          <w:rFonts w:ascii="Arial Narrow" w:hAnsi="Arial Narrow"/>
          <w:sz w:val="24"/>
          <w:szCs w:val="24"/>
        </w:rPr>
        <w:t xml:space="preserve"> Kým v období od januára 2022 do marca 2023 ceny potravín (bez nealkoholických nápojov, alkoholu a tabaku) rástli v priemere </w:t>
      </w:r>
      <w:r w:rsidRPr="006B3622">
        <w:rPr>
          <w:rFonts w:ascii="Arial Narrow" w:hAnsi="Arial Narrow"/>
          <w:sz w:val="24"/>
          <w:szCs w:val="24"/>
        </w:rPr>
        <w:t>o 2,1</w:t>
      </w:r>
      <w:r w:rsidRPr="0067192A">
        <w:rPr>
          <w:rFonts w:ascii="Arial" w:hAnsi="Arial" w:cs="Arial"/>
          <w:sz w:val="24"/>
          <w:szCs w:val="24"/>
        </w:rPr>
        <w:t> </w:t>
      </w:r>
      <w:r w:rsidRPr="006B3622">
        <w:rPr>
          <w:rFonts w:ascii="Arial Narrow" w:hAnsi="Arial Narrow"/>
          <w:sz w:val="24"/>
          <w:szCs w:val="24"/>
        </w:rPr>
        <w:t>% mesa</w:t>
      </w:r>
      <w:r w:rsidRPr="0067192A">
        <w:rPr>
          <w:rFonts w:ascii="Arial Narrow" w:hAnsi="Arial Narrow"/>
          <w:sz w:val="24"/>
          <w:szCs w:val="24"/>
        </w:rPr>
        <w:t>č</w:t>
      </w:r>
      <w:r w:rsidRPr="006B3622">
        <w:rPr>
          <w:rFonts w:ascii="Arial Narrow" w:hAnsi="Arial Narrow"/>
          <w:sz w:val="24"/>
          <w:szCs w:val="24"/>
        </w:rPr>
        <w:t>ne</w:t>
      </w:r>
      <w:r w:rsidRPr="00844C8C">
        <w:rPr>
          <w:rFonts w:ascii="Arial Narrow" w:hAnsi="Arial Narrow"/>
          <w:sz w:val="24"/>
          <w:szCs w:val="24"/>
        </w:rPr>
        <w:t xml:space="preserve">, v období od apríla 2023 do júla 2024 rástli už len </w:t>
      </w:r>
      <w:r w:rsidRPr="006B3622">
        <w:rPr>
          <w:rFonts w:ascii="Arial Narrow" w:hAnsi="Arial Narrow"/>
          <w:sz w:val="24"/>
          <w:szCs w:val="24"/>
        </w:rPr>
        <w:t>o 0,1</w:t>
      </w:r>
      <w:r w:rsidRPr="0067192A">
        <w:rPr>
          <w:rFonts w:ascii="Arial" w:hAnsi="Arial" w:cs="Arial"/>
          <w:sz w:val="24"/>
          <w:szCs w:val="24"/>
        </w:rPr>
        <w:t> </w:t>
      </w:r>
      <w:r w:rsidRPr="006B3622">
        <w:rPr>
          <w:rFonts w:ascii="Arial Narrow" w:hAnsi="Arial Narrow"/>
          <w:sz w:val="24"/>
          <w:szCs w:val="24"/>
        </w:rPr>
        <w:t>% mesa</w:t>
      </w:r>
      <w:r w:rsidRPr="0067192A">
        <w:rPr>
          <w:rFonts w:ascii="Arial Narrow" w:hAnsi="Arial Narrow"/>
          <w:sz w:val="24"/>
          <w:szCs w:val="24"/>
        </w:rPr>
        <w:t>č</w:t>
      </w:r>
      <w:r w:rsidRPr="006B3622">
        <w:rPr>
          <w:rFonts w:ascii="Arial Narrow" w:hAnsi="Arial Narrow"/>
          <w:sz w:val="24"/>
          <w:szCs w:val="24"/>
        </w:rPr>
        <w:t>ne</w:t>
      </w:r>
      <w:r w:rsidRPr="00844C8C">
        <w:rPr>
          <w:rFonts w:ascii="Arial Narrow" w:hAnsi="Arial Narrow"/>
          <w:sz w:val="24"/>
          <w:szCs w:val="24"/>
        </w:rPr>
        <w:t xml:space="preserve">, čo je v súlade s </w:t>
      </w:r>
      <w:r w:rsidRPr="006B3622">
        <w:rPr>
          <w:rFonts w:ascii="Arial Narrow" w:hAnsi="Arial Narrow"/>
          <w:sz w:val="24"/>
          <w:szCs w:val="24"/>
        </w:rPr>
        <w:t>priemerom eurozóny.</w:t>
      </w:r>
    </w:p>
    <w:p w14:paraId="371010AA" w14:textId="77777777" w:rsidR="00844C8C" w:rsidRDefault="00844C8C" w:rsidP="00947BF3">
      <w:pPr>
        <w:spacing w:after="240"/>
        <w:jc w:val="both"/>
        <w:rPr>
          <w:rFonts w:ascii="Arial Narrow" w:hAnsi="Arial Narrow"/>
          <w:sz w:val="24"/>
          <w:szCs w:val="24"/>
        </w:rPr>
      </w:pPr>
      <w:r w:rsidRPr="00844C8C">
        <w:rPr>
          <w:rFonts w:ascii="Arial Narrow" w:hAnsi="Arial Narrow"/>
          <w:sz w:val="24"/>
          <w:szCs w:val="24"/>
        </w:rPr>
        <w:t>V lete 2024 sa však ceny potravín opäť vrátili k miernej dynamike</w:t>
      </w:r>
      <w:r w:rsidRPr="006B3622">
        <w:rPr>
          <w:rFonts w:ascii="Arial Narrow" w:hAnsi="Arial Narrow"/>
          <w:sz w:val="24"/>
          <w:szCs w:val="24"/>
        </w:rPr>
        <w:t>. Priemerná mesačná zmena za tri letné mesiace dosiahla 0,4–0,9</w:t>
      </w:r>
      <w:r w:rsidRPr="0067192A">
        <w:rPr>
          <w:rFonts w:ascii="Arial" w:hAnsi="Arial" w:cs="Arial"/>
          <w:sz w:val="24"/>
          <w:szCs w:val="24"/>
        </w:rPr>
        <w:t> </w:t>
      </w:r>
      <w:r w:rsidRPr="006B3622">
        <w:rPr>
          <w:rFonts w:ascii="Arial Narrow" w:hAnsi="Arial Narrow"/>
          <w:sz w:val="24"/>
          <w:szCs w:val="24"/>
        </w:rPr>
        <w:t xml:space="preserve">%, </w:t>
      </w:r>
      <w:r w:rsidRPr="00844C8C">
        <w:rPr>
          <w:rFonts w:ascii="Arial Narrow" w:hAnsi="Arial Narrow"/>
          <w:sz w:val="24"/>
          <w:szCs w:val="24"/>
        </w:rPr>
        <w:t xml:space="preserve">čo prevyšovalo dlhodobý priemer rokov 2000 – 2021. Výrazný nárast nastal v </w:t>
      </w:r>
      <w:r w:rsidRPr="006B3622">
        <w:rPr>
          <w:rFonts w:ascii="Arial Narrow" w:hAnsi="Arial Narrow"/>
          <w:sz w:val="24"/>
          <w:szCs w:val="24"/>
        </w:rPr>
        <w:t>októbri 2024</w:t>
      </w:r>
      <w:r w:rsidRPr="00844C8C">
        <w:rPr>
          <w:rFonts w:ascii="Arial Narrow" w:hAnsi="Arial Narrow"/>
          <w:sz w:val="24"/>
          <w:szCs w:val="24"/>
        </w:rPr>
        <w:t xml:space="preserve">, keď ceny medzimesačne stúpli o </w:t>
      </w:r>
      <w:r w:rsidRPr="006B3622">
        <w:rPr>
          <w:rFonts w:ascii="Arial Narrow" w:hAnsi="Arial Narrow"/>
          <w:sz w:val="24"/>
          <w:szCs w:val="24"/>
        </w:rPr>
        <w:t>2,1</w:t>
      </w:r>
      <w:r w:rsidRPr="0067192A">
        <w:rPr>
          <w:rFonts w:ascii="Arial" w:hAnsi="Arial" w:cs="Arial"/>
          <w:sz w:val="24"/>
          <w:szCs w:val="24"/>
        </w:rPr>
        <w:t> </w:t>
      </w:r>
      <w:r w:rsidRPr="006B3622">
        <w:rPr>
          <w:rFonts w:ascii="Arial Narrow" w:hAnsi="Arial Narrow"/>
          <w:sz w:val="24"/>
          <w:szCs w:val="24"/>
        </w:rPr>
        <w:t>%.</w:t>
      </w:r>
    </w:p>
    <w:p w14:paraId="1904CBBD" w14:textId="77777777" w:rsidR="005779C4" w:rsidRDefault="005779C4" w:rsidP="00947BF3">
      <w:pPr>
        <w:spacing w:after="240"/>
        <w:jc w:val="both"/>
        <w:rPr>
          <w:rFonts w:ascii="Arial Narrow" w:hAnsi="Arial Narrow"/>
          <w:sz w:val="24"/>
          <w:szCs w:val="24"/>
        </w:rPr>
      </w:pPr>
    </w:p>
    <w:p w14:paraId="367F1EDC" w14:textId="77777777" w:rsidR="005779C4" w:rsidRDefault="005779C4" w:rsidP="00947BF3">
      <w:pPr>
        <w:spacing w:after="240"/>
        <w:jc w:val="both"/>
        <w:rPr>
          <w:rFonts w:ascii="Arial Narrow" w:hAnsi="Arial Narrow"/>
          <w:sz w:val="24"/>
          <w:szCs w:val="24"/>
        </w:rPr>
      </w:pPr>
    </w:p>
    <w:p w14:paraId="48CD136C" w14:textId="77777777" w:rsidR="005779C4" w:rsidRDefault="005779C4" w:rsidP="00947BF3">
      <w:pPr>
        <w:spacing w:after="240"/>
        <w:jc w:val="both"/>
        <w:rPr>
          <w:rFonts w:ascii="Arial Narrow" w:hAnsi="Arial Narrow"/>
          <w:sz w:val="24"/>
          <w:szCs w:val="24"/>
        </w:rPr>
      </w:pPr>
    </w:p>
    <w:p w14:paraId="01B1F26E" w14:textId="77777777" w:rsidR="005779C4" w:rsidRPr="006B3622" w:rsidRDefault="005779C4" w:rsidP="00947BF3">
      <w:pPr>
        <w:spacing w:after="240"/>
        <w:jc w:val="both"/>
        <w:rPr>
          <w:rFonts w:ascii="Arial Narrow" w:hAnsi="Arial Narrow"/>
          <w:sz w:val="24"/>
          <w:szCs w:val="24"/>
        </w:rPr>
      </w:pPr>
    </w:p>
    <w:tbl>
      <w:tblPr>
        <w:tblW w:w="4899"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1E0" w:firstRow="1" w:lastRow="1" w:firstColumn="1" w:lastColumn="1" w:noHBand="0" w:noVBand="0"/>
      </w:tblPr>
      <w:tblGrid>
        <w:gridCol w:w="4250"/>
        <w:gridCol w:w="167"/>
        <w:gridCol w:w="4470"/>
      </w:tblGrid>
      <w:tr w:rsidR="00091BA7" w:rsidRPr="00866785" w14:paraId="0A08A8E3" w14:textId="77777777" w:rsidTr="7D6FFD56">
        <w:trPr>
          <w:trHeight w:val="321"/>
        </w:trPr>
        <w:tc>
          <w:tcPr>
            <w:tcW w:w="2391" w:type="pct"/>
            <w:tcBorders>
              <w:top w:val="nil"/>
              <w:left w:val="nil"/>
              <w:bottom w:val="single" w:sz="4" w:space="0" w:color="auto"/>
              <w:right w:val="nil"/>
            </w:tcBorders>
            <w:shd w:val="clear" w:color="auto" w:fill="auto"/>
          </w:tcPr>
          <w:p w14:paraId="3B361D85" w14:textId="2682FF17" w:rsidR="00091BA7" w:rsidRPr="00866785" w:rsidRDefault="00091BA7" w:rsidP="00947BF3">
            <w:pPr>
              <w:spacing w:after="120"/>
              <w:rPr>
                <w:rFonts w:ascii="Arial Narrow" w:hAnsi="Arial Narrow" w:cs="Arial"/>
                <w:b/>
                <w:color w:val="2C9ADC"/>
                <w:sz w:val="20"/>
                <w:szCs w:val="18"/>
              </w:rPr>
            </w:pPr>
            <w:r w:rsidRPr="00866785">
              <w:rPr>
                <w:rFonts w:ascii="Arial Narrow" w:hAnsi="Arial Narrow" w:cs="Arial"/>
                <w:b/>
                <w:color w:val="2C9ADC"/>
                <w:sz w:val="20"/>
                <w:szCs w:val="18"/>
              </w:rPr>
              <w:t>Medziročný a medzimesačný rast cien potravín</w:t>
            </w:r>
            <w:r w:rsidRPr="000472DE">
              <w:rPr>
                <w:rFonts w:ascii="Arial Narrow" w:hAnsi="Arial Narrow" w:cs="Arial"/>
                <w:b/>
                <w:color w:val="2C9ADC"/>
                <w:sz w:val="20"/>
                <w:szCs w:val="18"/>
              </w:rPr>
              <w:t xml:space="preserve"> </w:t>
            </w:r>
            <w:r w:rsidR="00146B5B" w:rsidRPr="000472DE">
              <w:rPr>
                <w:rFonts w:ascii="Arial Narrow" w:hAnsi="Arial Narrow" w:cs="Arial"/>
                <w:b/>
                <w:color w:val="2C9ADC"/>
                <w:sz w:val="20"/>
                <w:szCs w:val="18"/>
              </w:rPr>
              <w:t xml:space="preserve">(bez nealka, alkoholu a tabaku) </w:t>
            </w:r>
            <w:r w:rsidRPr="000E2DBB">
              <w:rPr>
                <w:rFonts w:ascii="Arial Narrow" w:hAnsi="Arial Narrow" w:cs="Arial"/>
                <w:b/>
                <w:color w:val="2C9ADC"/>
                <w:sz w:val="20"/>
                <w:szCs w:val="18"/>
              </w:rPr>
              <w:t>na Slovensku</w:t>
            </w:r>
            <w:r>
              <w:rPr>
                <w:rFonts w:ascii="Arial Narrow" w:hAnsi="Arial Narrow" w:cs="Arial"/>
                <w:b/>
                <w:color w:val="2C9ADC"/>
                <w:sz w:val="20"/>
                <w:szCs w:val="18"/>
              </w:rPr>
              <w:t xml:space="preserve"> (%)</w:t>
            </w:r>
          </w:p>
        </w:tc>
        <w:tc>
          <w:tcPr>
            <w:tcW w:w="94" w:type="pct"/>
            <w:tcBorders>
              <w:top w:val="nil"/>
              <w:left w:val="nil"/>
              <w:bottom w:val="nil"/>
              <w:right w:val="nil"/>
            </w:tcBorders>
            <w:shd w:val="clear" w:color="auto" w:fill="auto"/>
            <w:vAlign w:val="center"/>
          </w:tcPr>
          <w:p w14:paraId="261753EE" w14:textId="77777777" w:rsidR="00091BA7" w:rsidRPr="00866785" w:rsidRDefault="00091BA7" w:rsidP="00947BF3">
            <w:pPr>
              <w:spacing w:after="120"/>
              <w:rPr>
                <w:rFonts w:ascii="Arial Narrow" w:hAnsi="Arial Narrow" w:cs="Arial"/>
                <w:b/>
                <w:color w:val="2C9ADC"/>
                <w:sz w:val="20"/>
                <w:szCs w:val="18"/>
              </w:rPr>
            </w:pPr>
          </w:p>
        </w:tc>
        <w:tc>
          <w:tcPr>
            <w:tcW w:w="2515" w:type="pct"/>
            <w:tcBorders>
              <w:top w:val="nil"/>
              <w:left w:val="nil"/>
              <w:bottom w:val="single" w:sz="4" w:space="0" w:color="auto"/>
              <w:right w:val="nil"/>
            </w:tcBorders>
            <w:shd w:val="clear" w:color="auto" w:fill="auto"/>
            <w:vAlign w:val="center"/>
          </w:tcPr>
          <w:p w14:paraId="3A131B3C" w14:textId="77777777" w:rsidR="00091BA7" w:rsidRPr="00866785" w:rsidRDefault="00091BA7" w:rsidP="00947BF3">
            <w:pPr>
              <w:spacing w:after="120"/>
              <w:rPr>
                <w:rFonts w:ascii="Arial Narrow" w:hAnsi="Arial Narrow" w:cs="Arial"/>
                <w:b/>
                <w:color w:val="2C9ADC"/>
                <w:sz w:val="20"/>
                <w:szCs w:val="18"/>
              </w:rPr>
            </w:pPr>
            <w:r w:rsidRPr="00866785">
              <w:rPr>
                <w:rFonts w:ascii="Arial Narrow" w:hAnsi="Arial Narrow" w:cs="Arial"/>
                <w:b/>
                <w:color w:val="2C9ADC"/>
                <w:sz w:val="20"/>
                <w:szCs w:val="18"/>
              </w:rPr>
              <w:t>Podiel potravín v spotrebnom koši podľa rýchlosti rastu</w:t>
            </w:r>
            <w:r>
              <w:t xml:space="preserve"> </w:t>
            </w:r>
            <w:r w:rsidRPr="000E2DBB">
              <w:rPr>
                <w:rFonts w:ascii="Arial Narrow" w:hAnsi="Arial Narrow" w:cs="Arial"/>
                <w:b/>
                <w:color w:val="2C9ADC"/>
                <w:sz w:val="20"/>
                <w:szCs w:val="18"/>
              </w:rPr>
              <w:t>na Slovensku</w:t>
            </w:r>
            <w:r w:rsidRPr="00866785">
              <w:rPr>
                <w:rFonts w:ascii="Arial Narrow" w:hAnsi="Arial Narrow" w:cs="Arial"/>
                <w:b/>
                <w:color w:val="2C9ADC"/>
                <w:sz w:val="20"/>
                <w:szCs w:val="18"/>
              </w:rPr>
              <w:t xml:space="preserve"> (%, medzimesačne, 3MMA)</w:t>
            </w:r>
          </w:p>
        </w:tc>
      </w:tr>
      <w:tr w:rsidR="00091BA7" w:rsidRPr="00866785" w14:paraId="112D42CD" w14:textId="77777777" w:rsidTr="00844C8C">
        <w:trPr>
          <w:trHeight w:val="820"/>
        </w:trPr>
        <w:tc>
          <w:tcPr>
            <w:tcW w:w="2391" w:type="pct"/>
            <w:tcBorders>
              <w:top w:val="single" w:sz="4" w:space="0" w:color="auto"/>
              <w:left w:val="nil"/>
              <w:bottom w:val="single" w:sz="4" w:space="0" w:color="auto"/>
              <w:right w:val="nil"/>
            </w:tcBorders>
            <w:vAlign w:val="center"/>
          </w:tcPr>
          <w:p w14:paraId="0943C903" w14:textId="19B99047" w:rsidR="00091BA7" w:rsidRPr="00866785" w:rsidRDefault="00D0179A" w:rsidP="00947BF3">
            <w:pPr>
              <w:spacing w:before="120" w:after="120"/>
              <w:jc w:val="center"/>
              <w:rPr>
                <w:rFonts w:ascii="Arial Narrow" w:hAnsi="Arial Narrow" w:cs="Arial"/>
                <w:b/>
                <w:bCs/>
                <w:sz w:val="20"/>
                <w:szCs w:val="20"/>
              </w:rPr>
            </w:pPr>
            <w:r>
              <w:rPr>
                <w:noProof/>
              </w:rPr>
              <w:drawing>
                <wp:inline distT="0" distB="0" distL="0" distR="0" wp14:anchorId="7EE0BBCC" wp14:editId="0E700246">
                  <wp:extent cx="2610485" cy="1752600"/>
                  <wp:effectExtent l="0" t="0" r="0" b="0"/>
                  <wp:docPr id="56882413" name="Graf 1">
                    <a:extLst xmlns:a="http://schemas.openxmlformats.org/drawingml/2006/main">
                      <a:ext uri="{FF2B5EF4-FFF2-40B4-BE49-F238E27FC236}">
                        <a16:creationId xmlns:a16="http://schemas.microsoft.com/office/drawing/2014/main" id="{9933C68F-6222-AEE7-2F71-410539B1F3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c>
          <w:tcPr>
            <w:tcW w:w="94" w:type="pct"/>
            <w:tcBorders>
              <w:top w:val="nil"/>
              <w:left w:val="nil"/>
              <w:bottom w:val="nil"/>
              <w:right w:val="nil"/>
            </w:tcBorders>
            <w:vAlign w:val="center"/>
          </w:tcPr>
          <w:p w14:paraId="08832294" w14:textId="77777777" w:rsidR="00091BA7" w:rsidRPr="00866785" w:rsidRDefault="00091BA7" w:rsidP="00947BF3">
            <w:pPr>
              <w:spacing w:after="120"/>
              <w:jc w:val="center"/>
              <w:rPr>
                <w:rFonts w:ascii="Arial Narrow" w:hAnsi="Arial Narrow" w:cs="Arial"/>
                <w:b/>
                <w:sz w:val="20"/>
                <w:szCs w:val="20"/>
              </w:rPr>
            </w:pPr>
          </w:p>
          <w:p w14:paraId="29D23ADE" w14:textId="77777777" w:rsidR="00091BA7" w:rsidRPr="00866785" w:rsidRDefault="00091BA7" w:rsidP="00947BF3">
            <w:pPr>
              <w:spacing w:after="120"/>
              <w:jc w:val="center"/>
              <w:rPr>
                <w:rFonts w:ascii="Arial Narrow" w:hAnsi="Arial Narrow" w:cs="Arial"/>
                <w:b/>
                <w:sz w:val="20"/>
                <w:szCs w:val="20"/>
              </w:rPr>
            </w:pPr>
          </w:p>
          <w:p w14:paraId="01292BD9" w14:textId="77777777" w:rsidR="00091BA7" w:rsidRPr="00866785" w:rsidRDefault="00091BA7" w:rsidP="00947BF3">
            <w:pPr>
              <w:spacing w:after="120"/>
              <w:jc w:val="center"/>
              <w:rPr>
                <w:rFonts w:ascii="Arial Narrow" w:hAnsi="Arial Narrow" w:cs="Arial"/>
                <w:b/>
                <w:sz w:val="20"/>
                <w:szCs w:val="20"/>
              </w:rPr>
            </w:pPr>
          </w:p>
        </w:tc>
        <w:tc>
          <w:tcPr>
            <w:tcW w:w="2515" w:type="pct"/>
            <w:tcBorders>
              <w:top w:val="single" w:sz="4" w:space="0" w:color="auto"/>
              <w:left w:val="nil"/>
              <w:bottom w:val="single" w:sz="4" w:space="0" w:color="auto"/>
              <w:right w:val="nil"/>
            </w:tcBorders>
            <w:vAlign w:val="center"/>
          </w:tcPr>
          <w:p w14:paraId="2383C51A" w14:textId="5EC39D50" w:rsidR="00091BA7" w:rsidRPr="00866785" w:rsidRDefault="00844C8C" w:rsidP="00947BF3">
            <w:pPr>
              <w:spacing w:after="120"/>
              <w:jc w:val="center"/>
              <w:rPr>
                <w:rFonts w:ascii="Arial Narrow" w:hAnsi="Arial Narrow" w:cs="Arial"/>
                <w:b/>
                <w:bCs/>
                <w:sz w:val="16"/>
                <w:szCs w:val="16"/>
              </w:rPr>
            </w:pPr>
            <w:r>
              <w:rPr>
                <w:noProof/>
              </w:rPr>
              <w:drawing>
                <wp:inline distT="0" distB="0" distL="0" distR="0" wp14:anchorId="1176EC91" wp14:editId="7A13F23F">
                  <wp:extent cx="2750185" cy="1962150"/>
                  <wp:effectExtent l="0" t="0" r="0" b="0"/>
                  <wp:docPr id="43565181" name="Graf 1">
                    <a:extLst xmlns:a="http://schemas.openxmlformats.org/drawingml/2006/main">
                      <a:ext uri="{FF2B5EF4-FFF2-40B4-BE49-F238E27FC236}">
                        <a16:creationId xmlns:a16="http://schemas.microsoft.com/office/drawing/2014/main" id="{00000000-0008-0000-07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r>
      <w:tr w:rsidR="00091BA7" w:rsidRPr="00866785" w14:paraId="786AE1FF" w14:textId="77777777" w:rsidTr="7D6FFD56">
        <w:trPr>
          <w:trHeight w:val="104"/>
        </w:trPr>
        <w:tc>
          <w:tcPr>
            <w:tcW w:w="2391" w:type="pct"/>
            <w:tcBorders>
              <w:top w:val="single" w:sz="4" w:space="0" w:color="auto"/>
              <w:left w:val="nil"/>
              <w:bottom w:val="nil"/>
              <w:right w:val="nil"/>
            </w:tcBorders>
            <w:vAlign w:val="center"/>
          </w:tcPr>
          <w:p w14:paraId="106874FA" w14:textId="77777777" w:rsidR="00091BA7" w:rsidRPr="00866785" w:rsidRDefault="00091BA7" w:rsidP="00947BF3">
            <w:pPr>
              <w:spacing w:after="120"/>
              <w:jc w:val="right"/>
              <w:rPr>
                <w:rFonts w:ascii="Arial Narrow" w:hAnsi="Arial Narrow" w:cs="Arial"/>
                <w:i/>
                <w:sz w:val="16"/>
                <w:szCs w:val="16"/>
              </w:rPr>
            </w:pPr>
            <w:r w:rsidRPr="00866785">
              <w:rPr>
                <w:rFonts w:ascii="Arial Narrow" w:hAnsi="Arial Narrow" w:cs="Arial"/>
                <w:i/>
                <w:sz w:val="16"/>
                <w:szCs w:val="16"/>
              </w:rPr>
              <w:t xml:space="preserve">Zdroj: ŠÚ SR </w:t>
            </w:r>
          </w:p>
        </w:tc>
        <w:tc>
          <w:tcPr>
            <w:tcW w:w="94" w:type="pct"/>
            <w:tcBorders>
              <w:top w:val="nil"/>
              <w:left w:val="nil"/>
              <w:bottom w:val="nil"/>
              <w:right w:val="nil"/>
            </w:tcBorders>
            <w:vAlign w:val="center"/>
          </w:tcPr>
          <w:p w14:paraId="125C4306" w14:textId="77777777" w:rsidR="00091BA7" w:rsidRPr="00866785" w:rsidRDefault="00091BA7" w:rsidP="00947BF3">
            <w:pPr>
              <w:spacing w:after="120"/>
              <w:jc w:val="center"/>
              <w:rPr>
                <w:rFonts w:ascii="Arial Narrow" w:hAnsi="Arial Narrow" w:cs="Arial"/>
                <w:i/>
                <w:sz w:val="16"/>
                <w:szCs w:val="16"/>
              </w:rPr>
            </w:pPr>
          </w:p>
        </w:tc>
        <w:tc>
          <w:tcPr>
            <w:tcW w:w="2515" w:type="pct"/>
            <w:tcBorders>
              <w:top w:val="single" w:sz="4" w:space="0" w:color="auto"/>
              <w:left w:val="nil"/>
              <w:bottom w:val="nil"/>
              <w:right w:val="nil"/>
            </w:tcBorders>
            <w:vAlign w:val="center"/>
          </w:tcPr>
          <w:p w14:paraId="7883EEBE" w14:textId="77777777" w:rsidR="00091BA7" w:rsidRPr="00866785" w:rsidRDefault="00091BA7" w:rsidP="00947BF3">
            <w:pPr>
              <w:spacing w:after="120"/>
              <w:jc w:val="right"/>
              <w:rPr>
                <w:rFonts w:ascii="Arial Narrow" w:hAnsi="Arial Narrow" w:cs="Arial"/>
                <w:i/>
                <w:sz w:val="16"/>
                <w:szCs w:val="16"/>
              </w:rPr>
            </w:pPr>
            <w:r w:rsidRPr="00866785">
              <w:rPr>
                <w:rFonts w:ascii="Arial Narrow" w:hAnsi="Arial Narrow" w:cs="Arial"/>
                <w:i/>
                <w:sz w:val="16"/>
                <w:szCs w:val="16"/>
              </w:rPr>
              <w:t>Zdroj: ŠÚ SR, IFP</w:t>
            </w:r>
          </w:p>
        </w:tc>
      </w:tr>
    </w:tbl>
    <w:p w14:paraId="376CFCAE" w14:textId="77777777" w:rsidR="00091BA7" w:rsidRPr="00866785" w:rsidRDefault="00091BA7" w:rsidP="00947BF3">
      <w:pPr>
        <w:spacing w:after="120"/>
        <w:jc w:val="both"/>
        <w:rPr>
          <w:rFonts w:ascii="Arial Narrow" w:hAnsi="Arial Narrow"/>
          <w:sz w:val="10"/>
          <w:szCs w:val="10"/>
        </w:rPr>
      </w:pPr>
    </w:p>
    <w:tbl>
      <w:tblPr>
        <w:tblpPr w:leftFromText="141" w:rightFromText="141" w:vertAnchor="text" w:horzAnchor="margin" w:tblpY="61"/>
        <w:tblOverlap w:val="never"/>
        <w:tblW w:w="4968"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1E0" w:firstRow="1" w:lastRow="1" w:firstColumn="1" w:lastColumn="1" w:noHBand="0" w:noVBand="0"/>
      </w:tblPr>
      <w:tblGrid>
        <w:gridCol w:w="4300"/>
        <w:gridCol w:w="260"/>
        <w:gridCol w:w="4452"/>
      </w:tblGrid>
      <w:tr w:rsidR="00091BA7" w:rsidRPr="00866785" w14:paraId="0B76589F" w14:textId="77777777" w:rsidTr="7D6FFD56">
        <w:trPr>
          <w:trHeight w:val="363"/>
        </w:trPr>
        <w:tc>
          <w:tcPr>
            <w:tcW w:w="5000" w:type="pct"/>
            <w:gridSpan w:val="3"/>
            <w:tcBorders>
              <w:top w:val="nil"/>
              <w:left w:val="nil"/>
              <w:bottom w:val="single" w:sz="4" w:space="0" w:color="auto"/>
              <w:right w:val="nil"/>
            </w:tcBorders>
            <w:shd w:val="clear" w:color="auto" w:fill="auto"/>
            <w:vAlign w:val="center"/>
          </w:tcPr>
          <w:p w14:paraId="6B268197" w14:textId="77777777" w:rsidR="00091BA7" w:rsidRPr="00866785" w:rsidRDefault="00091BA7" w:rsidP="00947BF3">
            <w:pPr>
              <w:spacing w:before="40" w:after="120"/>
              <w:rPr>
                <w:rFonts w:ascii="Arial Narrow" w:eastAsia="NeueHaasGroteskText W02" w:hAnsi="Arial Narrow" w:cs="Arial"/>
                <w:b/>
                <w:bCs/>
                <w:color w:val="2C9ADC"/>
                <w:sz w:val="2"/>
                <w:szCs w:val="2"/>
                <w:u w:color="2C9ADC"/>
              </w:rPr>
            </w:pPr>
          </w:p>
          <w:p w14:paraId="3F466AA7" w14:textId="77777777" w:rsidR="00091BA7" w:rsidRPr="00866785" w:rsidRDefault="00091BA7" w:rsidP="00947BF3">
            <w:pPr>
              <w:spacing w:before="40" w:after="120"/>
              <w:rPr>
                <w:rFonts w:ascii="Arial Narrow" w:hAnsi="Arial Narrow" w:cs="Arial"/>
                <w:b/>
                <w:color w:val="2C9ADC"/>
                <w:sz w:val="20"/>
                <w:szCs w:val="18"/>
              </w:rPr>
            </w:pPr>
            <w:r w:rsidRPr="00866785">
              <w:rPr>
                <w:rFonts w:ascii="Arial Narrow" w:eastAsia="NeueHaasGroteskText W02" w:hAnsi="Arial Narrow" w:cs="Arial"/>
                <w:b/>
                <w:bCs/>
                <w:color w:val="2C9ADC"/>
                <w:sz w:val="20"/>
                <w:szCs w:val="18"/>
                <w:u w:color="2C9ADC"/>
              </w:rPr>
              <w:t>Tepelná mapa medzimesačných zmien jednotlivých kategórií potravín (%)</w:t>
            </w:r>
          </w:p>
        </w:tc>
      </w:tr>
      <w:tr w:rsidR="00091BA7" w:rsidRPr="00866785" w14:paraId="69314560" w14:textId="77777777" w:rsidTr="7D6FFD56">
        <w:trPr>
          <w:trHeight w:val="1423"/>
        </w:trPr>
        <w:tc>
          <w:tcPr>
            <w:tcW w:w="5000" w:type="pct"/>
            <w:gridSpan w:val="3"/>
            <w:tcBorders>
              <w:top w:val="single" w:sz="4" w:space="0" w:color="auto"/>
              <w:left w:val="nil"/>
              <w:bottom w:val="single" w:sz="4" w:space="0" w:color="auto"/>
              <w:right w:val="nil"/>
            </w:tcBorders>
            <w:vAlign w:val="center"/>
          </w:tcPr>
          <w:p w14:paraId="563277F8" w14:textId="566F07D4" w:rsidR="00091BA7" w:rsidRPr="00866785" w:rsidRDefault="004C75C9" w:rsidP="00947BF3">
            <w:pPr>
              <w:spacing w:before="40" w:after="120"/>
              <w:jc w:val="center"/>
              <w:rPr>
                <w:rFonts w:ascii="Arial Narrow" w:hAnsi="Arial Narrow" w:cs="Arial"/>
                <w:b/>
                <w:bCs/>
                <w:sz w:val="20"/>
                <w:szCs w:val="20"/>
              </w:rPr>
            </w:pPr>
            <w:r w:rsidRPr="00B119B8">
              <w:rPr>
                <w:rFonts w:ascii="Arial Narrow" w:hAnsi="Arial Narrow" w:cs="Arial"/>
                <w:b/>
                <w:bCs/>
                <w:noProof/>
                <w:sz w:val="20"/>
                <w:szCs w:val="20"/>
              </w:rPr>
              <w:drawing>
                <wp:inline distT="0" distB="0" distL="0" distR="0" wp14:anchorId="7C8C2DF9" wp14:editId="333A48E6">
                  <wp:extent cx="5686425" cy="1615983"/>
                  <wp:effectExtent l="0" t="0" r="0" b="3810"/>
                  <wp:docPr id="125223270"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0">
                            <a:extLst>
                              <a:ext uri="{28A0092B-C50C-407E-A947-70E740481C1C}">
                                <a14:useLocalDpi xmlns:a14="http://schemas.microsoft.com/office/drawing/2010/main" val="0"/>
                              </a:ext>
                            </a:extLst>
                          </a:blip>
                          <a:srcRect t="2405" r="776"/>
                          <a:stretch/>
                        </pic:blipFill>
                        <pic:spPr bwMode="auto">
                          <a:xfrm>
                            <a:off x="0" y="0"/>
                            <a:ext cx="5825136" cy="165540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91BA7" w:rsidRPr="00866785" w14:paraId="494332B4" w14:textId="77777777" w:rsidTr="7D6FFD56">
        <w:trPr>
          <w:trHeight w:val="115"/>
        </w:trPr>
        <w:tc>
          <w:tcPr>
            <w:tcW w:w="2386" w:type="pct"/>
            <w:tcBorders>
              <w:top w:val="single" w:sz="4" w:space="0" w:color="auto"/>
              <w:left w:val="nil"/>
              <w:bottom w:val="nil"/>
              <w:right w:val="nil"/>
            </w:tcBorders>
          </w:tcPr>
          <w:p w14:paraId="223F5D60" w14:textId="77777777" w:rsidR="00091BA7" w:rsidRPr="00866785" w:rsidRDefault="00091BA7" w:rsidP="00947BF3">
            <w:pPr>
              <w:spacing w:before="40" w:after="120"/>
              <w:rPr>
                <w:rFonts w:ascii="Arial Narrow" w:hAnsi="Arial Narrow" w:cs="Arial"/>
                <w:i/>
                <w:sz w:val="14"/>
                <w:szCs w:val="14"/>
              </w:rPr>
            </w:pPr>
            <w:r w:rsidRPr="00866785">
              <w:rPr>
                <w:rFonts w:ascii="Arial Narrow" w:hAnsi="Arial Narrow" w:cs="Arial"/>
                <w:i/>
                <w:sz w:val="14"/>
                <w:szCs w:val="14"/>
              </w:rPr>
              <w:t>Farebná škála označuje medzimesačné rasty od -4%  a menej (tmavomodrá) po +4% a viac (tmavočervená)</w:t>
            </w:r>
          </w:p>
        </w:tc>
        <w:tc>
          <w:tcPr>
            <w:tcW w:w="144" w:type="pct"/>
            <w:tcBorders>
              <w:top w:val="nil"/>
              <w:left w:val="nil"/>
              <w:bottom w:val="nil"/>
              <w:right w:val="nil"/>
            </w:tcBorders>
          </w:tcPr>
          <w:p w14:paraId="73EDFC1F" w14:textId="77777777" w:rsidR="00091BA7" w:rsidRPr="00866785" w:rsidRDefault="00091BA7" w:rsidP="00947BF3">
            <w:pPr>
              <w:spacing w:after="120"/>
              <w:jc w:val="right"/>
              <w:rPr>
                <w:rFonts w:ascii="Arial Narrow" w:hAnsi="Arial Narrow" w:cs="Arial"/>
                <w:i/>
                <w:sz w:val="14"/>
                <w:szCs w:val="14"/>
              </w:rPr>
            </w:pPr>
          </w:p>
        </w:tc>
        <w:tc>
          <w:tcPr>
            <w:tcW w:w="2470" w:type="pct"/>
            <w:tcBorders>
              <w:top w:val="single" w:sz="4" w:space="0" w:color="auto"/>
              <w:left w:val="nil"/>
              <w:bottom w:val="nil"/>
              <w:right w:val="nil"/>
            </w:tcBorders>
          </w:tcPr>
          <w:p w14:paraId="0BEE1FB6" w14:textId="77777777" w:rsidR="00091BA7" w:rsidRPr="00866785" w:rsidRDefault="00091BA7" w:rsidP="00947BF3">
            <w:pPr>
              <w:spacing w:before="40" w:after="120"/>
              <w:jc w:val="right"/>
              <w:rPr>
                <w:rFonts w:ascii="Arial Narrow" w:hAnsi="Arial Narrow" w:cs="Arial"/>
                <w:i/>
                <w:sz w:val="16"/>
                <w:szCs w:val="14"/>
              </w:rPr>
            </w:pPr>
            <w:r w:rsidRPr="00866785">
              <w:rPr>
                <w:rFonts w:ascii="Arial Narrow" w:hAnsi="Arial Narrow" w:cs="Arial"/>
                <w:i/>
                <w:sz w:val="16"/>
                <w:szCs w:val="14"/>
              </w:rPr>
              <w:t>Zdroj:   ŠÚ SR, IFP</w:t>
            </w:r>
          </w:p>
        </w:tc>
      </w:tr>
    </w:tbl>
    <w:p w14:paraId="68ACE043" w14:textId="77777777" w:rsidR="004065F1" w:rsidRDefault="004065F1" w:rsidP="00947BF3">
      <w:pPr>
        <w:spacing w:after="240"/>
        <w:jc w:val="both"/>
        <w:rPr>
          <w:rFonts w:ascii="Arial Narrow" w:hAnsi="Arial Narrow"/>
          <w:sz w:val="24"/>
          <w:szCs w:val="24"/>
        </w:rPr>
      </w:pPr>
      <w:bookmarkStart w:id="10" w:name="_Hlk177046299"/>
    </w:p>
    <w:p w14:paraId="015E79BA" w14:textId="0884C602" w:rsidR="00844C8C" w:rsidRDefault="00844C8C" w:rsidP="00947BF3">
      <w:pPr>
        <w:spacing w:after="240"/>
        <w:jc w:val="both"/>
        <w:rPr>
          <w:rFonts w:ascii="Arial Narrow" w:hAnsi="Arial Narrow"/>
          <w:sz w:val="24"/>
          <w:szCs w:val="24"/>
        </w:rPr>
      </w:pPr>
      <w:r w:rsidRPr="00844C8C">
        <w:rPr>
          <w:rFonts w:ascii="Arial Narrow" w:hAnsi="Arial Narrow"/>
          <w:sz w:val="24"/>
          <w:szCs w:val="24"/>
        </w:rPr>
        <w:t>K spomaleniu inflácie významne prispel návrat cien agrokomodít a energií na úrovne z roku 2021. Ceny pšenice, olejnín, ale aj palív sa stabilizovali, čo sa prejavilo na znížení nákladov na pestovanie, výrobu, prepravu a skladovanie potravín. Zníženie tlakov v globálnych dodávateľských reťazcoch taktiež zlepšilo podmienky pre tlmenie cien.</w:t>
      </w:r>
    </w:p>
    <w:p w14:paraId="35844199" w14:textId="77777777" w:rsidR="00D4211E" w:rsidRDefault="00D4211E" w:rsidP="00947BF3">
      <w:pPr>
        <w:spacing w:after="240"/>
        <w:jc w:val="both"/>
        <w:rPr>
          <w:rFonts w:ascii="Arial Narrow" w:hAnsi="Arial Narrow"/>
          <w:sz w:val="24"/>
          <w:szCs w:val="24"/>
        </w:rPr>
      </w:pPr>
    </w:p>
    <w:p w14:paraId="6FADE711" w14:textId="77777777" w:rsidR="00D4211E" w:rsidRDefault="00D4211E" w:rsidP="00947BF3">
      <w:pPr>
        <w:spacing w:after="240"/>
        <w:jc w:val="both"/>
        <w:rPr>
          <w:rFonts w:ascii="Arial Narrow" w:hAnsi="Arial Narrow"/>
          <w:sz w:val="24"/>
          <w:szCs w:val="24"/>
        </w:rPr>
      </w:pPr>
    </w:p>
    <w:p w14:paraId="27B61768" w14:textId="77777777" w:rsidR="00D4211E" w:rsidRDefault="00D4211E" w:rsidP="00947BF3">
      <w:pPr>
        <w:spacing w:after="240"/>
        <w:jc w:val="both"/>
        <w:rPr>
          <w:rFonts w:ascii="Arial Narrow" w:hAnsi="Arial Narrow"/>
          <w:sz w:val="24"/>
          <w:szCs w:val="24"/>
        </w:rPr>
      </w:pPr>
    </w:p>
    <w:p w14:paraId="71D213D9" w14:textId="77777777" w:rsidR="00D4211E" w:rsidRDefault="00D4211E" w:rsidP="00947BF3">
      <w:pPr>
        <w:spacing w:after="240"/>
        <w:jc w:val="both"/>
        <w:rPr>
          <w:rFonts w:ascii="Arial Narrow" w:hAnsi="Arial Narrow"/>
          <w:sz w:val="24"/>
          <w:szCs w:val="24"/>
        </w:rPr>
      </w:pPr>
    </w:p>
    <w:p w14:paraId="5B485550" w14:textId="77777777" w:rsidR="00D4211E" w:rsidRDefault="00D4211E" w:rsidP="00947BF3">
      <w:pPr>
        <w:spacing w:after="240"/>
        <w:jc w:val="both"/>
        <w:rPr>
          <w:rFonts w:ascii="Arial Narrow" w:hAnsi="Arial Narrow"/>
          <w:sz w:val="24"/>
          <w:szCs w:val="24"/>
        </w:rPr>
      </w:pPr>
    </w:p>
    <w:tbl>
      <w:tblPr>
        <w:tblW w:w="4899"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1E0" w:firstRow="1" w:lastRow="1" w:firstColumn="1" w:lastColumn="1" w:noHBand="0" w:noVBand="0"/>
      </w:tblPr>
      <w:tblGrid>
        <w:gridCol w:w="4250"/>
        <w:gridCol w:w="167"/>
        <w:gridCol w:w="4470"/>
      </w:tblGrid>
      <w:tr w:rsidR="00D4211E" w:rsidRPr="00866785" w14:paraId="6C75F273" w14:textId="77777777" w:rsidTr="00390AB6">
        <w:trPr>
          <w:trHeight w:val="321"/>
        </w:trPr>
        <w:tc>
          <w:tcPr>
            <w:tcW w:w="2391" w:type="pct"/>
            <w:tcBorders>
              <w:top w:val="nil"/>
              <w:left w:val="nil"/>
              <w:bottom w:val="single" w:sz="4" w:space="0" w:color="auto"/>
              <w:right w:val="nil"/>
            </w:tcBorders>
            <w:shd w:val="clear" w:color="auto" w:fill="auto"/>
          </w:tcPr>
          <w:p w14:paraId="352377F1" w14:textId="77777777" w:rsidR="00D4211E" w:rsidRPr="00866785" w:rsidRDefault="00D4211E" w:rsidP="00390AB6">
            <w:pPr>
              <w:spacing w:after="120"/>
              <w:rPr>
                <w:rFonts w:ascii="Arial Narrow" w:hAnsi="Arial Narrow" w:cs="Arial"/>
                <w:b/>
                <w:color w:val="2C9ADC"/>
                <w:sz w:val="20"/>
                <w:szCs w:val="18"/>
              </w:rPr>
            </w:pPr>
            <w:r w:rsidRPr="000E2DBB">
              <w:rPr>
                <w:rFonts w:ascii="Arial Narrow" w:hAnsi="Arial Narrow" w:cs="Arial"/>
                <w:b/>
                <w:color w:val="2C9ADC"/>
                <w:sz w:val="20"/>
                <w:szCs w:val="18"/>
              </w:rPr>
              <w:t>Pšenica - veľkoobchodná cena, komodity (v €/tona)</w:t>
            </w:r>
          </w:p>
        </w:tc>
        <w:tc>
          <w:tcPr>
            <w:tcW w:w="94" w:type="pct"/>
            <w:tcBorders>
              <w:top w:val="nil"/>
              <w:left w:val="nil"/>
              <w:bottom w:val="nil"/>
              <w:right w:val="nil"/>
            </w:tcBorders>
            <w:shd w:val="clear" w:color="auto" w:fill="auto"/>
            <w:vAlign w:val="center"/>
          </w:tcPr>
          <w:p w14:paraId="2CBD365D" w14:textId="77777777" w:rsidR="00D4211E" w:rsidRPr="00866785" w:rsidRDefault="00D4211E" w:rsidP="00390AB6">
            <w:pPr>
              <w:spacing w:after="120"/>
              <w:rPr>
                <w:rFonts w:ascii="Arial Narrow" w:hAnsi="Arial Narrow" w:cs="Arial"/>
                <w:b/>
                <w:color w:val="2C9ADC"/>
                <w:sz w:val="20"/>
                <w:szCs w:val="18"/>
              </w:rPr>
            </w:pPr>
          </w:p>
        </w:tc>
        <w:tc>
          <w:tcPr>
            <w:tcW w:w="2515" w:type="pct"/>
            <w:tcBorders>
              <w:top w:val="nil"/>
              <w:left w:val="nil"/>
              <w:bottom w:val="single" w:sz="4" w:space="0" w:color="auto"/>
              <w:right w:val="nil"/>
            </w:tcBorders>
            <w:shd w:val="clear" w:color="auto" w:fill="auto"/>
          </w:tcPr>
          <w:p w14:paraId="05C4DD99" w14:textId="77777777" w:rsidR="00D4211E" w:rsidRPr="001E6935" w:rsidRDefault="00D4211E" w:rsidP="00390AB6">
            <w:pPr>
              <w:spacing w:after="120"/>
              <w:rPr>
                <w:rFonts w:ascii="Arial Narrow" w:hAnsi="Arial Narrow"/>
                <w:sz w:val="24"/>
                <w:szCs w:val="24"/>
              </w:rPr>
            </w:pPr>
            <w:r w:rsidRPr="001E6935">
              <w:rPr>
                <w:rFonts w:ascii="Arial Narrow" w:hAnsi="Arial Narrow" w:cs="Arial"/>
                <w:b/>
                <w:color w:val="2C9ADC"/>
                <w:sz w:val="20"/>
                <w:szCs w:val="18"/>
              </w:rPr>
              <w:t>Spotová cena plynu TTF a futures do roku 2024 (€/MWh)</w:t>
            </w:r>
          </w:p>
        </w:tc>
      </w:tr>
      <w:tr w:rsidR="00D4211E" w:rsidRPr="00866785" w14:paraId="05A3D3C0" w14:textId="77777777" w:rsidTr="00390AB6">
        <w:trPr>
          <w:trHeight w:val="820"/>
        </w:trPr>
        <w:tc>
          <w:tcPr>
            <w:tcW w:w="2391" w:type="pct"/>
            <w:tcBorders>
              <w:top w:val="single" w:sz="4" w:space="0" w:color="auto"/>
              <w:left w:val="nil"/>
              <w:bottom w:val="single" w:sz="4" w:space="0" w:color="auto"/>
              <w:right w:val="nil"/>
            </w:tcBorders>
            <w:vAlign w:val="center"/>
          </w:tcPr>
          <w:p w14:paraId="03E304A4" w14:textId="77777777" w:rsidR="00D4211E" w:rsidRPr="00866785" w:rsidRDefault="00D4211E" w:rsidP="00390AB6">
            <w:pPr>
              <w:spacing w:before="120" w:after="120"/>
              <w:jc w:val="center"/>
              <w:rPr>
                <w:rFonts w:ascii="Arial Narrow" w:hAnsi="Arial Narrow" w:cs="Arial"/>
                <w:b/>
                <w:bCs/>
                <w:sz w:val="20"/>
                <w:szCs w:val="20"/>
              </w:rPr>
            </w:pPr>
            <w:r>
              <w:rPr>
                <w:noProof/>
              </w:rPr>
              <w:drawing>
                <wp:inline distT="0" distB="0" distL="0" distR="0" wp14:anchorId="097F6B21" wp14:editId="783D7A45">
                  <wp:extent cx="2610485" cy="2426970"/>
                  <wp:effectExtent l="0" t="0" r="0" b="0"/>
                  <wp:docPr id="1898134265" name="Graf 1898134265">
                    <a:extLst xmlns:a="http://schemas.openxmlformats.org/drawingml/2006/main">
                      <a:ext uri="{FF2B5EF4-FFF2-40B4-BE49-F238E27FC236}">
                        <a16:creationId xmlns:a16="http://schemas.microsoft.com/office/drawing/2014/main" id="{00000000-0008-0000-01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c>
        <w:tc>
          <w:tcPr>
            <w:tcW w:w="94" w:type="pct"/>
            <w:tcBorders>
              <w:top w:val="nil"/>
              <w:left w:val="nil"/>
              <w:bottom w:val="nil"/>
              <w:right w:val="nil"/>
            </w:tcBorders>
            <w:vAlign w:val="center"/>
          </w:tcPr>
          <w:p w14:paraId="3735B98E" w14:textId="77777777" w:rsidR="00D4211E" w:rsidRPr="00866785" w:rsidRDefault="00D4211E" w:rsidP="00390AB6">
            <w:pPr>
              <w:spacing w:after="120"/>
              <w:jc w:val="center"/>
              <w:rPr>
                <w:rFonts w:ascii="Arial Narrow" w:hAnsi="Arial Narrow" w:cs="Arial"/>
                <w:b/>
                <w:sz w:val="20"/>
                <w:szCs w:val="20"/>
              </w:rPr>
            </w:pPr>
          </w:p>
          <w:p w14:paraId="231C5C59" w14:textId="77777777" w:rsidR="00D4211E" w:rsidRPr="00866785" w:rsidRDefault="00D4211E" w:rsidP="00390AB6">
            <w:pPr>
              <w:spacing w:after="120"/>
              <w:jc w:val="center"/>
              <w:rPr>
                <w:rFonts w:ascii="Arial Narrow" w:hAnsi="Arial Narrow" w:cs="Arial"/>
                <w:b/>
                <w:sz w:val="20"/>
                <w:szCs w:val="20"/>
              </w:rPr>
            </w:pPr>
          </w:p>
          <w:p w14:paraId="120F7B0E" w14:textId="77777777" w:rsidR="00D4211E" w:rsidRPr="00866785" w:rsidRDefault="00D4211E" w:rsidP="00390AB6">
            <w:pPr>
              <w:spacing w:after="120"/>
              <w:jc w:val="center"/>
              <w:rPr>
                <w:rFonts w:ascii="Arial Narrow" w:hAnsi="Arial Narrow" w:cs="Arial"/>
                <w:b/>
                <w:sz w:val="20"/>
                <w:szCs w:val="20"/>
              </w:rPr>
            </w:pPr>
          </w:p>
        </w:tc>
        <w:tc>
          <w:tcPr>
            <w:tcW w:w="2515" w:type="pct"/>
            <w:tcBorders>
              <w:top w:val="single" w:sz="4" w:space="0" w:color="auto"/>
              <w:left w:val="nil"/>
              <w:bottom w:val="single" w:sz="4" w:space="0" w:color="auto"/>
              <w:right w:val="nil"/>
            </w:tcBorders>
            <w:vAlign w:val="center"/>
          </w:tcPr>
          <w:p w14:paraId="76F08ED1" w14:textId="77777777" w:rsidR="00D4211E" w:rsidRPr="00866785" w:rsidRDefault="00D4211E" w:rsidP="00390AB6">
            <w:pPr>
              <w:spacing w:after="120"/>
              <w:jc w:val="center"/>
              <w:rPr>
                <w:rFonts w:ascii="Arial Narrow" w:hAnsi="Arial Narrow" w:cs="Arial"/>
                <w:b/>
                <w:bCs/>
                <w:sz w:val="16"/>
                <w:szCs w:val="16"/>
              </w:rPr>
            </w:pPr>
            <w:r>
              <w:rPr>
                <w:noProof/>
              </w:rPr>
              <w:drawing>
                <wp:inline distT="0" distB="0" distL="0" distR="0" wp14:anchorId="6988AC7D" wp14:editId="3B4E2854">
                  <wp:extent cx="2750185" cy="2476500"/>
                  <wp:effectExtent l="0" t="0" r="0" b="0"/>
                  <wp:docPr id="1176610214" name="Graf 1176610214">
                    <a:extLst xmlns:a="http://schemas.openxmlformats.org/drawingml/2006/main">
                      <a:ext uri="{FF2B5EF4-FFF2-40B4-BE49-F238E27FC236}">
                        <a16:creationId xmlns:a16="http://schemas.microsoft.com/office/drawing/2014/main" id="{00000000-0008-0000-01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c>
      </w:tr>
      <w:tr w:rsidR="00D4211E" w:rsidRPr="00866785" w14:paraId="5297544A" w14:textId="77777777" w:rsidTr="00390AB6">
        <w:trPr>
          <w:trHeight w:val="104"/>
        </w:trPr>
        <w:tc>
          <w:tcPr>
            <w:tcW w:w="2391" w:type="pct"/>
            <w:tcBorders>
              <w:top w:val="single" w:sz="4" w:space="0" w:color="auto"/>
              <w:left w:val="nil"/>
              <w:bottom w:val="nil"/>
              <w:right w:val="nil"/>
            </w:tcBorders>
            <w:vAlign w:val="center"/>
          </w:tcPr>
          <w:p w14:paraId="78FF2EE9" w14:textId="77777777" w:rsidR="00D4211E" w:rsidRPr="00866785" w:rsidRDefault="00D4211E" w:rsidP="00390AB6">
            <w:pPr>
              <w:spacing w:after="120"/>
              <w:jc w:val="right"/>
              <w:rPr>
                <w:rFonts w:ascii="Arial Narrow" w:hAnsi="Arial Narrow" w:cs="Arial"/>
                <w:i/>
                <w:sz w:val="16"/>
                <w:szCs w:val="16"/>
              </w:rPr>
            </w:pPr>
            <w:r w:rsidRPr="00866785">
              <w:rPr>
                <w:rFonts w:ascii="Arial Narrow" w:hAnsi="Arial Narrow" w:cs="Arial"/>
                <w:i/>
                <w:sz w:val="16"/>
                <w:szCs w:val="16"/>
              </w:rPr>
              <w:t xml:space="preserve">Zdroj: EK </w:t>
            </w:r>
          </w:p>
        </w:tc>
        <w:tc>
          <w:tcPr>
            <w:tcW w:w="94" w:type="pct"/>
            <w:tcBorders>
              <w:top w:val="nil"/>
              <w:left w:val="nil"/>
              <w:bottom w:val="nil"/>
              <w:right w:val="nil"/>
            </w:tcBorders>
            <w:vAlign w:val="center"/>
          </w:tcPr>
          <w:p w14:paraId="70B78964" w14:textId="77777777" w:rsidR="00D4211E" w:rsidRPr="00866785" w:rsidRDefault="00D4211E" w:rsidP="00390AB6">
            <w:pPr>
              <w:spacing w:after="120"/>
              <w:jc w:val="center"/>
              <w:rPr>
                <w:rFonts w:ascii="Arial Narrow" w:hAnsi="Arial Narrow" w:cs="Arial"/>
                <w:i/>
                <w:sz w:val="16"/>
                <w:szCs w:val="16"/>
              </w:rPr>
            </w:pPr>
          </w:p>
        </w:tc>
        <w:tc>
          <w:tcPr>
            <w:tcW w:w="2515" w:type="pct"/>
            <w:tcBorders>
              <w:top w:val="single" w:sz="4" w:space="0" w:color="auto"/>
              <w:left w:val="nil"/>
              <w:bottom w:val="nil"/>
              <w:right w:val="nil"/>
            </w:tcBorders>
            <w:vAlign w:val="center"/>
          </w:tcPr>
          <w:p w14:paraId="4C1EBF22" w14:textId="77777777" w:rsidR="00D4211E" w:rsidRPr="00866785" w:rsidRDefault="00D4211E" w:rsidP="00390AB6">
            <w:pPr>
              <w:spacing w:after="120"/>
              <w:jc w:val="right"/>
              <w:rPr>
                <w:rFonts w:ascii="Arial Narrow" w:hAnsi="Arial Narrow" w:cs="Arial"/>
                <w:i/>
                <w:sz w:val="16"/>
                <w:szCs w:val="16"/>
              </w:rPr>
            </w:pPr>
            <w:r w:rsidRPr="00866785">
              <w:rPr>
                <w:rFonts w:ascii="Arial Narrow" w:hAnsi="Arial Narrow" w:cs="Arial"/>
                <w:i/>
                <w:sz w:val="16"/>
                <w:szCs w:val="16"/>
              </w:rPr>
              <w:t>Zdroj: eex.com</w:t>
            </w:r>
          </w:p>
        </w:tc>
      </w:tr>
    </w:tbl>
    <w:p w14:paraId="12898C07" w14:textId="77777777" w:rsidR="00D4211E" w:rsidRPr="00F5482A" w:rsidRDefault="00D4211E" w:rsidP="00D4211E">
      <w:pPr>
        <w:spacing w:after="160"/>
        <w:jc w:val="both"/>
        <w:rPr>
          <w:rFonts w:ascii="Arial Narrow" w:eastAsia="Arial Narrow" w:hAnsi="Arial Narrow" w:cs="Arial Narrow"/>
          <w:sz w:val="24"/>
          <w:szCs w:val="24"/>
        </w:rPr>
      </w:pPr>
    </w:p>
    <w:p w14:paraId="349DB71A" w14:textId="41CDA6A9" w:rsidR="00D4211E" w:rsidRPr="00844C8C" w:rsidRDefault="00D4211E" w:rsidP="00D4211E">
      <w:pPr>
        <w:spacing w:after="240"/>
        <w:jc w:val="both"/>
        <w:rPr>
          <w:rFonts w:ascii="Arial Narrow" w:hAnsi="Arial Narrow"/>
          <w:sz w:val="24"/>
          <w:szCs w:val="24"/>
        </w:rPr>
      </w:pPr>
      <w:r w:rsidRPr="000470F7">
        <w:rPr>
          <w:rFonts w:ascii="Arial Narrow" w:hAnsi="Arial Narrow"/>
          <w:sz w:val="24"/>
          <w:szCs w:val="24"/>
        </w:rPr>
        <w:t>Ceny palív a vývoj futurít na finančných trhoch v 2024 nevytvárajú tlak na potravinovú infláciu. V závere roka 2024 zaznamenávame zvýšenie, ale stále nedosahuje úroveň z roku 2022. Kľúčovými faktormi na vývoj cien sú aj pretrvávajúce geopolitické konflikty, energetická transformácia a</w:t>
      </w:r>
      <w:r>
        <w:rPr>
          <w:rFonts w:ascii="Arial Narrow" w:hAnsi="Arial Narrow"/>
          <w:sz w:val="24"/>
          <w:szCs w:val="24"/>
        </w:rPr>
        <w:t> </w:t>
      </w:r>
      <w:r w:rsidRPr="000470F7">
        <w:rPr>
          <w:rFonts w:ascii="Arial Narrow" w:hAnsi="Arial Narrow"/>
          <w:sz w:val="24"/>
          <w:szCs w:val="24"/>
        </w:rPr>
        <w:t>hľadanie nového modelu rastu hospodárstva, ktoré majú prevažne vplyv na stranu ponuky.</w:t>
      </w:r>
    </w:p>
    <w:p w14:paraId="20708474" w14:textId="40AB1D26" w:rsidR="00844C8C" w:rsidRPr="00844C8C" w:rsidRDefault="00844C8C" w:rsidP="00947BF3">
      <w:pPr>
        <w:spacing w:after="240"/>
        <w:jc w:val="both"/>
        <w:rPr>
          <w:rFonts w:ascii="Arial Narrow" w:hAnsi="Arial Narrow"/>
          <w:sz w:val="24"/>
          <w:szCs w:val="24"/>
        </w:rPr>
      </w:pPr>
      <w:r w:rsidRPr="00844C8C">
        <w:rPr>
          <w:rFonts w:ascii="Arial Narrow" w:hAnsi="Arial Narrow"/>
          <w:sz w:val="24"/>
          <w:szCs w:val="24"/>
        </w:rPr>
        <w:t>Na druhej strane, v treťom kvartáli 2024 sa objavili nové inflačné tlaky spôsobené:</w:t>
      </w:r>
    </w:p>
    <w:p w14:paraId="17960C3E" w14:textId="77777777" w:rsidR="00844C8C" w:rsidRPr="00844C8C" w:rsidRDefault="00844C8C" w:rsidP="00947BF3">
      <w:pPr>
        <w:pStyle w:val="Odsekzoznamu"/>
        <w:numPr>
          <w:ilvl w:val="0"/>
          <w:numId w:val="8"/>
        </w:numPr>
        <w:ind w:left="378"/>
        <w:jc w:val="both"/>
        <w:rPr>
          <w:rFonts w:ascii="Arial Narrow" w:hAnsi="Arial Narrow"/>
          <w:sz w:val="24"/>
          <w:szCs w:val="24"/>
        </w:rPr>
      </w:pPr>
      <w:r w:rsidRPr="00844C8C">
        <w:rPr>
          <w:rFonts w:ascii="Arial Narrow" w:hAnsi="Arial Narrow"/>
          <w:sz w:val="24"/>
          <w:szCs w:val="24"/>
        </w:rPr>
        <w:t>klimatickými výkyvmi (sucho, horúčavy),</w:t>
      </w:r>
    </w:p>
    <w:p w14:paraId="72606B0B" w14:textId="77777777" w:rsidR="00844C8C" w:rsidRPr="00844C8C" w:rsidRDefault="00844C8C" w:rsidP="00947BF3">
      <w:pPr>
        <w:pStyle w:val="Odsekzoznamu"/>
        <w:numPr>
          <w:ilvl w:val="0"/>
          <w:numId w:val="8"/>
        </w:numPr>
        <w:ind w:left="378"/>
        <w:jc w:val="both"/>
        <w:rPr>
          <w:rFonts w:ascii="Arial Narrow" w:hAnsi="Arial Narrow"/>
          <w:sz w:val="24"/>
          <w:szCs w:val="24"/>
        </w:rPr>
      </w:pPr>
      <w:r w:rsidRPr="00844C8C">
        <w:rPr>
          <w:rFonts w:ascii="Arial Narrow" w:hAnsi="Arial Narrow"/>
          <w:sz w:val="24"/>
          <w:szCs w:val="24"/>
        </w:rPr>
        <w:t>chorobami hospodárskych zvierat,</w:t>
      </w:r>
    </w:p>
    <w:p w14:paraId="4371A058" w14:textId="77777777" w:rsidR="00844C8C" w:rsidRDefault="00844C8C" w:rsidP="00947BF3">
      <w:pPr>
        <w:pStyle w:val="Odsekzoznamu"/>
        <w:numPr>
          <w:ilvl w:val="0"/>
          <w:numId w:val="8"/>
        </w:numPr>
        <w:spacing w:after="240"/>
        <w:ind w:left="378"/>
        <w:jc w:val="both"/>
        <w:rPr>
          <w:rFonts w:ascii="Arial Narrow" w:hAnsi="Arial Narrow"/>
          <w:sz w:val="24"/>
          <w:szCs w:val="24"/>
        </w:rPr>
      </w:pPr>
      <w:r w:rsidRPr="00844C8C">
        <w:rPr>
          <w:rFonts w:ascii="Arial Narrow" w:hAnsi="Arial Narrow"/>
          <w:sz w:val="24"/>
          <w:szCs w:val="24"/>
        </w:rPr>
        <w:t>nedostatkom kľúčových komodít (napr. slnečnicový, repkový olej).</w:t>
      </w:r>
    </w:p>
    <w:p w14:paraId="5D5EB935" w14:textId="00FDCFF5" w:rsidR="005779C4" w:rsidRPr="00844C8C" w:rsidRDefault="00844C8C" w:rsidP="005779C4">
      <w:pPr>
        <w:spacing w:after="240"/>
        <w:jc w:val="both"/>
        <w:rPr>
          <w:rFonts w:ascii="Arial Narrow" w:hAnsi="Arial Narrow"/>
          <w:sz w:val="24"/>
          <w:szCs w:val="24"/>
        </w:rPr>
      </w:pPr>
      <w:r w:rsidRPr="00844C8C">
        <w:rPr>
          <w:rFonts w:ascii="Arial Narrow" w:hAnsi="Arial Narrow"/>
          <w:sz w:val="24"/>
          <w:szCs w:val="24"/>
        </w:rPr>
        <w:t>Tieto faktory viedli k situácii, keď dopyt na svetových trhoch prevýšil ponuku, čo sa okamžite prejavilo v</w:t>
      </w:r>
      <w:r w:rsidR="00B56FA3">
        <w:rPr>
          <w:rFonts w:ascii="Arial Narrow" w:hAnsi="Arial Narrow"/>
          <w:sz w:val="24"/>
          <w:szCs w:val="24"/>
        </w:rPr>
        <w:t> </w:t>
      </w:r>
      <w:r w:rsidRPr="00844C8C">
        <w:rPr>
          <w:rFonts w:ascii="Arial Narrow" w:hAnsi="Arial Narrow"/>
          <w:sz w:val="24"/>
          <w:szCs w:val="24"/>
        </w:rPr>
        <w:t>rýchlom raste cien tukov a olejov.</w:t>
      </w:r>
    </w:p>
    <w:bookmarkEnd w:id="10"/>
    <w:p w14:paraId="158C10F6" w14:textId="4B246A9E" w:rsidR="00CF7C54" w:rsidRPr="005779C4" w:rsidRDefault="00CF7C54" w:rsidP="005779C4">
      <w:pPr>
        <w:tabs>
          <w:tab w:val="left" w:pos="2694"/>
        </w:tabs>
        <w:spacing w:after="240"/>
        <w:rPr>
          <w:rFonts w:ascii="Arial Narrow" w:eastAsia="Times New Roman" w:hAnsi="Arial Narrow"/>
          <w:b/>
          <w:bCs/>
          <w:color w:val="000000" w:themeColor="text1"/>
          <w:sz w:val="24"/>
          <w:szCs w:val="24"/>
        </w:rPr>
      </w:pPr>
      <w:r w:rsidRPr="005779C4">
        <w:rPr>
          <w:rFonts w:ascii="Arial Narrow" w:eastAsia="Times New Roman" w:hAnsi="Arial Narrow"/>
          <w:b/>
          <w:bCs/>
          <w:color w:val="000000" w:themeColor="text1"/>
          <w:sz w:val="24"/>
          <w:szCs w:val="24"/>
        </w:rPr>
        <w:t>Špecifiká slovenského trhu</w:t>
      </w:r>
    </w:p>
    <w:p w14:paraId="4E968D90" w14:textId="133B540C" w:rsidR="00CF7C54" w:rsidRPr="00CF7C54" w:rsidRDefault="00CF7C54" w:rsidP="00947BF3">
      <w:pPr>
        <w:spacing w:after="240"/>
        <w:jc w:val="both"/>
        <w:rPr>
          <w:rFonts w:ascii="Arial Narrow" w:hAnsi="Arial Narrow"/>
          <w:sz w:val="24"/>
          <w:szCs w:val="24"/>
        </w:rPr>
      </w:pPr>
      <w:r>
        <w:rPr>
          <w:rFonts w:ascii="Arial Narrow" w:hAnsi="Arial Narrow"/>
          <w:sz w:val="24"/>
          <w:szCs w:val="24"/>
        </w:rPr>
        <w:t>N</w:t>
      </w:r>
      <w:r w:rsidRPr="00CF7C54">
        <w:rPr>
          <w:rFonts w:ascii="Arial Narrow" w:hAnsi="Arial Narrow"/>
          <w:sz w:val="24"/>
          <w:szCs w:val="24"/>
        </w:rPr>
        <w:t>a Slovensku sa zhruba polovica potravín a nápojov dováža zo zahraničia, čo znamená, že domáce faktory (napr. mzdy, energie, daňová politika) ovplyvňujú spotrebiteľské ceny potravín v menšej miere. Nízka potravinová sebestačnosť nás zároveň radí medzi krajiny najviac závislé od vývoja svetových cien komodít.</w:t>
      </w:r>
    </w:p>
    <w:p w14:paraId="00C1BD42" w14:textId="77777777" w:rsidR="00CF7C54" w:rsidRDefault="00CF7C54" w:rsidP="00947BF3">
      <w:pPr>
        <w:spacing w:after="240"/>
        <w:jc w:val="both"/>
        <w:rPr>
          <w:rFonts w:ascii="Arial Narrow" w:hAnsi="Arial Narrow"/>
          <w:sz w:val="24"/>
          <w:szCs w:val="24"/>
        </w:rPr>
      </w:pPr>
      <w:r w:rsidRPr="00CF7C54">
        <w:rPr>
          <w:rFonts w:ascii="Arial Narrow" w:hAnsi="Arial Narrow"/>
          <w:sz w:val="24"/>
          <w:szCs w:val="24"/>
        </w:rPr>
        <w:t>Zároveň platí, že energetická náročnosť potravinového priemyslu na Slovensku je vyššia než v západnej Európe, čo zvyšuje citlivosť domácich producentov na výkyvy cien energií.</w:t>
      </w:r>
    </w:p>
    <w:p w14:paraId="243F75FF" w14:textId="378EDF91" w:rsidR="00502BFE" w:rsidRPr="00502BFE" w:rsidRDefault="00502BFE" w:rsidP="00947BF3">
      <w:pPr>
        <w:spacing w:after="240"/>
        <w:jc w:val="both"/>
        <w:rPr>
          <w:rFonts w:ascii="Arial Narrow" w:hAnsi="Arial Narrow"/>
          <w:sz w:val="24"/>
          <w:szCs w:val="24"/>
        </w:rPr>
      </w:pPr>
      <w:r>
        <w:rPr>
          <w:rFonts w:ascii="Arial Narrow" w:hAnsi="Arial Narrow"/>
          <w:sz w:val="24"/>
          <w:szCs w:val="24"/>
        </w:rPr>
        <w:t>V</w:t>
      </w:r>
      <w:r w:rsidRPr="00502BFE">
        <w:rPr>
          <w:rFonts w:ascii="Arial Narrow" w:hAnsi="Arial Narrow"/>
          <w:sz w:val="24"/>
          <w:szCs w:val="24"/>
        </w:rPr>
        <w:t xml:space="preserve"> roku </w:t>
      </w:r>
      <w:r w:rsidRPr="009552CC">
        <w:rPr>
          <w:rFonts w:ascii="Arial Narrow" w:hAnsi="Arial Narrow"/>
          <w:sz w:val="24"/>
          <w:szCs w:val="24"/>
        </w:rPr>
        <w:t xml:space="preserve">2024 </w:t>
      </w:r>
      <w:r w:rsidR="007D6BB1" w:rsidRPr="009552CC">
        <w:rPr>
          <w:rFonts w:ascii="Arial Narrow" w:hAnsi="Arial Narrow"/>
          <w:sz w:val="24"/>
          <w:szCs w:val="24"/>
        </w:rPr>
        <w:t xml:space="preserve">sa </w:t>
      </w:r>
      <w:r w:rsidRPr="009552CC">
        <w:rPr>
          <w:rFonts w:ascii="Arial Narrow" w:hAnsi="Arial Narrow"/>
          <w:sz w:val="24"/>
          <w:szCs w:val="24"/>
        </w:rPr>
        <w:t>identifikova</w:t>
      </w:r>
      <w:r w:rsidR="009552CC" w:rsidRPr="009552CC">
        <w:rPr>
          <w:rFonts w:ascii="Arial Narrow" w:hAnsi="Arial Narrow"/>
          <w:sz w:val="24"/>
          <w:szCs w:val="24"/>
        </w:rPr>
        <w:t>lo</w:t>
      </w:r>
      <w:r w:rsidRPr="00502BFE">
        <w:rPr>
          <w:rFonts w:ascii="Arial Narrow" w:hAnsi="Arial Narrow"/>
          <w:sz w:val="24"/>
          <w:szCs w:val="24"/>
        </w:rPr>
        <w:t xml:space="preserve"> viacero výrazných medziročných zmien. Vývoj cien bol ovplyvnený kombináciou globálnych trhových faktorov, sezónnych vplyvov, ako aj domácich špecifík vrátane výrobných nákladov a dopytovo-ponukových nerovnováh.</w:t>
      </w:r>
    </w:p>
    <w:p w14:paraId="2626C1B5" w14:textId="16D769F0" w:rsidR="00502BFE" w:rsidRPr="00502BFE" w:rsidRDefault="0004676F" w:rsidP="00947BF3">
      <w:pPr>
        <w:spacing w:after="240"/>
        <w:jc w:val="both"/>
        <w:rPr>
          <w:rFonts w:ascii="Arial Narrow" w:hAnsi="Arial Narrow"/>
          <w:sz w:val="24"/>
          <w:szCs w:val="24"/>
        </w:rPr>
      </w:pPr>
      <w:r w:rsidRPr="0010233A">
        <w:rPr>
          <w:rFonts w:ascii="Arial Narrow" w:hAnsi="Arial Narrow"/>
          <w:sz w:val="24"/>
          <w:szCs w:val="24"/>
        </w:rPr>
        <w:t>Najvýraznejší medziročný rast</w:t>
      </w:r>
      <w:r w:rsidRPr="0004676F">
        <w:rPr>
          <w:rFonts w:ascii="Arial Narrow" w:hAnsi="Arial Narrow"/>
          <w:sz w:val="24"/>
          <w:szCs w:val="24"/>
        </w:rPr>
        <w:t xml:space="preserve"> evidujeme v prípade </w:t>
      </w:r>
      <w:r w:rsidRPr="0010233A">
        <w:rPr>
          <w:rFonts w:ascii="Arial Narrow" w:hAnsi="Arial Narrow"/>
          <w:sz w:val="24"/>
          <w:szCs w:val="24"/>
        </w:rPr>
        <w:t>čerstvého masla</w:t>
      </w:r>
      <w:r w:rsidRPr="0004676F">
        <w:rPr>
          <w:rFonts w:ascii="Arial Narrow" w:hAnsi="Arial Narrow"/>
          <w:sz w:val="24"/>
          <w:szCs w:val="24"/>
        </w:rPr>
        <w:t>, ktorého priemerná cena vzrástla zo</w:t>
      </w:r>
      <w:r w:rsidR="00B56FA3">
        <w:rPr>
          <w:rFonts w:ascii="Arial Narrow" w:hAnsi="Arial Narrow"/>
          <w:sz w:val="24"/>
          <w:szCs w:val="24"/>
        </w:rPr>
        <w:t> </w:t>
      </w:r>
      <w:r w:rsidRPr="0004676F">
        <w:rPr>
          <w:rFonts w:ascii="Arial Narrow" w:hAnsi="Arial Narrow"/>
          <w:sz w:val="24"/>
          <w:szCs w:val="24"/>
        </w:rPr>
        <w:t>1,98</w:t>
      </w:r>
      <w:r w:rsidRPr="00B56FA3">
        <w:rPr>
          <w:rFonts w:ascii="Arial" w:hAnsi="Arial" w:cs="Arial"/>
          <w:sz w:val="24"/>
          <w:szCs w:val="24"/>
        </w:rPr>
        <w:t> </w:t>
      </w:r>
      <w:r w:rsidRPr="00B56FA3">
        <w:rPr>
          <w:rFonts w:ascii="Arial Narrow" w:hAnsi="Arial Narrow"/>
          <w:sz w:val="24"/>
          <w:szCs w:val="24"/>
        </w:rPr>
        <w:t>€</w:t>
      </w:r>
      <w:r w:rsidRPr="0004676F">
        <w:rPr>
          <w:rFonts w:ascii="Arial Narrow" w:hAnsi="Arial Narrow"/>
          <w:sz w:val="24"/>
          <w:szCs w:val="24"/>
        </w:rPr>
        <w:t xml:space="preserve"> v decembri 2023 na 2,87</w:t>
      </w:r>
      <w:r w:rsidRPr="00B56FA3">
        <w:rPr>
          <w:rFonts w:ascii="Arial" w:hAnsi="Arial" w:cs="Arial"/>
          <w:sz w:val="24"/>
          <w:szCs w:val="24"/>
        </w:rPr>
        <w:t> </w:t>
      </w:r>
      <w:r w:rsidRPr="00B56FA3">
        <w:rPr>
          <w:rFonts w:ascii="Arial Narrow" w:hAnsi="Arial Narrow"/>
          <w:sz w:val="24"/>
          <w:szCs w:val="24"/>
        </w:rPr>
        <w:t>€</w:t>
      </w:r>
      <w:r w:rsidRPr="0004676F">
        <w:rPr>
          <w:rFonts w:ascii="Arial Narrow" w:hAnsi="Arial Narrow"/>
          <w:sz w:val="24"/>
          <w:szCs w:val="24"/>
        </w:rPr>
        <w:t xml:space="preserve"> v decembri 2024, </w:t>
      </w:r>
      <w:r w:rsidRPr="0010233A">
        <w:rPr>
          <w:rFonts w:ascii="Arial Narrow" w:hAnsi="Arial Narrow"/>
          <w:sz w:val="24"/>
          <w:szCs w:val="24"/>
        </w:rPr>
        <w:t>č</w:t>
      </w:r>
      <w:r w:rsidRPr="0004676F">
        <w:rPr>
          <w:rFonts w:ascii="Arial Narrow" w:hAnsi="Arial Narrow"/>
          <w:sz w:val="24"/>
          <w:szCs w:val="24"/>
        </w:rPr>
        <w:t xml:space="preserve">o predstavuje </w:t>
      </w:r>
      <w:r w:rsidRPr="0010233A">
        <w:rPr>
          <w:rFonts w:ascii="Arial Narrow" w:hAnsi="Arial Narrow"/>
          <w:sz w:val="24"/>
          <w:szCs w:val="24"/>
        </w:rPr>
        <w:t>medziročné zdraženie o 45</w:t>
      </w:r>
      <w:r w:rsidRPr="00B56FA3">
        <w:rPr>
          <w:rFonts w:ascii="Arial" w:hAnsi="Arial" w:cs="Arial"/>
          <w:sz w:val="24"/>
          <w:szCs w:val="24"/>
        </w:rPr>
        <w:t> </w:t>
      </w:r>
      <w:r w:rsidRPr="0010233A">
        <w:rPr>
          <w:rFonts w:ascii="Arial Narrow" w:hAnsi="Arial Narrow"/>
          <w:sz w:val="24"/>
          <w:szCs w:val="24"/>
        </w:rPr>
        <w:t>%</w:t>
      </w:r>
      <w:r w:rsidRPr="0004676F">
        <w:rPr>
          <w:rFonts w:ascii="Arial Narrow" w:hAnsi="Arial Narrow"/>
          <w:sz w:val="24"/>
          <w:szCs w:val="24"/>
        </w:rPr>
        <w:t>.</w:t>
      </w:r>
      <w:r w:rsidR="00502BFE" w:rsidRPr="00502BFE">
        <w:rPr>
          <w:rFonts w:ascii="Arial Narrow" w:hAnsi="Arial Narrow"/>
          <w:sz w:val="24"/>
          <w:szCs w:val="24"/>
        </w:rPr>
        <w:t xml:space="preserve"> Tento nárast reflektuje rast cien mliečnych výrobkov, ale aj možné obmedzenia ponuky v kombinácii s</w:t>
      </w:r>
      <w:r w:rsidR="00B56FA3">
        <w:rPr>
          <w:rFonts w:ascii="Arial Narrow" w:hAnsi="Arial Narrow"/>
          <w:sz w:val="24"/>
          <w:szCs w:val="24"/>
        </w:rPr>
        <w:t> </w:t>
      </w:r>
      <w:r w:rsidR="00502BFE" w:rsidRPr="00502BFE">
        <w:rPr>
          <w:rFonts w:ascii="Arial Narrow" w:hAnsi="Arial Narrow"/>
          <w:sz w:val="24"/>
          <w:szCs w:val="24"/>
        </w:rPr>
        <w:t>vyššími nákladmi na výrobu a distribúciu.</w:t>
      </w:r>
    </w:p>
    <w:p w14:paraId="37E20D4D" w14:textId="0676BEC0" w:rsidR="00502BFE" w:rsidRPr="00502BFE" w:rsidRDefault="00502BFE" w:rsidP="00947BF3">
      <w:pPr>
        <w:spacing w:after="240"/>
        <w:jc w:val="both"/>
        <w:rPr>
          <w:rFonts w:ascii="Arial Narrow" w:hAnsi="Arial Narrow"/>
          <w:sz w:val="24"/>
          <w:szCs w:val="24"/>
        </w:rPr>
      </w:pPr>
      <w:r w:rsidRPr="00502BFE">
        <w:rPr>
          <w:rFonts w:ascii="Arial Narrow" w:hAnsi="Arial Narrow"/>
          <w:sz w:val="24"/>
          <w:szCs w:val="24"/>
        </w:rPr>
        <w:t>Slepačie vajcia (veľkosť M, 10 ks) zdraželi medziročne o 19,8</w:t>
      </w:r>
      <w:r w:rsidRPr="00B56FA3">
        <w:rPr>
          <w:rFonts w:ascii="Arial" w:hAnsi="Arial" w:cs="Arial"/>
          <w:sz w:val="24"/>
          <w:szCs w:val="24"/>
        </w:rPr>
        <w:t> </w:t>
      </w:r>
      <w:r w:rsidRPr="00502BFE">
        <w:rPr>
          <w:rFonts w:ascii="Arial Narrow" w:hAnsi="Arial Narrow"/>
          <w:sz w:val="24"/>
          <w:szCs w:val="24"/>
        </w:rPr>
        <w:t>%, z 2,27 € na 2,72 €. Tento vývoj súvisí s</w:t>
      </w:r>
      <w:r w:rsidR="00B56FA3">
        <w:rPr>
          <w:rFonts w:ascii="Arial Narrow" w:hAnsi="Arial Narrow"/>
          <w:sz w:val="24"/>
          <w:szCs w:val="24"/>
        </w:rPr>
        <w:t> </w:t>
      </w:r>
      <w:r w:rsidRPr="00502BFE">
        <w:rPr>
          <w:rFonts w:ascii="Arial Narrow" w:hAnsi="Arial Narrow"/>
          <w:sz w:val="24"/>
          <w:szCs w:val="24"/>
        </w:rPr>
        <w:t>rastúcimi nákladmi na krmivá, energie a pravdepodobne aj so zníženou ponukou spôsobenou výkyvmi v živočíšnej výrobe</w:t>
      </w:r>
      <w:r>
        <w:rPr>
          <w:rFonts w:ascii="Arial Narrow" w:hAnsi="Arial Narrow"/>
          <w:sz w:val="24"/>
          <w:szCs w:val="24"/>
        </w:rPr>
        <w:t xml:space="preserve"> a výskytu vírusového ochorenia „vtáčej chrípky“.</w:t>
      </w:r>
    </w:p>
    <w:p w14:paraId="762526ED" w14:textId="5D558B7B" w:rsidR="00502BFE" w:rsidRPr="00502BFE" w:rsidRDefault="00502BFE" w:rsidP="00947BF3">
      <w:pPr>
        <w:spacing w:after="240"/>
        <w:jc w:val="both"/>
        <w:rPr>
          <w:rFonts w:ascii="Arial Narrow" w:hAnsi="Arial Narrow"/>
          <w:sz w:val="24"/>
          <w:szCs w:val="24"/>
        </w:rPr>
      </w:pPr>
      <w:r w:rsidRPr="00502BFE">
        <w:rPr>
          <w:rFonts w:ascii="Arial Narrow" w:hAnsi="Arial Narrow"/>
          <w:sz w:val="24"/>
          <w:szCs w:val="24"/>
        </w:rPr>
        <w:t>Trvanlivé polotučné mlieko vzrástlo medziročne o 14,8</w:t>
      </w:r>
      <w:r w:rsidRPr="00B56FA3">
        <w:rPr>
          <w:rFonts w:ascii="Arial" w:hAnsi="Arial" w:cs="Arial"/>
          <w:sz w:val="24"/>
          <w:szCs w:val="24"/>
        </w:rPr>
        <w:t> </w:t>
      </w:r>
      <w:r w:rsidRPr="00502BFE">
        <w:rPr>
          <w:rFonts w:ascii="Arial Narrow" w:hAnsi="Arial Narrow"/>
          <w:sz w:val="24"/>
          <w:szCs w:val="24"/>
        </w:rPr>
        <w:t>% z 0,61 € na 0,70 €, čo potvrdzuje rast cien mliekarenských produktov ako celku.</w:t>
      </w:r>
    </w:p>
    <w:p w14:paraId="1FD642E8" w14:textId="07821578" w:rsidR="00B20EE3" w:rsidRDefault="00502BFE" w:rsidP="00947BF3">
      <w:pPr>
        <w:spacing w:after="240"/>
        <w:jc w:val="both"/>
        <w:rPr>
          <w:rFonts w:ascii="Arial Narrow" w:hAnsi="Arial Narrow"/>
          <w:sz w:val="24"/>
          <w:szCs w:val="24"/>
        </w:rPr>
      </w:pPr>
      <w:r w:rsidRPr="00502BFE">
        <w:rPr>
          <w:rFonts w:ascii="Arial Narrow" w:hAnsi="Arial Narrow"/>
          <w:sz w:val="24"/>
          <w:szCs w:val="24"/>
        </w:rPr>
        <w:t>Naopak, najvýraznejší pokles zaznamenal kryštálový cukor, ktorého cena klesla z 1,09 € na 0,75 €, čo</w:t>
      </w:r>
      <w:r w:rsidR="00B56FA3">
        <w:rPr>
          <w:rFonts w:ascii="Arial Narrow" w:hAnsi="Arial Narrow"/>
          <w:sz w:val="24"/>
          <w:szCs w:val="24"/>
        </w:rPr>
        <w:t> </w:t>
      </w:r>
      <w:r w:rsidRPr="00502BFE">
        <w:rPr>
          <w:rFonts w:ascii="Arial Narrow" w:hAnsi="Arial Narrow"/>
          <w:sz w:val="24"/>
          <w:szCs w:val="24"/>
        </w:rPr>
        <w:t>predstavuje medziročný pokles o 31,2</w:t>
      </w:r>
      <w:r w:rsidRPr="00B56FA3">
        <w:rPr>
          <w:rFonts w:ascii="Arial" w:hAnsi="Arial" w:cs="Arial"/>
          <w:sz w:val="24"/>
          <w:szCs w:val="24"/>
        </w:rPr>
        <w:t> </w:t>
      </w:r>
      <w:r w:rsidRPr="00502BFE">
        <w:rPr>
          <w:rFonts w:ascii="Arial Narrow" w:hAnsi="Arial Narrow"/>
          <w:sz w:val="24"/>
          <w:szCs w:val="24"/>
        </w:rPr>
        <w:t>%. Tento vývoj možno pripísať stabilizácii globálneho trhu s</w:t>
      </w:r>
      <w:r w:rsidR="00B56FA3">
        <w:rPr>
          <w:rFonts w:ascii="Arial Narrow" w:hAnsi="Arial Narrow"/>
          <w:sz w:val="24"/>
          <w:szCs w:val="24"/>
        </w:rPr>
        <w:t> </w:t>
      </w:r>
      <w:r w:rsidRPr="00502BFE">
        <w:rPr>
          <w:rFonts w:ascii="Arial Narrow" w:hAnsi="Arial Narrow"/>
          <w:sz w:val="24"/>
          <w:szCs w:val="24"/>
        </w:rPr>
        <w:t>cukrom po extrémoch v roku 2023, ako aj možnému zvýšeniu domácej ponuky alebo lacnejšiemu dovozu.</w:t>
      </w:r>
    </w:p>
    <w:p w14:paraId="358F9380" w14:textId="4EC57785" w:rsidR="00502BFE" w:rsidRPr="00502BFE" w:rsidRDefault="0004676F" w:rsidP="00947BF3">
      <w:pPr>
        <w:spacing w:after="240"/>
        <w:jc w:val="both"/>
        <w:rPr>
          <w:rFonts w:ascii="Arial Narrow" w:hAnsi="Arial Narrow"/>
          <w:sz w:val="24"/>
          <w:szCs w:val="24"/>
        </w:rPr>
      </w:pPr>
      <w:r w:rsidRPr="00B20EE3">
        <w:rPr>
          <w:rFonts w:ascii="Arial Narrow" w:hAnsi="Arial Narrow"/>
          <w:sz w:val="24"/>
          <w:szCs w:val="24"/>
        </w:rPr>
        <w:t>Pri podrobnejšom pohľade však jablká, ako reprezentant ovocia, medziročne zdraželi z 1,12</w:t>
      </w:r>
      <w:r w:rsidRPr="00B56FA3">
        <w:rPr>
          <w:rFonts w:ascii="Arial" w:hAnsi="Arial" w:cs="Arial"/>
          <w:sz w:val="24"/>
          <w:szCs w:val="24"/>
        </w:rPr>
        <w:t> </w:t>
      </w:r>
      <w:r w:rsidRPr="00B56FA3">
        <w:rPr>
          <w:rFonts w:ascii="Arial Narrow" w:hAnsi="Arial Narrow"/>
          <w:sz w:val="24"/>
          <w:szCs w:val="24"/>
        </w:rPr>
        <w:t>€</w:t>
      </w:r>
      <w:r w:rsidRPr="00B20EE3">
        <w:rPr>
          <w:rFonts w:ascii="Arial Narrow" w:hAnsi="Arial Narrow"/>
          <w:sz w:val="24"/>
          <w:szCs w:val="24"/>
        </w:rPr>
        <w:t xml:space="preserve"> na 1,21</w:t>
      </w:r>
      <w:r w:rsidRPr="00B56FA3">
        <w:rPr>
          <w:rFonts w:ascii="Arial" w:hAnsi="Arial" w:cs="Arial"/>
          <w:sz w:val="24"/>
          <w:szCs w:val="24"/>
        </w:rPr>
        <w:t> </w:t>
      </w:r>
      <w:r w:rsidRPr="00B56FA3">
        <w:rPr>
          <w:rFonts w:ascii="Arial Narrow" w:hAnsi="Arial Narrow"/>
          <w:sz w:val="24"/>
          <w:szCs w:val="24"/>
        </w:rPr>
        <w:t>€</w:t>
      </w:r>
      <w:r w:rsidRPr="00B20EE3">
        <w:rPr>
          <w:rFonts w:ascii="Arial Narrow" w:hAnsi="Arial Narrow"/>
          <w:sz w:val="24"/>
          <w:szCs w:val="24"/>
        </w:rPr>
        <w:t>, teda o +8</w:t>
      </w:r>
      <w:r w:rsidRPr="00B56FA3">
        <w:rPr>
          <w:rFonts w:ascii="Arial" w:hAnsi="Arial" w:cs="Arial"/>
          <w:sz w:val="24"/>
          <w:szCs w:val="24"/>
        </w:rPr>
        <w:t> </w:t>
      </w:r>
      <w:r w:rsidRPr="00B20EE3">
        <w:rPr>
          <w:rFonts w:ascii="Arial Narrow" w:hAnsi="Arial Narrow"/>
          <w:sz w:val="24"/>
          <w:szCs w:val="24"/>
        </w:rPr>
        <w:t>%.</w:t>
      </w:r>
    </w:p>
    <w:p w14:paraId="460BBDC7" w14:textId="1DAA2A84" w:rsidR="00C15ECF" w:rsidRDefault="00502BFE" w:rsidP="00947BF3">
      <w:pPr>
        <w:spacing w:after="240"/>
        <w:jc w:val="both"/>
        <w:rPr>
          <w:rFonts w:ascii="Arial Narrow" w:hAnsi="Arial Narrow"/>
          <w:sz w:val="24"/>
          <w:szCs w:val="24"/>
        </w:rPr>
      </w:pPr>
      <w:r w:rsidRPr="00502BFE">
        <w:rPr>
          <w:rFonts w:ascii="Arial Narrow" w:hAnsi="Arial Narrow"/>
          <w:sz w:val="24"/>
          <w:szCs w:val="24"/>
        </w:rPr>
        <w:t>Zníženie cien postihlo aj niektoré druhy bravčového mäsa. Bravčové karé bez kosti zlacnelo o 14,1</w:t>
      </w:r>
      <w:r w:rsidRPr="00B56FA3">
        <w:rPr>
          <w:rFonts w:ascii="Arial" w:hAnsi="Arial" w:cs="Arial"/>
          <w:sz w:val="24"/>
          <w:szCs w:val="24"/>
        </w:rPr>
        <w:t> </w:t>
      </w:r>
      <w:r w:rsidRPr="00502BFE">
        <w:rPr>
          <w:rFonts w:ascii="Arial Narrow" w:hAnsi="Arial Narrow"/>
          <w:sz w:val="24"/>
          <w:szCs w:val="24"/>
        </w:rPr>
        <w:t>% z</w:t>
      </w:r>
      <w:r w:rsidR="00B56FA3">
        <w:rPr>
          <w:rFonts w:ascii="Arial Narrow" w:hAnsi="Arial Narrow"/>
          <w:sz w:val="24"/>
          <w:szCs w:val="24"/>
        </w:rPr>
        <w:t> </w:t>
      </w:r>
      <w:r w:rsidRPr="00502BFE">
        <w:rPr>
          <w:rFonts w:ascii="Arial Narrow" w:hAnsi="Arial Narrow"/>
          <w:sz w:val="24"/>
          <w:szCs w:val="24"/>
        </w:rPr>
        <w:t>5,67 € na 4,87 € a bravčová masť o 13,4</w:t>
      </w:r>
      <w:r w:rsidRPr="00B56FA3">
        <w:rPr>
          <w:rFonts w:ascii="Arial" w:hAnsi="Arial" w:cs="Arial"/>
          <w:sz w:val="24"/>
          <w:szCs w:val="24"/>
        </w:rPr>
        <w:t> </w:t>
      </w:r>
      <w:r w:rsidRPr="00502BFE">
        <w:rPr>
          <w:rFonts w:ascii="Arial Narrow" w:hAnsi="Arial Narrow"/>
          <w:sz w:val="24"/>
          <w:szCs w:val="24"/>
        </w:rPr>
        <w:t>% z 1,19 € na 1,03 €. Tento trend môže odrážať vyššiu ponuku na domácom trhu alebo priaznivejší vývoj cien vstupných komodít (napr. obilia pre výkrm).</w:t>
      </w:r>
      <w:r w:rsidR="0004676F">
        <w:rPr>
          <w:rFonts w:ascii="Arial Narrow" w:hAnsi="Arial Narrow"/>
          <w:sz w:val="24"/>
          <w:szCs w:val="24"/>
        </w:rPr>
        <w:t xml:space="preserve"> </w:t>
      </w:r>
      <w:r w:rsidR="0004676F" w:rsidRPr="0010233A">
        <w:rPr>
          <w:rFonts w:ascii="Arial Narrow" w:hAnsi="Arial Narrow"/>
          <w:sz w:val="24"/>
          <w:szCs w:val="24"/>
        </w:rPr>
        <w:t>Kuracie prsia</w:t>
      </w:r>
      <w:r w:rsidR="0004676F" w:rsidRPr="0004676F">
        <w:rPr>
          <w:rFonts w:ascii="Arial Narrow" w:hAnsi="Arial Narrow"/>
          <w:sz w:val="24"/>
          <w:szCs w:val="24"/>
        </w:rPr>
        <w:t xml:space="preserve"> medziročne </w:t>
      </w:r>
      <w:r w:rsidR="0004676F" w:rsidRPr="0010233A">
        <w:rPr>
          <w:rFonts w:ascii="Arial Narrow" w:hAnsi="Arial Narrow"/>
          <w:sz w:val="24"/>
          <w:szCs w:val="24"/>
        </w:rPr>
        <w:t>zlacneli o 1,8</w:t>
      </w:r>
      <w:r w:rsidR="0004676F" w:rsidRPr="00B56FA3">
        <w:rPr>
          <w:rFonts w:ascii="Arial" w:hAnsi="Arial" w:cs="Arial"/>
          <w:sz w:val="24"/>
          <w:szCs w:val="24"/>
        </w:rPr>
        <w:t> </w:t>
      </w:r>
      <w:r w:rsidR="0004676F" w:rsidRPr="0010233A">
        <w:rPr>
          <w:rFonts w:ascii="Arial Narrow" w:hAnsi="Arial Narrow"/>
          <w:sz w:val="24"/>
          <w:szCs w:val="24"/>
        </w:rPr>
        <w:t>%</w:t>
      </w:r>
      <w:r w:rsidR="0004676F" w:rsidRPr="0004676F">
        <w:rPr>
          <w:rFonts w:ascii="Arial Narrow" w:hAnsi="Arial Narrow"/>
          <w:sz w:val="24"/>
          <w:szCs w:val="24"/>
        </w:rPr>
        <w:t xml:space="preserve"> z 5,56</w:t>
      </w:r>
      <w:r w:rsidR="0004676F" w:rsidRPr="00B56FA3">
        <w:rPr>
          <w:rFonts w:ascii="Arial" w:hAnsi="Arial" w:cs="Arial"/>
          <w:sz w:val="24"/>
          <w:szCs w:val="24"/>
        </w:rPr>
        <w:t> </w:t>
      </w:r>
      <w:r w:rsidR="0004676F" w:rsidRPr="00B56FA3">
        <w:rPr>
          <w:rFonts w:ascii="Arial Narrow" w:hAnsi="Arial Narrow"/>
          <w:sz w:val="24"/>
          <w:szCs w:val="24"/>
        </w:rPr>
        <w:t>€</w:t>
      </w:r>
      <w:r w:rsidR="0004676F" w:rsidRPr="0004676F">
        <w:rPr>
          <w:rFonts w:ascii="Arial Narrow" w:hAnsi="Arial Narrow"/>
          <w:sz w:val="24"/>
          <w:szCs w:val="24"/>
        </w:rPr>
        <w:t xml:space="preserve"> na 5,46</w:t>
      </w:r>
      <w:r w:rsidR="0004676F" w:rsidRPr="00B56FA3">
        <w:rPr>
          <w:rFonts w:ascii="Arial" w:hAnsi="Arial" w:cs="Arial"/>
          <w:sz w:val="24"/>
          <w:szCs w:val="24"/>
        </w:rPr>
        <w:t> </w:t>
      </w:r>
      <w:r w:rsidR="0004676F" w:rsidRPr="00B56FA3">
        <w:rPr>
          <w:rFonts w:ascii="Arial Narrow" w:hAnsi="Arial Narrow"/>
          <w:sz w:val="24"/>
          <w:szCs w:val="24"/>
        </w:rPr>
        <w:t>€</w:t>
      </w:r>
      <w:r w:rsidR="0004676F" w:rsidRPr="0004676F">
        <w:rPr>
          <w:rFonts w:ascii="Arial Narrow" w:hAnsi="Arial Narrow"/>
          <w:sz w:val="24"/>
          <w:szCs w:val="24"/>
        </w:rPr>
        <w:t>, pri</w:t>
      </w:r>
      <w:r w:rsidR="0004676F" w:rsidRPr="0010233A">
        <w:rPr>
          <w:rFonts w:ascii="Arial Narrow" w:hAnsi="Arial Narrow"/>
          <w:sz w:val="24"/>
          <w:szCs w:val="24"/>
        </w:rPr>
        <w:t>č</w:t>
      </w:r>
      <w:r w:rsidR="0004676F" w:rsidRPr="0004676F">
        <w:rPr>
          <w:rFonts w:ascii="Arial Narrow" w:hAnsi="Arial Narrow"/>
          <w:sz w:val="24"/>
          <w:szCs w:val="24"/>
        </w:rPr>
        <w:t>om v</w:t>
      </w:r>
      <w:r w:rsidR="0004676F" w:rsidRPr="0010233A">
        <w:rPr>
          <w:rFonts w:ascii="Arial Narrow" w:hAnsi="Arial Narrow"/>
          <w:sz w:val="24"/>
          <w:szCs w:val="24"/>
        </w:rPr>
        <w:t>ý</w:t>
      </w:r>
      <w:r w:rsidR="0004676F" w:rsidRPr="0004676F">
        <w:rPr>
          <w:rFonts w:ascii="Arial Narrow" w:hAnsi="Arial Narrow"/>
          <w:sz w:val="24"/>
          <w:szCs w:val="24"/>
        </w:rPr>
        <w:t>voj po</w:t>
      </w:r>
      <w:r w:rsidR="0004676F" w:rsidRPr="0010233A">
        <w:rPr>
          <w:rFonts w:ascii="Arial Narrow" w:hAnsi="Arial Narrow"/>
          <w:sz w:val="24"/>
          <w:szCs w:val="24"/>
        </w:rPr>
        <w:t>č</w:t>
      </w:r>
      <w:r w:rsidR="0004676F" w:rsidRPr="0004676F">
        <w:rPr>
          <w:rFonts w:ascii="Arial Narrow" w:hAnsi="Arial Narrow"/>
          <w:sz w:val="24"/>
          <w:szCs w:val="24"/>
        </w:rPr>
        <w:t>as roka bol kol</w:t>
      </w:r>
      <w:r w:rsidR="0004676F" w:rsidRPr="0010233A">
        <w:rPr>
          <w:rFonts w:ascii="Arial Narrow" w:hAnsi="Arial Narrow"/>
          <w:sz w:val="24"/>
          <w:szCs w:val="24"/>
        </w:rPr>
        <w:t>í</w:t>
      </w:r>
      <w:r w:rsidR="0004676F" w:rsidRPr="0004676F">
        <w:rPr>
          <w:rFonts w:ascii="Arial Narrow" w:hAnsi="Arial Narrow"/>
          <w:sz w:val="24"/>
          <w:szCs w:val="24"/>
        </w:rPr>
        <w:t>sav</w:t>
      </w:r>
      <w:r w:rsidR="0004676F" w:rsidRPr="0010233A">
        <w:rPr>
          <w:rFonts w:ascii="Arial Narrow" w:hAnsi="Arial Narrow"/>
          <w:sz w:val="24"/>
          <w:szCs w:val="24"/>
        </w:rPr>
        <w:t>ý</w:t>
      </w:r>
      <w:r w:rsidR="0004676F" w:rsidRPr="0004676F">
        <w:rPr>
          <w:rFonts w:ascii="Arial Narrow" w:hAnsi="Arial Narrow"/>
          <w:sz w:val="24"/>
          <w:szCs w:val="24"/>
        </w:rPr>
        <w:t>.</w:t>
      </w:r>
    </w:p>
    <w:p w14:paraId="52D442E6" w14:textId="387DF841" w:rsidR="00CF7C54" w:rsidRPr="005779C4" w:rsidRDefault="00CF7C54" w:rsidP="005779C4">
      <w:pPr>
        <w:tabs>
          <w:tab w:val="left" w:pos="2694"/>
        </w:tabs>
        <w:spacing w:after="240"/>
        <w:rPr>
          <w:rFonts w:ascii="Arial Narrow" w:eastAsia="Times New Roman" w:hAnsi="Arial Narrow"/>
          <w:b/>
          <w:bCs/>
          <w:color w:val="000000" w:themeColor="text1"/>
          <w:sz w:val="24"/>
          <w:szCs w:val="24"/>
        </w:rPr>
      </w:pPr>
      <w:r w:rsidRPr="005779C4">
        <w:rPr>
          <w:rFonts w:ascii="Arial Narrow" w:eastAsia="Times New Roman" w:hAnsi="Arial Narrow"/>
          <w:b/>
          <w:bCs/>
          <w:color w:val="000000" w:themeColor="text1"/>
          <w:sz w:val="24"/>
          <w:szCs w:val="24"/>
        </w:rPr>
        <w:t xml:space="preserve">Vývoj miezd </w:t>
      </w:r>
    </w:p>
    <w:p w14:paraId="5584B66D" w14:textId="4E7A60D3" w:rsidR="00CF7C54" w:rsidRPr="00CF7C54" w:rsidRDefault="00CF7C54" w:rsidP="00947BF3">
      <w:pPr>
        <w:spacing w:after="240"/>
        <w:jc w:val="both"/>
        <w:rPr>
          <w:rFonts w:ascii="Arial Narrow" w:hAnsi="Arial Narrow"/>
          <w:sz w:val="24"/>
          <w:szCs w:val="24"/>
        </w:rPr>
      </w:pPr>
      <w:r w:rsidRPr="00CF7C54">
        <w:rPr>
          <w:rFonts w:ascii="Arial Narrow" w:hAnsi="Arial Narrow"/>
          <w:sz w:val="24"/>
          <w:szCs w:val="24"/>
        </w:rPr>
        <w:t>V roku 2024 pokračoval rast miezd na Slovensku, no už miernejším tempom než v predchádzajúcom roku. Priemerná nominálna mesačná mzda dosiahla 1524</w:t>
      </w:r>
      <w:r w:rsidRPr="00B56FA3">
        <w:rPr>
          <w:rFonts w:ascii="Arial" w:hAnsi="Arial" w:cs="Arial"/>
          <w:sz w:val="24"/>
          <w:szCs w:val="24"/>
        </w:rPr>
        <w:t> </w:t>
      </w:r>
      <w:r w:rsidRPr="00B56FA3">
        <w:rPr>
          <w:rFonts w:ascii="Arial Narrow" w:hAnsi="Arial Narrow"/>
          <w:sz w:val="24"/>
          <w:szCs w:val="24"/>
        </w:rPr>
        <w:t>€</w:t>
      </w:r>
      <w:r w:rsidRPr="00CF7C54">
        <w:rPr>
          <w:rFonts w:ascii="Arial Narrow" w:hAnsi="Arial Narrow"/>
          <w:sz w:val="24"/>
          <w:szCs w:val="24"/>
        </w:rPr>
        <w:t>, čo predstavovalo medziročný nárast o 6,6</w:t>
      </w:r>
      <w:r w:rsidRPr="00B56FA3">
        <w:rPr>
          <w:rFonts w:ascii="Arial" w:hAnsi="Arial" w:cs="Arial"/>
          <w:sz w:val="24"/>
          <w:szCs w:val="24"/>
        </w:rPr>
        <w:t> </w:t>
      </w:r>
      <w:r w:rsidRPr="00CF7C54">
        <w:rPr>
          <w:rFonts w:ascii="Arial Narrow" w:hAnsi="Arial Narrow"/>
          <w:sz w:val="24"/>
          <w:szCs w:val="24"/>
        </w:rPr>
        <w:t xml:space="preserve">%. Na rozdiel od roku 2023, keď vysoká inflácia prevýšila mzdový rast, sa v roku 2024 podarilo </w:t>
      </w:r>
      <w:r w:rsidRPr="00C1535F">
        <w:rPr>
          <w:rFonts w:ascii="Arial Narrow" w:hAnsi="Arial Narrow"/>
          <w:sz w:val="24"/>
          <w:szCs w:val="24"/>
        </w:rPr>
        <w:t>mzdám</w:t>
      </w:r>
      <w:r w:rsidRPr="00CF7C54">
        <w:rPr>
          <w:rFonts w:ascii="Arial Narrow" w:hAnsi="Arial Narrow"/>
          <w:sz w:val="24"/>
          <w:szCs w:val="24"/>
        </w:rPr>
        <w:t xml:space="preserve"> reálne posilniť: reálny rast dosiahol +3,7</w:t>
      </w:r>
      <w:r w:rsidRPr="00B56FA3">
        <w:rPr>
          <w:rFonts w:ascii="Arial" w:hAnsi="Arial" w:cs="Arial"/>
          <w:sz w:val="24"/>
          <w:szCs w:val="24"/>
        </w:rPr>
        <w:t> </w:t>
      </w:r>
      <w:r w:rsidRPr="00CF7C54">
        <w:rPr>
          <w:rFonts w:ascii="Arial Narrow" w:hAnsi="Arial Narrow"/>
          <w:sz w:val="24"/>
          <w:szCs w:val="24"/>
        </w:rPr>
        <w:t>%, čo znamená, že mzdy rástli rýchlejšie ako spotrebiteľské ceny.</w:t>
      </w:r>
    </w:p>
    <w:p w14:paraId="5F5760EB" w14:textId="77777777" w:rsidR="00CF7C54" w:rsidRPr="00CF7C54" w:rsidRDefault="00CF7C54" w:rsidP="00947BF3">
      <w:pPr>
        <w:spacing w:after="240"/>
        <w:jc w:val="both"/>
        <w:rPr>
          <w:rFonts w:ascii="Arial Narrow" w:hAnsi="Arial Narrow"/>
          <w:sz w:val="24"/>
          <w:szCs w:val="24"/>
        </w:rPr>
      </w:pPr>
      <w:r w:rsidRPr="00CF7C54">
        <w:rPr>
          <w:rFonts w:ascii="Arial Narrow" w:hAnsi="Arial Narrow"/>
          <w:sz w:val="24"/>
          <w:szCs w:val="24"/>
        </w:rPr>
        <w:t>Tento priaznivý vývoj bol možný vďaka spomaleniu inflácie, ktorá sa v roku 2024 pohybovala na úrovni približne 2,8</w:t>
      </w:r>
      <w:r w:rsidRPr="00B56FA3">
        <w:rPr>
          <w:rFonts w:ascii="Arial" w:hAnsi="Arial" w:cs="Arial"/>
          <w:sz w:val="24"/>
          <w:szCs w:val="24"/>
        </w:rPr>
        <w:t> </w:t>
      </w:r>
      <w:r w:rsidRPr="00CF7C54">
        <w:rPr>
          <w:rFonts w:ascii="Arial Narrow" w:hAnsi="Arial Narrow"/>
          <w:sz w:val="24"/>
          <w:szCs w:val="24"/>
        </w:rPr>
        <w:t>%. V dôsledku toho sa zlepšila kúpna sila obyvateľstva a po dvoch rokoch poklesu došlo opäť k reálnemu rastu miezd.</w:t>
      </w:r>
    </w:p>
    <w:p w14:paraId="362DF1BC" w14:textId="470D5EAC" w:rsidR="00CF7C54" w:rsidRPr="00CF7C54" w:rsidRDefault="00CF7C54" w:rsidP="00947BF3">
      <w:pPr>
        <w:spacing w:after="240"/>
        <w:jc w:val="both"/>
        <w:rPr>
          <w:rFonts w:ascii="Arial Narrow" w:hAnsi="Arial Narrow"/>
          <w:sz w:val="24"/>
          <w:szCs w:val="24"/>
        </w:rPr>
      </w:pPr>
      <w:r w:rsidRPr="00CF7C54">
        <w:rPr>
          <w:rFonts w:ascii="Arial Narrow" w:hAnsi="Arial Narrow"/>
          <w:sz w:val="24"/>
          <w:szCs w:val="24"/>
        </w:rPr>
        <w:t>Významnú úlohu v celkovom mzdovom vývoji zohrávala aj minimálna mzda, ktorá bola v roku 2024 zvýšená na 750</w:t>
      </w:r>
      <w:r w:rsidRPr="00B56FA3">
        <w:rPr>
          <w:rFonts w:ascii="Arial" w:hAnsi="Arial" w:cs="Arial"/>
          <w:sz w:val="24"/>
          <w:szCs w:val="24"/>
        </w:rPr>
        <w:t> </w:t>
      </w:r>
      <w:r w:rsidRPr="00B56FA3">
        <w:rPr>
          <w:rFonts w:ascii="Arial Narrow" w:hAnsi="Arial Narrow"/>
          <w:sz w:val="24"/>
          <w:szCs w:val="24"/>
        </w:rPr>
        <w:t>€</w:t>
      </w:r>
      <w:r w:rsidRPr="00CF7C54">
        <w:rPr>
          <w:rFonts w:ascii="Arial Narrow" w:hAnsi="Arial Narrow"/>
          <w:sz w:val="24"/>
          <w:szCs w:val="24"/>
        </w:rPr>
        <w:t xml:space="preserve"> mesačne (pri 40-hodinovom</w:t>
      </w:r>
      <w:r w:rsidR="000063DF">
        <w:rPr>
          <w:rFonts w:ascii="Arial Narrow" w:hAnsi="Arial Narrow"/>
          <w:sz w:val="24"/>
          <w:szCs w:val="24"/>
        </w:rPr>
        <w:t xml:space="preserve"> pracovnom</w:t>
      </w:r>
      <w:r w:rsidRPr="00CF7C54">
        <w:rPr>
          <w:rFonts w:ascii="Arial Narrow" w:hAnsi="Arial Narrow"/>
          <w:sz w:val="24"/>
          <w:szCs w:val="24"/>
        </w:rPr>
        <w:t xml:space="preserve"> týždni), čo predstavuje nárast o 50</w:t>
      </w:r>
      <w:r w:rsidRPr="00B56FA3">
        <w:rPr>
          <w:rFonts w:ascii="Arial" w:hAnsi="Arial" w:cs="Arial"/>
          <w:sz w:val="24"/>
          <w:szCs w:val="24"/>
        </w:rPr>
        <w:t> </w:t>
      </w:r>
      <w:r w:rsidRPr="00B56FA3">
        <w:rPr>
          <w:rFonts w:ascii="Arial Narrow" w:hAnsi="Arial Narrow"/>
          <w:sz w:val="24"/>
          <w:szCs w:val="24"/>
        </w:rPr>
        <w:t>€</w:t>
      </w:r>
      <w:r w:rsidRPr="00CF7C54">
        <w:rPr>
          <w:rFonts w:ascii="Arial Narrow" w:hAnsi="Arial Narrow"/>
          <w:sz w:val="24"/>
          <w:szCs w:val="24"/>
        </w:rPr>
        <w:t xml:space="preserve"> oproti roku 2023. V hodinovom vyjadrení išlo o 4,31</w:t>
      </w:r>
      <w:r w:rsidRPr="00B56FA3">
        <w:rPr>
          <w:rFonts w:ascii="Arial" w:hAnsi="Arial" w:cs="Arial"/>
          <w:sz w:val="24"/>
          <w:szCs w:val="24"/>
        </w:rPr>
        <w:t> </w:t>
      </w:r>
      <w:r w:rsidRPr="00B56FA3">
        <w:rPr>
          <w:rFonts w:ascii="Arial Narrow" w:hAnsi="Arial Narrow"/>
          <w:sz w:val="24"/>
          <w:szCs w:val="24"/>
        </w:rPr>
        <w:t>€</w:t>
      </w:r>
      <w:r w:rsidRPr="00CF7C54">
        <w:rPr>
          <w:rFonts w:ascii="Arial Narrow" w:hAnsi="Arial Narrow"/>
          <w:sz w:val="24"/>
          <w:szCs w:val="24"/>
        </w:rPr>
        <w:t>. Tento nárast mal pozitívny vplyv najmä na nízkopríjmové skupiny zamestnancov a podporil zmiernenie mzdovej nerovnosti.</w:t>
      </w:r>
    </w:p>
    <w:p w14:paraId="1B9F9563" w14:textId="77777777" w:rsidR="00CF7C54" w:rsidRPr="00CF7C54" w:rsidRDefault="00CF7C54" w:rsidP="00947BF3">
      <w:pPr>
        <w:spacing w:after="240"/>
        <w:jc w:val="both"/>
        <w:rPr>
          <w:rFonts w:ascii="Arial Narrow" w:hAnsi="Arial Narrow"/>
          <w:sz w:val="24"/>
          <w:szCs w:val="24"/>
        </w:rPr>
      </w:pPr>
      <w:r w:rsidRPr="00CF7C54">
        <w:rPr>
          <w:rFonts w:ascii="Arial Narrow" w:hAnsi="Arial Narrow"/>
          <w:sz w:val="24"/>
          <w:szCs w:val="24"/>
        </w:rPr>
        <w:t>Z regionálneho a sektorového hľadiska zaznamenala väčšina odvetví rast nominálnych aj reálnych miezd. Výnimky tvorili len špecifické segmenty, kde bola dynamika rastu nižšia alebo stagnovala.</w:t>
      </w:r>
    </w:p>
    <w:p w14:paraId="5E4802F6" w14:textId="4B7C4B8A" w:rsidR="00F5482A" w:rsidRPr="00B56FA3" w:rsidRDefault="00CF7C54" w:rsidP="00947BF3">
      <w:pPr>
        <w:spacing w:after="240"/>
        <w:jc w:val="both"/>
        <w:rPr>
          <w:rFonts w:ascii="Arial Narrow" w:hAnsi="Arial Narrow"/>
          <w:sz w:val="24"/>
          <w:szCs w:val="24"/>
        </w:rPr>
      </w:pPr>
      <w:r w:rsidRPr="00CF7C54">
        <w:rPr>
          <w:rFonts w:ascii="Arial Narrow" w:hAnsi="Arial Narrow"/>
          <w:sz w:val="24"/>
          <w:szCs w:val="24"/>
        </w:rPr>
        <w:t>Celkovo možno hodnotiť vývoj v roku 2024 ako stabilizačný zlom, keď sa mzdy nielenže nominálne zvyšovali, ale zároveň sa obnovil ich reálny rast vďaka klesajúcej inflácii a rastúcej minimálnej mzde</w:t>
      </w:r>
      <w:r w:rsidRPr="00B56FA3">
        <w:rPr>
          <w:rFonts w:ascii="Arial Narrow" w:hAnsi="Arial Narrow"/>
          <w:sz w:val="24"/>
          <w:szCs w:val="24"/>
        </w:rPr>
        <w:t>.</w:t>
      </w:r>
    </w:p>
    <w:p w14:paraId="5208970D" w14:textId="6152578C" w:rsidR="00F5482A" w:rsidRPr="007E6704" w:rsidRDefault="00F5482A" w:rsidP="00947BF3">
      <w:pPr>
        <w:pStyle w:val="Nadpis2"/>
        <w:numPr>
          <w:ilvl w:val="1"/>
          <w:numId w:val="1"/>
        </w:numPr>
        <w:spacing w:after="240"/>
        <w:ind w:left="426"/>
        <w:rPr>
          <w:rFonts w:ascii="Arial Narrow" w:hAnsi="Arial Narrow"/>
          <w:b/>
          <w:bCs/>
          <w:color w:val="5B9BD5" w:themeColor="accent1"/>
          <w:lang w:eastAsia="en-US"/>
        </w:rPr>
      </w:pPr>
      <w:bookmarkStart w:id="11" w:name="_Toc201832584"/>
      <w:bookmarkStart w:id="12" w:name="_Toc202358580"/>
      <w:r w:rsidRPr="007E6704">
        <w:rPr>
          <w:rFonts w:ascii="Arial Narrow" w:hAnsi="Arial Narrow"/>
          <w:b/>
          <w:bCs/>
          <w:color w:val="5B9BD5" w:themeColor="accent1"/>
          <w:lang w:eastAsia="en-US"/>
        </w:rPr>
        <w:t>Medzinárodné porovnanie cien základných potravín</w:t>
      </w:r>
      <w:bookmarkEnd w:id="11"/>
      <w:bookmarkEnd w:id="12"/>
    </w:p>
    <w:p w14:paraId="7AAA1AF1" w14:textId="3683919E" w:rsidR="00F5482A" w:rsidRPr="00B56FA3" w:rsidRDefault="00F5482A" w:rsidP="00947BF3">
      <w:pPr>
        <w:spacing w:after="240"/>
        <w:jc w:val="both"/>
        <w:rPr>
          <w:rFonts w:ascii="Arial Narrow" w:hAnsi="Arial Narrow"/>
          <w:sz w:val="24"/>
          <w:szCs w:val="24"/>
        </w:rPr>
      </w:pPr>
      <w:r w:rsidRPr="00B56FA3">
        <w:rPr>
          <w:rFonts w:ascii="Arial Narrow" w:hAnsi="Arial Narrow"/>
          <w:sz w:val="24"/>
          <w:szCs w:val="24"/>
        </w:rPr>
        <w:t>Ministerstvo</w:t>
      </w:r>
      <w:r w:rsidR="00805F13" w:rsidRPr="00B56FA3">
        <w:rPr>
          <w:rFonts w:ascii="Arial Narrow" w:hAnsi="Arial Narrow"/>
          <w:sz w:val="24"/>
          <w:szCs w:val="24"/>
        </w:rPr>
        <w:t xml:space="preserve"> </w:t>
      </w:r>
      <w:r w:rsidRPr="00B56FA3">
        <w:rPr>
          <w:rFonts w:ascii="Arial Narrow" w:hAnsi="Arial Narrow"/>
          <w:sz w:val="24"/>
          <w:szCs w:val="24"/>
        </w:rPr>
        <w:t xml:space="preserve">pravidelne </w:t>
      </w:r>
      <w:r w:rsidR="00F43C7C" w:rsidRPr="00B56FA3">
        <w:rPr>
          <w:rFonts w:ascii="Arial Narrow" w:hAnsi="Arial Narrow"/>
          <w:sz w:val="24"/>
          <w:szCs w:val="24"/>
        </w:rPr>
        <w:t>analyzuje</w:t>
      </w:r>
      <w:r w:rsidRPr="00B56FA3">
        <w:rPr>
          <w:rFonts w:ascii="Arial Narrow" w:hAnsi="Arial Narrow"/>
          <w:sz w:val="24"/>
          <w:szCs w:val="24"/>
        </w:rPr>
        <w:t xml:space="preserve"> vývoj maloobchodných cien základných potravín na Slovensku v</w:t>
      </w:r>
      <w:r w:rsidR="00B56FA3">
        <w:rPr>
          <w:rFonts w:ascii="Arial Narrow" w:hAnsi="Arial Narrow"/>
          <w:sz w:val="24"/>
          <w:szCs w:val="24"/>
        </w:rPr>
        <w:t> </w:t>
      </w:r>
      <w:r w:rsidRPr="00B56FA3">
        <w:rPr>
          <w:rFonts w:ascii="Arial Narrow" w:hAnsi="Arial Narrow"/>
          <w:sz w:val="24"/>
          <w:szCs w:val="24"/>
        </w:rPr>
        <w:t>porovnaní s okolitými krajinami EÚ, predovšetkým s Českou republikou, Poľskom a Maďarskom. Cieľom týchto porovnaní bolo identifikovať cenové anomálie, ktoré by mohli indikovať trhové zlyhania alebo mimoriadne situácie s dopadom na cenovú dostupnosť základných potravín.</w:t>
      </w:r>
    </w:p>
    <w:p w14:paraId="4D09622F" w14:textId="2B4F42DC" w:rsidR="00B56FA3" w:rsidRDefault="00F5482A" w:rsidP="00947BF3">
      <w:pPr>
        <w:spacing w:after="240"/>
        <w:jc w:val="both"/>
        <w:rPr>
          <w:rFonts w:ascii="Arial Narrow" w:hAnsi="Arial Narrow"/>
          <w:sz w:val="24"/>
          <w:szCs w:val="24"/>
        </w:rPr>
      </w:pPr>
      <w:r w:rsidRPr="00B56FA3">
        <w:rPr>
          <w:rFonts w:ascii="Arial Narrow" w:hAnsi="Arial Narrow"/>
          <w:sz w:val="24"/>
          <w:szCs w:val="24"/>
        </w:rPr>
        <w:t>Metodické zmeny v údajoch Štatistického úradu SR, konkrétne prechod na zber údajov zo skenerov pokladní, zásadne ovplyvnili zaznamenané priemerné ceny</w:t>
      </w:r>
      <w:r w:rsidR="005D4429" w:rsidRPr="00B56FA3">
        <w:footnoteReference w:id="2"/>
      </w:r>
      <w:r w:rsidRPr="00B56FA3">
        <w:rPr>
          <w:rFonts w:ascii="Arial Narrow" w:hAnsi="Arial Narrow"/>
          <w:sz w:val="24"/>
          <w:szCs w:val="24"/>
        </w:rPr>
        <w:t>. Tento nový spôsob zberu umožňuje zachytiť skutočne zaplatené ceny (vrátane akciových), čo viedlo k zníženiu optických cenových úrovní v</w:t>
      </w:r>
      <w:r w:rsidR="00B56FA3">
        <w:rPr>
          <w:rFonts w:ascii="Arial Narrow" w:hAnsi="Arial Narrow"/>
          <w:sz w:val="24"/>
          <w:szCs w:val="24"/>
        </w:rPr>
        <w:t> </w:t>
      </w:r>
      <w:r w:rsidRPr="00B56FA3">
        <w:rPr>
          <w:rFonts w:ascii="Arial Narrow" w:hAnsi="Arial Narrow"/>
          <w:sz w:val="24"/>
          <w:szCs w:val="24"/>
        </w:rPr>
        <w:t>porovnaní s údajmi získanými manuálne z cenoviek. Napriek tejto zmene ostali niektoré rozdiely oproti okolitým krajinám pretrvávajúce.</w:t>
      </w:r>
    </w:p>
    <w:p w14:paraId="0E3E3140" w14:textId="4546ED46" w:rsidR="00F5482A" w:rsidRPr="00B56FA3" w:rsidRDefault="00F5482A" w:rsidP="00947BF3">
      <w:pPr>
        <w:spacing w:after="240"/>
        <w:jc w:val="both"/>
        <w:rPr>
          <w:rFonts w:ascii="Arial Narrow" w:hAnsi="Arial Narrow"/>
          <w:sz w:val="24"/>
          <w:szCs w:val="24"/>
        </w:rPr>
      </w:pPr>
      <w:r w:rsidRPr="00B56FA3">
        <w:rPr>
          <w:rFonts w:ascii="Arial Narrow" w:hAnsi="Arial Narrow"/>
          <w:sz w:val="24"/>
          <w:szCs w:val="24"/>
        </w:rPr>
        <w:t>V priebehu roka 2024 sa na Slovensku prejavili tieto kľúčové medzinárodné rozdiely v cenách potravín:</w:t>
      </w:r>
    </w:p>
    <w:p w14:paraId="02F415EE" w14:textId="77777777" w:rsidR="00F5482A" w:rsidRPr="00B56FA3" w:rsidRDefault="00F5482A" w:rsidP="00947BF3">
      <w:pPr>
        <w:pStyle w:val="Odsekzoznamu"/>
        <w:numPr>
          <w:ilvl w:val="0"/>
          <w:numId w:val="8"/>
        </w:numPr>
        <w:ind w:left="378"/>
        <w:jc w:val="both"/>
        <w:rPr>
          <w:rFonts w:ascii="Arial Narrow" w:hAnsi="Arial Narrow"/>
          <w:sz w:val="24"/>
          <w:szCs w:val="24"/>
        </w:rPr>
      </w:pPr>
      <w:r w:rsidRPr="00B56FA3">
        <w:rPr>
          <w:rFonts w:ascii="Arial Narrow" w:hAnsi="Arial Narrow"/>
          <w:b/>
          <w:bCs/>
          <w:sz w:val="24"/>
          <w:szCs w:val="24"/>
        </w:rPr>
        <w:t>Mäso</w:t>
      </w:r>
      <w:r w:rsidRPr="00B56FA3">
        <w:rPr>
          <w:rFonts w:ascii="Arial Narrow" w:hAnsi="Arial Narrow"/>
          <w:sz w:val="24"/>
          <w:szCs w:val="24"/>
        </w:rPr>
        <w:t xml:space="preserve"> (bravčové, hovädzie, kuracie) patrilo medzi najlacnejšie v regióne. V porovnaní s Poľskom boli ceny bravčového karé, hovädzieho a kuracích pŕs nižšie o približne 20</w:t>
      </w:r>
      <w:r w:rsidRPr="00B56FA3">
        <w:rPr>
          <w:rFonts w:ascii="Arial" w:hAnsi="Arial" w:cs="Arial"/>
          <w:sz w:val="24"/>
          <w:szCs w:val="24"/>
        </w:rPr>
        <w:t> </w:t>
      </w:r>
      <w:r w:rsidRPr="00B56FA3">
        <w:rPr>
          <w:rFonts w:ascii="Arial Narrow" w:hAnsi="Arial Narrow"/>
          <w:sz w:val="24"/>
          <w:szCs w:val="24"/>
        </w:rPr>
        <w:t>%. Tieto rozdiely pretrvávali počas celého roka aj napriek výskytu ochorení ako mor ošípaných a vtáčia chrípka.</w:t>
      </w:r>
    </w:p>
    <w:p w14:paraId="68FA0F58" w14:textId="77777777" w:rsidR="00F5482A" w:rsidRPr="00B56FA3" w:rsidRDefault="00F5482A" w:rsidP="00947BF3">
      <w:pPr>
        <w:pStyle w:val="Odsekzoznamu"/>
        <w:numPr>
          <w:ilvl w:val="0"/>
          <w:numId w:val="8"/>
        </w:numPr>
        <w:ind w:left="378"/>
        <w:jc w:val="both"/>
        <w:rPr>
          <w:rFonts w:ascii="Arial Narrow" w:hAnsi="Arial Narrow"/>
          <w:sz w:val="24"/>
          <w:szCs w:val="24"/>
        </w:rPr>
      </w:pPr>
      <w:r w:rsidRPr="00B56FA3">
        <w:rPr>
          <w:rFonts w:ascii="Arial Narrow" w:hAnsi="Arial Narrow"/>
          <w:b/>
          <w:bCs/>
          <w:sz w:val="24"/>
          <w:szCs w:val="24"/>
        </w:rPr>
        <w:t>Mlieko a polotučné trvanlivé mlieko</w:t>
      </w:r>
      <w:r w:rsidRPr="00B56FA3">
        <w:rPr>
          <w:rFonts w:ascii="Arial Narrow" w:hAnsi="Arial Narrow"/>
          <w:sz w:val="24"/>
          <w:szCs w:val="24"/>
        </w:rPr>
        <w:t xml:space="preserve"> bolo lacnejšie než v Maďarsku aj Poľsku, s rozdielom 10</w:t>
      </w:r>
      <w:r w:rsidRPr="00B56FA3">
        <w:rPr>
          <w:rFonts w:ascii="Arial" w:hAnsi="Arial" w:cs="Arial"/>
          <w:sz w:val="24"/>
          <w:szCs w:val="24"/>
        </w:rPr>
        <w:t> </w:t>
      </w:r>
      <w:r w:rsidRPr="00B56FA3">
        <w:rPr>
          <w:rFonts w:ascii="Arial Narrow" w:hAnsi="Arial Narrow"/>
          <w:sz w:val="24"/>
          <w:szCs w:val="24"/>
        </w:rPr>
        <w:t>% až 20</w:t>
      </w:r>
      <w:r w:rsidRPr="00B56FA3">
        <w:rPr>
          <w:rFonts w:ascii="Arial" w:hAnsi="Arial" w:cs="Arial"/>
          <w:sz w:val="24"/>
          <w:szCs w:val="24"/>
        </w:rPr>
        <w:t> </w:t>
      </w:r>
      <w:r w:rsidRPr="00B56FA3">
        <w:rPr>
          <w:rFonts w:ascii="Arial Narrow" w:hAnsi="Arial Narrow"/>
          <w:sz w:val="24"/>
          <w:szCs w:val="24"/>
        </w:rPr>
        <w:t>%.</w:t>
      </w:r>
    </w:p>
    <w:p w14:paraId="5C2B928A" w14:textId="4FD2BCD9" w:rsidR="00F5482A" w:rsidRPr="00B56FA3" w:rsidRDefault="00F5482A" w:rsidP="00947BF3">
      <w:pPr>
        <w:pStyle w:val="Odsekzoznamu"/>
        <w:numPr>
          <w:ilvl w:val="0"/>
          <w:numId w:val="8"/>
        </w:numPr>
        <w:ind w:left="378"/>
        <w:jc w:val="both"/>
        <w:rPr>
          <w:rFonts w:ascii="Arial Narrow" w:hAnsi="Arial Narrow"/>
          <w:sz w:val="24"/>
          <w:szCs w:val="24"/>
        </w:rPr>
      </w:pPr>
      <w:r w:rsidRPr="00B56FA3">
        <w:rPr>
          <w:rFonts w:ascii="Arial Narrow" w:hAnsi="Arial Narrow"/>
          <w:b/>
          <w:bCs/>
          <w:sz w:val="24"/>
          <w:szCs w:val="24"/>
        </w:rPr>
        <w:t>Chlieb a zemiaky</w:t>
      </w:r>
      <w:r w:rsidRPr="00B56FA3">
        <w:rPr>
          <w:rFonts w:ascii="Arial Narrow" w:hAnsi="Arial Narrow"/>
          <w:sz w:val="24"/>
          <w:szCs w:val="24"/>
        </w:rPr>
        <w:t xml:space="preserve"> boli na Slovensku systematicky drahšie než v</w:t>
      </w:r>
      <w:r w:rsidR="0090300B" w:rsidRPr="00B56FA3">
        <w:rPr>
          <w:rFonts w:ascii="Arial Narrow" w:hAnsi="Arial Narrow"/>
          <w:sz w:val="24"/>
          <w:szCs w:val="24"/>
        </w:rPr>
        <w:t> </w:t>
      </w:r>
      <w:r w:rsidRPr="00B56FA3">
        <w:rPr>
          <w:rFonts w:ascii="Arial Narrow" w:hAnsi="Arial Narrow"/>
          <w:sz w:val="24"/>
          <w:szCs w:val="24"/>
        </w:rPr>
        <w:t>Česk</w:t>
      </w:r>
      <w:r w:rsidR="0090300B" w:rsidRPr="00B56FA3">
        <w:rPr>
          <w:rFonts w:ascii="Arial Narrow" w:hAnsi="Arial Narrow"/>
          <w:sz w:val="24"/>
          <w:szCs w:val="24"/>
        </w:rPr>
        <w:t>ej republike</w:t>
      </w:r>
      <w:r w:rsidRPr="00B56FA3">
        <w:rPr>
          <w:rFonts w:ascii="Arial Narrow" w:hAnsi="Arial Narrow"/>
          <w:sz w:val="24"/>
          <w:szCs w:val="24"/>
        </w:rPr>
        <w:t>, Poľsku a</w:t>
      </w:r>
      <w:r w:rsidR="00B56FA3">
        <w:rPr>
          <w:rFonts w:ascii="Arial Narrow" w:hAnsi="Arial Narrow"/>
          <w:sz w:val="24"/>
          <w:szCs w:val="24"/>
        </w:rPr>
        <w:t> </w:t>
      </w:r>
      <w:r w:rsidRPr="00B56FA3">
        <w:rPr>
          <w:rFonts w:ascii="Arial Narrow" w:hAnsi="Arial Narrow"/>
          <w:sz w:val="24"/>
          <w:szCs w:val="24"/>
        </w:rPr>
        <w:t>Maďarsku, pričom cena chleba bola vyššia napriek nižšej cene múky. Rozdiely mohli byť čiastočne spôsobené rôznou metodikou zberu a porovnávanými typmi výrobkov</w:t>
      </w:r>
      <w:r w:rsidR="000470F7">
        <w:rPr>
          <w:rFonts w:ascii="Arial Narrow" w:hAnsi="Arial Narrow"/>
          <w:sz w:val="24"/>
          <w:szCs w:val="24"/>
        </w:rPr>
        <w:t>. Zároveň cenu chleba ovplyvňuje aj vývoj veľkoobchodnej ceny pšenice</w:t>
      </w:r>
      <w:r w:rsidR="000A3688">
        <w:rPr>
          <w:rFonts w:ascii="Arial Narrow" w:hAnsi="Arial Narrow"/>
          <w:sz w:val="24"/>
          <w:szCs w:val="24"/>
        </w:rPr>
        <w:t>.</w:t>
      </w:r>
    </w:p>
    <w:p w14:paraId="0EA1945F" w14:textId="3965A889" w:rsidR="00F5482A" w:rsidRPr="00B56FA3" w:rsidRDefault="00F5482A" w:rsidP="00947BF3">
      <w:pPr>
        <w:pStyle w:val="Odsekzoznamu"/>
        <w:numPr>
          <w:ilvl w:val="0"/>
          <w:numId w:val="8"/>
        </w:numPr>
        <w:ind w:left="378"/>
        <w:jc w:val="both"/>
        <w:rPr>
          <w:rFonts w:ascii="Arial Narrow" w:hAnsi="Arial Narrow"/>
          <w:sz w:val="24"/>
          <w:szCs w:val="24"/>
        </w:rPr>
      </w:pPr>
      <w:r w:rsidRPr="00B56FA3">
        <w:rPr>
          <w:rFonts w:ascii="Arial Narrow" w:hAnsi="Arial Narrow"/>
          <w:b/>
          <w:bCs/>
          <w:sz w:val="24"/>
          <w:szCs w:val="24"/>
        </w:rPr>
        <w:t>Syr Eidam a slepačie vajcia</w:t>
      </w:r>
      <w:r w:rsidRPr="00B56FA3">
        <w:rPr>
          <w:rFonts w:ascii="Arial Narrow" w:hAnsi="Arial Narrow"/>
          <w:sz w:val="24"/>
          <w:szCs w:val="24"/>
        </w:rPr>
        <w:t xml:space="preserve"> zostávali počas celého roka 2024 drahšie na Slovensku než v</w:t>
      </w:r>
      <w:r w:rsidR="00B56FA3">
        <w:rPr>
          <w:rFonts w:ascii="Arial Narrow" w:hAnsi="Arial Narrow"/>
          <w:sz w:val="24"/>
          <w:szCs w:val="24"/>
        </w:rPr>
        <w:t> </w:t>
      </w:r>
      <w:r w:rsidRPr="00B56FA3">
        <w:rPr>
          <w:rFonts w:ascii="Arial Narrow" w:hAnsi="Arial Narrow"/>
          <w:sz w:val="24"/>
          <w:szCs w:val="24"/>
        </w:rPr>
        <w:t>susedných krajinách. Cena syru Eidam bola vyššia o 10</w:t>
      </w:r>
      <w:r w:rsidRPr="00B56FA3">
        <w:rPr>
          <w:rFonts w:ascii="Arial" w:hAnsi="Arial" w:cs="Arial"/>
          <w:sz w:val="24"/>
          <w:szCs w:val="24"/>
        </w:rPr>
        <w:t> </w:t>
      </w:r>
      <w:r w:rsidRPr="00B56FA3">
        <w:rPr>
          <w:rFonts w:ascii="Arial Narrow" w:hAnsi="Arial Narrow"/>
          <w:sz w:val="24"/>
          <w:szCs w:val="24"/>
        </w:rPr>
        <w:t>% – 17</w:t>
      </w:r>
      <w:r w:rsidRPr="00B56FA3">
        <w:rPr>
          <w:rFonts w:ascii="Arial" w:hAnsi="Arial" w:cs="Arial"/>
          <w:sz w:val="24"/>
          <w:szCs w:val="24"/>
        </w:rPr>
        <w:t> </w:t>
      </w:r>
      <w:r w:rsidRPr="00B56FA3">
        <w:rPr>
          <w:rFonts w:ascii="Arial Narrow" w:hAnsi="Arial Narrow"/>
          <w:sz w:val="24"/>
          <w:szCs w:val="24"/>
        </w:rPr>
        <w:t>%, pričom táto odchýlka bola dlhodobá a pretrvávala aj po prechode na skenery. Vajcia boli v prvej polovici roka drahšie o 13</w:t>
      </w:r>
      <w:r w:rsidRPr="00B56FA3">
        <w:rPr>
          <w:rFonts w:ascii="Arial" w:hAnsi="Arial" w:cs="Arial"/>
          <w:sz w:val="24"/>
          <w:szCs w:val="24"/>
        </w:rPr>
        <w:t> </w:t>
      </w:r>
      <w:r w:rsidRPr="00B56FA3">
        <w:rPr>
          <w:rFonts w:ascii="Arial Narrow" w:hAnsi="Arial Narrow"/>
          <w:sz w:val="24"/>
          <w:szCs w:val="24"/>
        </w:rPr>
        <w:t>% – 20</w:t>
      </w:r>
      <w:r w:rsidRPr="00B56FA3">
        <w:rPr>
          <w:rFonts w:ascii="Arial" w:hAnsi="Arial" w:cs="Arial"/>
          <w:sz w:val="24"/>
          <w:szCs w:val="24"/>
        </w:rPr>
        <w:t> </w:t>
      </w:r>
      <w:r w:rsidRPr="00B56FA3">
        <w:rPr>
          <w:rFonts w:ascii="Arial Narrow" w:hAnsi="Arial Narrow"/>
          <w:sz w:val="24"/>
          <w:szCs w:val="24"/>
        </w:rPr>
        <w:t>% v porovnaní s Českou republikou.</w:t>
      </w:r>
    </w:p>
    <w:p w14:paraId="67C5CAFD" w14:textId="4328F599" w:rsidR="00F5482A" w:rsidRPr="00B56FA3" w:rsidRDefault="00F5482A" w:rsidP="00947BF3">
      <w:pPr>
        <w:pStyle w:val="Odsekzoznamu"/>
        <w:numPr>
          <w:ilvl w:val="0"/>
          <w:numId w:val="8"/>
        </w:numPr>
        <w:ind w:left="378"/>
        <w:jc w:val="both"/>
        <w:rPr>
          <w:rFonts w:ascii="Arial Narrow" w:hAnsi="Arial Narrow"/>
          <w:sz w:val="24"/>
          <w:szCs w:val="24"/>
        </w:rPr>
      </w:pPr>
      <w:r w:rsidRPr="00B56FA3">
        <w:rPr>
          <w:rFonts w:ascii="Arial Narrow" w:hAnsi="Arial Narrow"/>
          <w:b/>
          <w:bCs/>
          <w:sz w:val="24"/>
          <w:szCs w:val="24"/>
        </w:rPr>
        <w:t>Zelenina a ovocie</w:t>
      </w:r>
      <w:r w:rsidRPr="00B56FA3">
        <w:rPr>
          <w:rFonts w:ascii="Arial Narrow" w:hAnsi="Arial Narrow"/>
          <w:sz w:val="24"/>
          <w:szCs w:val="24"/>
        </w:rPr>
        <w:t>, najmä jablká a zemiaky, boli v Poľsku o 30</w:t>
      </w:r>
      <w:r w:rsidRPr="00B56FA3">
        <w:rPr>
          <w:rFonts w:ascii="Arial" w:hAnsi="Arial" w:cs="Arial"/>
          <w:sz w:val="24"/>
          <w:szCs w:val="24"/>
        </w:rPr>
        <w:t> </w:t>
      </w:r>
      <w:r w:rsidRPr="00B56FA3">
        <w:rPr>
          <w:rFonts w:ascii="Arial Narrow" w:hAnsi="Arial Narrow"/>
          <w:sz w:val="24"/>
          <w:szCs w:val="24"/>
        </w:rPr>
        <w:t>% až 40</w:t>
      </w:r>
      <w:r w:rsidRPr="00B56FA3">
        <w:rPr>
          <w:rFonts w:ascii="Arial" w:hAnsi="Arial" w:cs="Arial"/>
          <w:sz w:val="24"/>
          <w:szCs w:val="24"/>
        </w:rPr>
        <w:t> </w:t>
      </w:r>
      <w:r w:rsidRPr="00B56FA3">
        <w:rPr>
          <w:rFonts w:ascii="Arial Narrow" w:hAnsi="Arial Narrow"/>
          <w:sz w:val="24"/>
          <w:szCs w:val="24"/>
        </w:rPr>
        <w:t xml:space="preserve">% lacnejšie než na Slovensku. Slovenské ceny týchto komodít boli na rovnakej úrovni ako v </w:t>
      </w:r>
      <w:r w:rsidR="0090300B" w:rsidRPr="00B56FA3">
        <w:rPr>
          <w:rFonts w:ascii="Arial Narrow" w:hAnsi="Arial Narrow"/>
          <w:sz w:val="24"/>
          <w:szCs w:val="24"/>
        </w:rPr>
        <w:t>Českej republike</w:t>
      </w:r>
      <w:r w:rsidRPr="00B56FA3">
        <w:rPr>
          <w:rFonts w:ascii="Arial Narrow" w:hAnsi="Arial Narrow"/>
          <w:sz w:val="24"/>
          <w:szCs w:val="24"/>
        </w:rPr>
        <w:t>, no vyššie ako v Maďarsku.</w:t>
      </w:r>
    </w:p>
    <w:p w14:paraId="0814AC93" w14:textId="08D3DB00" w:rsidR="000470F7" w:rsidRPr="00D4211E" w:rsidRDefault="00F5482A" w:rsidP="00D4211E">
      <w:pPr>
        <w:pStyle w:val="Odsekzoznamu"/>
        <w:numPr>
          <w:ilvl w:val="0"/>
          <w:numId w:val="8"/>
        </w:numPr>
        <w:spacing w:after="240"/>
        <w:ind w:left="378"/>
        <w:jc w:val="both"/>
        <w:rPr>
          <w:rFonts w:ascii="Arial Narrow" w:hAnsi="Arial Narrow"/>
          <w:sz w:val="24"/>
          <w:szCs w:val="24"/>
        </w:rPr>
      </w:pPr>
      <w:r w:rsidRPr="00B56FA3">
        <w:rPr>
          <w:rFonts w:ascii="Arial Narrow" w:hAnsi="Arial Narrow"/>
          <w:b/>
          <w:bCs/>
          <w:sz w:val="24"/>
          <w:szCs w:val="24"/>
        </w:rPr>
        <w:t>Tuky a oleje</w:t>
      </w:r>
      <w:r w:rsidRPr="00B56FA3">
        <w:rPr>
          <w:rFonts w:ascii="Arial Narrow" w:hAnsi="Arial Narrow"/>
          <w:sz w:val="24"/>
          <w:szCs w:val="24"/>
        </w:rPr>
        <w:t>, predovšetkým maslo, zaznamenali na Slovensku nárast cien v súvislosti s nedostatkom olejnín a mliečneho tuku na svetovom trhu. Cena masla bola mierne vyššia než v Česku, ale nižšia než v Poľsku a Maďarsku.</w:t>
      </w:r>
      <w:r w:rsidR="000470F7" w:rsidRPr="00D4211E">
        <w:rPr>
          <w:rFonts w:ascii="Arial Narrow" w:hAnsi="Arial Narrow"/>
          <w:sz w:val="24"/>
          <w:szCs w:val="24"/>
        </w:rPr>
        <w:t xml:space="preserve"> </w:t>
      </w:r>
    </w:p>
    <w:p w14:paraId="3F24A3F4" w14:textId="55E9DEC9" w:rsidR="00F5482A" w:rsidRPr="00B56FA3" w:rsidRDefault="00F5482A" w:rsidP="00947BF3">
      <w:pPr>
        <w:spacing w:after="240"/>
        <w:jc w:val="both"/>
        <w:rPr>
          <w:rFonts w:ascii="Arial Narrow" w:hAnsi="Arial Narrow"/>
          <w:sz w:val="24"/>
          <w:szCs w:val="24"/>
        </w:rPr>
      </w:pPr>
      <w:r w:rsidRPr="00B56FA3">
        <w:rPr>
          <w:rFonts w:ascii="Arial Narrow" w:hAnsi="Arial Narrow"/>
          <w:sz w:val="24"/>
          <w:szCs w:val="24"/>
        </w:rPr>
        <w:t>Klimatické extrémy a narušenia dodávateľských reťazcov v roku 2024 významne ovplyvnili niektoré komodity. Prudké sucho ovplyvnilo produkciu ovocia, zeleniny, kakaa a kávy. Horúčavy viedli k zníženej dojivosti kráv, čo sa premietlo do vyššej ceny mliečnych produktov.</w:t>
      </w:r>
    </w:p>
    <w:p w14:paraId="7BB295CA" w14:textId="77777777" w:rsidR="00F5482A" w:rsidRDefault="00F5482A" w:rsidP="00947BF3">
      <w:pPr>
        <w:spacing w:after="240"/>
        <w:jc w:val="both"/>
        <w:rPr>
          <w:rFonts w:ascii="Arial Narrow" w:hAnsi="Arial Narrow"/>
          <w:sz w:val="24"/>
          <w:szCs w:val="24"/>
        </w:rPr>
      </w:pPr>
      <w:r w:rsidRPr="00B56FA3">
        <w:rPr>
          <w:rFonts w:ascii="Arial Narrow" w:hAnsi="Arial Narrow"/>
          <w:sz w:val="24"/>
          <w:szCs w:val="24"/>
        </w:rPr>
        <w:t>Z analýz vyplýva, že Slovensko si v roku 2024 udržalo relatívne nízke ceny mäsa a niektorých základných komodít (mlieko, múka), no zároveň zápasilo s vyššími cenami potravín ako chlieb, vajcia, syry a niektoré druhy zeleniny a ovocia. Z pohľadu cenovej úrovne tak Slovensko zostáva mierne pod priemerom EÚ, avšak s výraznými rozdielmi podľa druhu komodity.</w:t>
      </w:r>
    </w:p>
    <w:tbl>
      <w:tblPr>
        <w:tblW w:w="4899"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1E0" w:firstRow="1" w:lastRow="1" w:firstColumn="1" w:lastColumn="1" w:noHBand="0" w:noVBand="0"/>
      </w:tblPr>
      <w:tblGrid>
        <w:gridCol w:w="4250"/>
        <w:gridCol w:w="167"/>
        <w:gridCol w:w="4470"/>
      </w:tblGrid>
      <w:tr w:rsidR="00091BA7" w:rsidRPr="00866785" w14:paraId="4E6DC587" w14:textId="77777777" w:rsidTr="7D6FFD56">
        <w:trPr>
          <w:trHeight w:val="321"/>
        </w:trPr>
        <w:tc>
          <w:tcPr>
            <w:tcW w:w="2391" w:type="pct"/>
            <w:tcBorders>
              <w:top w:val="nil"/>
              <w:left w:val="nil"/>
              <w:bottom w:val="single" w:sz="4" w:space="0" w:color="auto"/>
              <w:right w:val="nil"/>
            </w:tcBorders>
            <w:shd w:val="clear" w:color="auto" w:fill="auto"/>
            <w:vAlign w:val="center"/>
          </w:tcPr>
          <w:p w14:paraId="6B0C3651" w14:textId="0EFB5B63" w:rsidR="00091BA7" w:rsidRPr="00866785" w:rsidRDefault="00091BA7" w:rsidP="00947BF3">
            <w:pPr>
              <w:spacing w:after="120"/>
              <w:rPr>
                <w:rFonts w:ascii="Arial Narrow" w:hAnsi="Arial Narrow" w:cs="Arial"/>
                <w:b/>
                <w:color w:val="2C9ADC"/>
                <w:sz w:val="20"/>
                <w:szCs w:val="18"/>
              </w:rPr>
            </w:pPr>
            <w:r w:rsidRPr="00866785">
              <w:rPr>
                <w:rFonts w:ascii="Arial Narrow" w:hAnsi="Arial Narrow" w:cs="Arial"/>
                <w:b/>
                <w:color w:val="2C9ADC"/>
                <w:sz w:val="20"/>
                <w:szCs w:val="18"/>
              </w:rPr>
              <w:t>Chlieb</w:t>
            </w:r>
            <w:r w:rsidR="00C15ECF">
              <w:rPr>
                <w:rStyle w:val="Odkaznapoznmkupodiarou"/>
                <w:rFonts w:ascii="Arial Narrow" w:hAnsi="Arial Narrow" w:cs="Arial"/>
                <w:b/>
                <w:color w:val="2C9ADC"/>
                <w:sz w:val="20"/>
                <w:szCs w:val="18"/>
              </w:rPr>
              <w:footnoteReference w:id="3"/>
            </w:r>
            <w:r w:rsidRPr="00866785">
              <w:rPr>
                <w:rFonts w:ascii="Arial Narrow" w:hAnsi="Arial Narrow" w:cs="Arial"/>
                <w:b/>
                <w:color w:val="2C9ADC"/>
                <w:sz w:val="20"/>
                <w:szCs w:val="18"/>
              </w:rPr>
              <w:t>, maloobchodná cena (v €/kg, bez DPH)</w:t>
            </w:r>
          </w:p>
        </w:tc>
        <w:tc>
          <w:tcPr>
            <w:tcW w:w="94" w:type="pct"/>
            <w:tcBorders>
              <w:top w:val="nil"/>
              <w:left w:val="nil"/>
              <w:bottom w:val="nil"/>
              <w:right w:val="nil"/>
            </w:tcBorders>
            <w:shd w:val="clear" w:color="auto" w:fill="auto"/>
            <w:vAlign w:val="center"/>
          </w:tcPr>
          <w:p w14:paraId="4E8CBEA1" w14:textId="77777777" w:rsidR="00091BA7" w:rsidRPr="00866785" w:rsidRDefault="00091BA7" w:rsidP="00947BF3">
            <w:pPr>
              <w:spacing w:after="120"/>
              <w:rPr>
                <w:rFonts w:ascii="Arial Narrow" w:hAnsi="Arial Narrow" w:cs="Arial"/>
                <w:b/>
                <w:color w:val="2C9ADC"/>
                <w:sz w:val="20"/>
                <w:szCs w:val="18"/>
              </w:rPr>
            </w:pPr>
          </w:p>
        </w:tc>
        <w:tc>
          <w:tcPr>
            <w:tcW w:w="2515" w:type="pct"/>
            <w:tcBorders>
              <w:top w:val="nil"/>
              <w:left w:val="nil"/>
              <w:bottom w:val="single" w:sz="4" w:space="0" w:color="auto"/>
              <w:right w:val="nil"/>
            </w:tcBorders>
            <w:shd w:val="clear" w:color="auto" w:fill="auto"/>
            <w:vAlign w:val="center"/>
          </w:tcPr>
          <w:p w14:paraId="087A1469" w14:textId="77777777" w:rsidR="00091BA7" w:rsidRPr="00866785" w:rsidRDefault="00091BA7" w:rsidP="00947BF3">
            <w:pPr>
              <w:spacing w:after="120"/>
              <w:rPr>
                <w:rFonts w:ascii="Arial Narrow" w:hAnsi="Arial Narrow" w:cs="Arial"/>
                <w:b/>
                <w:bCs/>
                <w:color w:val="2C9ADC"/>
                <w:sz w:val="20"/>
                <w:szCs w:val="20"/>
              </w:rPr>
            </w:pPr>
            <w:r w:rsidRPr="00866785">
              <w:rPr>
                <w:rFonts w:ascii="Arial Narrow" w:hAnsi="Arial Narrow" w:cs="Arial"/>
                <w:b/>
                <w:bCs/>
                <w:color w:val="2C9ADC"/>
                <w:sz w:val="20"/>
                <w:szCs w:val="20"/>
              </w:rPr>
              <w:t>Múka, maloobchodná cena (v €/kg, bez DPH)</w:t>
            </w:r>
          </w:p>
        </w:tc>
      </w:tr>
      <w:tr w:rsidR="00091BA7" w:rsidRPr="00866785" w14:paraId="52BB9194" w14:textId="77777777" w:rsidTr="7D6FFD56">
        <w:trPr>
          <w:trHeight w:val="820"/>
        </w:trPr>
        <w:tc>
          <w:tcPr>
            <w:tcW w:w="2391" w:type="pct"/>
            <w:tcBorders>
              <w:top w:val="single" w:sz="4" w:space="0" w:color="auto"/>
              <w:left w:val="nil"/>
              <w:bottom w:val="single" w:sz="4" w:space="0" w:color="auto"/>
              <w:right w:val="nil"/>
            </w:tcBorders>
            <w:vAlign w:val="center"/>
          </w:tcPr>
          <w:p w14:paraId="643FAD86" w14:textId="6917C202" w:rsidR="00091BA7" w:rsidRPr="00866785" w:rsidRDefault="005D4429" w:rsidP="00947BF3">
            <w:pPr>
              <w:spacing w:before="120" w:after="120"/>
              <w:jc w:val="center"/>
              <w:rPr>
                <w:rFonts w:ascii="Arial Narrow" w:hAnsi="Arial Narrow" w:cs="Arial"/>
                <w:b/>
                <w:bCs/>
                <w:sz w:val="20"/>
                <w:szCs w:val="20"/>
              </w:rPr>
            </w:pPr>
            <w:r>
              <w:rPr>
                <w:noProof/>
              </w:rPr>
              <w:drawing>
                <wp:inline distT="0" distB="0" distL="0" distR="0" wp14:anchorId="4F7ABBB0" wp14:editId="7305D466">
                  <wp:extent cx="2610485" cy="2243097"/>
                  <wp:effectExtent l="0" t="0" r="0" b="5080"/>
                  <wp:docPr id="1058803459" name="Graf 1">
                    <a:extLst xmlns:a="http://schemas.openxmlformats.org/drawingml/2006/main">
                      <a:ext uri="{FF2B5EF4-FFF2-40B4-BE49-F238E27FC236}">
                        <a16:creationId xmlns:a16="http://schemas.microsoft.com/office/drawing/2014/main" id="{00000000-0008-0000-01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tc>
        <w:tc>
          <w:tcPr>
            <w:tcW w:w="94" w:type="pct"/>
            <w:tcBorders>
              <w:top w:val="nil"/>
              <w:left w:val="nil"/>
              <w:bottom w:val="nil"/>
              <w:right w:val="nil"/>
            </w:tcBorders>
            <w:vAlign w:val="center"/>
          </w:tcPr>
          <w:p w14:paraId="79F0D394" w14:textId="77777777" w:rsidR="00091BA7" w:rsidRPr="00866785" w:rsidRDefault="00091BA7" w:rsidP="00947BF3">
            <w:pPr>
              <w:spacing w:after="120"/>
              <w:jc w:val="center"/>
              <w:rPr>
                <w:rFonts w:ascii="Arial Narrow" w:hAnsi="Arial Narrow" w:cs="Arial"/>
                <w:b/>
                <w:sz w:val="20"/>
                <w:szCs w:val="20"/>
              </w:rPr>
            </w:pPr>
          </w:p>
          <w:p w14:paraId="26F1D62B" w14:textId="77777777" w:rsidR="00091BA7" w:rsidRPr="00866785" w:rsidRDefault="00091BA7" w:rsidP="00947BF3">
            <w:pPr>
              <w:spacing w:after="120"/>
              <w:jc w:val="center"/>
              <w:rPr>
                <w:rFonts w:ascii="Arial Narrow" w:hAnsi="Arial Narrow" w:cs="Arial"/>
                <w:b/>
                <w:sz w:val="20"/>
                <w:szCs w:val="20"/>
              </w:rPr>
            </w:pPr>
          </w:p>
          <w:p w14:paraId="26B1FDC6" w14:textId="77777777" w:rsidR="00091BA7" w:rsidRPr="00866785" w:rsidRDefault="00091BA7" w:rsidP="00947BF3">
            <w:pPr>
              <w:spacing w:after="120"/>
              <w:jc w:val="center"/>
              <w:rPr>
                <w:rFonts w:ascii="Arial Narrow" w:hAnsi="Arial Narrow" w:cs="Arial"/>
                <w:b/>
                <w:sz w:val="20"/>
                <w:szCs w:val="20"/>
              </w:rPr>
            </w:pPr>
          </w:p>
        </w:tc>
        <w:tc>
          <w:tcPr>
            <w:tcW w:w="2515" w:type="pct"/>
            <w:tcBorders>
              <w:top w:val="single" w:sz="4" w:space="0" w:color="auto"/>
              <w:left w:val="nil"/>
              <w:bottom w:val="single" w:sz="4" w:space="0" w:color="auto"/>
              <w:right w:val="nil"/>
            </w:tcBorders>
            <w:vAlign w:val="center"/>
          </w:tcPr>
          <w:p w14:paraId="156159B7" w14:textId="329C2A82" w:rsidR="00091BA7" w:rsidRPr="00866785" w:rsidRDefault="005D4429" w:rsidP="00947BF3">
            <w:pPr>
              <w:spacing w:after="120"/>
              <w:jc w:val="center"/>
              <w:rPr>
                <w:rFonts w:ascii="Arial Narrow" w:hAnsi="Arial Narrow"/>
              </w:rPr>
            </w:pPr>
            <w:r>
              <w:rPr>
                <w:noProof/>
              </w:rPr>
              <w:drawing>
                <wp:inline distT="0" distB="0" distL="0" distR="0" wp14:anchorId="2C1794F8" wp14:editId="7C0F155E">
                  <wp:extent cx="2750185" cy="2237275"/>
                  <wp:effectExtent l="0" t="0" r="0" b="0"/>
                  <wp:docPr id="1294299454" name="Graf 1">
                    <a:extLst xmlns:a="http://schemas.openxmlformats.org/drawingml/2006/main">
                      <a:ext uri="{FF2B5EF4-FFF2-40B4-BE49-F238E27FC236}">
                        <a16:creationId xmlns:a16="http://schemas.microsoft.com/office/drawing/2014/main" id="{00000000-0008-0000-02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c>
      </w:tr>
      <w:tr w:rsidR="00091BA7" w:rsidRPr="00866785" w14:paraId="0C8EC824" w14:textId="77777777" w:rsidTr="7D6FFD56">
        <w:trPr>
          <w:trHeight w:val="104"/>
        </w:trPr>
        <w:tc>
          <w:tcPr>
            <w:tcW w:w="2391" w:type="pct"/>
            <w:tcBorders>
              <w:top w:val="single" w:sz="4" w:space="0" w:color="auto"/>
              <w:left w:val="nil"/>
              <w:bottom w:val="nil"/>
              <w:right w:val="nil"/>
            </w:tcBorders>
            <w:vAlign w:val="center"/>
          </w:tcPr>
          <w:p w14:paraId="00CCBB47" w14:textId="3EFC597A" w:rsidR="00091BA7" w:rsidRPr="00866785" w:rsidRDefault="00091BA7" w:rsidP="00947BF3">
            <w:pPr>
              <w:spacing w:after="120"/>
              <w:jc w:val="right"/>
              <w:rPr>
                <w:rFonts w:ascii="Arial Narrow" w:hAnsi="Arial Narrow" w:cs="Arial"/>
                <w:i/>
                <w:sz w:val="16"/>
                <w:szCs w:val="16"/>
              </w:rPr>
            </w:pPr>
            <w:r w:rsidRPr="00866785">
              <w:rPr>
                <w:rFonts w:ascii="Arial Narrow" w:hAnsi="Arial Narrow" w:cs="Arial"/>
                <w:i/>
                <w:sz w:val="16"/>
                <w:szCs w:val="16"/>
              </w:rPr>
              <w:t>Zdroj: ŠÚ SR, ČSÚ, KSH</w:t>
            </w:r>
            <w:r w:rsidR="00EC759C">
              <w:rPr>
                <w:rFonts w:ascii="Arial Narrow" w:hAnsi="Arial Narrow" w:cs="Arial"/>
                <w:i/>
                <w:sz w:val="16"/>
                <w:szCs w:val="16"/>
              </w:rPr>
              <w:t>, GUS</w:t>
            </w:r>
            <w:r w:rsidRPr="00866785">
              <w:rPr>
                <w:rFonts w:ascii="Arial Narrow" w:hAnsi="Arial Narrow" w:cs="Arial"/>
                <w:i/>
                <w:sz w:val="16"/>
                <w:szCs w:val="16"/>
              </w:rPr>
              <w:t xml:space="preserve"> </w:t>
            </w:r>
          </w:p>
        </w:tc>
        <w:tc>
          <w:tcPr>
            <w:tcW w:w="94" w:type="pct"/>
            <w:tcBorders>
              <w:top w:val="nil"/>
              <w:left w:val="nil"/>
              <w:bottom w:val="nil"/>
              <w:right w:val="nil"/>
            </w:tcBorders>
            <w:vAlign w:val="center"/>
          </w:tcPr>
          <w:p w14:paraId="49394478" w14:textId="77777777" w:rsidR="00091BA7" w:rsidRPr="00866785" w:rsidRDefault="00091BA7" w:rsidP="00947BF3">
            <w:pPr>
              <w:spacing w:after="120"/>
              <w:jc w:val="center"/>
              <w:rPr>
                <w:rFonts w:ascii="Arial Narrow" w:hAnsi="Arial Narrow" w:cs="Arial"/>
                <w:i/>
                <w:sz w:val="16"/>
                <w:szCs w:val="16"/>
              </w:rPr>
            </w:pPr>
          </w:p>
        </w:tc>
        <w:tc>
          <w:tcPr>
            <w:tcW w:w="2515" w:type="pct"/>
            <w:tcBorders>
              <w:top w:val="single" w:sz="4" w:space="0" w:color="auto"/>
              <w:left w:val="nil"/>
              <w:bottom w:val="nil"/>
              <w:right w:val="nil"/>
            </w:tcBorders>
            <w:vAlign w:val="center"/>
          </w:tcPr>
          <w:p w14:paraId="350499D8" w14:textId="77777777" w:rsidR="00091BA7" w:rsidRPr="00866785" w:rsidRDefault="00091BA7" w:rsidP="00947BF3">
            <w:pPr>
              <w:spacing w:after="120"/>
              <w:jc w:val="right"/>
              <w:rPr>
                <w:rFonts w:ascii="Arial Narrow" w:hAnsi="Arial Narrow" w:cs="Arial"/>
                <w:i/>
                <w:sz w:val="16"/>
                <w:szCs w:val="16"/>
              </w:rPr>
            </w:pPr>
            <w:r w:rsidRPr="00866785">
              <w:rPr>
                <w:rFonts w:ascii="Arial Narrow" w:hAnsi="Arial Narrow" w:cs="Arial"/>
                <w:i/>
                <w:sz w:val="16"/>
                <w:szCs w:val="16"/>
              </w:rPr>
              <w:t>Zdroj: EK</w:t>
            </w:r>
          </w:p>
        </w:tc>
      </w:tr>
    </w:tbl>
    <w:p w14:paraId="29A6C9D3" w14:textId="77777777" w:rsidR="00CE270F" w:rsidRDefault="00CE270F" w:rsidP="00947BF3">
      <w:pPr>
        <w:rPr>
          <w:rFonts w:ascii="Arial Narrow" w:hAnsi="Arial Narrow"/>
        </w:rPr>
      </w:pPr>
    </w:p>
    <w:p w14:paraId="5F6144E9" w14:textId="77777777" w:rsidR="005626B8" w:rsidRDefault="005626B8" w:rsidP="00947BF3">
      <w:pPr>
        <w:rPr>
          <w:rFonts w:ascii="Arial Narrow" w:hAnsi="Arial Narrow"/>
        </w:rPr>
      </w:pPr>
    </w:p>
    <w:tbl>
      <w:tblPr>
        <w:tblW w:w="4899"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1E0" w:firstRow="1" w:lastRow="1" w:firstColumn="1" w:lastColumn="1" w:noHBand="0" w:noVBand="0"/>
      </w:tblPr>
      <w:tblGrid>
        <w:gridCol w:w="4250"/>
        <w:gridCol w:w="167"/>
        <w:gridCol w:w="4470"/>
      </w:tblGrid>
      <w:tr w:rsidR="00091BA7" w:rsidRPr="00866785" w14:paraId="0648CA32" w14:textId="77777777" w:rsidTr="7D6FFD56">
        <w:trPr>
          <w:trHeight w:val="321"/>
        </w:trPr>
        <w:tc>
          <w:tcPr>
            <w:tcW w:w="2391" w:type="pct"/>
            <w:tcBorders>
              <w:top w:val="nil"/>
              <w:left w:val="nil"/>
              <w:bottom w:val="single" w:sz="4" w:space="0" w:color="auto"/>
              <w:right w:val="nil"/>
            </w:tcBorders>
            <w:shd w:val="clear" w:color="auto" w:fill="auto"/>
            <w:vAlign w:val="center"/>
          </w:tcPr>
          <w:p w14:paraId="2DE85827" w14:textId="6E7F589B" w:rsidR="00091BA7" w:rsidRPr="00866785" w:rsidRDefault="00091BA7" w:rsidP="00947BF3">
            <w:pPr>
              <w:spacing w:after="120"/>
              <w:rPr>
                <w:rFonts w:ascii="Arial Narrow" w:hAnsi="Arial Narrow" w:cs="Arial"/>
                <w:b/>
                <w:color w:val="2C9ADC"/>
                <w:sz w:val="20"/>
                <w:szCs w:val="18"/>
              </w:rPr>
            </w:pPr>
            <w:r w:rsidRPr="00866785">
              <w:rPr>
                <w:rFonts w:ascii="Arial Narrow" w:hAnsi="Arial Narrow" w:cs="Arial"/>
                <w:b/>
                <w:color w:val="2C9ADC"/>
                <w:sz w:val="20"/>
                <w:szCs w:val="18"/>
              </w:rPr>
              <w:t>Bravčové karé</w:t>
            </w:r>
            <w:r w:rsidR="00C15ECF">
              <w:rPr>
                <w:rStyle w:val="Odkaznapoznmkupodiarou"/>
                <w:rFonts w:ascii="Arial Narrow" w:hAnsi="Arial Narrow" w:cs="Arial"/>
                <w:b/>
                <w:color w:val="2C9ADC"/>
                <w:sz w:val="20"/>
                <w:szCs w:val="18"/>
              </w:rPr>
              <w:footnoteReference w:id="4"/>
            </w:r>
            <w:r w:rsidRPr="00866785">
              <w:rPr>
                <w:rFonts w:ascii="Arial Narrow" w:hAnsi="Arial Narrow" w:cs="Arial"/>
                <w:b/>
                <w:color w:val="2C9ADC"/>
                <w:sz w:val="20"/>
                <w:szCs w:val="18"/>
              </w:rPr>
              <w:t>, maloobchodná cena (v €/kg, bez DPH)</w:t>
            </w:r>
          </w:p>
        </w:tc>
        <w:tc>
          <w:tcPr>
            <w:tcW w:w="94" w:type="pct"/>
            <w:tcBorders>
              <w:top w:val="nil"/>
              <w:left w:val="nil"/>
              <w:bottom w:val="nil"/>
              <w:right w:val="nil"/>
            </w:tcBorders>
            <w:shd w:val="clear" w:color="auto" w:fill="auto"/>
            <w:vAlign w:val="center"/>
          </w:tcPr>
          <w:p w14:paraId="458AA8BC" w14:textId="77777777" w:rsidR="00091BA7" w:rsidRPr="00866785" w:rsidRDefault="00091BA7" w:rsidP="00947BF3">
            <w:pPr>
              <w:spacing w:after="120"/>
              <w:rPr>
                <w:rFonts w:ascii="Arial Narrow" w:hAnsi="Arial Narrow" w:cs="Arial"/>
                <w:b/>
                <w:color w:val="2C9ADC"/>
                <w:sz w:val="20"/>
                <w:szCs w:val="18"/>
              </w:rPr>
            </w:pPr>
          </w:p>
        </w:tc>
        <w:tc>
          <w:tcPr>
            <w:tcW w:w="2515" w:type="pct"/>
            <w:tcBorders>
              <w:top w:val="nil"/>
              <w:left w:val="nil"/>
              <w:bottom w:val="single" w:sz="4" w:space="0" w:color="auto"/>
              <w:right w:val="nil"/>
            </w:tcBorders>
            <w:shd w:val="clear" w:color="auto" w:fill="auto"/>
          </w:tcPr>
          <w:p w14:paraId="5E087A4D" w14:textId="77777777" w:rsidR="00091BA7" w:rsidRPr="00866785" w:rsidRDefault="00091BA7" w:rsidP="00947BF3">
            <w:pPr>
              <w:spacing w:after="120"/>
              <w:rPr>
                <w:rFonts w:ascii="Arial Narrow" w:hAnsi="Arial Narrow" w:cs="Arial"/>
                <w:b/>
                <w:color w:val="2C9ADC"/>
                <w:sz w:val="20"/>
                <w:szCs w:val="18"/>
              </w:rPr>
            </w:pPr>
            <w:r w:rsidRPr="00866785">
              <w:rPr>
                <w:rFonts w:ascii="Arial Narrow" w:hAnsi="Arial Narrow" w:cs="Arial"/>
                <w:b/>
                <w:color w:val="2C9ADC"/>
                <w:sz w:val="20"/>
                <w:szCs w:val="18"/>
              </w:rPr>
              <w:t>Bravčové, cena komodity (v €/100 kg)</w:t>
            </w:r>
          </w:p>
        </w:tc>
      </w:tr>
      <w:tr w:rsidR="00091BA7" w:rsidRPr="00866785" w14:paraId="57C1F392" w14:textId="77777777" w:rsidTr="7D6FFD56">
        <w:trPr>
          <w:trHeight w:val="820"/>
        </w:trPr>
        <w:tc>
          <w:tcPr>
            <w:tcW w:w="2391" w:type="pct"/>
            <w:tcBorders>
              <w:top w:val="single" w:sz="4" w:space="0" w:color="auto"/>
              <w:left w:val="nil"/>
              <w:bottom w:val="single" w:sz="4" w:space="0" w:color="auto"/>
              <w:right w:val="nil"/>
            </w:tcBorders>
            <w:vAlign w:val="center"/>
          </w:tcPr>
          <w:p w14:paraId="31819B0F" w14:textId="36E3D47D" w:rsidR="00091BA7" w:rsidRPr="00C81124" w:rsidRDefault="00C15ECF" w:rsidP="00947BF3">
            <w:pPr>
              <w:spacing w:before="120" w:after="120"/>
              <w:jc w:val="center"/>
              <w:rPr>
                <w:rFonts w:ascii="Arial Narrow" w:hAnsi="Arial Narrow" w:cs="Arial"/>
                <w:b/>
                <w:bCs/>
                <w:color w:val="2EAAE1"/>
                <w:sz w:val="20"/>
                <w:szCs w:val="20"/>
              </w:rPr>
            </w:pPr>
            <w:r>
              <w:rPr>
                <w:noProof/>
              </w:rPr>
              <w:drawing>
                <wp:inline distT="0" distB="0" distL="0" distR="0" wp14:anchorId="5D5B8C0F" wp14:editId="2A03BC6D">
                  <wp:extent cx="2610485" cy="2150393"/>
                  <wp:effectExtent l="0" t="0" r="0" b="2540"/>
                  <wp:docPr id="1520452094" name="Graf 1">
                    <a:extLst xmlns:a="http://schemas.openxmlformats.org/drawingml/2006/main">
                      <a:ext uri="{FF2B5EF4-FFF2-40B4-BE49-F238E27FC236}">
                        <a16:creationId xmlns:a16="http://schemas.microsoft.com/office/drawing/2014/main" id="{00000000-0008-0000-0300-00000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tc>
        <w:tc>
          <w:tcPr>
            <w:tcW w:w="94" w:type="pct"/>
            <w:tcBorders>
              <w:top w:val="nil"/>
              <w:left w:val="nil"/>
              <w:bottom w:val="nil"/>
              <w:right w:val="nil"/>
            </w:tcBorders>
            <w:vAlign w:val="center"/>
          </w:tcPr>
          <w:p w14:paraId="54265F72" w14:textId="77777777" w:rsidR="00091BA7" w:rsidRPr="00866785" w:rsidRDefault="00091BA7" w:rsidP="00947BF3">
            <w:pPr>
              <w:spacing w:after="120"/>
              <w:jc w:val="center"/>
              <w:rPr>
                <w:rFonts w:ascii="Arial Narrow" w:hAnsi="Arial Narrow" w:cs="Arial"/>
                <w:b/>
                <w:sz w:val="20"/>
                <w:szCs w:val="20"/>
              </w:rPr>
            </w:pPr>
          </w:p>
          <w:p w14:paraId="5F287FD0" w14:textId="77777777" w:rsidR="00091BA7" w:rsidRPr="00866785" w:rsidRDefault="00091BA7" w:rsidP="00947BF3">
            <w:pPr>
              <w:spacing w:after="120"/>
              <w:jc w:val="center"/>
              <w:rPr>
                <w:rFonts w:ascii="Arial Narrow" w:hAnsi="Arial Narrow" w:cs="Arial"/>
                <w:b/>
                <w:sz w:val="20"/>
                <w:szCs w:val="20"/>
              </w:rPr>
            </w:pPr>
          </w:p>
          <w:p w14:paraId="2FBC41E1" w14:textId="77777777" w:rsidR="00091BA7" w:rsidRPr="00866785" w:rsidRDefault="00091BA7" w:rsidP="00947BF3">
            <w:pPr>
              <w:spacing w:after="120"/>
              <w:jc w:val="center"/>
              <w:rPr>
                <w:rFonts w:ascii="Arial Narrow" w:hAnsi="Arial Narrow" w:cs="Arial"/>
                <w:b/>
                <w:sz w:val="20"/>
                <w:szCs w:val="20"/>
              </w:rPr>
            </w:pPr>
          </w:p>
        </w:tc>
        <w:tc>
          <w:tcPr>
            <w:tcW w:w="2515" w:type="pct"/>
            <w:tcBorders>
              <w:top w:val="single" w:sz="4" w:space="0" w:color="auto"/>
              <w:left w:val="nil"/>
              <w:bottom w:val="single" w:sz="4" w:space="0" w:color="auto"/>
              <w:right w:val="nil"/>
            </w:tcBorders>
            <w:vAlign w:val="center"/>
          </w:tcPr>
          <w:p w14:paraId="64381D1E" w14:textId="1FA6BA3A" w:rsidR="00091BA7" w:rsidRPr="00866785" w:rsidRDefault="00C15ECF" w:rsidP="00947BF3">
            <w:pPr>
              <w:spacing w:after="120"/>
              <w:jc w:val="center"/>
              <w:rPr>
                <w:rFonts w:ascii="Arial Narrow" w:hAnsi="Arial Narrow" w:cs="Arial"/>
                <w:b/>
                <w:bCs/>
                <w:sz w:val="16"/>
                <w:szCs w:val="16"/>
              </w:rPr>
            </w:pPr>
            <w:r>
              <w:rPr>
                <w:noProof/>
              </w:rPr>
              <w:drawing>
                <wp:inline distT="0" distB="0" distL="0" distR="0" wp14:anchorId="5A42FBCA" wp14:editId="53378FF7">
                  <wp:extent cx="2750185" cy="2137926"/>
                  <wp:effectExtent l="0" t="0" r="0" b="0"/>
                  <wp:docPr id="2047843990" name="Graf 1">
                    <a:extLst xmlns:a="http://schemas.openxmlformats.org/drawingml/2006/main">
                      <a:ext uri="{FF2B5EF4-FFF2-40B4-BE49-F238E27FC236}">
                        <a16:creationId xmlns:a16="http://schemas.microsoft.com/office/drawing/2014/main" id="{00000000-0008-0000-03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tc>
      </w:tr>
      <w:tr w:rsidR="00091BA7" w:rsidRPr="00866785" w14:paraId="3F18DED3" w14:textId="77777777" w:rsidTr="00B56FA3">
        <w:trPr>
          <w:trHeight w:val="104"/>
        </w:trPr>
        <w:tc>
          <w:tcPr>
            <w:tcW w:w="2391" w:type="pct"/>
            <w:tcBorders>
              <w:top w:val="single" w:sz="4" w:space="0" w:color="auto"/>
              <w:left w:val="nil"/>
              <w:bottom w:val="nil"/>
              <w:right w:val="nil"/>
            </w:tcBorders>
            <w:vAlign w:val="center"/>
          </w:tcPr>
          <w:p w14:paraId="46AA028D" w14:textId="48E9D02F" w:rsidR="00091BA7" w:rsidRPr="00866785" w:rsidRDefault="00091BA7" w:rsidP="00947BF3">
            <w:pPr>
              <w:spacing w:after="120"/>
              <w:jc w:val="right"/>
              <w:rPr>
                <w:rFonts w:ascii="Arial Narrow" w:hAnsi="Arial Narrow" w:cs="Arial"/>
                <w:i/>
                <w:sz w:val="16"/>
                <w:szCs w:val="16"/>
              </w:rPr>
            </w:pPr>
            <w:r w:rsidRPr="00866785">
              <w:rPr>
                <w:rFonts w:ascii="Arial Narrow" w:hAnsi="Arial Narrow" w:cs="Arial"/>
                <w:i/>
                <w:sz w:val="16"/>
                <w:szCs w:val="16"/>
              </w:rPr>
              <w:t>Zdroj: ŠÚ SR, ČSÚ, KSH</w:t>
            </w:r>
            <w:r w:rsidR="00EC759C">
              <w:rPr>
                <w:rFonts w:ascii="Arial Narrow" w:hAnsi="Arial Narrow" w:cs="Arial"/>
                <w:i/>
                <w:sz w:val="16"/>
                <w:szCs w:val="16"/>
              </w:rPr>
              <w:t>, GUS</w:t>
            </w:r>
            <w:r w:rsidRPr="00866785">
              <w:rPr>
                <w:rFonts w:ascii="Arial Narrow" w:hAnsi="Arial Narrow" w:cs="Arial"/>
                <w:i/>
                <w:sz w:val="16"/>
                <w:szCs w:val="16"/>
              </w:rPr>
              <w:t xml:space="preserve"> </w:t>
            </w:r>
          </w:p>
        </w:tc>
        <w:tc>
          <w:tcPr>
            <w:tcW w:w="94" w:type="pct"/>
            <w:tcBorders>
              <w:top w:val="nil"/>
              <w:left w:val="nil"/>
              <w:bottom w:val="nil"/>
              <w:right w:val="nil"/>
            </w:tcBorders>
            <w:vAlign w:val="center"/>
          </w:tcPr>
          <w:p w14:paraId="0330C540" w14:textId="77777777" w:rsidR="00091BA7" w:rsidRPr="00866785" w:rsidRDefault="00091BA7" w:rsidP="00947BF3">
            <w:pPr>
              <w:spacing w:after="120"/>
              <w:jc w:val="center"/>
              <w:rPr>
                <w:rFonts w:ascii="Arial Narrow" w:hAnsi="Arial Narrow" w:cs="Arial"/>
                <w:i/>
                <w:sz w:val="16"/>
                <w:szCs w:val="16"/>
              </w:rPr>
            </w:pPr>
          </w:p>
        </w:tc>
        <w:tc>
          <w:tcPr>
            <w:tcW w:w="2515" w:type="pct"/>
            <w:tcBorders>
              <w:top w:val="single" w:sz="4" w:space="0" w:color="auto"/>
              <w:left w:val="nil"/>
              <w:bottom w:val="nil"/>
              <w:right w:val="nil"/>
            </w:tcBorders>
            <w:vAlign w:val="center"/>
          </w:tcPr>
          <w:p w14:paraId="010BDC8E" w14:textId="77777777" w:rsidR="00091BA7" w:rsidRPr="00866785" w:rsidRDefault="00091BA7" w:rsidP="00947BF3">
            <w:pPr>
              <w:spacing w:after="120"/>
              <w:jc w:val="right"/>
              <w:rPr>
                <w:rFonts w:ascii="Arial Narrow" w:hAnsi="Arial Narrow" w:cs="Arial"/>
                <w:i/>
                <w:sz w:val="16"/>
                <w:szCs w:val="16"/>
              </w:rPr>
            </w:pPr>
            <w:r w:rsidRPr="00866785">
              <w:rPr>
                <w:rFonts w:ascii="Arial Narrow" w:hAnsi="Arial Narrow" w:cs="Arial"/>
                <w:i/>
                <w:sz w:val="16"/>
                <w:szCs w:val="16"/>
              </w:rPr>
              <w:t>Zdroj: EK</w:t>
            </w:r>
          </w:p>
        </w:tc>
      </w:tr>
      <w:tr w:rsidR="00091BA7" w:rsidRPr="00866785" w14:paraId="3D0CBE5B" w14:textId="77777777" w:rsidTr="7D6FFD56">
        <w:trPr>
          <w:trHeight w:val="321"/>
        </w:trPr>
        <w:tc>
          <w:tcPr>
            <w:tcW w:w="2391" w:type="pct"/>
            <w:tcBorders>
              <w:top w:val="nil"/>
              <w:left w:val="nil"/>
              <w:bottom w:val="single" w:sz="4" w:space="0" w:color="auto"/>
              <w:right w:val="nil"/>
            </w:tcBorders>
            <w:shd w:val="clear" w:color="auto" w:fill="auto"/>
            <w:vAlign w:val="center"/>
          </w:tcPr>
          <w:p w14:paraId="4910C448" w14:textId="77777777" w:rsidR="00091BA7" w:rsidRPr="00866785" w:rsidRDefault="00091BA7" w:rsidP="00947BF3">
            <w:pPr>
              <w:spacing w:after="120"/>
              <w:rPr>
                <w:rFonts w:ascii="Arial Narrow" w:hAnsi="Arial Narrow" w:cs="Arial"/>
                <w:b/>
                <w:color w:val="2C9ADC"/>
                <w:sz w:val="20"/>
                <w:szCs w:val="18"/>
              </w:rPr>
            </w:pPr>
            <w:r w:rsidRPr="00866785">
              <w:rPr>
                <w:rFonts w:ascii="Arial Narrow" w:hAnsi="Arial Narrow" w:cs="Arial"/>
                <w:b/>
                <w:color w:val="2C9ADC"/>
                <w:sz w:val="20"/>
                <w:szCs w:val="18"/>
              </w:rPr>
              <w:t>Hovädzie predné bez kosti, maloobchodná cena (v €/kg, bez DPH)</w:t>
            </w:r>
          </w:p>
        </w:tc>
        <w:tc>
          <w:tcPr>
            <w:tcW w:w="94" w:type="pct"/>
            <w:tcBorders>
              <w:top w:val="nil"/>
              <w:left w:val="nil"/>
              <w:bottom w:val="nil"/>
              <w:right w:val="nil"/>
            </w:tcBorders>
            <w:shd w:val="clear" w:color="auto" w:fill="auto"/>
            <w:vAlign w:val="center"/>
          </w:tcPr>
          <w:p w14:paraId="2346D9DF" w14:textId="77777777" w:rsidR="00091BA7" w:rsidRPr="00866785" w:rsidRDefault="00091BA7" w:rsidP="00947BF3">
            <w:pPr>
              <w:spacing w:after="120"/>
              <w:rPr>
                <w:rFonts w:ascii="Arial Narrow" w:hAnsi="Arial Narrow" w:cs="Arial"/>
                <w:b/>
                <w:color w:val="2C9ADC"/>
                <w:sz w:val="20"/>
                <w:szCs w:val="18"/>
              </w:rPr>
            </w:pPr>
          </w:p>
        </w:tc>
        <w:tc>
          <w:tcPr>
            <w:tcW w:w="2515" w:type="pct"/>
            <w:tcBorders>
              <w:top w:val="nil"/>
              <w:left w:val="nil"/>
              <w:bottom w:val="single" w:sz="4" w:space="0" w:color="auto"/>
              <w:right w:val="nil"/>
            </w:tcBorders>
            <w:shd w:val="clear" w:color="auto" w:fill="auto"/>
          </w:tcPr>
          <w:p w14:paraId="70210013" w14:textId="77777777" w:rsidR="00091BA7" w:rsidRPr="00866785" w:rsidRDefault="00091BA7" w:rsidP="00947BF3">
            <w:pPr>
              <w:spacing w:after="120"/>
              <w:rPr>
                <w:rFonts w:ascii="Arial Narrow" w:hAnsi="Arial Narrow" w:cs="Arial"/>
                <w:b/>
                <w:color w:val="2C9ADC"/>
                <w:sz w:val="20"/>
                <w:szCs w:val="18"/>
              </w:rPr>
            </w:pPr>
            <w:r w:rsidRPr="00866785">
              <w:rPr>
                <w:rFonts w:ascii="Arial Narrow" w:hAnsi="Arial Narrow" w:cs="Arial"/>
                <w:b/>
                <w:color w:val="2C9ADC"/>
                <w:sz w:val="20"/>
                <w:szCs w:val="18"/>
              </w:rPr>
              <w:t>Hovädzie, cena komodity (v €/100 kg)</w:t>
            </w:r>
          </w:p>
        </w:tc>
      </w:tr>
      <w:tr w:rsidR="00091BA7" w:rsidRPr="00866785" w14:paraId="3CA42472" w14:textId="77777777" w:rsidTr="7D6FFD56">
        <w:trPr>
          <w:trHeight w:val="820"/>
        </w:trPr>
        <w:tc>
          <w:tcPr>
            <w:tcW w:w="2391" w:type="pct"/>
            <w:tcBorders>
              <w:top w:val="single" w:sz="4" w:space="0" w:color="auto"/>
              <w:left w:val="nil"/>
              <w:bottom w:val="single" w:sz="4" w:space="0" w:color="auto"/>
              <w:right w:val="nil"/>
            </w:tcBorders>
            <w:vAlign w:val="center"/>
          </w:tcPr>
          <w:p w14:paraId="2CEF80CD" w14:textId="0BD76D35" w:rsidR="00091BA7" w:rsidRPr="00866785" w:rsidRDefault="00C15ECF" w:rsidP="00947BF3">
            <w:pPr>
              <w:spacing w:before="120" w:after="120"/>
              <w:jc w:val="center"/>
              <w:rPr>
                <w:rFonts w:ascii="Arial Narrow" w:hAnsi="Arial Narrow" w:cs="Arial"/>
                <w:b/>
                <w:bCs/>
                <w:sz w:val="20"/>
                <w:szCs w:val="20"/>
              </w:rPr>
            </w:pPr>
            <w:r>
              <w:rPr>
                <w:noProof/>
              </w:rPr>
              <w:drawing>
                <wp:inline distT="0" distB="0" distL="0" distR="0" wp14:anchorId="62854D3D" wp14:editId="2080D8A7">
                  <wp:extent cx="2610485" cy="2032220"/>
                  <wp:effectExtent l="0" t="0" r="0" b="6350"/>
                  <wp:docPr id="1492389705" name="Graf 1">
                    <a:extLst xmlns:a="http://schemas.openxmlformats.org/drawingml/2006/main">
                      <a:ext uri="{FF2B5EF4-FFF2-40B4-BE49-F238E27FC236}">
                        <a16:creationId xmlns:a16="http://schemas.microsoft.com/office/drawing/2014/main" id="{00000000-0008-0000-04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tc>
        <w:tc>
          <w:tcPr>
            <w:tcW w:w="94" w:type="pct"/>
            <w:tcBorders>
              <w:top w:val="nil"/>
              <w:left w:val="nil"/>
              <w:bottom w:val="nil"/>
              <w:right w:val="nil"/>
            </w:tcBorders>
            <w:vAlign w:val="center"/>
          </w:tcPr>
          <w:p w14:paraId="7B2D06D8" w14:textId="77777777" w:rsidR="00091BA7" w:rsidRPr="00866785" w:rsidRDefault="00091BA7" w:rsidP="00947BF3">
            <w:pPr>
              <w:spacing w:after="120"/>
              <w:jc w:val="center"/>
              <w:rPr>
                <w:rFonts w:ascii="Arial Narrow" w:hAnsi="Arial Narrow" w:cs="Arial"/>
                <w:b/>
                <w:sz w:val="20"/>
                <w:szCs w:val="20"/>
              </w:rPr>
            </w:pPr>
          </w:p>
          <w:p w14:paraId="096C8C86" w14:textId="77777777" w:rsidR="00091BA7" w:rsidRPr="00866785" w:rsidRDefault="00091BA7" w:rsidP="00947BF3">
            <w:pPr>
              <w:spacing w:after="120"/>
              <w:jc w:val="center"/>
              <w:rPr>
                <w:rFonts w:ascii="Arial Narrow" w:hAnsi="Arial Narrow" w:cs="Arial"/>
                <w:b/>
                <w:sz w:val="20"/>
                <w:szCs w:val="20"/>
              </w:rPr>
            </w:pPr>
          </w:p>
          <w:p w14:paraId="2457B47E" w14:textId="77777777" w:rsidR="00091BA7" w:rsidRPr="00866785" w:rsidRDefault="00091BA7" w:rsidP="00947BF3">
            <w:pPr>
              <w:spacing w:after="120"/>
              <w:jc w:val="center"/>
              <w:rPr>
                <w:rFonts w:ascii="Arial Narrow" w:hAnsi="Arial Narrow" w:cs="Arial"/>
                <w:b/>
                <w:sz w:val="20"/>
                <w:szCs w:val="20"/>
              </w:rPr>
            </w:pPr>
          </w:p>
        </w:tc>
        <w:tc>
          <w:tcPr>
            <w:tcW w:w="2515" w:type="pct"/>
            <w:tcBorders>
              <w:top w:val="single" w:sz="4" w:space="0" w:color="auto"/>
              <w:left w:val="nil"/>
              <w:bottom w:val="single" w:sz="4" w:space="0" w:color="auto"/>
              <w:right w:val="nil"/>
            </w:tcBorders>
            <w:vAlign w:val="center"/>
          </w:tcPr>
          <w:p w14:paraId="53B40802" w14:textId="5962E0A4" w:rsidR="00091BA7" w:rsidRPr="00866785" w:rsidRDefault="00C15ECF" w:rsidP="00947BF3">
            <w:pPr>
              <w:spacing w:after="120"/>
              <w:jc w:val="center"/>
              <w:rPr>
                <w:rFonts w:ascii="Arial Narrow" w:hAnsi="Arial Narrow" w:cs="Arial"/>
                <w:b/>
                <w:bCs/>
                <w:sz w:val="16"/>
                <w:szCs w:val="16"/>
              </w:rPr>
            </w:pPr>
            <w:r>
              <w:rPr>
                <w:noProof/>
              </w:rPr>
              <w:drawing>
                <wp:inline distT="0" distB="0" distL="0" distR="0" wp14:anchorId="4150DA15" wp14:editId="2946B5BC">
                  <wp:extent cx="2750185" cy="1969363"/>
                  <wp:effectExtent l="0" t="0" r="0" b="0"/>
                  <wp:docPr id="1999804584" name="Graf 1">
                    <a:extLst xmlns:a="http://schemas.openxmlformats.org/drawingml/2006/main">
                      <a:ext uri="{FF2B5EF4-FFF2-40B4-BE49-F238E27FC236}">
                        <a16:creationId xmlns:a16="http://schemas.microsoft.com/office/drawing/2014/main" id="{00000000-0008-0000-04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tc>
      </w:tr>
      <w:tr w:rsidR="00091BA7" w:rsidRPr="00866785" w14:paraId="66363F7A" w14:textId="77777777" w:rsidTr="00705E1B">
        <w:trPr>
          <w:trHeight w:val="104"/>
        </w:trPr>
        <w:tc>
          <w:tcPr>
            <w:tcW w:w="2391" w:type="pct"/>
            <w:tcBorders>
              <w:top w:val="single" w:sz="4" w:space="0" w:color="auto"/>
              <w:left w:val="nil"/>
              <w:bottom w:val="nil"/>
              <w:right w:val="nil"/>
            </w:tcBorders>
            <w:vAlign w:val="center"/>
          </w:tcPr>
          <w:p w14:paraId="0016FC97" w14:textId="58FFF1AC" w:rsidR="00091BA7" w:rsidRPr="00866785" w:rsidRDefault="00091BA7" w:rsidP="00947BF3">
            <w:pPr>
              <w:spacing w:after="120"/>
              <w:jc w:val="right"/>
              <w:rPr>
                <w:rFonts w:ascii="Arial Narrow" w:hAnsi="Arial Narrow" w:cs="Arial"/>
                <w:i/>
                <w:sz w:val="16"/>
                <w:szCs w:val="16"/>
              </w:rPr>
            </w:pPr>
            <w:r w:rsidRPr="00866785">
              <w:rPr>
                <w:rFonts w:ascii="Arial Narrow" w:hAnsi="Arial Narrow" w:cs="Arial"/>
                <w:i/>
                <w:sz w:val="16"/>
                <w:szCs w:val="16"/>
              </w:rPr>
              <w:t>Zdroj: ŠÚ SR,  KSH</w:t>
            </w:r>
            <w:r w:rsidR="00EC759C">
              <w:rPr>
                <w:rFonts w:ascii="Arial Narrow" w:hAnsi="Arial Narrow" w:cs="Arial"/>
                <w:i/>
                <w:sz w:val="16"/>
                <w:szCs w:val="16"/>
              </w:rPr>
              <w:t>, GUS</w:t>
            </w:r>
            <w:r w:rsidRPr="00866785">
              <w:rPr>
                <w:rFonts w:ascii="Arial Narrow" w:hAnsi="Arial Narrow" w:cs="Arial"/>
                <w:i/>
                <w:sz w:val="16"/>
                <w:szCs w:val="16"/>
              </w:rPr>
              <w:t xml:space="preserve"> </w:t>
            </w:r>
          </w:p>
        </w:tc>
        <w:tc>
          <w:tcPr>
            <w:tcW w:w="94" w:type="pct"/>
            <w:tcBorders>
              <w:top w:val="nil"/>
              <w:left w:val="nil"/>
              <w:bottom w:val="nil"/>
              <w:right w:val="nil"/>
            </w:tcBorders>
            <w:vAlign w:val="center"/>
          </w:tcPr>
          <w:p w14:paraId="0CE4D1CC" w14:textId="77777777" w:rsidR="00091BA7" w:rsidRPr="00866785" w:rsidRDefault="00091BA7" w:rsidP="00947BF3">
            <w:pPr>
              <w:spacing w:after="120"/>
              <w:jc w:val="center"/>
              <w:rPr>
                <w:rFonts w:ascii="Arial Narrow" w:hAnsi="Arial Narrow" w:cs="Arial"/>
                <w:i/>
                <w:sz w:val="16"/>
                <w:szCs w:val="16"/>
              </w:rPr>
            </w:pPr>
          </w:p>
        </w:tc>
        <w:tc>
          <w:tcPr>
            <w:tcW w:w="2515" w:type="pct"/>
            <w:tcBorders>
              <w:top w:val="single" w:sz="4" w:space="0" w:color="auto"/>
              <w:left w:val="nil"/>
              <w:bottom w:val="nil"/>
              <w:right w:val="nil"/>
            </w:tcBorders>
            <w:vAlign w:val="center"/>
          </w:tcPr>
          <w:p w14:paraId="415147A4" w14:textId="77777777" w:rsidR="00091BA7" w:rsidRPr="00866785" w:rsidRDefault="00091BA7" w:rsidP="00947BF3">
            <w:pPr>
              <w:spacing w:after="120"/>
              <w:jc w:val="right"/>
              <w:rPr>
                <w:rFonts w:ascii="Arial Narrow" w:hAnsi="Arial Narrow" w:cs="Arial"/>
                <w:i/>
                <w:sz w:val="16"/>
                <w:szCs w:val="16"/>
              </w:rPr>
            </w:pPr>
            <w:r w:rsidRPr="00866785">
              <w:rPr>
                <w:rFonts w:ascii="Arial Narrow" w:hAnsi="Arial Narrow" w:cs="Arial"/>
                <w:i/>
                <w:sz w:val="16"/>
                <w:szCs w:val="16"/>
              </w:rPr>
              <w:t>Zdroj: EK</w:t>
            </w:r>
          </w:p>
        </w:tc>
      </w:tr>
      <w:tr w:rsidR="0098741F" w:rsidRPr="00866785" w14:paraId="135C2B7D" w14:textId="77777777" w:rsidTr="00705E1B">
        <w:trPr>
          <w:trHeight w:val="104"/>
        </w:trPr>
        <w:tc>
          <w:tcPr>
            <w:tcW w:w="2391" w:type="pct"/>
            <w:tcBorders>
              <w:top w:val="nil"/>
              <w:left w:val="nil"/>
              <w:bottom w:val="nil"/>
              <w:right w:val="nil"/>
            </w:tcBorders>
            <w:vAlign w:val="center"/>
          </w:tcPr>
          <w:p w14:paraId="30E5E1D6" w14:textId="77777777" w:rsidR="0098741F" w:rsidRDefault="0098741F" w:rsidP="00947BF3">
            <w:pPr>
              <w:spacing w:after="120"/>
              <w:jc w:val="right"/>
              <w:rPr>
                <w:rFonts w:ascii="Arial Narrow" w:hAnsi="Arial Narrow" w:cs="Arial"/>
                <w:i/>
                <w:sz w:val="16"/>
                <w:szCs w:val="16"/>
              </w:rPr>
            </w:pPr>
          </w:p>
          <w:p w14:paraId="076F6720" w14:textId="77777777" w:rsidR="00C15ECF" w:rsidRPr="00866785" w:rsidRDefault="00C15ECF" w:rsidP="00947BF3">
            <w:pPr>
              <w:spacing w:after="120"/>
              <w:rPr>
                <w:rFonts w:ascii="Arial Narrow" w:hAnsi="Arial Narrow" w:cs="Arial"/>
                <w:i/>
                <w:sz w:val="16"/>
                <w:szCs w:val="16"/>
              </w:rPr>
            </w:pPr>
          </w:p>
        </w:tc>
        <w:tc>
          <w:tcPr>
            <w:tcW w:w="94" w:type="pct"/>
            <w:tcBorders>
              <w:top w:val="nil"/>
              <w:left w:val="nil"/>
              <w:bottom w:val="nil"/>
              <w:right w:val="nil"/>
            </w:tcBorders>
            <w:vAlign w:val="center"/>
          </w:tcPr>
          <w:p w14:paraId="57D3FBC8" w14:textId="77777777" w:rsidR="0098741F" w:rsidRPr="00866785" w:rsidRDefault="0098741F" w:rsidP="00947BF3">
            <w:pPr>
              <w:spacing w:after="120"/>
              <w:jc w:val="center"/>
              <w:rPr>
                <w:rFonts w:ascii="Arial Narrow" w:hAnsi="Arial Narrow" w:cs="Arial"/>
                <w:i/>
                <w:sz w:val="16"/>
                <w:szCs w:val="16"/>
              </w:rPr>
            </w:pPr>
          </w:p>
        </w:tc>
        <w:tc>
          <w:tcPr>
            <w:tcW w:w="2515" w:type="pct"/>
            <w:tcBorders>
              <w:top w:val="nil"/>
              <w:left w:val="nil"/>
              <w:bottom w:val="nil"/>
              <w:right w:val="nil"/>
            </w:tcBorders>
            <w:vAlign w:val="center"/>
          </w:tcPr>
          <w:p w14:paraId="7A6F1A98" w14:textId="77777777" w:rsidR="0098741F" w:rsidRPr="00866785" w:rsidRDefault="0098741F" w:rsidP="00947BF3">
            <w:pPr>
              <w:spacing w:after="120"/>
              <w:jc w:val="right"/>
              <w:rPr>
                <w:rFonts w:ascii="Arial Narrow" w:hAnsi="Arial Narrow" w:cs="Arial"/>
                <w:i/>
                <w:sz w:val="16"/>
                <w:szCs w:val="16"/>
              </w:rPr>
            </w:pPr>
          </w:p>
        </w:tc>
      </w:tr>
      <w:tr w:rsidR="00091BA7" w:rsidRPr="00866785" w14:paraId="46D6A887" w14:textId="77777777" w:rsidTr="7D6FFD56">
        <w:trPr>
          <w:trHeight w:val="321"/>
        </w:trPr>
        <w:tc>
          <w:tcPr>
            <w:tcW w:w="2391" w:type="pct"/>
            <w:tcBorders>
              <w:top w:val="nil"/>
              <w:left w:val="nil"/>
              <w:bottom w:val="single" w:sz="4" w:space="0" w:color="auto"/>
              <w:right w:val="nil"/>
            </w:tcBorders>
            <w:shd w:val="clear" w:color="auto" w:fill="auto"/>
          </w:tcPr>
          <w:p w14:paraId="4A2E1E56" w14:textId="77777777" w:rsidR="00091BA7" w:rsidRPr="00866785" w:rsidRDefault="00091BA7" w:rsidP="00947BF3">
            <w:pPr>
              <w:spacing w:after="120"/>
              <w:rPr>
                <w:rFonts w:ascii="Arial Narrow" w:hAnsi="Arial Narrow" w:cs="Arial"/>
                <w:b/>
                <w:color w:val="2C9ADC"/>
                <w:sz w:val="20"/>
                <w:szCs w:val="18"/>
              </w:rPr>
            </w:pPr>
          </w:p>
          <w:p w14:paraId="664E9C1C" w14:textId="77777777" w:rsidR="00091BA7" w:rsidRPr="00866785" w:rsidRDefault="00091BA7" w:rsidP="00947BF3">
            <w:pPr>
              <w:spacing w:after="120"/>
              <w:rPr>
                <w:rFonts w:ascii="Arial Narrow" w:hAnsi="Arial Narrow" w:cs="Arial"/>
                <w:b/>
                <w:color w:val="2C9ADC"/>
                <w:sz w:val="20"/>
                <w:szCs w:val="18"/>
              </w:rPr>
            </w:pPr>
            <w:r w:rsidRPr="00866785">
              <w:rPr>
                <w:rFonts w:ascii="Arial Narrow" w:hAnsi="Arial Narrow" w:cs="Arial"/>
                <w:b/>
                <w:color w:val="2C9ADC"/>
                <w:sz w:val="20"/>
                <w:szCs w:val="18"/>
              </w:rPr>
              <w:t>Kurča pitvané, maloobchodná cena (v €/kg, bez DPH)</w:t>
            </w:r>
          </w:p>
        </w:tc>
        <w:tc>
          <w:tcPr>
            <w:tcW w:w="94" w:type="pct"/>
            <w:tcBorders>
              <w:top w:val="nil"/>
              <w:left w:val="nil"/>
              <w:bottom w:val="nil"/>
              <w:right w:val="nil"/>
            </w:tcBorders>
            <w:shd w:val="clear" w:color="auto" w:fill="auto"/>
          </w:tcPr>
          <w:p w14:paraId="70C7DA53" w14:textId="77777777" w:rsidR="00091BA7" w:rsidRPr="00866785" w:rsidRDefault="00091BA7" w:rsidP="00947BF3">
            <w:pPr>
              <w:spacing w:after="120"/>
              <w:rPr>
                <w:rFonts w:ascii="Arial Narrow" w:hAnsi="Arial Narrow" w:cs="Arial"/>
                <w:b/>
                <w:color w:val="2C9ADC"/>
                <w:sz w:val="20"/>
                <w:szCs w:val="18"/>
              </w:rPr>
            </w:pPr>
          </w:p>
        </w:tc>
        <w:tc>
          <w:tcPr>
            <w:tcW w:w="2515" w:type="pct"/>
            <w:tcBorders>
              <w:top w:val="nil"/>
              <w:left w:val="nil"/>
              <w:bottom w:val="single" w:sz="4" w:space="0" w:color="auto"/>
              <w:right w:val="nil"/>
            </w:tcBorders>
            <w:shd w:val="clear" w:color="auto" w:fill="auto"/>
          </w:tcPr>
          <w:p w14:paraId="3E0FA188" w14:textId="77777777" w:rsidR="00091BA7" w:rsidRPr="00866785" w:rsidRDefault="00091BA7" w:rsidP="00947BF3">
            <w:pPr>
              <w:spacing w:after="120"/>
              <w:rPr>
                <w:rFonts w:ascii="Arial Narrow" w:hAnsi="Arial Narrow" w:cs="Arial"/>
                <w:b/>
                <w:color w:val="2C9ADC"/>
                <w:sz w:val="20"/>
                <w:szCs w:val="18"/>
              </w:rPr>
            </w:pPr>
          </w:p>
          <w:p w14:paraId="78B4B026" w14:textId="77777777" w:rsidR="00091BA7" w:rsidRPr="00866785" w:rsidRDefault="00091BA7" w:rsidP="00947BF3">
            <w:pPr>
              <w:spacing w:after="120"/>
              <w:rPr>
                <w:rFonts w:ascii="Arial Narrow" w:hAnsi="Arial Narrow" w:cs="Arial"/>
                <w:b/>
                <w:color w:val="2C9ADC"/>
                <w:sz w:val="20"/>
                <w:szCs w:val="18"/>
              </w:rPr>
            </w:pPr>
            <w:r w:rsidRPr="00866785">
              <w:rPr>
                <w:rFonts w:ascii="Arial Narrow" w:hAnsi="Arial Narrow" w:cs="Arial"/>
                <w:b/>
                <w:color w:val="2C9ADC"/>
                <w:sz w:val="20"/>
                <w:szCs w:val="18"/>
              </w:rPr>
              <w:t>Kurča, cena komodity (v €/100 kg)</w:t>
            </w:r>
          </w:p>
        </w:tc>
      </w:tr>
      <w:tr w:rsidR="00091BA7" w:rsidRPr="00866785" w14:paraId="224E64B0" w14:textId="77777777" w:rsidTr="7D6FFD56">
        <w:trPr>
          <w:trHeight w:val="820"/>
        </w:trPr>
        <w:tc>
          <w:tcPr>
            <w:tcW w:w="2391" w:type="pct"/>
            <w:tcBorders>
              <w:top w:val="single" w:sz="4" w:space="0" w:color="auto"/>
              <w:left w:val="nil"/>
              <w:bottom w:val="single" w:sz="4" w:space="0" w:color="auto"/>
              <w:right w:val="nil"/>
            </w:tcBorders>
            <w:vAlign w:val="center"/>
          </w:tcPr>
          <w:p w14:paraId="340C0D4C" w14:textId="6A16BFFA" w:rsidR="00091BA7" w:rsidRPr="00866785" w:rsidRDefault="00C15ECF" w:rsidP="00947BF3">
            <w:pPr>
              <w:spacing w:before="120" w:after="120"/>
              <w:jc w:val="center"/>
              <w:rPr>
                <w:rFonts w:ascii="Arial Narrow" w:hAnsi="Arial Narrow" w:cs="Arial"/>
                <w:b/>
                <w:bCs/>
                <w:sz w:val="20"/>
                <w:szCs w:val="20"/>
              </w:rPr>
            </w:pPr>
            <w:r>
              <w:rPr>
                <w:noProof/>
              </w:rPr>
              <w:drawing>
                <wp:inline distT="0" distB="0" distL="0" distR="0" wp14:anchorId="05CFC07A" wp14:editId="0870AB70">
                  <wp:extent cx="2610485" cy="2324855"/>
                  <wp:effectExtent l="0" t="0" r="0" b="0"/>
                  <wp:docPr id="41755840" name="Graf 1">
                    <a:extLst xmlns:a="http://schemas.openxmlformats.org/drawingml/2006/main">
                      <a:ext uri="{FF2B5EF4-FFF2-40B4-BE49-F238E27FC236}">
                        <a16:creationId xmlns:a16="http://schemas.microsoft.com/office/drawing/2014/main" id="{00000000-0008-0000-05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tc>
        <w:tc>
          <w:tcPr>
            <w:tcW w:w="94" w:type="pct"/>
            <w:tcBorders>
              <w:top w:val="nil"/>
              <w:left w:val="nil"/>
              <w:bottom w:val="nil"/>
              <w:right w:val="nil"/>
            </w:tcBorders>
            <w:vAlign w:val="center"/>
          </w:tcPr>
          <w:p w14:paraId="4D66F6AC" w14:textId="77777777" w:rsidR="00091BA7" w:rsidRPr="00866785" w:rsidRDefault="00091BA7" w:rsidP="00947BF3">
            <w:pPr>
              <w:spacing w:after="120"/>
              <w:jc w:val="center"/>
              <w:rPr>
                <w:rFonts w:ascii="Arial Narrow" w:hAnsi="Arial Narrow" w:cs="Arial"/>
                <w:b/>
                <w:sz w:val="20"/>
                <w:szCs w:val="20"/>
              </w:rPr>
            </w:pPr>
          </w:p>
          <w:p w14:paraId="02120B11" w14:textId="77777777" w:rsidR="00091BA7" w:rsidRPr="00866785" w:rsidRDefault="00091BA7" w:rsidP="00947BF3">
            <w:pPr>
              <w:spacing w:after="120"/>
              <w:jc w:val="center"/>
              <w:rPr>
                <w:rFonts w:ascii="Arial Narrow" w:hAnsi="Arial Narrow" w:cs="Arial"/>
                <w:b/>
                <w:sz w:val="20"/>
                <w:szCs w:val="20"/>
              </w:rPr>
            </w:pPr>
          </w:p>
          <w:p w14:paraId="093F31D8" w14:textId="77777777" w:rsidR="00091BA7" w:rsidRPr="00866785" w:rsidRDefault="00091BA7" w:rsidP="00947BF3">
            <w:pPr>
              <w:spacing w:after="120"/>
              <w:jc w:val="center"/>
              <w:rPr>
                <w:rFonts w:ascii="Arial Narrow" w:hAnsi="Arial Narrow" w:cs="Arial"/>
                <w:b/>
                <w:sz w:val="20"/>
                <w:szCs w:val="20"/>
              </w:rPr>
            </w:pPr>
          </w:p>
        </w:tc>
        <w:tc>
          <w:tcPr>
            <w:tcW w:w="2515" w:type="pct"/>
            <w:tcBorders>
              <w:top w:val="single" w:sz="4" w:space="0" w:color="auto"/>
              <w:left w:val="nil"/>
              <w:bottom w:val="single" w:sz="4" w:space="0" w:color="auto"/>
              <w:right w:val="nil"/>
            </w:tcBorders>
            <w:vAlign w:val="center"/>
          </w:tcPr>
          <w:p w14:paraId="5867D475" w14:textId="09424219" w:rsidR="00091BA7" w:rsidRPr="00866785" w:rsidRDefault="00C15ECF" w:rsidP="00947BF3">
            <w:pPr>
              <w:spacing w:after="120"/>
              <w:jc w:val="center"/>
              <w:rPr>
                <w:rFonts w:ascii="Arial Narrow" w:hAnsi="Arial Narrow" w:cs="Arial"/>
                <w:b/>
                <w:bCs/>
                <w:sz w:val="16"/>
                <w:szCs w:val="16"/>
              </w:rPr>
            </w:pPr>
            <w:r>
              <w:rPr>
                <w:noProof/>
              </w:rPr>
              <w:drawing>
                <wp:inline distT="0" distB="0" distL="0" distR="0" wp14:anchorId="4DEE7D1E" wp14:editId="426873D5">
                  <wp:extent cx="2750185" cy="2212975"/>
                  <wp:effectExtent l="0" t="0" r="0" b="0"/>
                  <wp:docPr id="752484290" name="Graf 1">
                    <a:extLst xmlns:a="http://schemas.openxmlformats.org/drawingml/2006/main">
                      <a:ext uri="{FF2B5EF4-FFF2-40B4-BE49-F238E27FC236}">
                        <a16:creationId xmlns:a16="http://schemas.microsoft.com/office/drawing/2014/main" id="{00000000-0008-0000-05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tc>
      </w:tr>
      <w:tr w:rsidR="00091BA7" w:rsidRPr="00866785" w14:paraId="00A0096E" w14:textId="77777777" w:rsidTr="00C15ECF">
        <w:trPr>
          <w:trHeight w:val="104"/>
        </w:trPr>
        <w:tc>
          <w:tcPr>
            <w:tcW w:w="2391" w:type="pct"/>
            <w:tcBorders>
              <w:top w:val="single" w:sz="4" w:space="0" w:color="auto"/>
              <w:left w:val="nil"/>
              <w:bottom w:val="nil"/>
              <w:right w:val="nil"/>
            </w:tcBorders>
            <w:vAlign w:val="center"/>
          </w:tcPr>
          <w:p w14:paraId="3479767A" w14:textId="5E7797E6" w:rsidR="00091BA7" w:rsidRPr="00866785" w:rsidRDefault="00091BA7" w:rsidP="00947BF3">
            <w:pPr>
              <w:spacing w:after="120"/>
              <w:jc w:val="right"/>
              <w:rPr>
                <w:rFonts w:ascii="Arial Narrow" w:hAnsi="Arial Narrow" w:cs="Arial"/>
                <w:i/>
                <w:sz w:val="16"/>
                <w:szCs w:val="16"/>
              </w:rPr>
            </w:pPr>
            <w:r w:rsidRPr="00866785">
              <w:rPr>
                <w:rFonts w:ascii="Arial Narrow" w:hAnsi="Arial Narrow" w:cs="Arial"/>
                <w:i/>
                <w:sz w:val="16"/>
                <w:szCs w:val="16"/>
              </w:rPr>
              <w:t>Zdroj: ŠÚ SR,  KSH</w:t>
            </w:r>
            <w:r w:rsidR="00EC759C">
              <w:rPr>
                <w:rFonts w:ascii="Arial Narrow" w:hAnsi="Arial Narrow" w:cs="Arial"/>
                <w:i/>
                <w:sz w:val="16"/>
                <w:szCs w:val="16"/>
              </w:rPr>
              <w:t>, GUS</w:t>
            </w:r>
            <w:r w:rsidRPr="00866785">
              <w:rPr>
                <w:rFonts w:ascii="Arial Narrow" w:hAnsi="Arial Narrow" w:cs="Arial"/>
                <w:i/>
                <w:sz w:val="16"/>
                <w:szCs w:val="16"/>
              </w:rPr>
              <w:t xml:space="preserve"> </w:t>
            </w:r>
          </w:p>
        </w:tc>
        <w:tc>
          <w:tcPr>
            <w:tcW w:w="94" w:type="pct"/>
            <w:tcBorders>
              <w:top w:val="nil"/>
              <w:left w:val="nil"/>
              <w:bottom w:val="nil"/>
              <w:right w:val="nil"/>
            </w:tcBorders>
            <w:vAlign w:val="center"/>
          </w:tcPr>
          <w:p w14:paraId="32C2E530" w14:textId="77777777" w:rsidR="00091BA7" w:rsidRPr="00866785" w:rsidRDefault="00091BA7" w:rsidP="00947BF3">
            <w:pPr>
              <w:spacing w:after="120"/>
              <w:jc w:val="center"/>
              <w:rPr>
                <w:rFonts w:ascii="Arial Narrow" w:hAnsi="Arial Narrow" w:cs="Arial"/>
                <w:i/>
                <w:sz w:val="16"/>
                <w:szCs w:val="16"/>
              </w:rPr>
            </w:pPr>
          </w:p>
        </w:tc>
        <w:tc>
          <w:tcPr>
            <w:tcW w:w="2515" w:type="pct"/>
            <w:tcBorders>
              <w:top w:val="single" w:sz="4" w:space="0" w:color="auto"/>
              <w:left w:val="nil"/>
              <w:bottom w:val="nil"/>
              <w:right w:val="nil"/>
            </w:tcBorders>
            <w:vAlign w:val="center"/>
          </w:tcPr>
          <w:p w14:paraId="79DF251F" w14:textId="77777777" w:rsidR="00091BA7" w:rsidRPr="00866785" w:rsidRDefault="00091BA7" w:rsidP="00947BF3">
            <w:pPr>
              <w:spacing w:after="120"/>
              <w:jc w:val="right"/>
              <w:rPr>
                <w:rFonts w:ascii="Arial Narrow" w:hAnsi="Arial Narrow" w:cs="Arial"/>
                <w:i/>
                <w:sz w:val="16"/>
                <w:szCs w:val="16"/>
              </w:rPr>
            </w:pPr>
            <w:r w:rsidRPr="00866785">
              <w:rPr>
                <w:rFonts w:ascii="Arial Narrow" w:hAnsi="Arial Narrow" w:cs="Arial"/>
                <w:i/>
                <w:sz w:val="16"/>
                <w:szCs w:val="16"/>
              </w:rPr>
              <w:t>Zdroj: EK</w:t>
            </w:r>
          </w:p>
        </w:tc>
      </w:tr>
      <w:tr w:rsidR="00C15ECF" w:rsidRPr="00866785" w14:paraId="12569392" w14:textId="77777777" w:rsidTr="00C15ECF">
        <w:trPr>
          <w:trHeight w:val="104"/>
        </w:trPr>
        <w:tc>
          <w:tcPr>
            <w:tcW w:w="2391" w:type="pct"/>
            <w:tcBorders>
              <w:top w:val="nil"/>
              <w:left w:val="nil"/>
              <w:bottom w:val="nil"/>
              <w:right w:val="nil"/>
            </w:tcBorders>
            <w:vAlign w:val="center"/>
          </w:tcPr>
          <w:p w14:paraId="0DC11074" w14:textId="77777777" w:rsidR="00C15ECF" w:rsidRDefault="00C15ECF" w:rsidP="00947BF3">
            <w:pPr>
              <w:spacing w:after="120"/>
              <w:jc w:val="right"/>
              <w:rPr>
                <w:rFonts w:ascii="Arial Narrow" w:hAnsi="Arial Narrow" w:cs="Arial"/>
                <w:i/>
                <w:sz w:val="16"/>
                <w:szCs w:val="16"/>
              </w:rPr>
            </w:pPr>
          </w:p>
          <w:p w14:paraId="2F9EA6B4" w14:textId="77777777" w:rsidR="00C15ECF" w:rsidRDefault="00C15ECF" w:rsidP="00947BF3">
            <w:pPr>
              <w:spacing w:after="120"/>
              <w:jc w:val="right"/>
              <w:rPr>
                <w:rFonts w:ascii="Arial Narrow" w:hAnsi="Arial Narrow" w:cs="Arial"/>
                <w:i/>
                <w:sz w:val="16"/>
                <w:szCs w:val="16"/>
              </w:rPr>
            </w:pPr>
          </w:p>
          <w:p w14:paraId="3EC45434" w14:textId="77777777" w:rsidR="00C15ECF" w:rsidRDefault="00C15ECF" w:rsidP="00947BF3">
            <w:pPr>
              <w:spacing w:after="120"/>
              <w:jc w:val="right"/>
              <w:rPr>
                <w:rFonts w:ascii="Arial Narrow" w:hAnsi="Arial Narrow" w:cs="Arial"/>
                <w:i/>
                <w:sz w:val="16"/>
                <w:szCs w:val="16"/>
              </w:rPr>
            </w:pPr>
          </w:p>
          <w:p w14:paraId="666FB385" w14:textId="77777777" w:rsidR="00C15ECF" w:rsidRDefault="00C15ECF" w:rsidP="00947BF3">
            <w:pPr>
              <w:spacing w:after="120"/>
              <w:jc w:val="right"/>
              <w:rPr>
                <w:rFonts w:ascii="Arial Narrow" w:hAnsi="Arial Narrow" w:cs="Arial"/>
                <w:i/>
                <w:sz w:val="16"/>
                <w:szCs w:val="16"/>
              </w:rPr>
            </w:pPr>
          </w:p>
          <w:p w14:paraId="4893E007" w14:textId="77777777" w:rsidR="00C15ECF" w:rsidRDefault="00C15ECF" w:rsidP="00947BF3">
            <w:pPr>
              <w:spacing w:after="120"/>
              <w:jc w:val="right"/>
              <w:rPr>
                <w:rFonts w:ascii="Arial Narrow" w:hAnsi="Arial Narrow" w:cs="Arial"/>
                <w:i/>
                <w:sz w:val="16"/>
                <w:szCs w:val="16"/>
              </w:rPr>
            </w:pPr>
          </w:p>
          <w:p w14:paraId="4673BE89" w14:textId="77777777" w:rsidR="00C15ECF" w:rsidRDefault="00C15ECF" w:rsidP="00947BF3">
            <w:pPr>
              <w:spacing w:after="120"/>
              <w:jc w:val="right"/>
              <w:rPr>
                <w:rFonts w:ascii="Arial Narrow" w:hAnsi="Arial Narrow" w:cs="Arial"/>
                <w:i/>
                <w:sz w:val="16"/>
                <w:szCs w:val="16"/>
              </w:rPr>
            </w:pPr>
          </w:p>
          <w:p w14:paraId="6EE23396" w14:textId="77777777" w:rsidR="00C15ECF" w:rsidRDefault="00C15ECF" w:rsidP="00947BF3">
            <w:pPr>
              <w:spacing w:after="120"/>
              <w:jc w:val="right"/>
              <w:rPr>
                <w:rFonts w:ascii="Arial Narrow" w:hAnsi="Arial Narrow" w:cs="Arial"/>
                <w:i/>
                <w:sz w:val="16"/>
                <w:szCs w:val="16"/>
              </w:rPr>
            </w:pPr>
          </w:p>
          <w:p w14:paraId="49AB9727" w14:textId="77777777" w:rsidR="00C15ECF" w:rsidRPr="00866785" w:rsidRDefault="00C15ECF" w:rsidP="00947BF3">
            <w:pPr>
              <w:spacing w:after="120"/>
              <w:jc w:val="right"/>
              <w:rPr>
                <w:rFonts w:ascii="Arial Narrow" w:hAnsi="Arial Narrow" w:cs="Arial"/>
                <w:i/>
                <w:sz w:val="16"/>
                <w:szCs w:val="16"/>
              </w:rPr>
            </w:pPr>
          </w:p>
        </w:tc>
        <w:tc>
          <w:tcPr>
            <w:tcW w:w="94" w:type="pct"/>
            <w:tcBorders>
              <w:top w:val="nil"/>
              <w:left w:val="nil"/>
              <w:bottom w:val="nil"/>
              <w:right w:val="nil"/>
            </w:tcBorders>
            <w:vAlign w:val="center"/>
          </w:tcPr>
          <w:p w14:paraId="56D288CF" w14:textId="77777777" w:rsidR="00C15ECF" w:rsidRPr="00866785" w:rsidRDefault="00C15ECF" w:rsidP="00947BF3">
            <w:pPr>
              <w:spacing w:after="120"/>
              <w:jc w:val="center"/>
              <w:rPr>
                <w:rFonts w:ascii="Arial Narrow" w:hAnsi="Arial Narrow" w:cs="Arial"/>
                <w:i/>
                <w:sz w:val="16"/>
                <w:szCs w:val="16"/>
              </w:rPr>
            </w:pPr>
          </w:p>
        </w:tc>
        <w:tc>
          <w:tcPr>
            <w:tcW w:w="2515" w:type="pct"/>
            <w:tcBorders>
              <w:top w:val="nil"/>
              <w:left w:val="nil"/>
              <w:bottom w:val="nil"/>
              <w:right w:val="nil"/>
            </w:tcBorders>
            <w:vAlign w:val="center"/>
          </w:tcPr>
          <w:p w14:paraId="65D75EA3" w14:textId="77777777" w:rsidR="00C15ECF" w:rsidRPr="00866785" w:rsidRDefault="00C15ECF" w:rsidP="00947BF3">
            <w:pPr>
              <w:spacing w:after="120"/>
              <w:jc w:val="right"/>
              <w:rPr>
                <w:rFonts w:ascii="Arial Narrow" w:hAnsi="Arial Narrow" w:cs="Arial"/>
                <w:i/>
                <w:sz w:val="16"/>
                <w:szCs w:val="16"/>
              </w:rPr>
            </w:pPr>
          </w:p>
        </w:tc>
      </w:tr>
      <w:tr w:rsidR="00091BA7" w:rsidRPr="00866785" w14:paraId="086088C8" w14:textId="77777777" w:rsidTr="7D6FFD56">
        <w:trPr>
          <w:trHeight w:val="321"/>
        </w:trPr>
        <w:tc>
          <w:tcPr>
            <w:tcW w:w="2391" w:type="pct"/>
            <w:tcBorders>
              <w:top w:val="nil"/>
              <w:left w:val="nil"/>
              <w:bottom w:val="single" w:sz="4" w:space="0" w:color="auto"/>
              <w:right w:val="nil"/>
            </w:tcBorders>
            <w:shd w:val="clear" w:color="auto" w:fill="auto"/>
            <w:vAlign w:val="center"/>
          </w:tcPr>
          <w:p w14:paraId="33579609" w14:textId="76E1ED29" w:rsidR="00091BA7" w:rsidRPr="00866785" w:rsidRDefault="00091BA7" w:rsidP="00947BF3">
            <w:pPr>
              <w:spacing w:after="120"/>
              <w:rPr>
                <w:rFonts w:ascii="Arial Narrow" w:hAnsi="Arial Narrow" w:cs="Arial"/>
                <w:b/>
                <w:color w:val="2C9ADC"/>
                <w:sz w:val="20"/>
                <w:szCs w:val="18"/>
              </w:rPr>
            </w:pPr>
            <w:r>
              <w:br w:type="page"/>
            </w:r>
            <w:r w:rsidRPr="00866785">
              <w:rPr>
                <w:rFonts w:ascii="Arial Narrow" w:hAnsi="Arial Narrow" w:cs="Arial"/>
                <w:b/>
                <w:color w:val="2C9ADC"/>
                <w:sz w:val="20"/>
                <w:szCs w:val="18"/>
              </w:rPr>
              <w:t>Mlieko polotučné, maloobchodná cena (v €/l, bez DPH)</w:t>
            </w:r>
          </w:p>
        </w:tc>
        <w:tc>
          <w:tcPr>
            <w:tcW w:w="94" w:type="pct"/>
            <w:tcBorders>
              <w:top w:val="nil"/>
              <w:left w:val="nil"/>
              <w:bottom w:val="nil"/>
              <w:right w:val="nil"/>
            </w:tcBorders>
            <w:shd w:val="clear" w:color="auto" w:fill="auto"/>
            <w:vAlign w:val="center"/>
          </w:tcPr>
          <w:p w14:paraId="4223B0FF" w14:textId="77777777" w:rsidR="00091BA7" w:rsidRPr="00866785" w:rsidRDefault="00091BA7" w:rsidP="00947BF3">
            <w:pPr>
              <w:spacing w:after="120"/>
              <w:rPr>
                <w:rFonts w:ascii="Arial Narrow" w:hAnsi="Arial Narrow" w:cs="Arial"/>
                <w:b/>
                <w:color w:val="2C9ADC"/>
                <w:sz w:val="20"/>
                <w:szCs w:val="18"/>
              </w:rPr>
            </w:pPr>
          </w:p>
        </w:tc>
        <w:tc>
          <w:tcPr>
            <w:tcW w:w="2515" w:type="pct"/>
            <w:tcBorders>
              <w:top w:val="nil"/>
              <w:left w:val="nil"/>
              <w:bottom w:val="single" w:sz="4" w:space="0" w:color="auto"/>
              <w:right w:val="nil"/>
            </w:tcBorders>
            <w:shd w:val="clear" w:color="auto" w:fill="auto"/>
          </w:tcPr>
          <w:p w14:paraId="2816A910" w14:textId="77777777" w:rsidR="00091BA7" w:rsidRPr="00866785" w:rsidRDefault="00091BA7" w:rsidP="00947BF3">
            <w:pPr>
              <w:spacing w:after="120"/>
              <w:rPr>
                <w:rFonts w:ascii="Arial Narrow" w:hAnsi="Arial Narrow" w:cs="Arial"/>
                <w:b/>
                <w:color w:val="2C9ADC"/>
                <w:sz w:val="20"/>
                <w:szCs w:val="18"/>
              </w:rPr>
            </w:pPr>
            <w:r w:rsidRPr="00866785">
              <w:rPr>
                <w:rFonts w:ascii="Arial Narrow" w:hAnsi="Arial Narrow" w:cs="Arial"/>
                <w:b/>
                <w:color w:val="2C9ADC"/>
                <w:sz w:val="20"/>
                <w:szCs w:val="18"/>
              </w:rPr>
              <w:t>Mlieko, cena komodity (v €/100 kg)</w:t>
            </w:r>
          </w:p>
        </w:tc>
      </w:tr>
      <w:tr w:rsidR="00091BA7" w:rsidRPr="00866785" w14:paraId="4AF2E34C" w14:textId="77777777" w:rsidTr="7D6FFD56">
        <w:trPr>
          <w:trHeight w:val="820"/>
        </w:trPr>
        <w:tc>
          <w:tcPr>
            <w:tcW w:w="2391" w:type="pct"/>
            <w:tcBorders>
              <w:top w:val="single" w:sz="4" w:space="0" w:color="auto"/>
              <w:left w:val="nil"/>
              <w:bottom w:val="single" w:sz="4" w:space="0" w:color="auto"/>
              <w:right w:val="nil"/>
            </w:tcBorders>
            <w:vAlign w:val="center"/>
          </w:tcPr>
          <w:p w14:paraId="7A6C1C72" w14:textId="4540CDE8" w:rsidR="00091BA7" w:rsidRPr="00866785" w:rsidRDefault="00C15ECF" w:rsidP="00947BF3">
            <w:pPr>
              <w:spacing w:before="120" w:after="120"/>
              <w:jc w:val="center"/>
              <w:rPr>
                <w:rFonts w:ascii="Arial Narrow" w:hAnsi="Arial Narrow" w:cs="Arial"/>
                <w:b/>
                <w:bCs/>
                <w:sz w:val="20"/>
                <w:szCs w:val="20"/>
              </w:rPr>
            </w:pPr>
            <w:r>
              <w:rPr>
                <w:noProof/>
              </w:rPr>
              <w:drawing>
                <wp:inline distT="0" distB="0" distL="0" distR="0" wp14:anchorId="62280CB4" wp14:editId="03720588">
                  <wp:extent cx="2610485" cy="2083435"/>
                  <wp:effectExtent l="0" t="0" r="0" b="0"/>
                  <wp:docPr id="1868229854" name="Graf 1">
                    <a:extLst xmlns:a="http://schemas.openxmlformats.org/drawingml/2006/main">
                      <a:ext uri="{FF2B5EF4-FFF2-40B4-BE49-F238E27FC236}">
                        <a16:creationId xmlns:a16="http://schemas.microsoft.com/office/drawing/2014/main" id="{00000000-0008-0000-06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tc>
        <w:tc>
          <w:tcPr>
            <w:tcW w:w="94" w:type="pct"/>
            <w:tcBorders>
              <w:top w:val="nil"/>
              <w:left w:val="nil"/>
              <w:bottom w:val="nil"/>
              <w:right w:val="nil"/>
            </w:tcBorders>
            <w:vAlign w:val="center"/>
          </w:tcPr>
          <w:p w14:paraId="208C3FAC" w14:textId="77777777" w:rsidR="00091BA7" w:rsidRPr="00866785" w:rsidRDefault="00091BA7" w:rsidP="00947BF3">
            <w:pPr>
              <w:spacing w:after="120"/>
              <w:jc w:val="center"/>
              <w:rPr>
                <w:rFonts w:ascii="Arial Narrow" w:hAnsi="Arial Narrow" w:cs="Arial"/>
                <w:b/>
                <w:sz w:val="20"/>
                <w:szCs w:val="20"/>
              </w:rPr>
            </w:pPr>
          </w:p>
          <w:p w14:paraId="3F735F82" w14:textId="77777777" w:rsidR="00091BA7" w:rsidRPr="00866785" w:rsidRDefault="00091BA7" w:rsidP="00947BF3">
            <w:pPr>
              <w:spacing w:after="120"/>
              <w:jc w:val="center"/>
              <w:rPr>
                <w:rFonts w:ascii="Arial Narrow" w:hAnsi="Arial Narrow" w:cs="Arial"/>
                <w:b/>
                <w:sz w:val="20"/>
                <w:szCs w:val="20"/>
              </w:rPr>
            </w:pPr>
          </w:p>
          <w:p w14:paraId="4823D6A4" w14:textId="77777777" w:rsidR="00091BA7" w:rsidRPr="00866785" w:rsidRDefault="00091BA7" w:rsidP="00947BF3">
            <w:pPr>
              <w:spacing w:after="120"/>
              <w:jc w:val="center"/>
              <w:rPr>
                <w:rFonts w:ascii="Arial Narrow" w:hAnsi="Arial Narrow" w:cs="Arial"/>
                <w:b/>
                <w:sz w:val="20"/>
                <w:szCs w:val="20"/>
              </w:rPr>
            </w:pPr>
          </w:p>
        </w:tc>
        <w:tc>
          <w:tcPr>
            <w:tcW w:w="2515" w:type="pct"/>
            <w:tcBorders>
              <w:top w:val="single" w:sz="4" w:space="0" w:color="auto"/>
              <w:left w:val="nil"/>
              <w:bottom w:val="single" w:sz="4" w:space="0" w:color="auto"/>
              <w:right w:val="nil"/>
            </w:tcBorders>
            <w:vAlign w:val="center"/>
          </w:tcPr>
          <w:p w14:paraId="21EE384F" w14:textId="7348BD67" w:rsidR="00091BA7" w:rsidRPr="00866785" w:rsidRDefault="00C15ECF" w:rsidP="00947BF3">
            <w:pPr>
              <w:spacing w:after="120"/>
              <w:jc w:val="center"/>
              <w:rPr>
                <w:rFonts w:ascii="Arial Narrow" w:hAnsi="Arial Narrow" w:cs="Arial"/>
                <w:b/>
                <w:bCs/>
                <w:sz w:val="16"/>
                <w:szCs w:val="16"/>
              </w:rPr>
            </w:pPr>
            <w:r>
              <w:rPr>
                <w:noProof/>
              </w:rPr>
              <w:drawing>
                <wp:inline distT="0" distB="0" distL="0" distR="0" wp14:anchorId="48970C8E" wp14:editId="130B6535">
                  <wp:extent cx="2750185" cy="2084247"/>
                  <wp:effectExtent l="0" t="0" r="0" b="0"/>
                  <wp:docPr id="1321993459" name="Graf 1">
                    <a:extLst xmlns:a="http://schemas.openxmlformats.org/drawingml/2006/main">
                      <a:ext uri="{FF2B5EF4-FFF2-40B4-BE49-F238E27FC236}">
                        <a16:creationId xmlns:a16="http://schemas.microsoft.com/office/drawing/2014/main" id="{00000000-0008-0000-06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tc>
      </w:tr>
      <w:tr w:rsidR="00091BA7" w:rsidRPr="00866785" w14:paraId="012BAEFA" w14:textId="77777777" w:rsidTr="7D6FFD56">
        <w:trPr>
          <w:trHeight w:val="104"/>
        </w:trPr>
        <w:tc>
          <w:tcPr>
            <w:tcW w:w="2391" w:type="pct"/>
            <w:tcBorders>
              <w:top w:val="single" w:sz="4" w:space="0" w:color="auto"/>
              <w:left w:val="nil"/>
              <w:bottom w:val="nil"/>
              <w:right w:val="nil"/>
            </w:tcBorders>
            <w:vAlign w:val="center"/>
          </w:tcPr>
          <w:p w14:paraId="6306C814" w14:textId="2D062904" w:rsidR="00091BA7" w:rsidRPr="00866785" w:rsidRDefault="00091BA7" w:rsidP="00947BF3">
            <w:pPr>
              <w:spacing w:after="120"/>
              <w:jc w:val="right"/>
              <w:rPr>
                <w:rFonts w:ascii="Arial Narrow" w:hAnsi="Arial Narrow" w:cs="Arial"/>
                <w:i/>
                <w:sz w:val="16"/>
                <w:szCs w:val="16"/>
              </w:rPr>
            </w:pPr>
            <w:r w:rsidRPr="00866785">
              <w:rPr>
                <w:rFonts w:ascii="Arial Narrow" w:hAnsi="Arial Narrow" w:cs="Arial"/>
                <w:i/>
                <w:sz w:val="16"/>
                <w:szCs w:val="16"/>
              </w:rPr>
              <w:t>Zdroj: ŠÚ SR, ČSÚ, KSH</w:t>
            </w:r>
            <w:r w:rsidR="00EC759C">
              <w:rPr>
                <w:rFonts w:ascii="Arial Narrow" w:hAnsi="Arial Narrow" w:cs="Arial"/>
                <w:i/>
                <w:sz w:val="16"/>
                <w:szCs w:val="16"/>
              </w:rPr>
              <w:t>, GUS</w:t>
            </w:r>
            <w:r w:rsidRPr="00866785">
              <w:rPr>
                <w:rFonts w:ascii="Arial Narrow" w:hAnsi="Arial Narrow" w:cs="Arial"/>
                <w:i/>
                <w:sz w:val="16"/>
                <w:szCs w:val="16"/>
              </w:rPr>
              <w:t xml:space="preserve"> </w:t>
            </w:r>
          </w:p>
        </w:tc>
        <w:tc>
          <w:tcPr>
            <w:tcW w:w="94" w:type="pct"/>
            <w:tcBorders>
              <w:top w:val="nil"/>
              <w:left w:val="nil"/>
              <w:bottom w:val="nil"/>
              <w:right w:val="nil"/>
            </w:tcBorders>
            <w:vAlign w:val="center"/>
          </w:tcPr>
          <w:p w14:paraId="16368F92" w14:textId="77777777" w:rsidR="00091BA7" w:rsidRPr="00866785" w:rsidRDefault="00091BA7" w:rsidP="00947BF3">
            <w:pPr>
              <w:spacing w:after="120"/>
              <w:jc w:val="center"/>
              <w:rPr>
                <w:rFonts w:ascii="Arial Narrow" w:hAnsi="Arial Narrow" w:cs="Arial"/>
                <w:i/>
                <w:sz w:val="16"/>
                <w:szCs w:val="16"/>
              </w:rPr>
            </w:pPr>
          </w:p>
        </w:tc>
        <w:tc>
          <w:tcPr>
            <w:tcW w:w="2515" w:type="pct"/>
            <w:tcBorders>
              <w:top w:val="single" w:sz="4" w:space="0" w:color="auto"/>
              <w:left w:val="nil"/>
              <w:bottom w:val="nil"/>
              <w:right w:val="nil"/>
            </w:tcBorders>
            <w:vAlign w:val="center"/>
          </w:tcPr>
          <w:p w14:paraId="462E8185" w14:textId="77777777" w:rsidR="00091BA7" w:rsidRPr="00866785" w:rsidRDefault="00091BA7" w:rsidP="00947BF3">
            <w:pPr>
              <w:spacing w:after="120"/>
              <w:jc w:val="right"/>
              <w:rPr>
                <w:rFonts w:ascii="Arial Narrow" w:hAnsi="Arial Narrow" w:cs="Arial"/>
                <w:i/>
                <w:sz w:val="16"/>
                <w:szCs w:val="16"/>
              </w:rPr>
            </w:pPr>
            <w:r w:rsidRPr="00866785">
              <w:rPr>
                <w:rFonts w:ascii="Arial Narrow" w:hAnsi="Arial Narrow" w:cs="Arial"/>
                <w:i/>
                <w:sz w:val="16"/>
                <w:szCs w:val="16"/>
              </w:rPr>
              <w:t>Zdroj: EK</w:t>
            </w:r>
          </w:p>
        </w:tc>
      </w:tr>
    </w:tbl>
    <w:p w14:paraId="03E45044" w14:textId="77777777" w:rsidR="00091BA7" w:rsidRDefault="00091BA7" w:rsidP="00947BF3">
      <w:pPr>
        <w:rPr>
          <w:rFonts w:ascii="Arial Narrow" w:hAnsi="Arial Narrow"/>
        </w:rPr>
      </w:pPr>
    </w:p>
    <w:p w14:paraId="4F434CD0" w14:textId="77777777" w:rsidR="00CE270F" w:rsidRDefault="00CE270F" w:rsidP="00947BF3">
      <w:pPr>
        <w:rPr>
          <w:rFonts w:ascii="Arial Narrow" w:hAnsi="Arial Narrow"/>
        </w:rPr>
      </w:pPr>
    </w:p>
    <w:p w14:paraId="1A842F30" w14:textId="77777777" w:rsidR="00CE270F" w:rsidRDefault="00CE270F" w:rsidP="00947BF3">
      <w:pPr>
        <w:rPr>
          <w:rFonts w:ascii="Arial Narrow" w:hAnsi="Arial Narrow"/>
        </w:rPr>
      </w:pPr>
    </w:p>
    <w:p w14:paraId="6163FF28" w14:textId="77777777" w:rsidR="00CE270F" w:rsidRDefault="00CE270F" w:rsidP="00947BF3">
      <w:pPr>
        <w:rPr>
          <w:rFonts w:ascii="Arial Narrow" w:hAnsi="Arial Narrow"/>
        </w:rPr>
      </w:pPr>
    </w:p>
    <w:tbl>
      <w:tblPr>
        <w:tblW w:w="4899"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1E0" w:firstRow="1" w:lastRow="1" w:firstColumn="1" w:lastColumn="1" w:noHBand="0" w:noVBand="0"/>
      </w:tblPr>
      <w:tblGrid>
        <w:gridCol w:w="4250"/>
        <w:gridCol w:w="167"/>
        <w:gridCol w:w="4470"/>
      </w:tblGrid>
      <w:tr w:rsidR="00091BA7" w:rsidRPr="00E37CB4" w14:paraId="0DE67557" w14:textId="77777777" w:rsidTr="7D6FFD56">
        <w:trPr>
          <w:trHeight w:val="321"/>
        </w:trPr>
        <w:tc>
          <w:tcPr>
            <w:tcW w:w="2391" w:type="pct"/>
            <w:tcBorders>
              <w:top w:val="nil"/>
              <w:left w:val="nil"/>
              <w:bottom w:val="single" w:sz="4" w:space="0" w:color="auto"/>
              <w:right w:val="nil"/>
            </w:tcBorders>
            <w:shd w:val="clear" w:color="auto" w:fill="auto"/>
            <w:vAlign w:val="center"/>
          </w:tcPr>
          <w:p w14:paraId="68E7F0F5" w14:textId="77777777" w:rsidR="00091BA7" w:rsidRPr="00E37CB4" w:rsidRDefault="00091BA7" w:rsidP="00947BF3">
            <w:pPr>
              <w:spacing w:after="120"/>
              <w:rPr>
                <w:rFonts w:ascii="Arial Narrow" w:hAnsi="Arial Narrow" w:cs="Arial"/>
                <w:b/>
                <w:color w:val="2C9ADC"/>
                <w:sz w:val="20"/>
                <w:szCs w:val="18"/>
              </w:rPr>
            </w:pPr>
            <w:r>
              <w:rPr>
                <w:rFonts w:ascii="Arial Narrow" w:hAnsi="Arial Narrow" w:cs="Arial"/>
                <w:b/>
                <w:color w:val="2C9ADC"/>
                <w:sz w:val="20"/>
                <w:szCs w:val="18"/>
              </w:rPr>
              <w:t>Vajcia, maloobchodná cena (v €/10 ks, bez DPH)</w:t>
            </w:r>
          </w:p>
        </w:tc>
        <w:tc>
          <w:tcPr>
            <w:tcW w:w="94" w:type="pct"/>
            <w:tcBorders>
              <w:top w:val="nil"/>
              <w:left w:val="nil"/>
              <w:bottom w:val="nil"/>
              <w:right w:val="nil"/>
            </w:tcBorders>
            <w:shd w:val="clear" w:color="auto" w:fill="auto"/>
            <w:vAlign w:val="center"/>
          </w:tcPr>
          <w:p w14:paraId="2513CB71" w14:textId="77777777" w:rsidR="00091BA7" w:rsidRPr="00E37CB4" w:rsidRDefault="00091BA7" w:rsidP="00947BF3">
            <w:pPr>
              <w:spacing w:after="120"/>
              <w:rPr>
                <w:rFonts w:ascii="Arial Narrow" w:hAnsi="Arial Narrow" w:cs="Arial"/>
                <w:b/>
                <w:color w:val="2C9ADC"/>
                <w:sz w:val="20"/>
                <w:szCs w:val="18"/>
              </w:rPr>
            </w:pPr>
          </w:p>
        </w:tc>
        <w:tc>
          <w:tcPr>
            <w:tcW w:w="2515" w:type="pct"/>
            <w:tcBorders>
              <w:top w:val="nil"/>
              <w:left w:val="nil"/>
              <w:bottom w:val="single" w:sz="4" w:space="0" w:color="auto"/>
              <w:right w:val="nil"/>
            </w:tcBorders>
            <w:shd w:val="clear" w:color="auto" w:fill="auto"/>
            <w:vAlign w:val="center"/>
          </w:tcPr>
          <w:p w14:paraId="03707FE0" w14:textId="77777777" w:rsidR="00091BA7" w:rsidRPr="00E37CB4" w:rsidRDefault="00091BA7" w:rsidP="00947BF3">
            <w:pPr>
              <w:spacing w:after="120"/>
              <w:rPr>
                <w:rFonts w:ascii="Arial Narrow" w:hAnsi="Arial Narrow" w:cs="Arial"/>
                <w:b/>
                <w:color w:val="2C9ADC"/>
                <w:sz w:val="20"/>
                <w:szCs w:val="18"/>
              </w:rPr>
            </w:pPr>
            <w:r>
              <w:rPr>
                <w:rFonts w:ascii="Arial Narrow" w:hAnsi="Arial Narrow" w:cs="Arial"/>
                <w:b/>
                <w:color w:val="2C9ADC"/>
                <w:sz w:val="20"/>
                <w:szCs w:val="18"/>
              </w:rPr>
              <w:t>Vajcia, cena komodity (v €/100 kg)</w:t>
            </w:r>
          </w:p>
        </w:tc>
      </w:tr>
      <w:tr w:rsidR="00091BA7" w:rsidRPr="00E37CB4" w14:paraId="728D6856" w14:textId="77777777" w:rsidTr="7D6FFD56">
        <w:trPr>
          <w:trHeight w:val="820"/>
        </w:trPr>
        <w:tc>
          <w:tcPr>
            <w:tcW w:w="2391" w:type="pct"/>
            <w:tcBorders>
              <w:top w:val="single" w:sz="4" w:space="0" w:color="auto"/>
              <w:left w:val="nil"/>
              <w:bottom w:val="single" w:sz="4" w:space="0" w:color="auto"/>
              <w:right w:val="nil"/>
            </w:tcBorders>
            <w:vAlign w:val="center"/>
          </w:tcPr>
          <w:p w14:paraId="5D305096" w14:textId="61F37EE8" w:rsidR="00091BA7" w:rsidRPr="00E37CB4" w:rsidRDefault="00C15ECF" w:rsidP="00947BF3">
            <w:pPr>
              <w:spacing w:before="120" w:after="120"/>
              <w:jc w:val="center"/>
              <w:rPr>
                <w:rFonts w:ascii="Arial Narrow" w:hAnsi="Arial Narrow" w:cs="Arial"/>
                <w:b/>
                <w:bCs/>
                <w:sz w:val="20"/>
                <w:szCs w:val="20"/>
              </w:rPr>
            </w:pPr>
            <w:r>
              <w:rPr>
                <w:noProof/>
              </w:rPr>
              <w:drawing>
                <wp:inline distT="0" distB="0" distL="0" distR="0" wp14:anchorId="5558744E" wp14:editId="13EA3240">
                  <wp:extent cx="2610485" cy="1897682"/>
                  <wp:effectExtent l="0" t="0" r="0" b="7620"/>
                  <wp:docPr id="869154324" name="Graf 1">
                    <a:extLst xmlns:a="http://schemas.openxmlformats.org/drawingml/2006/main">
                      <a:ext uri="{FF2B5EF4-FFF2-40B4-BE49-F238E27FC236}">
                        <a16:creationId xmlns:a16="http://schemas.microsoft.com/office/drawing/2014/main" id="{00000000-0008-0000-07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tc>
        <w:tc>
          <w:tcPr>
            <w:tcW w:w="94" w:type="pct"/>
            <w:tcBorders>
              <w:top w:val="nil"/>
              <w:left w:val="nil"/>
              <w:bottom w:val="nil"/>
              <w:right w:val="nil"/>
            </w:tcBorders>
            <w:vAlign w:val="center"/>
          </w:tcPr>
          <w:p w14:paraId="21907D5C" w14:textId="77777777" w:rsidR="00091BA7" w:rsidRPr="00E37CB4" w:rsidRDefault="00091BA7" w:rsidP="00947BF3">
            <w:pPr>
              <w:spacing w:after="120"/>
              <w:jc w:val="center"/>
              <w:rPr>
                <w:rFonts w:ascii="Arial Narrow" w:hAnsi="Arial Narrow" w:cs="Arial"/>
                <w:b/>
                <w:sz w:val="20"/>
                <w:szCs w:val="20"/>
              </w:rPr>
            </w:pPr>
          </w:p>
          <w:p w14:paraId="3F25F75B" w14:textId="77777777" w:rsidR="00091BA7" w:rsidRPr="00E37CB4" w:rsidRDefault="00091BA7" w:rsidP="00947BF3">
            <w:pPr>
              <w:spacing w:after="120"/>
              <w:jc w:val="center"/>
              <w:rPr>
                <w:rFonts w:ascii="Arial Narrow" w:hAnsi="Arial Narrow" w:cs="Arial"/>
                <w:b/>
                <w:sz w:val="20"/>
                <w:szCs w:val="20"/>
              </w:rPr>
            </w:pPr>
          </w:p>
          <w:p w14:paraId="2E8F3C18" w14:textId="77777777" w:rsidR="00091BA7" w:rsidRPr="00E37CB4" w:rsidRDefault="00091BA7" w:rsidP="00947BF3">
            <w:pPr>
              <w:spacing w:after="120"/>
              <w:jc w:val="center"/>
              <w:rPr>
                <w:rFonts w:ascii="Arial Narrow" w:hAnsi="Arial Narrow" w:cs="Arial"/>
                <w:b/>
                <w:sz w:val="20"/>
                <w:szCs w:val="20"/>
              </w:rPr>
            </w:pPr>
          </w:p>
        </w:tc>
        <w:tc>
          <w:tcPr>
            <w:tcW w:w="2515" w:type="pct"/>
            <w:tcBorders>
              <w:top w:val="single" w:sz="4" w:space="0" w:color="auto"/>
              <w:left w:val="nil"/>
              <w:bottom w:val="single" w:sz="4" w:space="0" w:color="auto"/>
              <w:right w:val="nil"/>
            </w:tcBorders>
            <w:vAlign w:val="center"/>
          </w:tcPr>
          <w:p w14:paraId="48013CFC" w14:textId="4A456D78" w:rsidR="00091BA7" w:rsidRPr="00E37CB4" w:rsidRDefault="00C15ECF" w:rsidP="00947BF3">
            <w:pPr>
              <w:spacing w:after="120"/>
              <w:jc w:val="center"/>
              <w:rPr>
                <w:rFonts w:ascii="Arial Narrow" w:hAnsi="Arial Narrow" w:cs="Arial"/>
                <w:b/>
                <w:bCs/>
                <w:sz w:val="16"/>
                <w:szCs w:val="16"/>
              </w:rPr>
            </w:pPr>
            <w:r>
              <w:rPr>
                <w:noProof/>
              </w:rPr>
              <w:drawing>
                <wp:inline distT="0" distB="0" distL="0" distR="0" wp14:anchorId="64856AD6" wp14:editId="0C07B794">
                  <wp:extent cx="2750185" cy="1920203"/>
                  <wp:effectExtent l="0" t="0" r="0" b="4445"/>
                  <wp:docPr id="1346017499" name="Graf 1">
                    <a:extLst xmlns:a="http://schemas.openxmlformats.org/drawingml/2006/main">
                      <a:ext uri="{FF2B5EF4-FFF2-40B4-BE49-F238E27FC236}">
                        <a16:creationId xmlns:a16="http://schemas.microsoft.com/office/drawing/2014/main" id="{00000000-0008-0000-07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tc>
      </w:tr>
      <w:tr w:rsidR="00091BA7" w:rsidRPr="00E37CB4" w14:paraId="5442665B" w14:textId="77777777" w:rsidTr="7D6FFD56">
        <w:trPr>
          <w:trHeight w:val="104"/>
        </w:trPr>
        <w:tc>
          <w:tcPr>
            <w:tcW w:w="2391" w:type="pct"/>
            <w:tcBorders>
              <w:top w:val="single" w:sz="4" w:space="0" w:color="auto"/>
              <w:left w:val="nil"/>
              <w:bottom w:val="nil"/>
              <w:right w:val="nil"/>
            </w:tcBorders>
            <w:vAlign w:val="center"/>
          </w:tcPr>
          <w:p w14:paraId="35E88E73" w14:textId="305F6FF1" w:rsidR="00091BA7" w:rsidRPr="00E37CB4" w:rsidRDefault="00091BA7" w:rsidP="00947BF3">
            <w:pPr>
              <w:spacing w:after="120"/>
              <w:jc w:val="right"/>
              <w:rPr>
                <w:rFonts w:ascii="Arial Narrow" w:hAnsi="Arial Narrow" w:cs="Arial"/>
                <w:i/>
                <w:sz w:val="16"/>
                <w:szCs w:val="16"/>
              </w:rPr>
            </w:pPr>
            <w:r w:rsidRPr="00E37CB4">
              <w:rPr>
                <w:rFonts w:ascii="Arial Narrow" w:hAnsi="Arial Narrow" w:cs="Arial"/>
                <w:i/>
                <w:sz w:val="16"/>
                <w:szCs w:val="16"/>
              </w:rPr>
              <w:t xml:space="preserve">Zdroj: </w:t>
            </w:r>
            <w:r>
              <w:rPr>
                <w:rFonts w:ascii="Arial Narrow" w:hAnsi="Arial Narrow" w:cs="Arial"/>
                <w:i/>
                <w:sz w:val="16"/>
                <w:szCs w:val="16"/>
              </w:rPr>
              <w:t>ŠÚ SR, ČSÚ, KSH</w:t>
            </w:r>
            <w:r w:rsidR="00EC759C">
              <w:rPr>
                <w:rFonts w:ascii="Arial Narrow" w:hAnsi="Arial Narrow" w:cs="Arial"/>
                <w:i/>
                <w:sz w:val="16"/>
                <w:szCs w:val="16"/>
              </w:rPr>
              <w:t>, GUS</w:t>
            </w:r>
            <w:r w:rsidRPr="00E37CB4">
              <w:rPr>
                <w:rFonts w:ascii="Arial Narrow" w:hAnsi="Arial Narrow" w:cs="Arial"/>
                <w:i/>
                <w:sz w:val="16"/>
                <w:szCs w:val="16"/>
              </w:rPr>
              <w:t xml:space="preserve"> </w:t>
            </w:r>
          </w:p>
        </w:tc>
        <w:tc>
          <w:tcPr>
            <w:tcW w:w="94" w:type="pct"/>
            <w:tcBorders>
              <w:top w:val="nil"/>
              <w:left w:val="nil"/>
              <w:bottom w:val="nil"/>
              <w:right w:val="nil"/>
            </w:tcBorders>
            <w:vAlign w:val="center"/>
          </w:tcPr>
          <w:p w14:paraId="35AD9823" w14:textId="77777777" w:rsidR="00091BA7" w:rsidRPr="00E37CB4" w:rsidRDefault="00091BA7" w:rsidP="00947BF3">
            <w:pPr>
              <w:spacing w:after="120"/>
              <w:jc w:val="center"/>
              <w:rPr>
                <w:rFonts w:ascii="Arial Narrow" w:hAnsi="Arial Narrow" w:cs="Arial"/>
                <w:i/>
                <w:sz w:val="16"/>
                <w:szCs w:val="16"/>
              </w:rPr>
            </w:pPr>
          </w:p>
        </w:tc>
        <w:tc>
          <w:tcPr>
            <w:tcW w:w="2515" w:type="pct"/>
            <w:tcBorders>
              <w:top w:val="single" w:sz="4" w:space="0" w:color="auto"/>
              <w:left w:val="nil"/>
              <w:bottom w:val="nil"/>
              <w:right w:val="nil"/>
            </w:tcBorders>
            <w:vAlign w:val="center"/>
          </w:tcPr>
          <w:p w14:paraId="5FB23FB2" w14:textId="77777777" w:rsidR="00091BA7" w:rsidRPr="00E37CB4" w:rsidRDefault="00091BA7" w:rsidP="00947BF3">
            <w:pPr>
              <w:spacing w:after="120"/>
              <w:jc w:val="right"/>
              <w:rPr>
                <w:rFonts w:ascii="Arial Narrow" w:hAnsi="Arial Narrow" w:cs="Arial"/>
                <w:i/>
                <w:sz w:val="16"/>
                <w:szCs w:val="16"/>
              </w:rPr>
            </w:pPr>
            <w:r w:rsidRPr="00E37CB4">
              <w:rPr>
                <w:rFonts w:ascii="Arial Narrow" w:hAnsi="Arial Narrow" w:cs="Arial"/>
                <w:i/>
                <w:sz w:val="16"/>
                <w:szCs w:val="16"/>
              </w:rPr>
              <w:t>Z</w:t>
            </w:r>
            <w:r>
              <w:rPr>
                <w:rFonts w:ascii="Arial Narrow" w:hAnsi="Arial Narrow" w:cs="Arial"/>
                <w:i/>
                <w:sz w:val="16"/>
                <w:szCs w:val="16"/>
              </w:rPr>
              <w:t>droj: EK</w:t>
            </w:r>
          </w:p>
        </w:tc>
      </w:tr>
    </w:tbl>
    <w:p w14:paraId="54B3EA9A" w14:textId="77777777" w:rsidR="00091BA7" w:rsidRDefault="00091BA7" w:rsidP="00947BF3">
      <w:pPr>
        <w:rPr>
          <w:rFonts w:ascii="Arial Narrow" w:hAnsi="Arial Narrow"/>
        </w:rPr>
      </w:pPr>
    </w:p>
    <w:p w14:paraId="3EFBD589" w14:textId="77777777" w:rsidR="00C15ECF" w:rsidRDefault="00C15ECF" w:rsidP="00947BF3">
      <w:pPr>
        <w:rPr>
          <w:rFonts w:ascii="Arial Narrow" w:hAnsi="Arial Narrow"/>
        </w:rPr>
      </w:pPr>
    </w:p>
    <w:p w14:paraId="36328602" w14:textId="77777777" w:rsidR="00C15ECF" w:rsidRDefault="00C15ECF" w:rsidP="00947BF3">
      <w:pPr>
        <w:rPr>
          <w:rFonts w:ascii="Arial Narrow" w:hAnsi="Arial Narrow"/>
        </w:rPr>
      </w:pPr>
    </w:p>
    <w:p w14:paraId="35914295" w14:textId="77777777" w:rsidR="00C15ECF" w:rsidRDefault="00C15ECF" w:rsidP="00947BF3">
      <w:pPr>
        <w:rPr>
          <w:rFonts w:ascii="Arial Narrow" w:hAnsi="Arial Narrow"/>
        </w:rPr>
      </w:pPr>
    </w:p>
    <w:p w14:paraId="3B347DD8" w14:textId="77777777" w:rsidR="00C15ECF" w:rsidRDefault="00C15ECF" w:rsidP="00947BF3">
      <w:pPr>
        <w:rPr>
          <w:rFonts w:ascii="Arial Narrow" w:hAnsi="Arial Narrow"/>
        </w:rPr>
      </w:pPr>
    </w:p>
    <w:p w14:paraId="2DE56170" w14:textId="77777777" w:rsidR="00C15ECF" w:rsidRDefault="00C15ECF" w:rsidP="00947BF3">
      <w:pPr>
        <w:rPr>
          <w:rFonts w:ascii="Arial Narrow" w:hAnsi="Arial Narrow"/>
        </w:rPr>
      </w:pPr>
    </w:p>
    <w:p w14:paraId="179F1E25" w14:textId="77777777" w:rsidR="00C15ECF" w:rsidRDefault="00C15ECF" w:rsidP="00947BF3">
      <w:pPr>
        <w:rPr>
          <w:rFonts w:ascii="Arial Narrow" w:hAnsi="Arial Narrow"/>
        </w:rPr>
      </w:pPr>
    </w:p>
    <w:p w14:paraId="10469872" w14:textId="77777777" w:rsidR="00C15ECF" w:rsidRDefault="00C15ECF" w:rsidP="00947BF3">
      <w:pPr>
        <w:rPr>
          <w:rFonts w:ascii="Arial Narrow" w:hAnsi="Arial Narrow"/>
        </w:rPr>
      </w:pPr>
    </w:p>
    <w:p w14:paraId="31B73593" w14:textId="77777777" w:rsidR="00C15ECF" w:rsidRDefault="00C15ECF" w:rsidP="00947BF3">
      <w:pPr>
        <w:rPr>
          <w:rFonts w:ascii="Arial Narrow" w:hAnsi="Arial Narrow"/>
        </w:rPr>
      </w:pPr>
    </w:p>
    <w:p w14:paraId="18FD3885" w14:textId="77777777" w:rsidR="004065F1" w:rsidRDefault="004065F1" w:rsidP="00947BF3">
      <w:pPr>
        <w:rPr>
          <w:rFonts w:ascii="Arial Narrow" w:hAnsi="Arial Narrow"/>
        </w:rPr>
      </w:pPr>
    </w:p>
    <w:p w14:paraId="78278CF4" w14:textId="77777777" w:rsidR="00C15ECF" w:rsidRDefault="00C15ECF" w:rsidP="00947BF3">
      <w:pPr>
        <w:rPr>
          <w:rFonts w:ascii="Arial Narrow" w:hAnsi="Arial Narrow"/>
        </w:rPr>
      </w:pPr>
    </w:p>
    <w:p w14:paraId="545C3333" w14:textId="77777777" w:rsidR="00C15ECF" w:rsidRDefault="00C15ECF" w:rsidP="00947BF3">
      <w:pPr>
        <w:rPr>
          <w:rFonts w:ascii="Arial Narrow" w:hAnsi="Arial Narrow"/>
        </w:rPr>
      </w:pPr>
    </w:p>
    <w:p w14:paraId="28C559A3" w14:textId="77777777" w:rsidR="00C15ECF" w:rsidRPr="00866785" w:rsidRDefault="00C15ECF" w:rsidP="00947BF3">
      <w:pPr>
        <w:rPr>
          <w:rFonts w:ascii="Arial Narrow" w:hAnsi="Arial Narrow"/>
        </w:rPr>
      </w:pPr>
    </w:p>
    <w:tbl>
      <w:tblPr>
        <w:tblW w:w="4899"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1E0" w:firstRow="1" w:lastRow="1" w:firstColumn="1" w:lastColumn="1" w:noHBand="0" w:noVBand="0"/>
      </w:tblPr>
      <w:tblGrid>
        <w:gridCol w:w="4250"/>
        <w:gridCol w:w="167"/>
        <w:gridCol w:w="4470"/>
      </w:tblGrid>
      <w:tr w:rsidR="00091BA7" w:rsidRPr="00866785" w14:paraId="416BE4B2" w14:textId="77777777" w:rsidTr="7D6FFD56">
        <w:trPr>
          <w:trHeight w:val="321"/>
        </w:trPr>
        <w:tc>
          <w:tcPr>
            <w:tcW w:w="2391" w:type="pct"/>
            <w:tcBorders>
              <w:top w:val="nil"/>
              <w:left w:val="nil"/>
              <w:bottom w:val="single" w:sz="4" w:space="0" w:color="auto"/>
              <w:right w:val="nil"/>
            </w:tcBorders>
            <w:shd w:val="clear" w:color="auto" w:fill="auto"/>
            <w:vAlign w:val="center"/>
          </w:tcPr>
          <w:p w14:paraId="3A39635C" w14:textId="77777777" w:rsidR="00091BA7" w:rsidRPr="00866785" w:rsidRDefault="00091BA7" w:rsidP="00947BF3">
            <w:pPr>
              <w:spacing w:after="120"/>
              <w:rPr>
                <w:rFonts w:ascii="Arial Narrow" w:hAnsi="Arial Narrow" w:cs="Arial"/>
                <w:b/>
                <w:color w:val="2C9ADC"/>
                <w:sz w:val="20"/>
                <w:szCs w:val="18"/>
              </w:rPr>
            </w:pPr>
            <w:r w:rsidRPr="00866785">
              <w:rPr>
                <w:rFonts w:ascii="Arial Narrow" w:hAnsi="Arial Narrow" w:cs="Arial"/>
                <w:b/>
                <w:color w:val="2C9ADC"/>
                <w:sz w:val="20"/>
                <w:szCs w:val="18"/>
              </w:rPr>
              <w:t>Eidam, maloobchodná cena (v €/kg, bez DPH)</w:t>
            </w:r>
          </w:p>
        </w:tc>
        <w:tc>
          <w:tcPr>
            <w:tcW w:w="94" w:type="pct"/>
            <w:tcBorders>
              <w:top w:val="nil"/>
              <w:left w:val="nil"/>
              <w:bottom w:val="nil"/>
              <w:right w:val="nil"/>
            </w:tcBorders>
            <w:shd w:val="clear" w:color="auto" w:fill="auto"/>
            <w:vAlign w:val="center"/>
          </w:tcPr>
          <w:p w14:paraId="46A59F5B" w14:textId="77777777" w:rsidR="00091BA7" w:rsidRPr="00866785" w:rsidRDefault="00091BA7" w:rsidP="00947BF3">
            <w:pPr>
              <w:spacing w:after="120"/>
              <w:rPr>
                <w:rFonts w:ascii="Arial Narrow" w:hAnsi="Arial Narrow" w:cs="Arial"/>
                <w:b/>
                <w:color w:val="2C9ADC"/>
                <w:sz w:val="20"/>
                <w:szCs w:val="18"/>
              </w:rPr>
            </w:pPr>
          </w:p>
        </w:tc>
        <w:tc>
          <w:tcPr>
            <w:tcW w:w="2515" w:type="pct"/>
            <w:tcBorders>
              <w:top w:val="nil"/>
              <w:left w:val="nil"/>
              <w:bottom w:val="single" w:sz="4" w:space="0" w:color="auto"/>
              <w:right w:val="nil"/>
            </w:tcBorders>
            <w:shd w:val="clear" w:color="auto" w:fill="auto"/>
            <w:vAlign w:val="center"/>
          </w:tcPr>
          <w:p w14:paraId="426F430B" w14:textId="77777777" w:rsidR="00091BA7" w:rsidRPr="00866785" w:rsidRDefault="00091BA7" w:rsidP="00947BF3">
            <w:pPr>
              <w:spacing w:after="120"/>
              <w:rPr>
                <w:rFonts w:ascii="Arial Narrow" w:hAnsi="Arial Narrow" w:cs="Arial"/>
                <w:b/>
                <w:color w:val="2C9ADC"/>
                <w:sz w:val="20"/>
                <w:szCs w:val="18"/>
              </w:rPr>
            </w:pPr>
            <w:r w:rsidRPr="00866785">
              <w:rPr>
                <w:rFonts w:ascii="Arial Narrow" w:hAnsi="Arial Narrow" w:cs="Arial"/>
                <w:b/>
                <w:color w:val="2C9ADC"/>
                <w:sz w:val="20"/>
                <w:szCs w:val="18"/>
              </w:rPr>
              <w:t>Eidam, cena komodity (v €/100 kg)</w:t>
            </w:r>
          </w:p>
        </w:tc>
      </w:tr>
      <w:tr w:rsidR="00091BA7" w:rsidRPr="00866785" w14:paraId="335C299C" w14:textId="77777777" w:rsidTr="7D6FFD56">
        <w:trPr>
          <w:trHeight w:val="820"/>
        </w:trPr>
        <w:tc>
          <w:tcPr>
            <w:tcW w:w="2391" w:type="pct"/>
            <w:tcBorders>
              <w:top w:val="single" w:sz="4" w:space="0" w:color="auto"/>
              <w:left w:val="nil"/>
              <w:bottom w:val="single" w:sz="4" w:space="0" w:color="auto"/>
              <w:right w:val="nil"/>
            </w:tcBorders>
            <w:vAlign w:val="center"/>
          </w:tcPr>
          <w:p w14:paraId="6331697D" w14:textId="5DD8128E" w:rsidR="00091BA7" w:rsidRPr="00866785" w:rsidRDefault="00C15ECF" w:rsidP="00947BF3">
            <w:pPr>
              <w:spacing w:before="120" w:after="120"/>
              <w:jc w:val="center"/>
              <w:rPr>
                <w:rFonts w:ascii="Arial Narrow" w:hAnsi="Arial Narrow" w:cs="Arial"/>
                <w:b/>
                <w:bCs/>
                <w:sz w:val="20"/>
                <w:szCs w:val="20"/>
              </w:rPr>
            </w:pPr>
            <w:r>
              <w:rPr>
                <w:noProof/>
              </w:rPr>
              <w:drawing>
                <wp:inline distT="0" distB="0" distL="0" distR="0" wp14:anchorId="454CB40B" wp14:editId="112F3A92">
                  <wp:extent cx="2610485" cy="2227548"/>
                  <wp:effectExtent l="0" t="0" r="0" b="1905"/>
                  <wp:docPr id="286475776" name="Graf 1">
                    <a:extLst xmlns:a="http://schemas.openxmlformats.org/drawingml/2006/main">
                      <a:ext uri="{FF2B5EF4-FFF2-40B4-BE49-F238E27FC236}">
                        <a16:creationId xmlns:a16="http://schemas.microsoft.com/office/drawing/2014/main" id="{00000000-0008-0000-08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tc>
        <w:tc>
          <w:tcPr>
            <w:tcW w:w="94" w:type="pct"/>
            <w:tcBorders>
              <w:top w:val="nil"/>
              <w:left w:val="nil"/>
              <w:bottom w:val="nil"/>
              <w:right w:val="nil"/>
            </w:tcBorders>
            <w:vAlign w:val="center"/>
          </w:tcPr>
          <w:p w14:paraId="79A8BEAB" w14:textId="77777777" w:rsidR="00091BA7" w:rsidRPr="00866785" w:rsidRDefault="00091BA7" w:rsidP="00947BF3">
            <w:pPr>
              <w:spacing w:after="120"/>
              <w:jc w:val="center"/>
              <w:rPr>
                <w:rFonts w:ascii="Arial Narrow" w:hAnsi="Arial Narrow" w:cs="Arial"/>
                <w:b/>
                <w:sz w:val="20"/>
                <w:szCs w:val="20"/>
              </w:rPr>
            </w:pPr>
          </w:p>
          <w:p w14:paraId="59A7934A" w14:textId="77777777" w:rsidR="00091BA7" w:rsidRPr="00866785" w:rsidRDefault="00091BA7" w:rsidP="00947BF3">
            <w:pPr>
              <w:spacing w:after="120"/>
              <w:jc w:val="center"/>
              <w:rPr>
                <w:rFonts w:ascii="Arial Narrow" w:hAnsi="Arial Narrow" w:cs="Arial"/>
                <w:b/>
                <w:sz w:val="20"/>
                <w:szCs w:val="20"/>
              </w:rPr>
            </w:pPr>
          </w:p>
          <w:p w14:paraId="0CCA70C0" w14:textId="77777777" w:rsidR="00091BA7" w:rsidRPr="00866785" w:rsidRDefault="00091BA7" w:rsidP="00947BF3">
            <w:pPr>
              <w:spacing w:after="120"/>
              <w:jc w:val="center"/>
              <w:rPr>
                <w:rFonts w:ascii="Arial Narrow" w:hAnsi="Arial Narrow" w:cs="Arial"/>
                <w:b/>
                <w:sz w:val="20"/>
                <w:szCs w:val="20"/>
              </w:rPr>
            </w:pPr>
          </w:p>
        </w:tc>
        <w:tc>
          <w:tcPr>
            <w:tcW w:w="2515" w:type="pct"/>
            <w:tcBorders>
              <w:top w:val="single" w:sz="4" w:space="0" w:color="auto"/>
              <w:left w:val="nil"/>
              <w:bottom w:val="single" w:sz="4" w:space="0" w:color="auto"/>
              <w:right w:val="nil"/>
            </w:tcBorders>
            <w:vAlign w:val="center"/>
          </w:tcPr>
          <w:p w14:paraId="4D543AAF" w14:textId="2C968D1E" w:rsidR="00091BA7" w:rsidRPr="00866785" w:rsidRDefault="00C15ECF" w:rsidP="00947BF3">
            <w:pPr>
              <w:spacing w:after="120"/>
              <w:jc w:val="center"/>
              <w:rPr>
                <w:rFonts w:ascii="Arial Narrow" w:hAnsi="Arial Narrow" w:cs="Arial"/>
                <w:b/>
                <w:bCs/>
                <w:sz w:val="16"/>
                <w:szCs w:val="16"/>
              </w:rPr>
            </w:pPr>
            <w:r>
              <w:rPr>
                <w:noProof/>
              </w:rPr>
              <w:drawing>
                <wp:inline distT="0" distB="0" distL="0" distR="0" wp14:anchorId="26B074E4" wp14:editId="5FDF267A">
                  <wp:extent cx="2750185" cy="2107565"/>
                  <wp:effectExtent l="0" t="0" r="0" b="6985"/>
                  <wp:docPr id="1531402821" name="Graf 1">
                    <a:extLst xmlns:a="http://schemas.openxmlformats.org/drawingml/2006/main">
                      <a:ext uri="{FF2B5EF4-FFF2-40B4-BE49-F238E27FC236}">
                        <a16:creationId xmlns:a16="http://schemas.microsoft.com/office/drawing/2014/main" id="{00000000-0008-0000-08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tc>
      </w:tr>
      <w:tr w:rsidR="00091BA7" w:rsidRPr="00866785" w14:paraId="670E7CC5" w14:textId="77777777" w:rsidTr="00F867F5">
        <w:trPr>
          <w:trHeight w:val="104"/>
        </w:trPr>
        <w:tc>
          <w:tcPr>
            <w:tcW w:w="2391" w:type="pct"/>
            <w:tcBorders>
              <w:top w:val="single" w:sz="4" w:space="0" w:color="auto"/>
              <w:left w:val="nil"/>
              <w:bottom w:val="nil"/>
              <w:right w:val="nil"/>
            </w:tcBorders>
            <w:vAlign w:val="center"/>
          </w:tcPr>
          <w:p w14:paraId="71B51DEF" w14:textId="77777777" w:rsidR="00091BA7" w:rsidRPr="00866785" w:rsidRDefault="00091BA7" w:rsidP="00947BF3">
            <w:pPr>
              <w:spacing w:after="120"/>
              <w:jc w:val="right"/>
              <w:rPr>
                <w:rFonts w:ascii="Arial Narrow" w:hAnsi="Arial Narrow" w:cs="Arial"/>
                <w:i/>
                <w:sz w:val="16"/>
                <w:szCs w:val="16"/>
              </w:rPr>
            </w:pPr>
            <w:r w:rsidRPr="00866785">
              <w:rPr>
                <w:rFonts w:ascii="Arial Narrow" w:hAnsi="Arial Narrow" w:cs="Arial"/>
                <w:i/>
                <w:sz w:val="16"/>
                <w:szCs w:val="16"/>
              </w:rPr>
              <w:t xml:space="preserve">Zdroj: ŠÚ SR, ČSÚ, KSH </w:t>
            </w:r>
          </w:p>
        </w:tc>
        <w:tc>
          <w:tcPr>
            <w:tcW w:w="94" w:type="pct"/>
            <w:tcBorders>
              <w:top w:val="nil"/>
              <w:left w:val="nil"/>
              <w:bottom w:val="nil"/>
              <w:right w:val="nil"/>
            </w:tcBorders>
            <w:vAlign w:val="center"/>
          </w:tcPr>
          <w:p w14:paraId="4C4A58FA" w14:textId="77777777" w:rsidR="00091BA7" w:rsidRPr="00866785" w:rsidRDefault="00091BA7" w:rsidP="00947BF3">
            <w:pPr>
              <w:spacing w:after="120"/>
              <w:jc w:val="center"/>
              <w:rPr>
                <w:rFonts w:ascii="Arial Narrow" w:hAnsi="Arial Narrow" w:cs="Arial"/>
                <w:i/>
                <w:sz w:val="16"/>
                <w:szCs w:val="16"/>
              </w:rPr>
            </w:pPr>
          </w:p>
        </w:tc>
        <w:tc>
          <w:tcPr>
            <w:tcW w:w="2515" w:type="pct"/>
            <w:tcBorders>
              <w:top w:val="single" w:sz="4" w:space="0" w:color="auto"/>
              <w:left w:val="nil"/>
              <w:bottom w:val="nil"/>
              <w:right w:val="nil"/>
            </w:tcBorders>
            <w:vAlign w:val="center"/>
          </w:tcPr>
          <w:p w14:paraId="5B445219" w14:textId="77777777" w:rsidR="00091BA7" w:rsidRPr="00866785" w:rsidRDefault="00091BA7" w:rsidP="00947BF3">
            <w:pPr>
              <w:spacing w:after="120"/>
              <w:jc w:val="right"/>
              <w:rPr>
                <w:rFonts w:ascii="Arial Narrow" w:hAnsi="Arial Narrow" w:cs="Arial"/>
                <w:i/>
                <w:sz w:val="16"/>
                <w:szCs w:val="16"/>
              </w:rPr>
            </w:pPr>
            <w:r w:rsidRPr="00866785">
              <w:rPr>
                <w:rFonts w:ascii="Arial Narrow" w:hAnsi="Arial Narrow" w:cs="Arial"/>
                <w:i/>
                <w:sz w:val="16"/>
                <w:szCs w:val="16"/>
              </w:rPr>
              <w:t>Zdroj: EK</w:t>
            </w:r>
          </w:p>
        </w:tc>
      </w:tr>
      <w:tr w:rsidR="00CE270F" w:rsidRPr="00866785" w14:paraId="2C5B728A" w14:textId="77777777" w:rsidTr="00F867F5">
        <w:trPr>
          <w:trHeight w:val="104"/>
        </w:trPr>
        <w:tc>
          <w:tcPr>
            <w:tcW w:w="2391" w:type="pct"/>
            <w:tcBorders>
              <w:top w:val="nil"/>
              <w:left w:val="nil"/>
              <w:bottom w:val="nil"/>
              <w:right w:val="nil"/>
            </w:tcBorders>
            <w:vAlign w:val="center"/>
          </w:tcPr>
          <w:p w14:paraId="46288D19" w14:textId="77777777" w:rsidR="00CE270F" w:rsidRDefault="00CE270F" w:rsidP="00947BF3">
            <w:pPr>
              <w:spacing w:after="120"/>
              <w:jc w:val="right"/>
              <w:rPr>
                <w:rFonts w:ascii="Arial Narrow" w:hAnsi="Arial Narrow" w:cs="Arial"/>
                <w:i/>
                <w:sz w:val="16"/>
                <w:szCs w:val="16"/>
              </w:rPr>
            </w:pPr>
          </w:p>
          <w:p w14:paraId="4ECE82B3" w14:textId="41F76641" w:rsidR="00CE270F" w:rsidRPr="00866785" w:rsidRDefault="00CE270F" w:rsidP="00947BF3">
            <w:pPr>
              <w:spacing w:after="120"/>
              <w:jc w:val="right"/>
              <w:rPr>
                <w:rFonts w:ascii="Arial Narrow" w:hAnsi="Arial Narrow" w:cs="Arial"/>
                <w:i/>
                <w:sz w:val="16"/>
                <w:szCs w:val="16"/>
              </w:rPr>
            </w:pPr>
          </w:p>
        </w:tc>
        <w:tc>
          <w:tcPr>
            <w:tcW w:w="94" w:type="pct"/>
            <w:tcBorders>
              <w:top w:val="nil"/>
              <w:left w:val="nil"/>
              <w:bottom w:val="nil"/>
              <w:right w:val="nil"/>
            </w:tcBorders>
            <w:vAlign w:val="center"/>
          </w:tcPr>
          <w:p w14:paraId="6378E331" w14:textId="77777777" w:rsidR="00CE270F" w:rsidRPr="00866785" w:rsidRDefault="00CE270F" w:rsidP="00947BF3">
            <w:pPr>
              <w:spacing w:after="120"/>
              <w:jc w:val="center"/>
              <w:rPr>
                <w:rFonts w:ascii="Arial Narrow" w:hAnsi="Arial Narrow" w:cs="Arial"/>
                <w:i/>
                <w:sz w:val="16"/>
                <w:szCs w:val="16"/>
              </w:rPr>
            </w:pPr>
          </w:p>
        </w:tc>
        <w:tc>
          <w:tcPr>
            <w:tcW w:w="2515" w:type="pct"/>
            <w:tcBorders>
              <w:top w:val="nil"/>
              <w:left w:val="nil"/>
              <w:bottom w:val="nil"/>
              <w:right w:val="nil"/>
            </w:tcBorders>
            <w:vAlign w:val="center"/>
          </w:tcPr>
          <w:p w14:paraId="2FB0CAA9" w14:textId="77777777" w:rsidR="00CE270F" w:rsidRPr="00866785" w:rsidRDefault="00CE270F" w:rsidP="00947BF3">
            <w:pPr>
              <w:spacing w:after="120"/>
              <w:jc w:val="right"/>
              <w:rPr>
                <w:rFonts w:ascii="Arial Narrow" w:hAnsi="Arial Narrow" w:cs="Arial"/>
                <w:i/>
                <w:sz w:val="16"/>
                <w:szCs w:val="16"/>
              </w:rPr>
            </w:pPr>
          </w:p>
        </w:tc>
      </w:tr>
    </w:tbl>
    <w:p w14:paraId="31D57CCA" w14:textId="77777777" w:rsidR="00091BA7" w:rsidRPr="00AC6789" w:rsidRDefault="00091BA7" w:rsidP="00947BF3">
      <w:pPr>
        <w:rPr>
          <w:rFonts w:ascii="Arial Narrow" w:hAnsi="Arial Narrow"/>
          <w:sz w:val="24"/>
        </w:rPr>
      </w:pPr>
    </w:p>
    <w:tbl>
      <w:tblPr>
        <w:tblW w:w="4899"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1E0" w:firstRow="1" w:lastRow="1" w:firstColumn="1" w:lastColumn="1" w:noHBand="0" w:noVBand="0"/>
      </w:tblPr>
      <w:tblGrid>
        <w:gridCol w:w="4250"/>
        <w:gridCol w:w="167"/>
        <w:gridCol w:w="4470"/>
      </w:tblGrid>
      <w:tr w:rsidR="00091BA7" w:rsidRPr="00866785" w14:paraId="108B0437" w14:textId="77777777" w:rsidTr="7D6FFD56">
        <w:trPr>
          <w:trHeight w:val="321"/>
        </w:trPr>
        <w:tc>
          <w:tcPr>
            <w:tcW w:w="2391" w:type="pct"/>
            <w:tcBorders>
              <w:top w:val="nil"/>
              <w:left w:val="nil"/>
              <w:bottom w:val="single" w:sz="4" w:space="0" w:color="auto"/>
              <w:right w:val="nil"/>
            </w:tcBorders>
            <w:shd w:val="clear" w:color="auto" w:fill="auto"/>
            <w:vAlign w:val="center"/>
          </w:tcPr>
          <w:p w14:paraId="66212873" w14:textId="1B748619" w:rsidR="00091BA7" w:rsidRPr="00866785" w:rsidRDefault="00091BA7" w:rsidP="00947BF3">
            <w:pPr>
              <w:spacing w:after="120"/>
              <w:rPr>
                <w:rFonts w:ascii="Arial Narrow" w:hAnsi="Arial Narrow" w:cs="Arial"/>
                <w:b/>
                <w:color w:val="2C9ADC"/>
                <w:sz w:val="20"/>
                <w:szCs w:val="18"/>
              </w:rPr>
            </w:pPr>
            <w:r w:rsidRPr="00866785">
              <w:rPr>
                <w:rFonts w:ascii="Arial Narrow" w:hAnsi="Arial Narrow" w:cs="Arial"/>
                <w:b/>
                <w:color w:val="2C9ADC"/>
                <w:sz w:val="20"/>
                <w:szCs w:val="18"/>
              </w:rPr>
              <w:t>Maslo</w:t>
            </w:r>
            <w:r w:rsidR="00C15ECF">
              <w:rPr>
                <w:rStyle w:val="Odkaznapoznmkupodiarou"/>
                <w:rFonts w:ascii="Arial Narrow" w:hAnsi="Arial Narrow" w:cs="Arial"/>
                <w:b/>
                <w:color w:val="2C9ADC"/>
                <w:sz w:val="20"/>
                <w:szCs w:val="18"/>
              </w:rPr>
              <w:footnoteReference w:id="5"/>
            </w:r>
            <w:r w:rsidRPr="00866785">
              <w:rPr>
                <w:rFonts w:ascii="Arial Narrow" w:hAnsi="Arial Narrow" w:cs="Arial"/>
                <w:b/>
                <w:color w:val="2C9ADC"/>
                <w:sz w:val="20"/>
                <w:szCs w:val="18"/>
              </w:rPr>
              <w:t>, maloobchodná cena (v €/kg, bez DPH)</w:t>
            </w:r>
          </w:p>
        </w:tc>
        <w:tc>
          <w:tcPr>
            <w:tcW w:w="94" w:type="pct"/>
            <w:tcBorders>
              <w:top w:val="nil"/>
              <w:left w:val="nil"/>
              <w:bottom w:val="nil"/>
              <w:right w:val="nil"/>
            </w:tcBorders>
            <w:shd w:val="clear" w:color="auto" w:fill="auto"/>
            <w:vAlign w:val="center"/>
          </w:tcPr>
          <w:p w14:paraId="2119A02B" w14:textId="77777777" w:rsidR="00091BA7" w:rsidRPr="00866785" w:rsidRDefault="00091BA7" w:rsidP="00947BF3">
            <w:pPr>
              <w:spacing w:after="120"/>
              <w:rPr>
                <w:rFonts w:ascii="Arial Narrow" w:hAnsi="Arial Narrow" w:cs="Arial"/>
                <w:b/>
                <w:color w:val="2C9ADC"/>
                <w:sz w:val="20"/>
                <w:szCs w:val="18"/>
              </w:rPr>
            </w:pPr>
          </w:p>
        </w:tc>
        <w:tc>
          <w:tcPr>
            <w:tcW w:w="2515" w:type="pct"/>
            <w:tcBorders>
              <w:top w:val="nil"/>
              <w:left w:val="nil"/>
              <w:bottom w:val="single" w:sz="4" w:space="0" w:color="auto"/>
              <w:right w:val="nil"/>
            </w:tcBorders>
            <w:shd w:val="clear" w:color="auto" w:fill="auto"/>
            <w:vAlign w:val="center"/>
          </w:tcPr>
          <w:p w14:paraId="6F2243AC" w14:textId="77777777" w:rsidR="00091BA7" w:rsidRPr="00866785" w:rsidRDefault="00091BA7" w:rsidP="00947BF3">
            <w:pPr>
              <w:spacing w:after="120"/>
              <w:rPr>
                <w:rFonts w:ascii="Arial Narrow" w:hAnsi="Arial Narrow" w:cs="Arial"/>
                <w:b/>
                <w:color w:val="2C9ADC"/>
                <w:sz w:val="20"/>
                <w:szCs w:val="18"/>
              </w:rPr>
            </w:pPr>
            <w:r w:rsidRPr="00866785">
              <w:rPr>
                <w:rFonts w:ascii="Arial Narrow" w:hAnsi="Arial Narrow" w:cs="Arial"/>
                <w:b/>
                <w:color w:val="2C9ADC"/>
                <w:sz w:val="20"/>
                <w:szCs w:val="18"/>
              </w:rPr>
              <w:t>Maslo, cena komodity (v €/100 kg)</w:t>
            </w:r>
          </w:p>
        </w:tc>
      </w:tr>
      <w:tr w:rsidR="00091BA7" w:rsidRPr="00866785" w14:paraId="4ECEFCD3" w14:textId="77777777" w:rsidTr="7D6FFD56">
        <w:trPr>
          <w:trHeight w:val="820"/>
        </w:trPr>
        <w:tc>
          <w:tcPr>
            <w:tcW w:w="2391" w:type="pct"/>
            <w:tcBorders>
              <w:top w:val="single" w:sz="4" w:space="0" w:color="auto"/>
              <w:left w:val="nil"/>
              <w:bottom w:val="single" w:sz="4" w:space="0" w:color="auto"/>
              <w:right w:val="nil"/>
            </w:tcBorders>
            <w:vAlign w:val="center"/>
          </w:tcPr>
          <w:p w14:paraId="402D66A8" w14:textId="5DEE8B84" w:rsidR="00091BA7" w:rsidRPr="00866785" w:rsidRDefault="00C15ECF" w:rsidP="00947BF3">
            <w:pPr>
              <w:spacing w:before="120" w:after="120"/>
              <w:jc w:val="center"/>
              <w:rPr>
                <w:rFonts w:ascii="Arial Narrow" w:hAnsi="Arial Narrow" w:cs="Arial"/>
                <w:b/>
                <w:bCs/>
                <w:sz w:val="20"/>
                <w:szCs w:val="20"/>
              </w:rPr>
            </w:pPr>
            <w:r>
              <w:rPr>
                <w:noProof/>
              </w:rPr>
              <w:drawing>
                <wp:inline distT="0" distB="0" distL="0" distR="0" wp14:anchorId="236B3720" wp14:editId="6C3F9B69">
                  <wp:extent cx="2610485" cy="2222450"/>
                  <wp:effectExtent l="0" t="0" r="0" b="6985"/>
                  <wp:docPr id="2054194591" name="Graf 1">
                    <a:extLst xmlns:a="http://schemas.openxmlformats.org/drawingml/2006/main">
                      <a:ext uri="{FF2B5EF4-FFF2-40B4-BE49-F238E27FC236}">
                        <a16:creationId xmlns:a16="http://schemas.microsoft.com/office/drawing/2014/main" id="{00000000-0008-0000-09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tc>
        <w:tc>
          <w:tcPr>
            <w:tcW w:w="94" w:type="pct"/>
            <w:tcBorders>
              <w:top w:val="nil"/>
              <w:left w:val="nil"/>
              <w:bottom w:val="nil"/>
              <w:right w:val="nil"/>
            </w:tcBorders>
            <w:vAlign w:val="center"/>
          </w:tcPr>
          <w:p w14:paraId="28C8091C" w14:textId="77777777" w:rsidR="00091BA7" w:rsidRPr="00866785" w:rsidRDefault="00091BA7" w:rsidP="00947BF3">
            <w:pPr>
              <w:spacing w:after="120"/>
              <w:jc w:val="center"/>
              <w:rPr>
                <w:rFonts w:ascii="Arial Narrow" w:hAnsi="Arial Narrow" w:cs="Arial"/>
                <w:b/>
                <w:sz w:val="20"/>
                <w:szCs w:val="20"/>
              </w:rPr>
            </w:pPr>
          </w:p>
          <w:p w14:paraId="1D1234FD" w14:textId="77777777" w:rsidR="00091BA7" w:rsidRPr="00866785" w:rsidRDefault="00091BA7" w:rsidP="00947BF3">
            <w:pPr>
              <w:spacing w:after="120"/>
              <w:jc w:val="center"/>
              <w:rPr>
                <w:rFonts w:ascii="Arial Narrow" w:hAnsi="Arial Narrow" w:cs="Arial"/>
                <w:b/>
                <w:sz w:val="20"/>
                <w:szCs w:val="20"/>
              </w:rPr>
            </w:pPr>
          </w:p>
          <w:p w14:paraId="5E87A221" w14:textId="77777777" w:rsidR="00091BA7" w:rsidRPr="00866785" w:rsidRDefault="00091BA7" w:rsidP="00947BF3">
            <w:pPr>
              <w:spacing w:after="120"/>
              <w:jc w:val="center"/>
              <w:rPr>
                <w:rFonts w:ascii="Arial Narrow" w:hAnsi="Arial Narrow" w:cs="Arial"/>
                <w:b/>
                <w:sz w:val="20"/>
                <w:szCs w:val="20"/>
              </w:rPr>
            </w:pPr>
          </w:p>
        </w:tc>
        <w:tc>
          <w:tcPr>
            <w:tcW w:w="2515" w:type="pct"/>
            <w:tcBorders>
              <w:top w:val="single" w:sz="4" w:space="0" w:color="auto"/>
              <w:left w:val="nil"/>
              <w:bottom w:val="single" w:sz="4" w:space="0" w:color="auto"/>
              <w:right w:val="nil"/>
            </w:tcBorders>
            <w:vAlign w:val="center"/>
          </w:tcPr>
          <w:p w14:paraId="1463AC20" w14:textId="3FC512F4" w:rsidR="00091BA7" w:rsidRPr="00866785" w:rsidRDefault="00C15ECF" w:rsidP="00947BF3">
            <w:pPr>
              <w:spacing w:after="120"/>
              <w:jc w:val="center"/>
              <w:rPr>
                <w:rFonts w:ascii="Arial Narrow" w:hAnsi="Arial Narrow" w:cs="Arial"/>
                <w:b/>
                <w:bCs/>
                <w:sz w:val="16"/>
                <w:szCs w:val="16"/>
              </w:rPr>
            </w:pPr>
            <w:r>
              <w:rPr>
                <w:noProof/>
              </w:rPr>
              <w:drawing>
                <wp:inline distT="0" distB="0" distL="0" distR="0" wp14:anchorId="0674F861" wp14:editId="152AED55">
                  <wp:extent cx="2750185" cy="2221502"/>
                  <wp:effectExtent l="0" t="0" r="0" b="7620"/>
                  <wp:docPr id="87691171" name="Graf 1">
                    <a:extLst xmlns:a="http://schemas.openxmlformats.org/drawingml/2006/main">
                      <a:ext uri="{FF2B5EF4-FFF2-40B4-BE49-F238E27FC236}">
                        <a16:creationId xmlns:a16="http://schemas.microsoft.com/office/drawing/2014/main" id="{00000000-0008-0000-09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tc>
      </w:tr>
      <w:tr w:rsidR="00091BA7" w:rsidRPr="00866785" w14:paraId="370A1E6A" w14:textId="77777777" w:rsidTr="7D6FFD56">
        <w:trPr>
          <w:trHeight w:val="104"/>
        </w:trPr>
        <w:tc>
          <w:tcPr>
            <w:tcW w:w="2391" w:type="pct"/>
            <w:tcBorders>
              <w:top w:val="single" w:sz="4" w:space="0" w:color="auto"/>
              <w:left w:val="nil"/>
              <w:bottom w:val="nil"/>
              <w:right w:val="nil"/>
            </w:tcBorders>
            <w:vAlign w:val="center"/>
          </w:tcPr>
          <w:p w14:paraId="75C60324" w14:textId="72BC14E6" w:rsidR="00091BA7" w:rsidRPr="00866785" w:rsidRDefault="00091BA7" w:rsidP="00947BF3">
            <w:pPr>
              <w:spacing w:after="120"/>
              <w:jc w:val="right"/>
              <w:rPr>
                <w:rFonts w:ascii="Arial Narrow" w:hAnsi="Arial Narrow" w:cs="Arial"/>
                <w:i/>
                <w:sz w:val="16"/>
                <w:szCs w:val="16"/>
              </w:rPr>
            </w:pPr>
            <w:r w:rsidRPr="00866785">
              <w:rPr>
                <w:rFonts w:ascii="Arial Narrow" w:hAnsi="Arial Narrow" w:cs="Arial"/>
                <w:i/>
                <w:sz w:val="16"/>
                <w:szCs w:val="16"/>
              </w:rPr>
              <w:t>Zdroj: ŠÚ SR, ČSÚ, KSH</w:t>
            </w:r>
            <w:r w:rsidR="00EC759C">
              <w:rPr>
                <w:rFonts w:ascii="Arial Narrow" w:hAnsi="Arial Narrow" w:cs="Arial"/>
                <w:i/>
                <w:sz w:val="16"/>
                <w:szCs w:val="16"/>
              </w:rPr>
              <w:t>, GUS</w:t>
            </w:r>
            <w:r w:rsidRPr="00866785">
              <w:rPr>
                <w:rFonts w:ascii="Arial Narrow" w:hAnsi="Arial Narrow" w:cs="Arial"/>
                <w:i/>
                <w:sz w:val="16"/>
                <w:szCs w:val="16"/>
              </w:rPr>
              <w:t xml:space="preserve"> </w:t>
            </w:r>
          </w:p>
        </w:tc>
        <w:tc>
          <w:tcPr>
            <w:tcW w:w="94" w:type="pct"/>
            <w:tcBorders>
              <w:top w:val="nil"/>
              <w:left w:val="nil"/>
              <w:bottom w:val="nil"/>
              <w:right w:val="nil"/>
            </w:tcBorders>
            <w:vAlign w:val="center"/>
          </w:tcPr>
          <w:p w14:paraId="487369C6" w14:textId="77777777" w:rsidR="00091BA7" w:rsidRPr="00866785" w:rsidRDefault="00091BA7" w:rsidP="00947BF3">
            <w:pPr>
              <w:spacing w:after="120"/>
              <w:jc w:val="center"/>
              <w:rPr>
                <w:rFonts w:ascii="Arial Narrow" w:hAnsi="Arial Narrow" w:cs="Arial"/>
                <w:i/>
                <w:sz w:val="16"/>
                <w:szCs w:val="16"/>
              </w:rPr>
            </w:pPr>
          </w:p>
        </w:tc>
        <w:tc>
          <w:tcPr>
            <w:tcW w:w="2515" w:type="pct"/>
            <w:tcBorders>
              <w:top w:val="single" w:sz="4" w:space="0" w:color="auto"/>
              <w:left w:val="nil"/>
              <w:bottom w:val="nil"/>
              <w:right w:val="nil"/>
            </w:tcBorders>
            <w:vAlign w:val="center"/>
          </w:tcPr>
          <w:p w14:paraId="0EADA7C6" w14:textId="77777777" w:rsidR="00091BA7" w:rsidRPr="00866785" w:rsidRDefault="00091BA7" w:rsidP="00947BF3">
            <w:pPr>
              <w:spacing w:after="120"/>
              <w:jc w:val="right"/>
              <w:rPr>
                <w:rFonts w:ascii="Arial Narrow" w:hAnsi="Arial Narrow" w:cs="Arial"/>
                <w:i/>
                <w:sz w:val="16"/>
                <w:szCs w:val="16"/>
              </w:rPr>
            </w:pPr>
            <w:r w:rsidRPr="00866785">
              <w:rPr>
                <w:rFonts w:ascii="Arial Narrow" w:hAnsi="Arial Narrow" w:cs="Arial"/>
                <w:i/>
                <w:sz w:val="16"/>
                <w:szCs w:val="16"/>
              </w:rPr>
              <w:t>Zdroj: EK</w:t>
            </w:r>
          </w:p>
        </w:tc>
      </w:tr>
    </w:tbl>
    <w:p w14:paraId="1A3D86ED" w14:textId="09562476" w:rsidR="00091BA7" w:rsidRDefault="00091BA7" w:rsidP="00947BF3">
      <w:pPr>
        <w:spacing w:after="160"/>
        <w:rPr>
          <w:rFonts w:ascii="Arial Narrow" w:hAnsi="Arial Narrow"/>
        </w:rPr>
      </w:pPr>
    </w:p>
    <w:p w14:paraId="456DF156" w14:textId="77777777" w:rsidR="00091BA7" w:rsidRDefault="00091BA7" w:rsidP="00947BF3">
      <w:pPr>
        <w:rPr>
          <w:rFonts w:ascii="Arial Narrow" w:hAnsi="Arial Narrow"/>
        </w:rPr>
      </w:pPr>
    </w:p>
    <w:p w14:paraId="15FF4CDE" w14:textId="77777777" w:rsidR="00C15ECF" w:rsidRDefault="00C15ECF" w:rsidP="00947BF3">
      <w:pPr>
        <w:rPr>
          <w:rFonts w:ascii="Arial Narrow" w:hAnsi="Arial Narrow"/>
        </w:rPr>
      </w:pPr>
    </w:p>
    <w:p w14:paraId="2F2EAC19" w14:textId="77777777" w:rsidR="00C15ECF" w:rsidRDefault="00C15ECF" w:rsidP="00947BF3">
      <w:pPr>
        <w:rPr>
          <w:rFonts w:ascii="Arial Narrow" w:hAnsi="Arial Narrow"/>
        </w:rPr>
      </w:pPr>
    </w:p>
    <w:p w14:paraId="191CC12E" w14:textId="77777777" w:rsidR="00C15ECF" w:rsidRDefault="00C15ECF" w:rsidP="00947BF3">
      <w:pPr>
        <w:rPr>
          <w:rFonts w:ascii="Arial Narrow" w:hAnsi="Arial Narrow"/>
        </w:rPr>
      </w:pPr>
    </w:p>
    <w:p w14:paraId="4C1A755E" w14:textId="77777777" w:rsidR="00C15ECF" w:rsidRDefault="00C15ECF" w:rsidP="00947BF3">
      <w:pPr>
        <w:rPr>
          <w:rFonts w:ascii="Arial Narrow" w:hAnsi="Arial Narrow"/>
        </w:rPr>
      </w:pPr>
    </w:p>
    <w:p w14:paraId="3857B6B7" w14:textId="77777777" w:rsidR="00C15ECF" w:rsidRDefault="00C15ECF" w:rsidP="00947BF3">
      <w:pPr>
        <w:rPr>
          <w:rFonts w:ascii="Arial Narrow" w:hAnsi="Arial Narrow"/>
        </w:rPr>
      </w:pPr>
    </w:p>
    <w:p w14:paraId="37697CDB" w14:textId="77777777" w:rsidR="00C15ECF" w:rsidRDefault="00C15ECF" w:rsidP="00947BF3">
      <w:pPr>
        <w:rPr>
          <w:rFonts w:ascii="Arial Narrow" w:hAnsi="Arial Narrow"/>
        </w:rPr>
      </w:pPr>
    </w:p>
    <w:tbl>
      <w:tblPr>
        <w:tblW w:w="4899"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1E0" w:firstRow="1" w:lastRow="1" w:firstColumn="1" w:lastColumn="1" w:noHBand="0" w:noVBand="0"/>
      </w:tblPr>
      <w:tblGrid>
        <w:gridCol w:w="4250"/>
        <w:gridCol w:w="167"/>
        <w:gridCol w:w="4470"/>
      </w:tblGrid>
      <w:tr w:rsidR="00091BA7" w:rsidRPr="00866785" w14:paraId="232EBBDA" w14:textId="77777777" w:rsidTr="7D6FFD56">
        <w:trPr>
          <w:trHeight w:val="321"/>
        </w:trPr>
        <w:tc>
          <w:tcPr>
            <w:tcW w:w="2391" w:type="pct"/>
            <w:tcBorders>
              <w:top w:val="nil"/>
              <w:left w:val="nil"/>
              <w:bottom w:val="single" w:sz="4" w:space="0" w:color="auto"/>
              <w:right w:val="nil"/>
            </w:tcBorders>
            <w:shd w:val="clear" w:color="auto" w:fill="auto"/>
            <w:vAlign w:val="center"/>
          </w:tcPr>
          <w:p w14:paraId="44774520" w14:textId="689A310E" w:rsidR="00091BA7" w:rsidRPr="00866785" w:rsidRDefault="009C5DF8" w:rsidP="00947BF3">
            <w:pPr>
              <w:spacing w:after="120"/>
              <w:rPr>
                <w:rFonts w:ascii="Arial Narrow" w:hAnsi="Arial Narrow" w:cs="Arial"/>
                <w:b/>
                <w:color w:val="2C9ADC"/>
                <w:sz w:val="20"/>
                <w:szCs w:val="18"/>
              </w:rPr>
            </w:pPr>
            <w:r w:rsidRPr="00866785">
              <w:rPr>
                <w:rFonts w:ascii="Arial Narrow" w:hAnsi="Arial Narrow" w:cs="Arial"/>
                <w:b/>
                <w:color w:val="2C9ADC"/>
                <w:sz w:val="20"/>
                <w:szCs w:val="18"/>
              </w:rPr>
              <w:t>Jablká, maloobchodná cena (v €/kg, bez DPH)</w:t>
            </w:r>
          </w:p>
        </w:tc>
        <w:tc>
          <w:tcPr>
            <w:tcW w:w="94" w:type="pct"/>
            <w:tcBorders>
              <w:top w:val="nil"/>
              <w:left w:val="nil"/>
              <w:bottom w:val="nil"/>
              <w:right w:val="nil"/>
            </w:tcBorders>
            <w:shd w:val="clear" w:color="auto" w:fill="auto"/>
            <w:vAlign w:val="center"/>
          </w:tcPr>
          <w:p w14:paraId="2EA3BF4F" w14:textId="77777777" w:rsidR="00091BA7" w:rsidRPr="00866785" w:rsidRDefault="00091BA7" w:rsidP="00947BF3">
            <w:pPr>
              <w:spacing w:after="120"/>
              <w:rPr>
                <w:rFonts w:ascii="Arial Narrow" w:hAnsi="Arial Narrow" w:cs="Arial"/>
                <w:b/>
                <w:color w:val="2C9ADC"/>
                <w:sz w:val="20"/>
                <w:szCs w:val="18"/>
              </w:rPr>
            </w:pPr>
          </w:p>
        </w:tc>
        <w:tc>
          <w:tcPr>
            <w:tcW w:w="2515" w:type="pct"/>
            <w:tcBorders>
              <w:top w:val="nil"/>
              <w:left w:val="nil"/>
              <w:bottom w:val="single" w:sz="4" w:space="0" w:color="auto"/>
              <w:right w:val="nil"/>
            </w:tcBorders>
            <w:shd w:val="clear" w:color="auto" w:fill="auto"/>
            <w:vAlign w:val="center"/>
          </w:tcPr>
          <w:p w14:paraId="1C527A68" w14:textId="7E58E144" w:rsidR="00091BA7" w:rsidRPr="00866785" w:rsidRDefault="009C5DF8" w:rsidP="00947BF3">
            <w:pPr>
              <w:spacing w:after="120"/>
              <w:rPr>
                <w:rFonts w:ascii="Arial Narrow" w:hAnsi="Arial Narrow" w:cs="Arial"/>
                <w:b/>
                <w:color w:val="2C9ADC"/>
                <w:sz w:val="20"/>
                <w:szCs w:val="18"/>
              </w:rPr>
            </w:pPr>
            <w:r w:rsidRPr="00866785">
              <w:rPr>
                <w:rFonts w:ascii="Arial Narrow" w:hAnsi="Arial Narrow" w:cs="Arial"/>
                <w:b/>
                <w:color w:val="2C9ADC"/>
                <w:sz w:val="20"/>
                <w:szCs w:val="18"/>
              </w:rPr>
              <w:t>Zemiaky, maloobchodná cena (v €/kg, bez DPH)</w:t>
            </w:r>
          </w:p>
        </w:tc>
      </w:tr>
      <w:tr w:rsidR="00091BA7" w:rsidRPr="00866785" w14:paraId="5F1254E1" w14:textId="77777777" w:rsidTr="7D6FFD56">
        <w:trPr>
          <w:trHeight w:val="820"/>
        </w:trPr>
        <w:tc>
          <w:tcPr>
            <w:tcW w:w="2391" w:type="pct"/>
            <w:tcBorders>
              <w:top w:val="single" w:sz="4" w:space="0" w:color="auto"/>
              <w:left w:val="nil"/>
              <w:bottom w:val="single" w:sz="4" w:space="0" w:color="auto"/>
              <w:right w:val="nil"/>
            </w:tcBorders>
            <w:vAlign w:val="center"/>
          </w:tcPr>
          <w:p w14:paraId="52E96C64" w14:textId="6A677E90" w:rsidR="00091BA7" w:rsidRPr="00866785" w:rsidRDefault="00C15ECF" w:rsidP="00947BF3">
            <w:pPr>
              <w:spacing w:before="120" w:after="120"/>
              <w:jc w:val="center"/>
              <w:rPr>
                <w:rFonts w:ascii="Arial Narrow" w:hAnsi="Arial Narrow" w:cs="Arial"/>
                <w:b/>
                <w:bCs/>
                <w:sz w:val="20"/>
                <w:szCs w:val="20"/>
              </w:rPr>
            </w:pPr>
            <w:r>
              <w:rPr>
                <w:noProof/>
              </w:rPr>
              <w:drawing>
                <wp:inline distT="0" distB="0" distL="0" distR="0" wp14:anchorId="1F6F5798" wp14:editId="62D10B8C">
                  <wp:extent cx="2610485" cy="2439035"/>
                  <wp:effectExtent l="0" t="0" r="0" b="0"/>
                  <wp:docPr id="1418060589" name="Graf 1">
                    <a:extLst xmlns:a="http://schemas.openxmlformats.org/drawingml/2006/main">
                      <a:ext uri="{FF2B5EF4-FFF2-40B4-BE49-F238E27FC236}">
                        <a16:creationId xmlns:a16="http://schemas.microsoft.com/office/drawing/2014/main" id="{00000000-0008-0000-0B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tc>
        <w:tc>
          <w:tcPr>
            <w:tcW w:w="94" w:type="pct"/>
            <w:tcBorders>
              <w:top w:val="nil"/>
              <w:left w:val="nil"/>
              <w:bottom w:val="nil"/>
              <w:right w:val="nil"/>
            </w:tcBorders>
            <w:vAlign w:val="center"/>
          </w:tcPr>
          <w:p w14:paraId="5FF01C22" w14:textId="77777777" w:rsidR="00091BA7" w:rsidRPr="00866785" w:rsidRDefault="00091BA7" w:rsidP="00947BF3">
            <w:pPr>
              <w:spacing w:after="120"/>
              <w:jc w:val="center"/>
              <w:rPr>
                <w:rFonts w:ascii="Arial Narrow" w:hAnsi="Arial Narrow" w:cs="Arial"/>
                <w:b/>
                <w:sz w:val="20"/>
                <w:szCs w:val="20"/>
              </w:rPr>
            </w:pPr>
          </w:p>
          <w:p w14:paraId="19741C18" w14:textId="77777777" w:rsidR="00091BA7" w:rsidRPr="00866785" w:rsidRDefault="00091BA7" w:rsidP="00947BF3">
            <w:pPr>
              <w:spacing w:after="120"/>
              <w:jc w:val="center"/>
              <w:rPr>
                <w:rFonts w:ascii="Arial Narrow" w:hAnsi="Arial Narrow" w:cs="Arial"/>
                <w:b/>
                <w:sz w:val="20"/>
                <w:szCs w:val="20"/>
              </w:rPr>
            </w:pPr>
          </w:p>
          <w:p w14:paraId="16669319" w14:textId="77777777" w:rsidR="00091BA7" w:rsidRPr="00866785" w:rsidRDefault="00091BA7" w:rsidP="00947BF3">
            <w:pPr>
              <w:spacing w:after="120"/>
              <w:jc w:val="center"/>
              <w:rPr>
                <w:rFonts w:ascii="Arial Narrow" w:hAnsi="Arial Narrow" w:cs="Arial"/>
                <w:b/>
                <w:sz w:val="20"/>
                <w:szCs w:val="20"/>
              </w:rPr>
            </w:pPr>
          </w:p>
        </w:tc>
        <w:tc>
          <w:tcPr>
            <w:tcW w:w="2515" w:type="pct"/>
            <w:tcBorders>
              <w:top w:val="single" w:sz="4" w:space="0" w:color="auto"/>
              <w:left w:val="nil"/>
              <w:bottom w:val="single" w:sz="4" w:space="0" w:color="auto"/>
              <w:right w:val="nil"/>
            </w:tcBorders>
            <w:vAlign w:val="center"/>
          </w:tcPr>
          <w:p w14:paraId="7825D968" w14:textId="7FBA056F" w:rsidR="00091BA7" w:rsidRPr="00866785" w:rsidRDefault="00C15ECF" w:rsidP="00947BF3">
            <w:pPr>
              <w:spacing w:after="120"/>
              <w:jc w:val="center"/>
              <w:rPr>
                <w:rFonts w:ascii="Arial Narrow" w:hAnsi="Arial Narrow" w:cs="Arial"/>
                <w:b/>
                <w:bCs/>
                <w:sz w:val="16"/>
                <w:szCs w:val="16"/>
              </w:rPr>
            </w:pPr>
            <w:r>
              <w:rPr>
                <w:noProof/>
              </w:rPr>
              <w:drawing>
                <wp:inline distT="0" distB="0" distL="0" distR="0" wp14:anchorId="1E6F7986" wp14:editId="0C6BB36F">
                  <wp:extent cx="2750185" cy="2511638"/>
                  <wp:effectExtent l="0" t="0" r="0" b="3175"/>
                  <wp:docPr id="17423391" name="Graf 1">
                    <a:extLst xmlns:a="http://schemas.openxmlformats.org/drawingml/2006/main">
                      <a:ext uri="{FF2B5EF4-FFF2-40B4-BE49-F238E27FC236}">
                        <a16:creationId xmlns:a16="http://schemas.microsoft.com/office/drawing/2014/main" id="{00000000-0008-0000-0C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0958619D">
              <w:rPr>
                <w:noProof/>
              </w:rPr>
              <w:t xml:space="preserve"> </w:t>
            </w:r>
          </w:p>
        </w:tc>
      </w:tr>
      <w:tr w:rsidR="00091BA7" w:rsidRPr="00866785" w14:paraId="0190DC95" w14:textId="77777777" w:rsidTr="7D6FFD56">
        <w:trPr>
          <w:trHeight w:val="104"/>
        </w:trPr>
        <w:tc>
          <w:tcPr>
            <w:tcW w:w="2391" w:type="pct"/>
            <w:tcBorders>
              <w:top w:val="single" w:sz="4" w:space="0" w:color="auto"/>
              <w:left w:val="nil"/>
              <w:bottom w:val="nil"/>
              <w:right w:val="nil"/>
            </w:tcBorders>
            <w:vAlign w:val="center"/>
          </w:tcPr>
          <w:p w14:paraId="5D4F1D5E" w14:textId="2CFC08DB" w:rsidR="00091BA7" w:rsidRPr="00866785" w:rsidRDefault="00091BA7" w:rsidP="00947BF3">
            <w:pPr>
              <w:spacing w:after="120"/>
              <w:jc w:val="right"/>
              <w:rPr>
                <w:rFonts w:ascii="Arial Narrow" w:hAnsi="Arial Narrow" w:cs="Arial"/>
                <w:i/>
                <w:sz w:val="16"/>
                <w:szCs w:val="16"/>
              </w:rPr>
            </w:pPr>
            <w:r w:rsidRPr="00866785">
              <w:rPr>
                <w:rFonts w:ascii="Arial Narrow" w:hAnsi="Arial Narrow" w:cs="Arial"/>
                <w:i/>
                <w:sz w:val="16"/>
                <w:szCs w:val="16"/>
              </w:rPr>
              <w:t>Zdroj: ŠÚ SR, ČSÚ, KSH</w:t>
            </w:r>
            <w:r w:rsidR="00EC759C">
              <w:rPr>
                <w:rFonts w:ascii="Arial Narrow" w:hAnsi="Arial Narrow" w:cs="Arial"/>
                <w:i/>
                <w:sz w:val="16"/>
                <w:szCs w:val="16"/>
              </w:rPr>
              <w:t>, GUS</w:t>
            </w:r>
            <w:r w:rsidRPr="00866785">
              <w:rPr>
                <w:rFonts w:ascii="Arial Narrow" w:hAnsi="Arial Narrow" w:cs="Arial"/>
                <w:i/>
                <w:sz w:val="16"/>
                <w:szCs w:val="16"/>
              </w:rPr>
              <w:t xml:space="preserve"> </w:t>
            </w:r>
          </w:p>
        </w:tc>
        <w:tc>
          <w:tcPr>
            <w:tcW w:w="94" w:type="pct"/>
            <w:tcBorders>
              <w:top w:val="nil"/>
              <w:left w:val="nil"/>
              <w:bottom w:val="nil"/>
              <w:right w:val="nil"/>
            </w:tcBorders>
            <w:vAlign w:val="center"/>
          </w:tcPr>
          <w:p w14:paraId="3F2692FD" w14:textId="77777777" w:rsidR="00091BA7" w:rsidRPr="00866785" w:rsidRDefault="00091BA7" w:rsidP="00947BF3">
            <w:pPr>
              <w:spacing w:after="120"/>
              <w:jc w:val="center"/>
              <w:rPr>
                <w:rFonts w:ascii="Arial Narrow" w:hAnsi="Arial Narrow" w:cs="Arial"/>
                <w:i/>
                <w:sz w:val="16"/>
                <w:szCs w:val="16"/>
              </w:rPr>
            </w:pPr>
          </w:p>
        </w:tc>
        <w:tc>
          <w:tcPr>
            <w:tcW w:w="2515" w:type="pct"/>
            <w:tcBorders>
              <w:top w:val="single" w:sz="4" w:space="0" w:color="auto"/>
              <w:left w:val="nil"/>
              <w:bottom w:val="nil"/>
              <w:right w:val="nil"/>
            </w:tcBorders>
            <w:vAlign w:val="center"/>
          </w:tcPr>
          <w:p w14:paraId="45E1C6B5" w14:textId="42C27DA7" w:rsidR="00091BA7" w:rsidRPr="00866785" w:rsidRDefault="00091BA7" w:rsidP="00947BF3">
            <w:pPr>
              <w:spacing w:after="120"/>
              <w:jc w:val="right"/>
              <w:rPr>
                <w:rFonts w:ascii="Arial Narrow" w:hAnsi="Arial Narrow" w:cs="Arial"/>
                <w:i/>
                <w:sz w:val="16"/>
                <w:szCs w:val="16"/>
              </w:rPr>
            </w:pPr>
            <w:r w:rsidRPr="00866785">
              <w:rPr>
                <w:rFonts w:ascii="Arial Narrow" w:hAnsi="Arial Narrow" w:cs="Arial"/>
                <w:i/>
                <w:sz w:val="16"/>
                <w:szCs w:val="16"/>
              </w:rPr>
              <w:t>Zdroj: ŠÚ SR, ČSÚ, KSH</w:t>
            </w:r>
            <w:r w:rsidR="00EC759C">
              <w:rPr>
                <w:rFonts w:ascii="Arial Narrow" w:hAnsi="Arial Narrow" w:cs="Arial"/>
                <w:i/>
                <w:sz w:val="16"/>
                <w:szCs w:val="16"/>
              </w:rPr>
              <w:t>, GUS</w:t>
            </w:r>
            <w:r w:rsidRPr="00866785">
              <w:rPr>
                <w:rFonts w:ascii="Arial Narrow" w:hAnsi="Arial Narrow" w:cs="Arial"/>
                <w:i/>
                <w:sz w:val="16"/>
                <w:szCs w:val="16"/>
              </w:rPr>
              <w:t xml:space="preserve"> </w:t>
            </w:r>
          </w:p>
        </w:tc>
      </w:tr>
    </w:tbl>
    <w:p w14:paraId="6E1C8164" w14:textId="77777777" w:rsidR="00091BA7" w:rsidRPr="00866785" w:rsidRDefault="00091BA7" w:rsidP="00947BF3">
      <w:pPr>
        <w:tabs>
          <w:tab w:val="right" w:pos="9072"/>
        </w:tabs>
        <w:spacing w:before="240" w:after="120"/>
        <w:jc w:val="both"/>
        <w:rPr>
          <w:rFonts w:ascii="Arial Narrow" w:hAnsi="Arial Narrow"/>
          <w:b/>
          <w:bCs/>
          <w:sz w:val="2"/>
          <w:szCs w:val="2"/>
        </w:rPr>
      </w:pPr>
    </w:p>
    <w:p w14:paraId="149DE430" w14:textId="50370B2E" w:rsidR="00317CF6" w:rsidRPr="007E6704" w:rsidRDefault="00317CF6" w:rsidP="00947BF3">
      <w:pPr>
        <w:pStyle w:val="Nadpis2"/>
        <w:numPr>
          <w:ilvl w:val="1"/>
          <w:numId w:val="1"/>
        </w:numPr>
        <w:spacing w:after="240"/>
        <w:ind w:left="426"/>
        <w:rPr>
          <w:rFonts w:ascii="Arial Narrow" w:hAnsi="Arial Narrow"/>
          <w:b/>
          <w:bCs/>
          <w:color w:val="5B9BD5" w:themeColor="accent1"/>
          <w:lang w:eastAsia="en-US"/>
        </w:rPr>
      </w:pPr>
      <w:bookmarkStart w:id="13" w:name="_Toc201832585"/>
      <w:bookmarkStart w:id="14" w:name="_Toc202358581"/>
      <w:r w:rsidRPr="007E6704">
        <w:rPr>
          <w:rFonts w:ascii="Arial Narrow" w:hAnsi="Arial Narrow"/>
          <w:b/>
          <w:bCs/>
          <w:color w:val="5B9BD5" w:themeColor="accent1"/>
          <w:lang w:eastAsia="en-US"/>
        </w:rPr>
        <w:t>Rozklad inflácie potravín, nápojov a tabaku</w:t>
      </w:r>
      <w:bookmarkEnd w:id="13"/>
      <w:bookmarkEnd w:id="14"/>
    </w:p>
    <w:p w14:paraId="0A18172F" w14:textId="77777777" w:rsidR="00C1535F" w:rsidRPr="00B56FA3" w:rsidRDefault="00C1535F" w:rsidP="00947BF3">
      <w:pPr>
        <w:spacing w:after="240"/>
        <w:jc w:val="both"/>
        <w:rPr>
          <w:rFonts w:ascii="Arial Narrow" w:hAnsi="Arial Narrow"/>
          <w:sz w:val="24"/>
          <w:szCs w:val="24"/>
        </w:rPr>
      </w:pPr>
      <w:r w:rsidRPr="00B56FA3">
        <w:rPr>
          <w:rFonts w:ascii="Arial Narrow" w:hAnsi="Arial Narrow"/>
          <w:sz w:val="24"/>
          <w:szCs w:val="24"/>
        </w:rPr>
        <w:t>Rok 2024 priniesol výrazné spomalenie potravinovej inflácie. Zatiaľ čo v predchádzajúcich rokoch (2022 a 2023) bol rast cien potravín podporený predovšetkým ziskovou zložkou potravinovej vertikály (producenti, spracovatelia a obchodníci), v roku 2024 sa profil inflácie zmenil.</w:t>
      </w:r>
    </w:p>
    <w:p w14:paraId="593E0CA9" w14:textId="48D3433E" w:rsidR="00C1535F" w:rsidRPr="00B56FA3" w:rsidRDefault="00C1535F" w:rsidP="00947BF3">
      <w:pPr>
        <w:spacing w:after="240"/>
        <w:jc w:val="both"/>
        <w:rPr>
          <w:rFonts w:ascii="Arial Narrow" w:hAnsi="Arial Narrow"/>
          <w:sz w:val="24"/>
          <w:szCs w:val="24"/>
        </w:rPr>
      </w:pPr>
      <w:r w:rsidRPr="00B56FA3">
        <w:rPr>
          <w:rFonts w:ascii="Arial Narrow" w:hAnsi="Arial Narrow"/>
          <w:sz w:val="24"/>
          <w:szCs w:val="24"/>
        </w:rPr>
        <w:t>V prvej polovici roka 2024 medziročný rast cien potravín klesol k úrovni približne 3</w:t>
      </w:r>
      <w:r w:rsidRPr="00B56FA3">
        <w:rPr>
          <w:rFonts w:ascii="Arial" w:hAnsi="Arial" w:cs="Arial"/>
          <w:sz w:val="24"/>
          <w:szCs w:val="24"/>
        </w:rPr>
        <w:t> </w:t>
      </w:r>
      <w:r w:rsidRPr="00B56FA3">
        <w:rPr>
          <w:rFonts w:ascii="Arial Narrow" w:hAnsi="Arial Narrow"/>
          <w:sz w:val="24"/>
          <w:szCs w:val="24"/>
        </w:rPr>
        <w:t>%. Zároveň sa výrazne znížil príspevok tzv. „nevysvetlenej časti“ (teda ziskovej zložky), ktorá v predchádzajúcom období tvorila významný podiel na inflácii. Naproti tomu príspevok mzdových nákladov sa stabilizoval na úrovni 1,7</w:t>
      </w:r>
      <w:r w:rsidR="00B56FA3">
        <w:rPr>
          <w:rFonts w:ascii="Arial Narrow" w:hAnsi="Arial Narrow"/>
          <w:sz w:val="24"/>
          <w:szCs w:val="24"/>
        </w:rPr>
        <w:t> </w:t>
      </w:r>
      <w:r w:rsidRPr="00B56FA3">
        <w:rPr>
          <w:rFonts w:ascii="Arial Narrow" w:hAnsi="Arial Narrow"/>
          <w:sz w:val="24"/>
          <w:szCs w:val="24"/>
        </w:rPr>
        <w:t>percentuálneho bodu. Tento vývoj súvisel s kompenzačným rastom miezd v reakcii na predchádzajúce obdobie vysokej inflácie a poklesu reálnych príjmov zamestnancov.</w:t>
      </w:r>
    </w:p>
    <w:p w14:paraId="4F662340" w14:textId="260746E9" w:rsidR="00C1535F" w:rsidRPr="005779C4" w:rsidRDefault="00C1535F" w:rsidP="005779C4">
      <w:pPr>
        <w:spacing w:after="240"/>
        <w:jc w:val="both"/>
        <w:rPr>
          <w:rFonts w:ascii="Arial Narrow" w:hAnsi="Arial Narrow"/>
          <w:sz w:val="24"/>
          <w:szCs w:val="24"/>
        </w:rPr>
      </w:pPr>
      <w:r w:rsidRPr="00B56FA3">
        <w:rPr>
          <w:rFonts w:ascii="Arial Narrow" w:hAnsi="Arial Narrow"/>
          <w:sz w:val="24"/>
          <w:szCs w:val="24"/>
        </w:rPr>
        <w:t>Významnú úlohu zohrali aj klesajúce energetické náklady – vrátane cien pohonných hmôt, elektriny, plynu a tepla, ktoré pôsobili protiinflačne a prispeli k zmierneniu cenových tlakov naprieč potravinovým reťazcom.</w:t>
      </w:r>
    </w:p>
    <w:p w14:paraId="2641A6C9" w14:textId="77777777" w:rsidR="00C1535F" w:rsidRDefault="00C1535F" w:rsidP="00947BF3">
      <w:pPr>
        <w:pStyle w:val="Normlnywebov"/>
        <w:jc w:val="both"/>
        <w:rPr>
          <w:rFonts w:ascii="Arial Narrow" w:hAnsi="Arial Narrow" w:cs="Arial"/>
          <w:b/>
          <w:bCs/>
          <w:color w:val="2C9ADC"/>
          <w:sz w:val="20"/>
          <w:szCs w:val="20"/>
        </w:rPr>
      </w:pPr>
    </w:p>
    <w:p w14:paraId="303E3673" w14:textId="77777777" w:rsidR="00C1535F" w:rsidRDefault="00C1535F" w:rsidP="00947BF3">
      <w:pPr>
        <w:pStyle w:val="Normlnywebov"/>
        <w:jc w:val="both"/>
        <w:rPr>
          <w:rFonts w:ascii="Arial Narrow" w:hAnsi="Arial Narrow" w:cs="Arial"/>
          <w:b/>
          <w:bCs/>
          <w:color w:val="2C9ADC"/>
          <w:sz w:val="20"/>
          <w:szCs w:val="20"/>
        </w:rPr>
      </w:pPr>
    </w:p>
    <w:p w14:paraId="00463B5B" w14:textId="77777777" w:rsidR="00C1535F" w:rsidRDefault="00C1535F" w:rsidP="00947BF3">
      <w:pPr>
        <w:pStyle w:val="Normlnywebov"/>
        <w:jc w:val="both"/>
        <w:rPr>
          <w:rFonts w:ascii="Arial Narrow" w:hAnsi="Arial Narrow" w:cs="Arial"/>
          <w:b/>
          <w:bCs/>
          <w:color w:val="2C9ADC"/>
          <w:sz w:val="20"/>
          <w:szCs w:val="20"/>
        </w:rPr>
      </w:pPr>
    </w:p>
    <w:p w14:paraId="73941A25" w14:textId="77777777" w:rsidR="00C1535F" w:rsidRDefault="00C1535F" w:rsidP="00947BF3">
      <w:pPr>
        <w:pStyle w:val="Normlnywebov"/>
        <w:jc w:val="both"/>
        <w:rPr>
          <w:rFonts w:ascii="Arial Narrow" w:hAnsi="Arial Narrow" w:cs="Arial"/>
          <w:b/>
          <w:bCs/>
          <w:color w:val="2C9ADC"/>
          <w:sz w:val="20"/>
          <w:szCs w:val="20"/>
        </w:rPr>
      </w:pPr>
    </w:p>
    <w:p w14:paraId="2D018012" w14:textId="77777777" w:rsidR="00C1535F" w:rsidRDefault="00C1535F" w:rsidP="00947BF3">
      <w:pPr>
        <w:pStyle w:val="Normlnywebov"/>
        <w:jc w:val="both"/>
        <w:rPr>
          <w:rFonts w:ascii="Arial Narrow" w:hAnsi="Arial Narrow" w:cs="Arial"/>
          <w:b/>
          <w:bCs/>
          <w:color w:val="2C9ADC"/>
          <w:sz w:val="20"/>
          <w:szCs w:val="20"/>
        </w:rPr>
      </w:pPr>
    </w:p>
    <w:tbl>
      <w:tblPr>
        <w:tblW w:w="4900"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1E0" w:firstRow="1" w:lastRow="1" w:firstColumn="1" w:lastColumn="1" w:noHBand="0" w:noVBand="0"/>
      </w:tblPr>
      <w:tblGrid>
        <w:gridCol w:w="4251"/>
        <w:gridCol w:w="167"/>
        <w:gridCol w:w="4471"/>
      </w:tblGrid>
      <w:tr w:rsidR="00C64317" w:rsidRPr="00727A84" w14:paraId="01056658" w14:textId="77777777" w:rsidTr="00C64317">
        <w:trPr>
          <w:trHeight w:val="321"/>
        </w:trPr>
        <w:tc>
          <w:tcPr>
            <w:tcW w:w="2391" w:type="pct"/>
            <w:tcBorders>
              <w:top w:val="nil"/>
              <w:left w:val="nil"/>
              <w:bottom w:val="single" w:sz="4" w:space="0" w:color="auto"/>
              <w:right w:val="nil"/>
            </w:tcBorders>
            <w:vAlign w:val="center"/>
          </w:tcPr>
          <w:p w14:paraId="7B0D0102" w14:textId="77777777" w:rsidR="00C64317" w:rsidRPr="001D3F18" w:rsidRDefault="00C64317" w:rsidP="00947BF3">
            <w:pPr>
              <w:spacing w:after="120"/>
              <w:jc w:val="both"/>
              <w:rPr>
                <w:rFonts w:ascii="Arial Narrow" w:hAnsi="Arial Narrow" w:cs="Arial"/>
                <w:b/>
                <w:color w:val="2C9ADC"/>
                <w:sz w:val="20"/>
                <w:szCs w:val="18"/>
                <w:highlight w:val="yellow"/>
              </w:rPr>
            </w:pPr>
            <w:r w:rsidRPr="00A077C4">
              <w:rPr>
                <w:rFonts w:ascii="Arial Narrow" w:hAnsi="Arial Narrow" w:cs="Arial"/>
                <w:b/>
                <w:color w:val="2C9ADC"/>
                <w:sz w:val="20"/>
                <w:szCs w:val="18"/>
              </w:rPr>
              <w:t>Podrobný rozklad štvrťročnej inflácie potravín, nápojov a tabaku podľa príspevkov medziročnému rastu, v p.b. od začiatku roku 2021</w:t>
            </w:r>
          </w:p>
        </w:tc>
        <w:tc>
          <w:tcPr>
            <w:tcW w:w="94" w:type="pct"/>
            <w:tcBorders>
              <w:top w:val="nil"/>
              <w:left w:val="nil"/>
              <w:bottom w:val="nil"/>
              <w:right w:val="nil"/>
            </w:tcBorders>
            <w:vAlign w:val="center"/>
          </w:tcPr>
          <w:p w14:paraId="3CECA8A8" w14:textId="77777777" w:rsidR="00C64317" w:rsidRPr="001D3F18" w:rsidRDefault="00C64317" w:rsidP="00947BF3">
            <w:pPr>
              <w:spacing w:after="120"/>
              <w:rPr>
                <w:rFonts w:ascii="Arial Narrow" w:hAnsi="Arial Narrow" w:cs="Arial"/>
                <w:b/>
                <w:color w:val="2C9ADC"/>
                <w:sz w:val="20"/>
                <w:szCs w:val="18"/>
                <w:highlight w:val="yellow"/>
              </w:rPr>
            </w:pPr>
          </w:p>
        </w:tc>
        <w:tc>
          <w:tcPr>
            <w:tcW w:w="2515" w:type="pct"/>
            <w:tcBorders>
              <w:top w:val="nil"/>
              <w:left w:val="nil"/>
              <w:bottom w:val="single" w:sz="4" w:space="0" w:color="auto"/>
              <w:right w:val="nil"/>
            </w:tcBorders>
            <w:vAlign w:val="center"/>
          </w:tcPr>
          <w:p w14:paraId="5E0F037B" w14:textId="77777777" w:rsidR="00C64317" w:rsidRPr="00857BAC" w:rsidRDefault="00C64317" w:rsidP="00947BF3">
            <w:pPr>
              <w:spacing w:after="120"/>
              <w:rPr>
                <w:rFonts w:ascii="Arial Narrow" w:hAnsi="Arial Narrow" w:cs="Arial"/>
                <w:b/>
                <w:color w:val="2C9ADC"/>
                <w:sz w:val="20"/>
                <w:szCs w:val="18"/>
                <w:highlight w:val="yellow"/>
              </w:rPr>
            </w:pPr>
            <w:r w:rsidRPr="00711C70">
              <w:rPr>
                <w:rFonts w:ascii="Arial Narrow" w:hAnsi="Arial Narrow" w:cs="Arial"/>
                <w:b/>
                <w:color w:val="2C9ADC"/>
                <w:sz w:val="20"/>
                <w:szCs w:val="18"/>
              </w:rPr>
              <w:t>Odhad výšky inflácie potravín, nápojov a tabaku ak by zisky firiem rástli rovnakým tempom ako mzdy (medziročný rast, v %)</w:t>
            </w:r>
            <w:r>
              <w:rPr>
                <w:rFonts w:ascii="Arial Narrow" w:hAnsi="Arial Narrow" w:cs="Arial"/>
                <w:b/>
                <w:color w:val="2C9ADC"/>
                <w:sz w:val="20"/>
                <w:szCs w:val="18"/>
              </w:rPr>
              <w:t xml:space="preserve"> </w:t>
            </w:r>
          </w:p>
        </w:tc>
      </w:tr>
      <w:tr w:rsidR="00C64317" w:rsidRPr="00727A84" w14:paraId="3FCA8FE3" w14:textId="77777777" w:rsidTr="00C64317">
        <w:trPr>
          <w:trHeight w:val="820"/>
        </w:trPr>
        <w:tc>
          <w:tcPr>
            <w:tcW w:w="2391" w:type="pct"/>
            <w:tcBorders>
              <w:top w:val="single" w:sz="4" w:space="0" w:color="auto"/>
              <w:left w:val="nil"/>
              <w:bottom w:val="single" w:sz="4" w:space="0" w:color="auto"/>
              <w:right w:val="nil"/>
            </w:tcBorders>
            <w:vAlign w:val="center"/>
          </w:tcPr>
          <w:p w14:paraId="4733FD95" w14:textId="77777777" w:rsidR="00C64317" w:rsidRPr="00727A84" w:rsidRDefault="00C64317" w:rsidP="00947BF3">
            <w:pPr>
              <w:spacing w:after="120"/>
              <w:jc w:val="center"/>
              <w:rPr>
                <w:rFonts w:ascii="Arial Narrow" w:hAnsi="Arial Narrow" w:cs="Arial"/>
                <w:b/>
                <w:bCs/>
                <w:sz w:val="20"/>
                <w:szCs w:val="20"/>
              </w:rPr>
            </w:pPr>
            <w:r>
              <w:rPr>
                <w:noProof/>
              </w:rPr>
              <w:drawing>
                <wp:inline distT="0" distB="0" distL="0" distR="0" wp14:anchorId="42401013" wp14:editId="2EB5878A">
                  <wp:extent cx="2667426" cy="2760345"/>
                  <wp:effectExtent l="0" t="0" r="0" b="1905"/>
                  <wp:docPr id="804342719" name="Graf 1">
                    <a:extLst xmlns:a="http://schemas.openxmlformats.org/drawingml/2006/main">
                      <a:ext uri="{FF2B5EF4-FFF2-40B4-BE49-F238E27FC236}">
                        <a16:creationId xmlns:a16="http://schemas.microsoft.com/office/drawing/2014/main" id="{FD0853E8-8425-45D4-9A3C-66F95F6CFD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tc>
        <w:tc>
          <w:tcPr>
            <w:tcW w:w="94" w:type="pct"/>
            <w:tcBorders>
              <w:top w:val="nil"/>
              <w:left w:val="nil"/>
              <w:bottom w:val="nil"/>
              <w:right w:val="nil"/>
            </w:tcBorders>
            <w:vAlign w:val="center"/>
          </w:tcPr>
          <w:p w14:paraId="30941F23" w14:textId="77777777" w:rsidR="00C64317" w:rsidRPr="00727A84" w:rsidRDefault="00C64317" w:rsidP="00947BF3">
            <w:pPr>
              <w:spacing w:after="120"/>
              <w:jc w:val="center"/>
              <w:rPr>
                <w:rFonts w:ascii="Arial Narrow" w:hAnsi="Arial Narrow" w:cs="Arial"/>
                <w:b/>
                <w:sz w:val="20"/>
                <w:szCs w:val="20"/>
              </w:rPr>
            </w:pPr>
          </w:p>
        </w:tc>
        <w:tc>
          <w:tcPr>
            <w:tcW w:w="2515" w:type="pct"/>
            <w:tcBorders>
              <w:top w:val="single" w:sz="4" w:space="0" w:color="auto"/>
              <w:left w:val="nil"/>
              <w:bottom w:val="single" w:sz="4" w:space="0" w:color="auto"/>
              <w:right w:val="nil"/>
            </w:tcBorders>
            <w:vAlign w:val="center"/>
          </w:tcPr>
          <w:p w14:paraId="3D7B5722" w14:textId="77777777" w:rsidR="00C64317" w:rsidRPr="00727A84" w:rsidRDefault="00C64317" w:rsidP="00947BF3">
            <w:pPr>
              <w:spacing w:after="120"/>
              <w:jc w:val="center"/>
              <w:rPr>
                <w:rFonts w:ascii="Arial Narrow" w:hAnsi="Arial Narrow" w:cs="Arial"/>
                <w:b/>
                <w:bCs/>
                <w:sz w:val="20"/>
                <w:szCs w:val="20"/>
              </w:rPr>
            </w:pPr>
            <w:r w:rsidRPr="00FE5C7D">
              <w:rPr>
                <w:rFonts w:ascii="Arial Narrow" w:hAnsi="Arial Narrow" w:cs="Arial"/>
                <w:b/>
                <w:bCs/>
                <w:noProof/>
                <w:sz w:val="20"/>
                <w:szCs w:val="20"/>
              </w:rPr>
              <w:drawing>
                <wp:inline distT="0" distB="0" distL="0" distR="0" wp14:anchorId="051D7C6C" wp14:editId="5DC2C6ED">
                  <wp:extent cx="2733675" cy="2646045"/>
                  <wp:effectExtent l="0" t="0" r="9525" b="1905"/>
                  <wp:docPr id="353000165" name="Obrázok 1" descr="Obrázok, na ktorom je text, písmo, číslo, rad&#10;&#10;Obsah vygenerovaný umelou inteligenciou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000165" name="Obrázok 1" descr="Obrázok, na ktorom je text, písmo, číslo, rad&#10;&#10;Obsah vygenerovaný umelou inteligenciou môže byť nesprávny."/>
                          <pic:cNvPicPr/>
                        </pic:nvPicPr>
                        <pic:blipFill>
                          <a:blip r:embed="rId42"/>
                          <a:stretch>
                            <a:fillRect/>
                          </a:stretch>
                        </pic:blipFill>
                        <pic:spPr>
                          <a:xfrm>
                            <a:off x="0" y="0"/>
                            <a:ext cx="2734059" cy="2646417"/>
                          </a:xfrm>
                          <a:prstGeom prst="rect">
                            <a:avLst/>
                          </a:prstGeom>
                        </pic:spPr>
                      </pic:pic>
                    </a:graphicData>
                  </a:graphic>
                </wp:inline>
              </w:drawing>
            </w:r>
          </w:p>
        </w:tc>
      </w:tr>
      <w:tr w:rsidR="00C64317" w:rsidRPr="00727A84" w14:paraId="78BE93FC" w14:textId="77777777" w:rsidTr="00C64317">
        <w:trPr>
          <w:trHeight w:val="104"/>
        </w:trPr>
        <w:tc>
          <w:tcPr>
            <w:tcW w:w="2391" w:type="pct"/>
            <w:tcBorders>
              <w:top w:val="single" w:sz="4" w:space="0" w:color="auto"/>
              <w:left w:val="nil"/>
              <w:bottom w:val="nil"/>
              <w:right w:val="nil"/>
            </w:tcBorders>
            <w:vAlign w:val="center"/>
          </w:tcPr>
          <w:p w14:paraId="58FEDDD1" w14:textId="77777777" w:rsidR="00C64317" w:rsidRPr="00727A84" w:rsidRDefault="00C64317" w:rsidP="00947BF3">
            <w:pPr>
              <w:spacing w:after="120"/>
              <w:jc w:val="right"/>
              <w:rPr>
                <w:rFonts w:ascii="Arial Narrow" w:hAnsi="Arial Narrow" w:cs="Arial"/>
                <w:i/>
                <w:sz w:val="16"/>
                <w:szCs w:val="16"/>
              </w:rPr>
            </w:pPr>
            <w:r w:rsidRPr="00727A84">
              <w:rPr>
                <w:rFonts w:ascii="Arial Narrow" w:hAnsi="Arial Narrow" w:cs="Arial"/>
                <w:i/>
                <w:sz w:val="16"/>
                <w:szCs w:val="16"/>
              </w:rPr>
              <w:t xml:space="preserve">Zdroj: Eurostat, </w:t>
            </w:r>
            <w:r>
              <w:rPr>
                <w:rFonts w:ascii="Arial Narrow" w:hAnsi="Arial Narrow" w:cs="Arial"/>
                <w:i/>
                <w:sz w:val="16"/>
                <w:szCs w:val="16"/>
              </w:rPr>
              <w:t xml:space="preserve">Sociálna poisťovňa, </w:t>
            </w:r>
            <w:r w:rsidRPr="00727A84">
              <w:rPr>
                <w:rFonts w:ascii="Arial Narrow" w:hAnsi="Arial Narrow" w:cs="Arial"/>
                <w:i/>
                <w:sz w:val="16"/>
                <w:szCs w:val="16"/>
              </w:rPr>
              <w:t>ŠÚ SR, IFP</w:t>
            </w:r>
          </w:p>
        </w:tc>
        <w:tc>
          <w:tcPr>
            <w:tcW w:w="94" w:type="pct"/>
            <w:tcBorders>
              <w:top w:val="nil"/>
              <w:left w:val="nil"/>
              <w:bottom w:val="nil"/>
              <w:right w:val="nil"/>
            </w:tcBorders>
            <w:vAlign w:val="center"/>
          </w:tcPr>
          <w:p w14:paraId="44907969" w14:textId="77777777" w:rsidR="00C64317" w:rsidRPr="00727A84" w:rsidRDefault="00C64317" w:rsidP="00947BF3">
            <w:pPr>
              <w:spacing w:after="120"/>
              <w:jc w:val="center"/>
              <w:rPr>
                <w:rFonts w:ascii="Arial Narrow" w:hAnsi="Arial Narrow" w:cs="Arial"/>
                <w:i/>
                <w:sz w:val="16"/>
                <w:szCs w:val="16"/>
              </w:rPr>
            </w:pPr>
          </w:p>
        </w:tc>
        <w:tc>
          <w:tcPr>
            <w:tcW w:w="2515" w:type="pct"/>
            <w:tcBorders>
              <w:top w:val="single" w:sz="4" w:space="0" w:color="auto"/>
              <w:left w:val="nil"/>
              <w:bottom w:val="nil"/>
              <w:right w:val="nil"/>
            </w:tcBorders>
            <w:vAlign w:val="center"/>
          </w:tcPr>
          <w:p w14:paraId="758E8CDB" w14:textId="77777777" w:rsidR="00C64317" w:rsidRPr="00727A84" w:rsidRDefault="00C64317" w:rsidP="00947BF3">
            <w:pPr>
              <w:spacing w:after="120"/>
              <w:jc w:val="right"/>
              <w:rPr>
                <w:rFonts w:ascii="Arial Narrow" w:hAnsi="Arial Narrow" w:cs="Arial"/>
                <w:i/>
                <w:sz w:val="16"/>
                <w:szCs w:val="16"/>
              </w:rPr>
            </w:pPr>
            <w:r w:rsidRPr="00727A84">
              <w:rPr>
                <w:rFonts w:ascii="Arial Narrow" w:hAnsi="Arial Narrow" w:cs="Arial"/>
                <w:i/>
                <w:sz w:val="16"/>
                <w:szCs w:val="16"/>
              </w:rPr>
              <w:t xml:space="preserve">Zdroj: Eurostat, </w:t>
            </w:r>
            <w:r>
              <w:rPr>
                <w:rFonts w:ascii="Arial Narrow" w:hAnsi="Arial Narrow" w:cs="Arial"/>
                <w:i/>
                <w:sz w:val="16"/>
                <w:szCs w:val="16"/>
              </w:rPr>
              <w:t>Sociálna poisťovňa</w:t>
            </w:r>
            <w:r w:rsidRPr="00727A84">
              <w:rPr>
                <w:rFonts w:ascii="Arial Narrow" w:hAnsi="Arial Narrow" w:cs="Arial"/>
                <w:i/>
                <w:sz w:val="16"/>
                <w:szCs w:val="16"/>
              </w:rPr>
              <w:t xml:space="preserve"> </w:t>
            </w:r>
            <w:r>
              <w:rPr>
                <w:rFonts w:ascii="Arial Narrow" w:hAnsi="Arial Narrow" w:cs="Arial"/>
                <w:i/>
                <w:sz w:val="16"/>
                <w:szCs w:val="16"/>
              </w:rPr>
              <w:t xml:space="preserve">, </w:t>
            </w:r>
            <w:r w:rsidRPr="00727A84">
              <w:rPr>
                <w:rFonts w:ascii="Arial Narrow" w:hAnsi="Arial Narrow" w:cs="Arial"/>
                <w:i/>
                <w:sz w:val="16"/>
                <w:szCs w:val="16"/>
              </w:rPr>
              <w:t>ŠÚ SR, IFP</w:t>
            </w:r>
          </w:p>
        </w:tc>
      </w:tr>
    </w:tbl>
    <w:p w14:paraId="61C32C3F" w14:textId="77777777" w:rsidR="00091BA7" w:rsidRPr="00866785" w:rsidRDefault="00091BA7" w:rsidP="00947BF3">
      <w:pPr>
        <w:rPr>
          <w:rFonts w:ascii="Arial Narrow" w:hAnsi="Arial Narrow"/>
          <w:sz w:val="2"/>
          <w:szCs w:val="2"/>
        </w:rPr>
      </w:pPr>
    </w:p>
    <w:p w14:paraId="20A4113B" w14:textId="77777777" w:rsidR="00C1535F" w:rsidRDefault="00C1535F" w:rsidP="00947BF3">
      <w:pPr>
        <w:jc w:val="both"/>
      </w:pPr>
    </w:p>
    <w:p w14:paraId="716A6CD4" w14:textId="7171E48D" w:rsidR="00C1535F" w:rsidRPr="00E82063" w:rsidRDefault="00672868" w:rsidP="00947BF3">
      <w:pPr>
        <w:spacing w:after="240"/>
        <w:jc w:val="both"/>
        <w:rPr>
          <w:rFonts w:ascii="Arial Narrow" w:hAnsi="Arial Narrow"/>
          <w:sz w:val="24"/>
          <w:szCs w:val="24"/>
        </w:rPr>
      </w:pPr>
      <w:bookmarkStart w:id="15" w:name="_Hlk177046018"/>
      <w:r w:rsidRPr="00E82063">
        <w:rPr>
          <w:rFonts w:ascii="Arial Narrow" w:hAnsi="Arial Narrow"/>
          <w:sz w:val="24"/>
          <w:szCs w:val="24"/>
        </w:rPr>
        <w:t>Z dostupných dát potravinová inflácia v štvrtom kvartáli roka 2024</w:t>
      </w:r>
      <w:r w:rsidRPr="00B56FA3">
        <w:rPr>
          <w:rFonts w:ascii="Arial Narrow" w:hAnsi="Arial Narrow"/>
          <w:sz w:val="24"/>
          <w:szCs w:val="24"/>
        </w:rPr>
        <w:t xml:space="preserve"> </w:t>
      </w:r>
      <w:r w:rsidRPr="00E82063">
        <w:rPr>
          <w:rFonts w:ascii="Arial Narrow" w:hAnsi="Arial Narrow"/>
          <w:sz w:val="24"/>
          <w:szCs w:val="24"/>
        </w:rPr>
        <w:t>bola</w:t>
      </w:r>
      <w:r w:rsidRPr="00B56FA3">
        <w:rPr>
          <w:rFonts w:ascii="Arial Narrow" w:hAnsi="Arial Narrow"/>
          <w:sz w:val="24"/>
          <w:szCs w:val="24"/>
        </w:rPr>
        <w:t xml:space="preserve"> </w:t>
      </w:r>
      <w:r w:rsidRPr="00E82063">
        <w:rPr>
          <w:rFonts w:ascii="Arial Narrow" w:hAnsi="Arial Narrow"/>
          <w:sz w:val="24"/>
          <w:szCs w:val="24"/>
        </w:rPr>
        <w:t>sledovaná cez</w:t>
      </w:r>
      <w:r w:rsidRPr="00B56FA3">
        <w:rPr>
          <w:rFonts w:ascii="Arial Narrow" w:hAnsi="Arial Narrow"/>
          <w:sz w:val="24"/>
          <w:szCs w:val="24"/>
        </w:rPr>
        <w:t xml:space="preserve"> </w:t>
      </w:r>
      <w:r w:rsidRPr="00E82063">
        <w:rPr>
          <w:rFonts w:ascii="Arial Narrow" w:hAnsi="Arial Narrow"/>
          <w:sz w:val="24"/>
          <w:szCs w:val="24"/>
        </w:rPr>
        <w:t>harmonizovaný index spotrebiteľských cien (HICP)</w:t>
      </w:r>
      <w:r w:rsidRPr="00B56FA3">
        <w:rPr>
          <w:vertAlign w:val="superscript"/>
        </w:rPr>
        <w:footnoteReference w:id="6"/>
      </w:r>
      <w:r w:rsidRPr="00B56FA3">
        <w:rPr>
          <w:rFonts w:ascii="Arial Narrow" w:hAnsi="Arial Narrow"/>
          <w:sz w:val="24"/>
          <w:szCs w:val="24"/>
          <w:vertAlign w:val="superscript"/>
        </w:rPr>
        <w:t xml:space="preserve"> </w:t>
      </w:r>
      <w:r w:rsidRPr="00E82063">
        <w:rPr>
          <w:rFonts w:ascii="Arial Narrow" w:hAnsi="Arial Narrow"/>
          <w:sz w:val="24"/>
          <w:szCs w:val="24"/>
        </w:rPr>
        <w:t>a dosiahla hodnotu 3,1 %. Zvýšil sa príspevok nevysvetlenej časti</w:t>
      </w:r>
      <w:r w:rsidRPr="00B56FA3">
        <w:rPr>
          <w:vertAlign w:val="superscript"/>
        </w:rPr>
        <w:footnoteReference w:id="7"/>
      </w:r>
      <w:r w:rsidRPr="00E82063">
        <w:rPr>
          <w:rFonts w:ascii="Arial Narrow" w:hAnsi="Arial Narrow"/>
          <w:sz w:val="24"/>
          <w:szCs w:val="24"/>
        </w:rPr>
        <w:t xml:space="preserve"> o</w:t>
      </w:r>
      <w:r w:rsidR="00B56FA3">
        <w:rPr>
          <w:rFonts w:ascii="Arial Narrow" w:hAnsi="Arial Narrow"/>
          <w:sz w:val="24"/>
          <w:szCs w:val="24"/>
        </w:rPr>
        <w:t> </w:t>
      </w:r>
      <w:r w:rsidRPr="00E82063">
        <w:rPr>
          <w:rFonts w:ascii="Arial Narrow" w:hAnsi="Arial Narrow"/>
          <w:sz w:val="24"/>
          <w:szCs w:val="24"/>
        </w:rPr>
        <w:t>0,7 p. b. a príspevok mzdových nákladov sa nepatrne znížil o 0,1 p. b.</w:t>
      </w:r>
      <w:bookmarkEnd w:id="15"/>
      <w:r w:rsidRPr="00E82063">
        <w:rPr>
          <w:rFonts w:ascii="Arial Narrow" w:hAnsi="Arial Narrow"/>
          <w:sz w:val="24"/>
          <w:szCs w:val="24"/>
        </w:rPr>
        <w:t xml:space="preserve"> Náklady na</w:t>
      </w:r>
      <w:r w:rsidRPr="00B56FA3">
        <w:rPr>
          <w:rFonts w:ascii="Arial Narrow" w:hAnsi="Arial Narrow"/>
          <w:sz w:val="24"/>
          <w:szCs w:val="24"/>
        </w:rPr>
        <w:t xml:space="preserve"> </w:t>
      </w:r>
      <w:r w:rsidRPr="00E82063">
        <w:rPr>
          <w:rFonts w:ascii="Arial Narrow" w:hAnsi="Arial Narrow"/>
          <w:sz w:val="24"/>
          <w:szCs w:val="24"/>
        </w:rPr>
        <w:t>energie a palivá k</w:t>
      </w:r>
      <w:r w:rsidR="00B56FA3">
        <w:rPr>
          <w:rFonts w:ascii="Arial Narrow" w:hAnsi="Arial Narrow"/>
          <w:sz w:val="24"/>
          <w:szCs w:val="24"/>
        </w:rPr>
        <w:t> </w:t>
      </w:r>
      <w:r w:rsidRPr="00E82063">
        <w:rPr>
          <w:rFonts w:ascii="Arial Narrow" w:hAnsi="Arial Narrow"/>
          <w:sz w:val="24"/>
          <w:szCs w:val="24"/>
        </w:rPr>
        <w:t>potravinovej inflácii sa nepatrne zvýšili o 0,1 p. b. oproti tretiemu kvartálu. Výška inflácie odhadovaná cez dekompozíciu inflácie potravín, nápojov a tabaku ak by rástli zisky firiem a mzdy zamestnancom potravinová inflácia za rok 2024 by bola 2,8 %, čo je v medziročnom porovnaní nižšia o 6 p. b. oproti roku 2023.</w:t>
      </w:r>
      <w:r w:rsidRPr="00B56FA3">
        <w:rPr>
          <w:rFonts w:ascii="Arial Narrow" w:hAnsi="Arial Narrow"/>
          <w:sz w:val="24"/>
          <w:szCs w:val="24"/>
        </w:rPr>
        <w:t xml:space="preserve"> </w:t>
      </w:r>
      <w:r w:rsidRPr="00E82063">
        <w:rPr>
          <w:rFonts w:ascii="Arial Narrow" w:hAnsi="Arial Narrow"/>
          <w:sz w:val="24"/>
          <w:szCs w:val="24"/>
        </w:rPr>
        <w:t>Ak by zisky firiem rástli rovnakým tempom ako mzdy, mohlo by to viesť k miernemu zvýšeniu cien potravín, nápojov a tabaku.</w:t>
      </w:r>
    </w:p>
    <w:p w14:paraId="3CC87FAF" w14:textId="06BAD495" w:rsidR="00C1535F" w:rsidRPr="00B56FA3" w:rsidRDefault="00C1535F" w:rsidP="00947BF3">
      <w:pPr>
        <w:spacing w:after="240"/>
        <w:jc w:val="both"/>
        <w:rPr>
          <w:rFonts w:ascii="Arial Narrow" w:hAnsi="Arial Narrow"/>
          <w:sz w:val="24"/>
          <w:szCs w:val="24"/>
        </w:rPr>
      </w:pPr>
      <w:r w:rsidRPr="00B56FA3">
        <w:rPr>
          <w:rFonts w:ascii="Arial Narrow" w:hAnsi="Arial Narrow"/>
          <w:sz w:val="24"/>
          <w:szCs w:val="24"/>
        </w:rPr>
        <w:t>Z uvedeného vyplýva, že v roku 2024 došlo k zásadnej zmene štruktúry potravinovej inflácie:</w:t>
      </w:r>
    </w:p>
    <w:p w14:paraId="72D73450" w14:textId="063D9900" w:rsidR="00C1535F" w:rsidRPr="00B56FA3" w:rsidRDefault="00C1535F" w:rsidP="00947BF3">
      <w:pPr>
        <w:pStyle w:val="Odsekzoznamu"/>
        <w:numPr>
          <w:ilvl w:val="0"/>
          <w:numId w:val="8"/>
        </w:numPr>
        <w:ind w:left="378"/>
        <w:jc w:val="both"/>
        <w:rPr>
          <w:rFonts w:ascii="Arial Narrow" w:hAnsi="Arial Narrow"/>
          <w:sz w:val="24"/>
          <w:szCs w:val="24"/>
        </w:rPr>
      </w:pPr>
      <w:r w:rsidRPr="00B56FA3">
        <w:rPr>
          <w:rFonts w:ascii="Arial Narrow" w:hAnsi="Arial Narrow"/>
          <w:sz w:val="24"/>
          <w:szCs w:val="24"/>
        </w:rPr>
        <w:t>Inflácia sa spomalila</w:t>
      </w:r>
      <w:r w:rsidR="005779C4">
        <w:rPr>
          <w:rFonts w:ascii="Arial Narrow" w:hAnsi="Arial Narrow"/>
          <w:sz w:val="24"/>
          <w:szCs w:val="24"/>
        </w:rPr>
        <w:t>;</w:t>
      </w:r>
    </w:p>
    <w:p w14:paraId="44FED5CD" w14:textId="57D7196A" w:rsidR="00C1535F" w:rsidRPr="00B56FA3" w:rsidRDefault="00C1535F" w:rsidP="00947BF3">
      <w:pPr>
        <w:pStyle w:val="Odsekzoznamu"/>
        <w:numPr>
          <w:ilvl w:val="0"/>
          <w:numId w:val="8"/>
        </w:numPr>
        <w:ind w:left="378"/>
        <w:jc w:val="both"/>
        <w:rPr>
          <w:rFonts w:ascii="Arial Narrow" w:hAnsi="Arial Narrow"/>
          <w:sz w:val="24"/>
          <w:szCs w:val="24"/>
        </w:rPr>
      </w:pPr>
      <w:r w:rsidRPr="00B56FA3">
        <w:rPr>
          <w:rFonts w:ascii="Arial Narrow" w:hAnsi="Arial Narrow"/>
          <w:sz w:val="24"/>
          <w:szCs w:val="24"/>
        </w:rPr>
        <w:t>Zisková zložka inflácie významne ustúpila</w:t>
      </w:r>
      <w:r w:rsidR="005779C4">
        <w:rPr>
          <w:rFonts w:ascii="Arial Narrow" w:hAnsi="Arial Narrow"/>
          <w:sz w:val="24"/>
          <w:szCs w:val="24"/>
        </w:rPr>
        <w:t>;</w:t>
      </w:r>
    </w:p>
    <w:p w14:paraId="7F5CF34F" w14:textId="294F3EEC" w:rsidR="00C1535F" w:rsidRPr="00B56FA3" w:rsidRDefault="00C1535F" w:rsidP="00947BF3">
      <w:pPr>
        <w:pStyle w:val="Odsekzoznamu"/>
        <w:numPr>
          <w:ilvl w:val="0"/>
          <w:numId w:val="8"/>
        </w:numPr>
        <w:ind w:left="378"/>
        <w:jc w:val="both"/>
        <w:rPr>
          <w:rFonts w:ascii="Arial Narrow" w:hAnsi="Arial Narrow"/>
          <w:sz w:val="24"/>
          <w:szCs w:val="24"/>
        </w:rPr>
      </w:pPr>
      <w:r w:rsidRPr="00B56FA3">
        <w:rPr>
          <w:rFonts w:ascii="Arial Narrow" w:hAnsi="Arial Narrow"/>
          <w:sz w:val="24"/>
          <w:szCs w:val="24"/>
        </w:rPr>
        <w:t>Hlavným nositeľom nákladových tlakov sa stali mzdy</w:t>
      </w:r>
      <w:r w:rsidR="005779C4">
        <w:rPr>
          <w:rFonts w:ascii="Arial Narrow" w:hAnsi="Arial Narrow"/>
          <w:sz w:val="24"/>
          <w:szCs w:val="24"/>
        </w:rPr>
        <w:t>;</w:t>
      </w:r>
    </w:p>
    <w:p w14:paraId="2BEF15BC" w14:textId="77777777" w:rsidR="00C1535F" w:rsidRPr="00B56FA3" w:rsidRDefault="00C1535F" w:rsidP="00947BF3">
      <w:pPr>
        <w:pStyle w:val="Odsekzoznamu"/>
        <w:numPr>
          <w:ilvl w:val="0"/>
          <w:numId w:val="8"/>
        </w:numPr>
        <w:spacing w:after="240"/>
        <w:ind w:left="378"/>
        <w:jc w:val="both"/>
        <w:rPr>
          <w:rFonts w:ascii="Arial Narrow" w:hAnsi="Arial Narrow"/>
          <w:sz w:val="24"/>
          <w:szCs w:val="24"/>
        </w:rPr>
      </w:pPr>
      <w:r w:rsidRPr="00B56FA3">
        <w:rPr>
          <w:rFonts w:ascii="Arial Narrow" w:hAnsi="Arial Narrow"/>
          <w:sz w:val="24"/>
          <w:szCs w:val="24"/>
        </w:rPr>
        <w:t>Externé náklady (dovozné ceny, energia) mali tlmiaci efekt.</w:t>
      </w:r>
    </w:p>
    <w:p w14:paraId="0E21A6D7" w14:textId="401953C5" w:rsidR="00C1535F" w:rsidRPr="00B56FA3" w:rsidRDefault="00C1535F" w:rsidP="00947BF3">
      <w:pPr>
        <w:spacing w:after="240"/>
        <w:jc w:val="both"/>
        <w:rPr>
          <w:rFonts w:ascii="Arial Narrow" w:hAnsi="Arial Narrow"/>
          <w:sz w:val="24"/>
          <w:szCs w:val="24"/>
        </w:rPr>
      </w:pPr>
      <w:r w:rsidRPr="00B56FA3">
        <w:rPr>
          <w:rFonts w:ascii="Arial Narrow" w:hAnsi="Arial Narrow"/>
          <w:sz w:val="24"/>
          <w:szCs w:val="24"/>
        </w:rPr>
        <w:t>Tento vývoj naznačuje, že trh s potravinami sa v roku 2024 postupne stabilizoval, pričom vývoj cien bol v</w:t>
      </w:r>
      <w:r w:rsidR="00B56FA3">
        <w:rPr>
          <w:rFonts w:ascii="Arial Narrow" w:hAnsi="Arial Narrow"/>
          <w:sz w:val="24"/>
          <w:szCs w:val="24"/>
        </w:rPr>
        <w:t> </w:t>
      </w:r>
      <w:r w:rsidRPr="00B56FA3">
        <w:rPr>
          <w:rFonts w:ascii="Arial Narrow" w:hAnsi="Arial Narrow"/>
          <w:sz w:val="24"/>
          <w:szCs w:val="24"/>
        </w:rPr>
        <w:t>oveľa väčšej miere formovaný štandardnými nákladovými faktormi, nie mimoriadnymi vplyvmi, ako tomu bolo v predchádzajúcich rokoch.</w:t>
      </w:r>
    </w:p>
    <w:p w14:paraId="4B845605" w14:textId="77777777" w:rsidR="00C1535F" w:rsidRPr="00C1535F" w:rsidRDefault="00C1535F" w:rsidP="00947BF3">
      <w:pPr>
        <w:rPr>
          <w:lang w:eastAsia="en-US"/>
        </w:rPr>
      </w:pPr>
    </w:p>
    <w:p w14:paraId="17854993" w14:textId="6ABAF05D" w:rsidR="00091BA7" w:rsidRPr="007E6704" w:rsidRDefault="00091BA7" w:rsidP="00947BF3">
      <w:pPr>
        <w:pStyle w:val="Nadpis2"/>
        <w:numPr>
          <w:ilvl w:val="1"/>
          <w:numId w:val="1"/>
        </w:numPr>
        <w:spacing w:after="240"/>
        <w:ind w:left="426"/>
        <w:rPr>
          <w:rFonts w:ascii="Arial Narrow" w:hAnsi="Arial Narrow"/>
          <w:b/>
          <w:bCs/>
          <w:color w:val="5B9BD5" w:themeColor="accent1"/>
          <w:lang w:eastAsia="en-US"/>
        </w:rPr>
      </w:pPr>
      <w:bookmarkStart w:id="16" w:name="_Toc201832586"/>
      <w:bookmarkStart w:id="17" w:name="_Toc202358582"/>
      <w:r w:rsidRPr="007E6704">
        <w:rPr>
          <w:rFonts w:ascii="Arial Narrow" w:hAnsi="Arial Narrow"/>
          <w:b/>
          <w:bCs/>
          <w:color w:val="5B9BD5" w:themeColor="accent1"/>
          <w:lang w:eastAsia="en-US"/>
        </w:rPr>
        <w:t>Pomer spotrebiteľských a odbytových cien vybraných základných druhov potravín</w:t>
      </w:r>
      <w:bookmarkEnd w:id="16"/>
      <w:bookmarkEnd w:id="17"/>
    </w:p>
    <w:p w14:paraId="645487DD" w14:textId="3C0D7A1F" w:rsidR="006260DC" w:rsidRPr="00B56FA3" w:rsidRDefault="006260DC" w:rsidP="00947BF3">
      <w:pPr>
        <w:spacing w:after="240"/>
        <w:jc w:val="both"/>
        <w:rPr>
          <w:rFonts w:ascii="Arial Narrow" w:hAnsi="Arial Narrow"/>
          <w:sz w:val="24"/>
          <w:szCs w:val="24"/>
        </w:rPr>
      </w:pPr>
      <w:r w:rsidRPr="00B56FA3">
        <w:rPr>
          <w:rFonts w:ascii="Arial Narrow" w:hAnsi="Arial Narrow"/>
          <w:sz w:val="24"/>
          <w:szCs w:val="24"/>
        </w:rPr>
        <w:t>V roku 2024 sa pomer medzi spotrebiteľskými a odbytovými cenami vybraných druhov potravín vyvíjal dynamicky, čo odráža kombináciu viacerých faktorov vrátane inflácie, vývoja nákladov, a správania trhu. Tento pomer slúži ako orientačný ukazovateľ obchodného rozpätia v potravinovom reťazci, hoci jednotkové náklady na úrovni jednotlivých produktov nie je možné spoľahlivo odhadnúť.</w:t>
      </w:r>
    </w:p>
    <w:p w14:paraId="36E13240" w14:textId="697A43F1" w:rsidR="006260DC" w:rsidRPr="00B56FA3" w:rsidRDefault="006260DC" w:rsidP="00947BF3">
      <w:pPr>
        <w:spacing w:after="240"/>
        <w:jc w:val="both"/>
        <w:rPr>
          <w:rFonts w:ascii="Arial Narrow" w:hAnsi="Arial Narrow"/>
          <w:sz w:val="24"/>
          <w:szCs w:val="24"/>
        </w:rPr>
      </w:pPr>
      <w:r w:rsidRPr="00B56FA3">
        <w:rPr>
          <w:rFonts w:ascii="Arial Narrow" w:hAnsi="Arial Narrow"/>
          <w:sz w:val="24"/>
          <w:szCs w:val="24"/>
        </w:rPr>
        <w:t xml:space="preserve">Na začiatku roka 2024 (v porovnaní </w:t>
      </w:r>
      <w:r w:rsidR="008113C3" w:rsidRPr="00B56FA3">
        <w:rPr>
          <w:rFonts w:ascii="Arial Narrow" w:hAnsi="Arial Narrow"/>
          <w:sz w:val="24"/>
          <w:szCs w:val="24"/>
        </w:rPr>
        <w:t>s predkovidovým rokom 2019</w:t>
      </w:r>
      <w:r w:rsidRPr="00B56FA3">
        <w:rPr>
          <w:rFonts w:ascii="Arial Narrow" w:hAnsi="Arial Narrow"/>
          <w:sz w:val="24"/>
          <w:szCs w:val="24"/>
        </w:rPr>
        <w:t>) bol pomer zvýšený najmä pri niektorých mliečnych produktoch (čerstvé maslo, polotučné mlieko, eidamská tehla) a pri múke, čo mohlo naznačovať vyššie obchodné rozpätie. Naopak, u oštiepku, jabĺk a zemiakov došlo k poklesu tohto pomeru.</w:t>
      </w:r>
    </w:p>
    <w:p w14:paraId="6F302215" w14:textId="128D6A91" w:rsidR="006260DC" w:rsidRPr="00B56FA3" w:rsidRDefault="006260DC" w:rsidP="00947BF3">
      <w:pPr>
        <w:spacing w:after="240"/>
        <w:jc w:val="both"/>
        <w:rPr>
          <w:rFonts w:ascii="Arial Narrow" w:hAnsi="Arial Narrow"/>
          <w:sz w:val="24"/>
          <w:szCs w:val="24"/>
        </w:rPr>
      </w:pPr>
      <w:r w:rsidRPr="00B56FA3">
        <w:rPr>
          <w:rFonts w:ascii="Arial Narrow" w:hAnsi="Arial Narrow"/>
          <w:sz w:val="24"/>
          <w:szCs w:val="24"/>
        </w:rPr>
        <w:t xml:space="preserve">Od prvého kvartálu </w:t>
      </w:r>
      <w:r w:rsidR="00EA71C9" w:rsidRPr="00B56FA3">
        <w:rPr>
          <w:rFonts w:ascii="Arial Narrow" w:hAnsi="Arial Narrow"/>
          <w:sz w:val="24"/>
          <w:szCs w:val="24"/>
        </w:rPr>
        <w:t xml:space="preserve">2024 </w:t>
      </w:r>
      <w:r w:rsidRPr="00B56FA3">
        <w:rPr>
          <w:rFonts w:ascii="Arial Narrow" w:hAnsi="Arial Narrow"/>
          <w:sz w:val="24"/>
          <w:szCs w:val="24"/>
        </w:rPr>
        <w:t>sa s poklesom potravinovej inflácie začal vo všeobecnosti znižovať aj pomer medzi spotrebiteľskými a odbytovými cenami. Tento trend bol pozorovaný pri väčšine sledovaných tovarov, čím sa znížila obava z možného nadmerného rozpätia. Výnimkou bol len izolovaný nárast pri pečive (napr. rožkoch) a neskôr pri vajciach.</w:t>
      </w:r>
    </w:p>
    <w:p w14:paraId="08F42590" w14:textId="21019002" w:rsidR="006260DC" w:rsidRPr="00B56FA3" w:rsidRDefault="006260DC" w:rsidP="00947BF3">
      <w:pPr>
        <w:spacing w:after="240"/>
        <w:jc w:val="both"/>
        <w:rPr>
          <w:rFonts w:ascii="Arial Narrow" w:hAnsi="Arial Narrow"/>
          <w:sz w:val="24"/>
          <w:szCs w:val="24"/>
        </w:rPr>
      </w:pPr>
      <w:r w:rsidRPr="00B56FA3">
        <w:rPr>
          <w:rFonts w:ascii="Arial Narrow" w:hAnsi="Arial Narrow"/>
          <w:sz w:val="24"/>
          <w:szCs w:val="24"/>
        </w:rPr>
        <w:t xml:space="preserve">V druhej polovici roka </w:t>
      </w:r>
      <w:r w:rsidR="00EA71C9" w:rsidRPr="00B56FA3">
        <w:rPr>
          <w:rFonts w:ascii="Arial Narrow" w:hAnsi="Arial Narrow"/>
          <w:sz w:val="24"/>
          <w:szCs w:val="24"/>
        </w:rPr>
        <w:t xml:space="preserve">2024 </w:t>
      </w:r>
      <w:r w:rsidRPr="00B56FA3">
        <w:rPr>
          <w:rFonts w:ascii="Arial Narrow" w:hAnsi="Arial Narrow"/>
          <w:sz w:val="24"/>
          <w:szCs w:val="24"/>
        </w:rPr>
        <w:t>sa pomer spotrebiteľských a odbytových cien začal správať viac volatiln</w:t>
      </w:r>
      <w:r w:rsidR="00B56FA3">
        <w:rPr>
          <w:rFonts w:ascii="Arial Narrow" w:hAnsi="Arial Narrow"/>
          <w:sz w:val="24"/>
          <w:szCs w:val="24"/>
        </w:rPr>
        <w:t>é. Z</w:t>
      </w:r>
      <w:r w:rsidRPr="00B56FA3">
        <w:rPr>
          <w:rFonts w:ascii="Arial Narrow" w:hAnsi="Arial Narrow"/>
          <w:sz w:val="24"/>
          <w:szCs w:val="24"/>
        </w:rPr>
        <w:t>aznamenané boli výraznejšie výkyvy medzi jednotlivými mesiacmi. Dynamické zmeny (rast aj pokles) boli zaznamenané pri viacerých produktoch vrátane chleba, vajec, zemiakov, jab</w:t>
      </w:r>
      <w:r w:rsidR="00916520" w:rsidRPr="00B56FA3">
        <w:rPr>
          <w:rFonts w:ascii="Arial Narrow" w:hAnsi="Arial Narrow"/>
          <w:sz w:val="24"/>
          <w:szCs w:val="24"/>
        </w:rPr>
        <w:t>ĺk</w:t>
      </w:r>
      <w:r w:rsidRPr="00B56FA3">
        <w:rPr>
          <w:rFonts w:ascii="Arial Narrow" w:hAnsi="Arial Narrow"/>
          <w:sz w:val="24"/>
          <w:szCs w:val="24"/>
        </w:rPr>
        <w:t>, syra Eidam, a</w:t>
      </w:r>
      <w:r w:rsidR="00B56FA3">
        <w:rPr>
          <w:rFonts w:ascii="Arial Narrow" w:hAnsi="Arial Narrow"/>
          <w:sz w:val="24"/>
          <w:szCs w:val="24"/>
        </w:rPr>
        <w:t> </w:t>
      </w:r>
      <w:r w:rsidRPr="00B56FA3">
        <w:rPr>
          <w:rFonts w:ascii="Arial Narrow" w:hAnsi="Arial Narrow"/>
          <w:sz w:val="24"/>
          <w:szCs w:val="24"/>
        </w:rPr>
        <w:t>niektorých druhov bravčového a hovädzieho mäsa. Tento vývoj však nebol konzistentný a</w:t>
      </w:r>
      <w:r w:rsidR="00B56FA3">
        <w:rPr>
          <w:rFonts w:ascii="Arial Narrow" w:hAnsi="Arial Narrow"/>
          <w:sz w:val="24"/>
          <w:szCs w:val="24"/>
        </w:rPr>
        <w:t> </w:t>
      </w:r>
      <w:r w:rsidRPr="00B56FA3">
        <w:rPr>
          <w:rFonts w:ascii="Arial Narrow" w:hAnsi="Arial Narrow"/>
          <w:sz w:val="24"/>
          <w:szCs w:val="24"/>
        </w:rPr>
        <w:t>nenaznačoval systematickú mimoriadnu cenovú situáciu.</w:t>
      </w:r>
    </w:p>
    <w:p w14:paraId="4151BD6E" w14:textId="62B8BA20" w:rsidR="006260DC" w:rsidRPr="00B56FA3" w:rsidRDefault="006260DC" w:rsidP="00947BF3">
      <w:pPr>
        <w:spacing w:after="240"/>
        <w:jc w:val="both"/>
        <w:rPr>
          <w:rFonts w:ascii="Arial Narrow" w:hAnsi="Arial Narrow"/>
          <w:sz w:val="24"/>
          <w:szCs w:val="24"/>
        </w:rPr>
      </w:pPr>
      <w:r w:rsidRPr="00B56FA3">
        <w:rPr>
          <w:rFonts w:ascii="Arial Narrow" w:hAnsi="Arial Narrow"/>
          <w:sz w:val="24"/>
          <w:szCs w:val="24"/>
        </w:rPr>
        <w:t>Celkovo možno konštatovať, že trend znižovania obchodného rozpätia bol v roku 2024 zreteľný najmä v prvej polovici roka</w:t>
      </w:r>
      <w:r w:rsidR="00916520" w:rsidRPr="00B56FA3">
        <w:rPr>
          <w:rFonts w:ascii="Arial Narrow" w:hAnsi="Arial Narrow"/>
          <w:sz w:val="24"/>
          <w:szCs w:val="24"/>
        </w:rPr>
        <w:t xml:space="preserve">. V </w:t>
      </w:r>
      <w:r w:rsidRPr="00B56FA3">
        <w:rPr>
          <w:rFonts w:ascii="Arial Narrow" w:hAnsi="Arial Narrow"/>
          <w:sz w:val="24"/>
          <w:szCs w:val="24"/>
        </w:rPr>
        <w:t>druhej polovici roka bol vývoj výrazne dynamickejší a menej predvídateľný, bez jednoznačného trendu</w:t>
      </w:r>
      <w:r w:rsidR="00916520" w:rsidRPr="00B56FA3">
        <w:rPr>
          <w:rFonts w:ascii="Arial Narrow" w:hAnsi="Arial Narrow"/>
          <w:sz w:val="24"/>
          <w:szCs w:val="24"/>
        </w:rPr>
        <w:t xml:space="preserve"> a k</w:t>
      </w:r>
      <w:r w:rsidRPr="00B56FA3">
        <w:rPr>
          <w:rFonts w:ascii="Arial Narrow" w:hAnsi="Arial Narrow"/>
          <w:sz w:val="24"/>
          <w:szCs w:val="24"/>
        </w:rPr>
        <w:t xml:space="preserve"> mimoriadnej cenovej situácii v zmysle plošného nárastu obchodného rozpätia nedošlo</w:t>
      </w:r>
      <w:r w:rsidR="00916520" w:rsidRPr="00B56FA3">
        <w:rPr>
          <w:rFonts w:ascii="Arial Narrow" w:hAnsi="Arial Narrow"/>
          <w:sz w:val="24"/>
          <w:szCs w:val="24"/>
        </w:rPr>
        <w:t>. V</w:t>
      </w:r>
      <w:r w:rsidRPr="00B56FA3">
        <w:rPr>
          <w:rFonts w:ascii="Arial Narrow" w:hAnsi="Arial Narrow"/>
          <w:sz w:val="24"/>
          <w:szCs w:val="24"/>
        </w:rPr>
        <w:t>ývoj ukazovateľa je citlivý na externé faktory (napr. infláciu, sezónnosť, klimatické vplyvy), a</w:t>
      </w:r>
      <w:r w:rsidR="00B56FA3">
        <w:rPr>
          <w:rFonts w:ascii="Arial Narrow" w:hAnsi="Arial Narrow"/>
          <w:sz w:val="24"/>
          <w:szCs w:val="24"/>
        </w:rPr>
        <w:t> </w:t>
      </w:r>
      <w:r w:rsidRPr="00B56FA3">
        <w:rPr>
          <w:rFonts w:ascii="Arial Narrow" w:hAnsi="Arial Narrow"/>
          <w:sz w:val="24"/>
          <w:szCs w:val="24"/>
        </w:rPr>
        <w:t>preto si vyžaduje pokračujúce monitorovanie.</w:t>
      </w:r>
    </w:p>
    <w:p w14:paraId="241A24DC" w14:textId="77777777" w:rsidR="00595683" w:rsidRDefault="00595683" w:rsidP="00947BF3">
      <w:pPr>
        <w:jc w:val="both"/>
        <w:rPr>
          <w:rFonts w:ascii="Arial Narrow" w:eastAsia="Arial Narrow" w:hAnsi="Arial Narrow" w:cs="Arial Narrow"/>
          <w:sz w:val="24"/>
          <w:szCs w:val="24"/>
        </w:rPr>
      </w:pPr>
    </w:p>
    <w:p w14:paraId="437D1A3C" w14:textId="77777777" w:rsidR="00595683" w:rsidRDefault="00595683" w:rsidP="00947BF3">
      <w:pPr>
        <w:jc w:val="both"/>
        <w:rPr>
          <w:rFonts w:ascii="Arial Narrow" w:eastAsia="Arial Narrow" w:hAnsi="Arial Narrow" w:cs="Arial Narrow"/>
          <w:sz w:val="24"/>
          <w:szCs w:val="24"/>
        </w:rPr>
      </w:pPr>
    </w:p>
    <w:p w14:paraId="6FEB1E10" w14:textId="77777777" w:rsidR="00595683" w:rsidRDefault="00595683" w:rsidP="00947BF3">
      <w:pPr>
        <w:jc w:val="both"/>
        <w:rPr>
          <w:rFonts w:ascii="Arial Narrow" w:eastAsia="Arial Narrow" w:hAnsi="Arial Narrow" w:cs="Arial Narrow"/>
          <w:sz w:val="24"/>
          <w:szCs w:val="24"/>
        </w:rPr>
      </w:pPr>
    </w:p>
    <w:p w14:paraId="106D1D10" w14:textId="77777777" w:rsidR="00595683" w:rsidRDefault="00595683" w:rsidP="00947BF3">
      <w:pPr>
        <w:jc w:val="both"/>
        <w:rPr>
          <w:rFonts w:ascii="Arial Narrow" w:eastAsia="Arial Narrow" w:hAnsi="Arial Narrow" w:cs="Arial Narrow"/>
          <w:sz w:val="24"/>
          <w:szCs w:val="24"/>
        </w:rPr>
      </w:pPr>
    </w:p>
    <w:p w14:paraId="43986B7A" w14:textId="77777777" w:rsidR="00595683" w:rsidRDefault="00595683" w:rsidP="00947BF3">
      <w:pPr>
        <w:jc w:val="both"/>
        <w:rPr>
          <w:rFonts w:ascii="Arial Narrow" w:eastAsia="Arial Narrow" w:hAnsi="Arial Narrow" w:cs="Arial Narrow"/>
          <w:sz w:val="24"/>
          <w:szCs w:val="24"/>
        </w:rPr>
      </w:pPr>
    </w:p>
    <w:p w14:paraId="0566990F" w14:textId="77777777" w:rsidR="00595683" w:rsidRDefault="00595683" w:rsidP="00947BF3">
      <w:pPr>
        <w:jc w:val="both"/>
        <w:rPr>
          <w:rFonts w:ascii="Arial Narrow" w:eastAsia="Arial Narrow" w:hAnsi="Arial Narrow" w:cs="Arial Narrow"/>
          <w:sz w:val="24"/>
          <w:szCs w:val="24"/>
        </w:rPr>
      </w:pPr>
    </w:p>
    <w:p w14:paraId="4ADC82F8" w14:textId="77777777" w:rsidR="00595683" w:rsidRDefault="00595683" w:rsidP="00947BF3">
      <w:pPr>
        <w:jc w:val="both"/>
        <w:rPr>
          <w:rFonts w:ascii="Arial Narrow" w:eastAsia="Arial Narrow" w:hAnsi="Arial Narrow" w:cs="Arial Narrow"/>
          <w:sz w:val="24"/>
          <w:szCs w:val="24"/>
        </w:rPr>
      </w:pPr>
    </w:p>
    <w:p w14:paraId="78D8B7C7" w14:textId="77777777" w:rsidR="00595683" w:rsidRDefault="00595683" w:rsidP="00947BF3">
      <w:pPr>
        <w:jc w:val="both"/>
        <w:rPr>
          <w:rFonts w:ascii="Arial Narrow" w:eastAsia="Arial Narrow" w:hAnsi="Arial Narrow" w:cs="Arial Narrow"/>
          <w:sz w:val="24"/>
          <w:szCs w:val="24"/>
        </w:rPr>
      </w:pPr>
    </w:p>
    <w:p w14:paraId="40396628" w14:textId="77777777" w:rsidR="00595683" w:rsidRDefault="00595683" w:rsidP="00947BF3">
      <w:pPr>
        <w:jc w:val="both"/>
        <w:rPr>
          <w:rFonts w:ascii="Arial Narrow" w:eastAsia="Arial Narrow" w:hAnsi="Arial Narrow" w:cs="Arial Narrow"/>
          <w:sz w:val="24"/>
          <w:szCs w:val="24"/>
        </w:rPr>
      </w:pPr>
    </w:p>
    <w:p w14:paraId="22C1CEF0" w14:textId="77777777" w:rsidR="00595683" w:rsidRDefault="00595683" w:rsidP="00947BF3">
      <w:pPr>
        <w:jc w:val="both"/>
        <w:rPr>
          <w:rFonts w:ascii="Arial Narrow" w:eastAsia="Arial Narrow" w:hAnsi="Arial Narrow" w:cs="Arial Narrow"/>
          <w:sz w:val="24"/>
          <w:szCs w:val="24"/>
        </w:rPr>
      </w:pPr>
    </w:p>
    <w:p w14:paraId="499265ED" w14:textId="77777777" w:rsidR="00595683" w:rsidRDefault="00595683" w:rsidP="00947BF3">
      <w:pPr>
        <w:jc w:val="both"/>
        <w:rPr>
          <w:rFonts w:ascii="Arial Narrow" w:eastAsia="Arial Narrow" w:hAnsi="Arial Narrow" w:cs="Arial Narrow"/>
          <w:sz w:val="24"/>
          <w:szCs w:val="24"/>
        </w:rPr>
      </w:pPr>
    </w:p>
    <w:p w14:paraId="5C21781C" w14:textId="77777777" w:rsidR="00595683" w:rsidRDefault="00595683" w:rsidP="00947BF3">
      <w:pPr>
        <w:jc w:val="both"/>
        <w:rPr>
          <w:rFonts w:ascii="Arial Narrow" w:eastAsia="Arial Narrow" w:hAnsi="Arial Narrow" w:cs="Arial Narrow"/>
          <w:sz w:val="24"/>
          <w:szCs w:val="24"/>
        </w:rPr>
      </w:pPr>
    </w:p>
    <w:p w14:paraId="0B3F2044" w14:textId="77777777" w:rsidR="00595683" w:rsidRDefault="00595683" w:rsidP="00947BF3">
      <w:pPr>
        <w:jc w:val="both"/>
        <w:rPr>
          <w:rFonts w:ascii="Arial Narrow" w:eastAsia="Arial Narrow" w:hAnsi="Arial Narrow" w:cs="Arial Narrow"/>
          <w:sz w:val="24"/>
          <w:szCs w:val="24"/>
        </w:rPr>
      </w:pPr>
    </w:p>
    <w:p w14:paraId="28AE9BE6" w14:textId="77777777" w:rsidR="00595683" w:rsidRDefault="00595683" w:rsidP="00947BF3">
      <w:pPr>
        <w:jc w:val="both"/>
        <w:rPr>
          <w:rFonts w:ascii="Arial Narrow" w:eastAsia="Arial Narrow" w:hAnsi="Arial Narrow" w:cs="Arial Narrow"/>
          <w:sz w:val="24"/>
          <w:szCs w:val="24"/>
        </w:rPr>
      </w:pPr>
    </w:p>
    <w:p w14:paraId="7F99D734" w14:textId="77777777" w:rsidR="00595683" w:rsidRDefault="00595683" w:rsidP="00947BF3">
      <w:pPr>
        <w:jc w:val="both"/>
        <w:rPr>
          <w:rFonts w:ascii="Arial Narrow" w:eastAsia="Arial Narrow" w:hAnsi="Arial Narrow" w:cs="Arial Narrow"/>
          <w:sz w:val="24"/>
          <w:szCs w:val="24"/>
        </w:rPr>
      </w:pPr>
    </w:p>
    <w:p w14:paraId="364A6130" w14:textId="77777777" w:rsidR="00595683" w:rsidRDefault="00595683" w:rsidP="00947BF3">
      <w:pPr>
        <w:jc w:val="both"/>
        <w:rPr>
          <w:rFonts w:ascii="Arial Narrow" w:eastAsia="Arial Narrow" w:hAnsi="Arial Narrow" w:cs="Arial Narrow"/>
          <w:sz w:val="24"/>
          <w:szCs w:val="24"/>
        </w:rPr>
      </w:pPr>
    </w:p>
    <w:p w14:paraId="53104875" w14:textId="77777777" w:rsidR="00595683" w:rsidRDefault="00595683" w:rsidP="00947BF3">
      <w:pPr>
        <w:jc w:val="both"/>
        <w:rPr>
          <w:rFonts w:ascii="Arial Narrow" w:eastAsia="Arial Narrow" w:hAnsi="Arial Narrow" w:cs="Arial Narrow"/>
          <w:sz w:val="24"/>
          <w:szCs w:val="24"/>
        </w:rPr>
      </w:pPr>
    </w:p>
    <w:tbl>
      <w:tblPr>
        <w:tblW w:w="5000"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1E0" w:firstRow="1" w:lastRow="1" w:firstColumn="1" w:lastColumn="1" w:noHBand="0" w:noVBand="0"/>
      </w:tblPr>
      <w:tblGrid>
        <w:gridCol w:w="8903"/>
        <w:gridCol w:w="167"/>
      </w:tblGrid>
      <w:tr w:rsidR="00916520" w:rsidRPr="00866785" w14:paraId="6E44E4A5" w14:textId="77777777" w:rsidTr="00916520">
        <w:trPr>
          <w:trHeight w:val="321"/>
        </w:trPr>
        <w:tc>
          <w:tcPr>
            <w:tcW w:w="4908" w:type="pct"/>
            <w:tcBorders>
              <w:top w:val="nil"/>
              <w:left w:val="nil"/>
              <w:bottom w:val="single" w:sz="4" w:space="0" w:color="auto"/>
              <w:right w:val="nil"/>
            </w:tcBorders>
            <w:shd w:val="clear" w:color="auto" w:fill="auto"/>
            <w:vAlign w:val="center"/>
          </w:tcPr>
          <w:p w14:paraId="763A4FB9" w14:textId="77777777" w:rsidR="00916520" w:rsidRPr="00866785" w:rsidRDefault="00916520" w:rsidP="00947BF3">
            <w:pPr>
              <w:spacing w:after="120"/>
              <w:rPr>
                <w:rFonts w:ascii="Arial Narrow" w:hAnsi="Arial Narrow" w:cs="Arial"/>
                <w:b/>
                <w:color w:val="2C9ADC"/>
                <w:sz w:val="20"/>
                <w:szCs w:val="18"/>
              </w:rPr>
            </w:pPr>
            <w:r w:rsidRPr="00866785">
              <w:rPr>
                <w:rFonts w:ascii="Arial Narrow" w:hAnsi="Arial Narrow" w:cs="Arial"/>
                <w:b/>
                <w:color w:val="2C9ADC"/>
                <w:sz w:val="20"/>
                <w:szCs w:val="18"/>
              </w:rPr>
              <w:t>Hovädzie mäso – pomer spotrebiteľskej a odbytovej ceny</w:t>
            </w:r>
          </w:p>
        </w:tc>
        <w:tc>
          <w:tcPr>
            <w:tcW w:w="92" w:type="pct"/>
            <w:tcBorders>
              <w:top w:val="nil"/>
              <w:left w:val="nil"/>
              <w:bottom w:val="nil"/>
              <w:right w:val="nil"/>
            </w:tcBorders>
            <w:shd w:val="clear" w:color="auto" w:fill="auto"/>
            <w:vAlign w:val="center"/>
          </w:tcPr>
          <w:p w14:paraId="361175C7" w14:textId="77777777" w:rsidR="00916520" w:rsidRPr="00866785" w:rsidRDefault="00916520" w:rsidP="00947BF3">
            <w:pPr>
              <w:spacing w:after="120"/>
              <w:rPr>
                <w:rFonts w:ascii="Arial Narrow" w:hAnsi="Arial Narrow" w:cs="Arial"/>
                <w:b/>
                <w:color w:val="2C9ADC"/>
                <w:sz w:val="20"/>
                <w:szCs w:val="18"/>
              </w:rPr>
            </w:pPr>
          </w:p>
        </w:tc>
      </w:tr>
      <w:tr w:rsidR="00916520" w:rsidRPr="00866785" w14:paraId="5946389C" w14:textId="77777777" w:rsidTr="00916520">
        <w:trPr>
          <w:trHeight w:val="820"/>
        </w:trPr>
        <w:tc>
          <w:tcPr>
            <w:tcW w:w="4908" w:type="pct"/>
            <w:tcBorders>
              <w:top w:val="single" w:sz="4" w:space="0" w:color="auto"/>
              <w:left w:val="nil"/>
              <w:bottom w:val="single" w:sz="4" w:space="0" w:color="auto"/>
              <w:right w:val="nil"/>
            </w:tcBorders>
            <w:vAlign w:val="center"/>
          </w:tcPr>
          <w:p w14:paraId="64048AFF" w14:textId="19BBB4DF" w:rsidR="00916520" w:rsidRPr="00866785" w:rsidRDefault="000D0908" w:rsidP="00947BF3">
            <w:pPr>
              <w:spacing w:after="120"/>
              <w:jc w:val="center"/>
              <w:rPr>
                <w:rFonts w:ascii="Arial Narrow" w:hAnsi="Arial Narrow" w:cs="Arial"/>
                <w:b/>
                <w:sz w:val="20"/>
                <w:szCs w:val="20"/>
              </w:rPr>
            </w:pPr>
            <w:r>
              <w:rPr>
                <w:rFonts w:ascii="Arial Narrow" w:hAnsi="Arial Narrow" w:cs="Arial"/>
                <w:b/>
                <w:noProof/>
                <w:sz w:val="20"/>
                <w:szCs w:val="20"/>
              </w:rPr>
              <w:drawing>
                <wp:inline distT="0" distB="0" distL="0" distR="0" wp14:anchorId="51167E37" wp14:editId="522DFF8F">
                  <wp:extent cx="5565775" cy="2938780"/>
                  <wp:effectExtent l="0" t="0" r="0" b="0"/>
                  <wp:docPr id="2140206719" name="Obrázok 1" descr="Obrázok, na ktorom je text, rad, vývoj, diagram&#10;&#10;Obsah vygenerovaný umelou inteligenciou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206719" name="Obrázok 1" descr="Obrázok, na ktorom je text, rad, vývoj, diagram&#10;&#10;Obsah vygenerovaný umelou inteligenciou môže byť nesprávny."/>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565775" cy="2938780"/>
                          </a:xfrm>
                          <a:prstGeom prst="rect">
                            <a:avLst/>
                          </a:prstGeom>
                        </pic:spPr>
                      </pic:pic>
                    </a:graphicData>
                  </a:graphic>
                </wp:inline>
              </w:drawing>
            </w:r>
          </w:p>
        </w:tc>
        <w:tc>
          <w:tcPr>
            <w:tcW w:w="92" w:type="pct"/>
            <w:tcBorders>
              <w:top w:val="nil"/>
              <w:left w:val="nil"/>
              <w:bottom w:val="nil"/>
              <w:right w:val="nil"/>
            </w:tcBorders>
            <w:vAlign w:val="center"/>
          </w:tcPr>
          <w:p w14:paraId="1D55389F" w14:textId="77777777" w:rsidR="00916520" w:rsidRPr="00866785" w:rsidRDefault="00916520" w:rsidP="00947BF3">
            <w:pPr>
              <w:spacing w:after="120"/>
              <w:jc w:val="center"/>
              <w:rPr>
                <w:rFonts w:ascii="Arial Narrow" w:hAnsi="Arial Narrow" w:cs="Arial"/>
                <w:b/>
                <w:sz w:val="20"/>
                <w:szCs w:val="20"/>
              </w:rPr>
            </w:pPr>
          </w:p>
          <w:p w14:paraId="6969F963" w14:textId="77777777" w:rsidR="00916520" w:rsidRPr="00866785" w:rsidRDefault="00916520" w:rsidP="00947BF3">
            <w:pPr>
              <w:spacing w:after="120"/>
              <w:jc w:val="center"/>
              <w:rPr>
                <w:rFonts w:ascii="Arial Narrow" w:hAnsi="Arial Narrow" w:cs="Arial"/>
                <w:b/>
                <w:sz w:val="20"/>
                <w:szCs w:val="20"/>
              </w:rPr>
            </w:pPr>
          </w:p>
        </w:tc>
      </w:tr>
      <w:tr w:rsidR="00916520" w:rsidRPr="00866785" w14:paraId="5E865B1B" w14:textId="77777777" w:rsidTr="00916520">
        <w:trPr>
          <w:trHeight w:val="104"/>
        </w:trPr>
        <w:tc>
          <w:tcPr>
            <w:tcW w:w="4908" w:type="pct"/>
            <w:tcBorders>
              <w:top w:val="single" w:sz="4" w:space="0" w:color="auto"/>
              <w:left w:val="nil"/>
              <w:bottom w:val="nil"/>
              <w:right w:val="nil"/>
            </w:tcBorders>
            <w:vAlign w:val="center"/>
          </w:tcPr>
          <w:p w14:paraId="47534E43" w14:textId="77777777" w:rsidR="00947BF3" w:rsidRDefault="00916520" w:rsidP="00947BF3">
            <w:pPr>
              <w:spacing w:after="120"/>
              <w:jc w:val="right"/>
              <w:rPr>
                <w:rFonts w:ascii="Arial Narrow" w:hAnsi="Arial Narrow" w:cs="Arial"/>
                <w:i/>
                <w:sz w:val="16"/>
                <w:szCs w:val="16"/>
              </w:rPr>
            </w:pPr>
            <w:r w:rsidRPr="00866785">
              <w:rPr>
                <w:rFonts w:ascii="Arial Narrow" w:hAnsi="Arial Narrow" w:cs="Arial"/>
                <w:i/>
                <w:sz w:val="16"/>
                <w:szCs w:val="16"/>
              </w:rPr>
              <w:t>Zdroj: MPRV SR</w:t>
            </w:r>
            <w:r>
              <w:rPr>
                <w:rFonts w:ascii="Arial Narrow" w:hAnsi="Arial Narrow" w:cs="Arial"/>
                <w:i/>
                <w:sz w:val="16"/>
                <w:szCs w:val="16"/>
              </w:rPr>
              <w:t>, MF SR, ŠÚ SR</w:t>
            </w:r>
          </w:p>
          <w:p w14:paraId="75F6968E" w14:textId="6171017F" w:rsidR="00916520" w:rsidRPr="00866785" w:rsidRDefault="00916520" w:rsidP="00947BF3">
            <w:pPr>
              <w:jc w:val="right"/>
              <w:rPr>
                <w:rFonts w:ascii="Arial Narrow" w:hAnsi="Arial Narrow" w:cs="Arial"/>
                <w:i/>
                <w:sz w:val="16"/>
                <w:szCs w:val="16"/>
              </w:rPr>
            </w:pPr>
            <w:r w:rsidRPr="00866785">
              <w:rPr>
                <w:rFonts w:ascii="Arial Narrow" w:hAnsi="Arial Narrow" w:cs="Arial"/>
                <w:i/>
                <w:sz w:val="16"/>
                <w:szCs w:val="16"/>
              </w:rPr>
              <w:t xml:space="preserve"> </w:t>
            </w:r>
          </w:p>
        </w:tc>
        <w:tc>
          <w:tcPr>
            <w:tcW w:w="92" w:type="pct"/>
            <w:tcBorders>
              <w:top w:val="nil"/>
              <w:left w:val="nil"/>
              <w:bottom w:val="nil"/>
              <w:right w:val="nil"/>
            </w:tcBorders>
            <w:vAlign w:val="center"/>
          </w:tcPr>
          <w:p w14:paraId="0FFAB648" w14:textId="77777777" w:rsidR="00916520" w:rsidRPr="00866785" w:rsidRDefault="00916520" w:rsidP="00947BF3">
            <w:pPr>
              <w:spacing w:after="120"/>
              <w:jc w:val="center"/>
              <w:rPr>
                <w:rFonts w:ascii="Arial Narrow" w:hAnsi="Arial Narrow" w:cs="Arial"/>
                <w:i/>
                <w:sz w:val="16"/>
                <w:szCs w:val="16"/>
              </w:rPr>
            </w:pPr>
          </w:p>
        </w:tc>
      </w:tr>
    </w:tbl>
    <w:p w14:paraId="18C603C1" w14:textId="729DD826" w:rsidR="00B56FA3" w:rsidRDefault="00B6208F" w:rsidP="00947BF3">
      <w:pPr>
        <w:spacing w:after="240"/>
        <w:jc w:val="both"/>
        <w:rPr>
          <w:rFonts w:ascii="Arial Narrow" w:hAnsi="Arial Narrow"/>
          <w:sz w:val="24"/>
          <w:szCs w:val="24"/>
        </w:rPr>
      </w:pPr>
      <w:r w:rsidRPr="00B56FA3">
        <w:rPr>
          <w:rFonts w:ascii="Arial Narrow" w:hAnsi="Arial Narrow"/>
          <w:sz w:val="24"/>
          <w:szCs w:val="24"/>
        </w:rPr>
        <w:t>V roku 2024 došlo pri hovädzom mäse k miernemu poklesu pomeru spotrebiteľských a odbytových cien. Priemerný ukazovateľ klesol oproti roku 2023 o 4,8</w:t>
      </w:r>
      <w:r w:rsidRPr="00B56FA3">
        <w:rPr>
          <w:rFonts w:ascii="Arial" w:hAnsi="Arial" w:cs="Arial"/>
          <w:sz w:val="24"/>
          <w:szCs w:val="24"/>
        </w:rPr>
        <w:t> </w:t>
      </w:r>
      <w:r w:rsidRPr="00B56FA3">
        <w:rPr>
          <w:rFonts w:ascii="Arial Narrow" w:hAnsi="Arial Narrow"/>
          <w:sz w:val="24"/>
          <w:szCs w:val="24"/>
        </w:rPr>
        <w:t>%, najviac pri hovädzom zadnom bez kosti (–7,3</w:t>
      </w:r>
      <w:r w:rsidRPr="00B56FA3">
        <w:rPr>
          <w:rFonts w:ascii="Arial" w:hAnsi="Arial" w:cs="Arial"/>
          <w:sz w:val="24"/>
          <w:szCs w:val="24"/>
        </w:rPr>
        <w:t> </w:t>
      </w:r>
      <w:r w:rsidRPr="00B56FA3">
        <w:rPr>
          <w:rFonts w:ascii="Arial Narrow" w:hAnsi="Arial Narrow"/>
          <w:sz w:val="24"/>
          <w:szCs w:val="24"/>
        </w:rPr>
        <w:t xml:space="preserve">%). Vývoj bol mierne kolísavý, s najnižšími hodnotami v apríli </w:t>
      </w:r>
      <w:r w:rsidR="00E63DA4" w:rsidRPr="00B56FA3">
        <w:rPr>
          <w:rFonts w:ascii="Arial Narrow" w:hAnsi="Arial Narrow"/>
          <w:sz w:val="24"/>
          <w:szCs w:val="24"/>
        </w:rPr>
        <w:t>2024</w:t>
      </w:r>
      <w:r w:rsidR="000226EB" w:rsidRPr="00B56FA3">
        <w:rPr>
          <w:rFonts w:ascii="Arial Narrow" w:hAnsi="Arial Narrow"/>
          <w:sz w:val="24"/>
          <w:szCs w:val="24"/>
        </w:rPr>
        <w:t xml:space="preserve"> </w:t>
      </w:r>
      <w:r w:rsidRPr="00B56FA3">
        <w:rPr>
          <w:rFonts w:ascii="Arial Narrow" w:hAnsi="Arial Narrow"/>
          <w:sz w:val="24"/>
          <w:szCs w:val="24"/>
        </w:rPr>
        <w:t>a bez výrazných nárastov v druhej polovici roka. Tieto údaje naznačujú, že obchodné rozpätia pri hovädzom mäse sa v roku 2024 skôr znižovali, čo je v súlade s tlmením inflácie.</w:t>
      </w:r>
    </w:p>
    <w:tbl>
      <w:tblPr>
        <w:tblW w:w="5000"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1E0" w:firstRow="1" w:lastRow="1" w:firstColumn="1" w:lastColumn="1" w:noHBand="0" w:noVBand="0"/>
      </w:tblPr>
      <w:tblGrid>
        <w:gridCol w:w="8903"/>
        <w:gridCol w:w="167"/>
      </w:tblGrid>
      <w:tr w:rsidR="00916520" w:rsidRPr="00866785" w14:paraId="6A2F8DAF" w14:textId="77777777" w:rsidTr="00B43B60">
        <w:trPr>
          <w:trHeight w:val="321"/>
        </w:trPr>
        <w:tc>
          <w:tcPr>
            <w:tcW w:w="4908" w:type="pct"/>
            <w:tcBorders>
              <w:top w:val="nil"/>
              <w:left w:val="nil"/>
              <w:bottom w:val="single" w:sz="4" w:space="0" w:color="auto"/>
              <w:right w:val="nil"/>
            </w:tcBorders>
            <w:shd w:val="clear" w:color="auto" w:fill="auto"/>
            <w:vAlign w:val="center"/>
          </w:tcPr>
          <w:p w14:paraId="4FF0FF32" w14:textId="421FCE2E" w:rsidR="00916520" w:rsidRPr="00866785" w:rsidRDefault="00916520" w:rsidP="00947BF3">
            <w:pPr>
              <w:spacing w:after="120"/>
              <w:rPr>
                <w:rFonts w:ascii="Arial Narrow" w:hAnsi="Arial Narrow" w:cs="Arial"/>
                <w:b/>
                <w:color w:val="2C9ADC"/>
                <w:sz w:val="20"/>
                <w:szCs w:val="18"/>
              </w:rPr>
            </w:pPr>
            <w:r w:rsidRPr="00866785">
              <w:rPr>
                <w:rFonts w:ascii="Arial Narrow" w:hAnsi="Arial Narrow" w:cs="Arial"/>
                <w:b/>
                <w:color w:val="2C9ADC"/>
                <w:sz w:val="20"/>
                <w:szCs w:val="18"/>
              </w:rPr>
              <w:t>Bravčové mäso– pomer spotrebiteľskej a odbytovej ceny</w:t>
            </w:r>
          </w:p>
        </w:tc>
        <w:tc>
          <w:tcPr>
            <w:tcW w:w="92" w:type="pct"/>
            <w:tcBorders>
              <w:top w:val="nil"/>
              <w:left w:val="nil"/>
              <w:bottom w:val="nil"/>
              <w:right w:val="nil"/>
            </w:tcBorders>
            <w:shd w:val="clear" w:color="auto" w:fill="auto"/>
            <w:vAlign w:val="center"/>
          </w:tcPr>
          <w:p w14:paraId="6B7B09B0" w14:textId="77777777" w:rsidR="00916520" w:rsidRPr="00866785" w:rsidRDefault="00916520" w:rsidP="00947BF3">
            <w:pPr>
              <w:spacing w:after="120"/>
              <w:rPr>
                <w:rFonts w:ascii="Arial Narrow" w:hAnsi="Arial Narrow" w:cs="Arial"/>
                <w:b/>
                <w:color w:val="2C9ADC"/>
                <w:sz w:val="20"/>
                <w:szCs w:val="18"/>
              </w:rPr>
            </w:pPr>
          </w:p>
        </w:tc>
      </w:tr>
      <w:tr w:rsidR="00916520" w:rsidRPr="00866785" w14:paraId="7F1CEB12" w14:textId="77777777" w:rsidTr="00B43B60">
        <w:trPr>
          <w:trHeight w:val="820"/>
        </w:trPr>
        <w:tc>
          <w:tcPr>
            <w:tcW w:w="4908" w:type="pct"/>
            <w:tcBorders>
              <w:top w:val="single" w:sz="4" w:space="0" w:color="auto"/>
              <w:left w:val="nil"/>
              <w:bottom w:val="single" w:sz="4" w:space="0" w:color="auto"/>
              <w:right w:val="nil"/>
            </w:tcBorders>
            <w:vAlign w:val="center"/>
          </w:tcPr>
          <w:p w14:paraId="3D5B7061" w14:textId="7F12228F" w:rsidR="00916520" w:rsidRPr="00866785" w:rsidRDefault="000D0908" w:rsidP="00947BF3">
            <w:pPr>
              <w:spacing w:after="120"/>
              <w:jc w:val="center"/>
              <w:rPr>
                <w:rFonts w:ascii="Arial Narrow" w:hAnsi="Arial Narrow" w:cs="Arial"/>
                <w:b/>
                <w:sz w:val="20"/>
                <w:szCs w:val="20"/>
              </w:rPr>
            </w:pPr>
            <w:r>
              <w:rPr>
                <w:rFonts w:ascii="Arial Narrow" w:hAnsi="Arial Narrow" w:cs="Arial"/>
                <w:b/>
                <w:noProof/>
                <w:sz w:val="20"/>
                <w:szCs w:val="20"/>
              </w:rPr>
              <w:drawing>
                <wp:inline distT="0" distB="0" distL="0" distR="0" wp14:anchorId="75C4BC9C" wp14:editId="21FBC129">
                  <wp:extent cx="5565775" cy="2315845"/>
                  <wp:effectExtent l="0" t="0" r="0" b="8255"/>
                  <wp:docPr id="1525350710" name="Obrázok 2" descr="Obrázok, na ktorom je diagram, rad, vývoj, písmo&#10;&#10;Obsah vygenerovaný umelou inteligenciou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350710" name="Obrázok 2" descr="Obrázok, na ktorom je diagram, rad, vývoj, písmo&#10;&#10;Obsah vygenerovaný umelou inteligenciou môže byť nesprávny."/>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565775" cy="2315845"/>
                          </a:xfrm>
                          <a:prstGeom prst="rect">
                            <a:avLst/>
                          </a:prstGeom>
                        </pic:spPr>
                      </pic:pic>
                    </a:graphicData>
                  </a:graphic>
                </wp:inline>
              </w:drawing>
            </w:r>
          </w:p>
        </w:tc>
        <w:tc>
          <w:tcPr>
            <w:tcW w:w="92" w:type="pct"/>
            <w:tcBorders>
              <w:top w:val="nil"/>
              <w:left w:val="nil"/>
              <w:bottom w:val="nil"/>
              <w:right w:val="nil"/>
            </w:tcBorders>
            <w:vAlign w:val="center"/>
          </w:tcPr>
          <w:p w14:paraId="77F3121A" w14:textId="77777777" w:rsidR="00916520" w:rsidRPr="00866785" w:rsidRDefault="00916520" w:rsidP="00947BF3">
            <w:pPr>
              <w:spacing w:after="120"/>
              <w:jc w:val="center"/>
              <w:rPr>
                <w:rFonts w:ascii="Arial Narrow" w:hAnsi="Arial Narrow" w:cs="Arial"/>
                <w:b/>
                <w:sz w:val="20"/>
                <w:szCs w:val="20"/>
              </w:rPr>
            </w:pPr>
          </w:p>
          <w:p w14:paraId="430A599E" w14:textId="77777777" w:rsidR="00916520" w:rsidRPr="00866785" w:rsidRDefault="00916520" w:rsidP="00947BF3">
            <w:pPr>
              <w:spacing w:after="120"/>
              <w:jc w:val="center"/>
              <w:rPr>
                <w:rFonts w:ascii="Arial Narrow" w:hAnsi="Arial Narrow" w:cs="Arial"/>
                <w:b/>
                <w:sz w:val="20"/>
                <w:szCs w:val="20"/>
              </w:rPr>
            </w:pPr>
          </w:p>
        </w:tc>
      </w:tr>
      <w:tr w:rsidR="00916520" w:rsidRPr="00866785" w14:paraId="4D1A38F0" w14:textId="77777777" w:rsidTr="00B43B60">
        <w:trPr>
          <w:trHeight w:val="104"/>
        </w:trPr>
        <w:tc>
          <w:tcPr>
            <w:tcW w:w="4908" w:type="pct"/>
            <w:tcBorders>
              <w:top w:val="single" w:sz="4" w:space="0" w:color="auto"/>
              <w:left w:val="nil"/>
              <w:bottom w:val="nil"/>
              <w:right w:val="nil"/>
            </w:tcBorders>
            <w:vAlign w:val="center"/>
          </w:tcPr>
          <w:p w14:paraId="49D31C7F" w14:textId="77777777" w:rsidR="00916520" w:rsidRDefault="00916520" w:rsidP="00947BF3">
            <w:pPr>
              <w:spacing w:after="120"/>
              <w:jc w:val="right"/>
              <w:rPr>
                <w:rFonts w:ascii="Arial Narrow" w:hAnsi="Arial Narrow" w:cs="Arial"/>
                <w:i/>
                <w:sz w:val="16"/>
                <w:szCs w:val="16"/>
              </w:rPr>
            </w:pPr>
            <w:r w:rsidRPr="00866785">
              <w:rPr>
                <w:rFonts w:ascii="Arial Narrow" w:hAnsi="Arial Narrow" w:cs="Arial"/>
                <w:i/>
                <w:sz w:val="16"/>
                <w:szCs w:val="16"/>
              </w:rPr>
              <w:t>Zdroj: MPRV SR</w:t>
            </w:r>
            <w:r>
              <w:rPr>
                <w:rFonts w:ascii="Arial Narrow" w:hAnsi="Arial Narrow" w:cs="Arial"/>
                <w:i/>
                <w:sz w:val="16"/>
                <w:szCs w:val="16"/>
              </w:rPr>
              <w:t>, MF SR, ŠÚ SR</w:t>
            </w:r>
          </w:p>
          <w:p w14:paraId="1373083B" w14:textId="2A917603" w:rsidR="00947BF3" w:rsidRPr="00866785" w:rsidRDefault="00947BF3" w:rsidP="00947BF3">
            <w:pPr>
              <w:jc w:val="right"/>
              <w:rPr>
                <w:rFonts w:ascii="Arial Narrow" w:hAnsi="Arial Narrow" w:cs="Arial"/>
                <w:i/>
                <w:sz w:val="16"/>
                <w:szCs w:val="16"/>
              </w:rPr>
            </w:pPr>
          </w:p>
        </w:tc>
        <w:tc>
          <w:tcPr>
            <w:tcW w:w="92" w:type="pct"/>
            <w:tcBorders>
              <w:top w:val="nil"/>
              <w:left w:val="nil"/>
              <w:bottom w:val="nil"/>
              <w:right w:val="nil"/>
            </w:tcBorders>
            <w:vAlign w:val="center"/>
          </w:tcPr>
          <w:p w14:paraId="3F0F681F" w14:textId="77777777" w:rsidR="00916520" w:rsidRPr="00866785" w:rsidRDefault="00916520" w:rsidP="00947BF3">
            <w:pPr>
              <w:spacing w:after="120"/>
              <w:jc w:val="center"/>
              <w:rPr>
                <w:rFonts w:ascii="Arial Narrow" w:hAnsi="Arial Narrow" w:cs="Arial"/>
                <w:i/>
                <w:sz w:val="16"/>
                <w:szCs w:val="16"/>
              </w:rPr>
            </w:pPr>
          </w:p>
        </w:tc>
      </w:tr>
    </w:tbl>
    <w:p w14:paraId="2EFF3E93" w14:textId="1000CDEB" w:rsidR="000D0908" w:rsidRPr="00B56FA3" w:rsidRDefault="00B6208F" w:rsidP="00947BF3">
      <w:pPr>
        <w:spacing w:after="240"/>
        <w:jc w:val="both"/>
        <w:rPr>
          <w:rFonts w:ascii="Arial Narrow" w:hAnsi="Arial Narrow"/>
          <w:sz w:val="24"/>
          <w:szCs w:val="24"/>
        </w:rPr>
      </w:pPr>
      <w:r w:rsidRPr="00B56FA3">
        <w:rPr>
          <w:rFonts w:ascii="Arial Narrow" w:hAnsi="Arial Narrow"/>
          <w:sz w:val="24"/>
          <w:szCs w:val="24"/>
        </w:rPr>
        <w:t>V roku 2024 sa pri väčšine druhov bravčového mäsa zaznamenal pokles pomeru spotrebiteľských a</w:t>
      </w:r>
      <w:r w:rsidR="00B56FA3">
        <w:rPr>
          <w:rFonts w:ascii="Arial Narrow" w:hAnsi="Arial Narrow"/>
          <w:sz w:val="24"/>
          <w:szCs w:val="24"/>
        </w:rPr>
        <w:t> </w:t>
      </w:r>
      <w:r w:rsidRPr="00B56FA3">
        <w:rPr>
          <w:rFonts w:ascii="Arial Narrow" w:hAnsi="Arial Narrow"/>
          <w:sz w:val="24"/>
          <w:szCs w:val="24"/>
        </w:rPr>
        <w:t>odbytových cien oproti roku 2023. Najvýraznejší medziročný pokles sa prejavil pri bravčovom karé s</w:t>
      </w:r>
      <w:r w:rsidR="00B56FA3">
        <w:rPr>
          <w:rFonts w:ascii="Arial Narrow" w:hAnsi="Arial Narrow"/>
          <w:sz w:val="24"/>
          <w:szCs w:val="24"/>
        </w:rPr>
        <w:t> </w:t>
      </w:r>
      <w:r w:rsidRPr="00B56FA3">
        <w:rPr>
          <w:rFonts w:ascii="Arial Narrow" w:hAnsi="Arial Narrow"/>
          <w:sz w:val="24"/>
          <w:szCs w:val="24"/>
        </w:rPr>
        <w:t>kosťou (–15,6</w:t>
      </w:r>
      <w:r w:rsidRPr="00B56FA3">
        <w:rPr>
          <w:rFonts w:ascii="Arial" w:hAnsi="Arial" w:cs="Arial"/>
          <w:sz w:val="24"/>
          <w:szCs w:val="24"/>
        </w:rPr>
        <w:t> </w:t>
      </w:r>
      <w:r w:rsidRPr="00B56FA3">
        <w:rPr>
          <w:rFonts w:ascii="Arial Narrow" w:hAnsi="Arial Narrow"/>
          <w:sz w:val="24"/>
          <w:szCs w:val="24"/>
        </w:rPr>
        <w:t>%) a krkovičke (–8,6</w:t>
      </w:r>
      <w:r w:rsidRPr="00B56FA3">
        <w:rPr>
          <w:rFonts w:ascii="Arial" w:hAnsi="Arial" w:cs="Arial"/>
          <w:sz w:val="24"/>
          <w:szCs w:val="24"/>
        </w:rPr>
        <w:t> </w:t>
      </w:r>
      <w:r w:rsidRPr="00B56FA3">
        <w:rPr>
          <w:rFonts w:ascii="Arial Narrow" w:hAnsi="Arial Narrow"/>
          <w:sz w:val="24"/>
          <w:szCs w:val="24"/>
        </w:rPr>
        <w:t>%), zatiaľ čo pri bôčiku a stehne boli hodnoty stabilnejšie. Pliecko si udržalo pomer blízky úrovni z predchádzajúceho roka. Hoci bol vývoj počas roka dynamický, smeroval skôr k miernemu poklesu obchodných marží. Výsledky poukazujú na ustupujúce cenové napätie v tomto segmente.</w:t>
      </w:r>
    </w:p>
    <w:tbl>
      <w:tblPr>
        <w:tblW w:w="5000"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1E0" w:firstRow="1" w:lastRow="1" w:firstColumn="1" w:lastColumn="1" w:noHBand="0" w:noVBand="0"/>
      </w:tblPr>
      <w:tblGrid>
        <w:gridCol w:w="8903"/>
        <w:gridCol w:w="167"/>
      </w:tblGrid>
      <w:tr w:rsidR="00916520" w:rsidRPr="00866785" w14:paraId="08EF250B" w14:textId="77777777" w:rsidTr="00B43B60">
        <w:trPr>
          <w:trHeight w:val="321"/>
        </w:trPr>
        <w:tc>
          <w:tcPr>
            <w:tcW w:w="4908" w:type="pct"/>
            <w:tcBorders>
              <w:top w:val="nil"/>
              <w:left w:val="nil"/>
              <w:bottom w:val="single" w:sz="4" w:space="0" w:color="auto"/>
              <w:right w:val="nil"/>
            </w:tcBorders>
            <w:shd w:val="clear" w:color="auto" w:fill="auto"/>
            <w:vAlign w:val="center"/>
          </w:tcPr>
          <w:p w14:paraId="3A7FFA91" w14:textId="48213A28" w:rsidR="00916520" w:rsidRPr="00866785" w:rsidRDefault="00916520" w:rsidP="00947BF3">
            <w:pPr>
              <w:spacing w:after="120"/>
              <w:rPr>
                <w:rFonts w:ascii="Arial Narrow" w:hAnsi="Arial Narrow" w:cs="Arial"/>
                <w:b/>
                <w:color w:val="2C9ADC"/>
                <w:sz w:val="20"/>
                <w:szCs w:val="18"/>
              </w:rPr>
            </w:pPr>
            <w:r w:rsidRPr="00C10F84">
              <w:rPr>
                <w:rFonts w:ascii="Arial Narrow" w:hAnsi="Arial Narrow" w:cs="Arial"/>
                <w:b/>
                <w:color w:val="2C9ADC"/>
                <w:sz w:val="20"/>
                <w:szCs w:val="18"/>
              </w:rPr>
              <w:t>Múka a pečivo</w:t>
            </w:r>
            <w:r w:rsidRPr="00866785">
              <w:rPr>
                <w:rFonts w:ascii="Arial Narrow" w:hAnsi="Arial Narrow" w:cs="Arial"/>
                <w:b/>
                <w:color w:val="2C9ADC"/>
                <w:sz w:val="20"/>
                <w:szCs w:val="18"/>
              </w:rPr>
              <w:t xml:space="preserve"> – pomer spotrebiteľskej a odbytovej ceny</w:t>
            </w:r>
          </w:p>
        </w:tc>
        <w:tc>
          <w:tcPr>
            <w:tcW w:w="92" w:type="pct"/>
            <w:tcBorders>
              <w:top w:val="nil"/>
              <w:left w:val="nil"/>
              <w:bottom w:val="nil"/>
              <w:right w:val="nil"/>
            </w:tcBorders>
            <w:shd w:val="clear" w:color="auto" w:fill="auto"/>
            <w:vAlign w:val="center"/>
          </w:tcPr>
          <w:p w14:paraId="5ABC6803" w14:textId="77777777" w:rsidR="00916520" w:rsidRPr="00866785" w:rsidRDefault="00916520" w:rsidP="00947BF3">
            <w:pPr>
              <w:spacing w:after="120"/>
              <w:rPr>
                <w:rFonts w:ascii="Arial Narrow" w:hAnsi="Arial Narrow" w:cs="Arial"/>
                <w:b/>
                <w:color w:val="2C9ADC"/>
                <w:sz w:val="20"/>
                <w:szCs w:val="18"/>
              </w:rPr>
            </w:pPr>
          </w:p>
        </w:tc>
      </w:tr>
      <w:tr w:rsidR="00916520" w:rsidRPr="00866785" w14:paraId="12C50757" w14:textId="77777777" w:rsidTr="00B43B60">
        <w:trPr>
          <w:trHeight w:val="820"/>
        </w:trPr>
        <w:tc>
          <w:tcPr>
            <w:tcW w:w="4908" w:type="pct"/>
            <w:tcBorders>
              <w:top w:val="single" w:sz="4" w:space="0" w:color="auto"/>
              <w:left w:val="nil"/>
              <w:bottom w:val="single" w:sz="4" w:space="0" w:color="auto"/>
              <w:right w:val="nil"/>
            </w:tcBorders>
            <w:vAlign w:val="center"/>
          </w:tcPr>
          <w:p w14:paraId="596CC454" w14:textId="2C263A9F" w:rsidR="00916520" w:rsidRPr="00866785" w:rsidRDefault="000D0908" w:rsidP="00947BF3">
            <w:pPr>
              <w:spacing w:after="120"/>
              <w:jc w:val="center"/>
              <w:rPr>
                <w:rFonts w:ascii="Arial Narrow" w:hAnsi="Arial Narrow" w:cs="Arial"/>
                <w:b/>
                <w:sz w:val="20"/>
                <w:szCs w:val="20"/>
              </w:rPr>
            </w:pPr>
            <w:r>
              <w:rPr>
                <w:rFonts w:ascii="Arial Narrow" w:hAnsi="Arial Narrow" w:cs="Arial"/>
                <w:b/>
                <w:noProof/>
                <w:sz w:val="20"/>
                <w:szCs w:val="20"/>
              </w:rPr>
              <w:drawing>
                <wp:inline distT="0" distB="0" distL="0" distR="0" wp14:anchorId="51A3AD2B" wp14:editId="18A8E23B">
                  <wp:extent cx="5565775" cy="2533015"/>
                  <wp:effectExtent l="0" t="0" r="0" b="635"/>
                  <wp:docPr id="1037360284" name="Obrázok 3" descr="Obrázok, na ktorom je text, rad, vývoj, snímka obrazovky&#10;&#10;Obsah vygenerovaný umelou inteligenciou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360284" name="Obrázok 3" descr="Obrázok, na ktorom je text, rad, vývoj, snímka obrazovky&#10;&#10;Obsah vygenerovaný umelou inteligenciou môže byť nesprávny."/>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565775" cy="2533015"/>
                          </a:xfrm>
                          <a:prstGeom prst="rect">
                            <a:avLst/>
                          </a:prstGeom>
                        </pic:spPr>
                      </pic:pic>
                    </a:graphicData>
                  </a:graphic>
                </wp:inline>
              </w:drawing>
            </w:r>
          </w:p>
        </w:tc>
        <w:tc>
          <w:tcPr>
            <w:tcW w:w="92" w:type="pct"/>
            <w:tcBorders>
              <w:top w:val="nil"/>
              <w:left w:val="nil"/>
              <w:bottom w:val="nil"/>
              <w:right w:val="nil"/>
            </w:tcBorders>
            <w:vAlign w:val="center"/>
          </w:tcPr>
          <w:p w14:paraId="3CB4A03C" w14:textId="77777777" w:rsidR="00916520" w:rsidRPr="00866785" w:rsidRDefault="00916520" w:rsidP="00947BF3">
            <w:pPr>
              <w:spacing w:after="120"/>
              <w:jc w:val="center"/>
              <w:rPr>
                <w:rFonts w:ascii="Arial Narrow" w:hAnsi="Arial Narrow" w:cs="Arial"/>
                <w:b/>
                <w:sz w:val="20"/>
                <w:szCs w:val="20"/>
              </w:rPr>
            </w:pPr>
          </w:p>
          <w:p w14:paraId="7873EFD7" w14:textId="77777777" w:rsidR="00916520" w:rsidRPr="00866785" w:rsidRDefault="00916520" w:rsidP="00947BF3">
            <w:pPr>
              <w:spacing w:after="120"/>
              <w:jc w:val="center"/>
              <w:rPr>
                <w:rFonts w:ascii="Arial Narrow" w:hAnsi="Arial Narrow" w:cs="Arial"/>
                <w:b/>
                <w:sz w:val="20"/>
                <w:szCs w:val="20"/>
              </w:rPr>
            </w:pPr>
          </w:p>
        </w:tc>
      </w:tr>
      <w:tr w:rsidR="00916520" w:rsidRPr="00866785" w14:paraId="58B9652D" w14:textId="77777777" w:rsidTr="00B43B60">
        <w:trPr>
          <w:trHeight w:val="104"/>
        </w:trPr>
        <w:tc>
          <w:tcPr>
            <w:tcW w:w="4908" w:type="pct"/>
            <w:tcBorders>
              <w:top w:val="single" w:sz="4" w:space="0" w:color="auto"/>
              <w:left w:val="nil"/>
              <w:bottom w:val="nil"/>
              <w:right w:val="nil"/>
            </w:tcBorders>
            <w:vAlign w:val="center"/>
          </w:tcPr>
          <w:p w14:paraId="36BA2846" w14:textId="77777777" w:rsidR="00916520" w:rsidRDefault="00916520" w:rsidP="00947BF3">
            <w:pPr>
              <w:spacing w:after="120"/>
              <w:jc w:val="right"/>
              <w:rPr>
                <w:rFonts w:ascii="Arial Narrow" w:hAnsi="Arial Narrow" w:cs="Arial"/>
                <w:i/>
                <w:sz w:val="16"/>
                <w:szCs w:val="16"/>
              </w:rPr>
            </w:pPr>
            <w:r w:rsidRPr="00866785">
              <w:rPr>
                <w:rFonts w:ascii="Arial Narrow" w:hAnsi="Arial Narrow" w:cs="Arial"/>
                <w:i/>
                <w:sz w:val="16"/>
                <w:szCs w:val="16"/>
              </w:rPr>
              <w:t>Zdroj: MPRV SR</w:t>
            </w:r>
            <w:r>
              <w:rPr>
                <w:rFonts w:ascii="Arial Narrow" w:hAnsi="Arial Narrow" w:cs="Arial"/>
                <w:i/>
                <w:sz w:val="16"/>
                <w:szCs w:val="16"/>
              </w:rPr>
              <w:t>, MF SR, ŠÚ SR</w:t>
            </w:r>
          </w:p>
          <w:p w14:paraId="2BB74E60" w14:textId="3E064A29" w:rsidR="00947BF3" w:rsidRPr="00866785" w:rsidRDefault="00947BF3" w:rsidP="00947BF3">
            <w:pPr>
              <w:jc w:val="right"/>
              <w:rPr>
                <w:rFonts w:ascii="Arial Narrow" w:hAnsi="Arial Narrow" w:cs="Arial"/>
                <w:i/>
                <w:sz w:val="16"/>
                <w:szCs w:val="16"/>
              </w:rPr>
            </w:pPr>
          </w:p>
        </w:tc>
        <w:tc>
          <w:tcPr>
            <w:tcW w:w="92" w:type="pct"/>
            <w:tcBorders>
              <w:top w:val="nil"/>
              <w:left w:val="nil"/>
              <w:bottom w:val="nil"/>
              <w:right w:val="nil"/>
            </w:tcBorders>
            <w:vAlign w:val="center"/>
          </w:tcPr>
          <w:p w14:paraId="32469470" w14:textId="77777777" w:rsidR="00916520" w:rsidRPr="00866785" w:rsidRDefault="00916520" w:rsidP="00947BF3">
            <w:pPr>
              <w:spacing w:after="120"/>
              <w:jc w:val="center"/>
              <w:rPr>
                <w:rFonts w:ascii="Arial Narrow" w:hAnsi="Arial Narrow" w:cs="Arial"/>
                <w:i/>
                <w:sz w:val="16"/>
                <w:szCs w:val="16"/>
              </w:rPr>
            </w:pPr>
          </w:p>
        </w:tc>
      </w:tr>
    </w:tbl>
    <w:p w14:paraId="31E57352" w14:textId="2E235197" w:rsidR="000D0908" w:rsidRDefault="00B6208F" w:rsidP="00947BF3">
      <w:pPr>
        <w:spacing w:after="240"/>
        <w:jc w:val="both"/>
        <w:rPr>
          <w:rFonts w:ascii="Arial Narrow" w:hAnsi="Arial Narrow"/>
          <w:sz w:val="24"/>
          <w:szCs w:val="24"/>
        </w:rPr>
      </w:pPr>
      <w:r w:rsidRPr="00B56FA3">
        <w:rPr>
          <w:rFonts w:ascii="Arial Narrow" w:hAnsi="Arial Narrow"/>
          <w:sz w:val="24"/>
          <w:szCs w:val="24"/>
        </w:rPr>
        <w:t>V roku 2024 došlo k poklesu pomeru spotrebiteľských a odbytových cien pri pšeničnej múke polohrubej o približne 8,3</w:t>
      </w:r>
      <w:r w:rsidRPr="00B56FA3">
        <w:rPr>
          <w:rFonts w:ascii="Arial" w:hAnsi="Arial" w:cs="Arial"/>
          <w:sz w:val="24"/>
          <w:szCs w:val="24"/>
        </w:rPr>
        <w:t> </w:t>
      </w:r>
      <w:r w:rsidRPr="00B56FA3">
        <w:rPr>
          <w:rFonts w:ascii="Arial Narrow" w:hAnsi="Arial Narrow"/>
          <w:sz w:val="24"/>
          <w:szCs w:val="24"/>
        </w:rPr>
        <w:t>% v porovnaní s rokom 2023, čo naznačuje zmiernenie obchodnej marže. Pri chlebe tmavom zostal pomer prakticky stabilný (–0,3</w:t>
      </w:r>
      <w:r w:rsidRPr="00B56FA3">
        <w:rPr>
          <w:rFonts w:ascii="Arial" w:hAnsi="Arial" w:cs="Arial"/>
          <w:sz w:val="24"/>
          <w:szCs w:val="24"/>
        </w:rPr>
        <w:t> </w:t>
      </w:r>
      <w:r w:rsidRPr="00B56FA3">
        <w:rPr>
          <w:rFonts w:ascii="Arial Narrow" w:hAnsi="Arial Narrow"/>
          <w:sz w:val="24"/>
          <w:szCs w:val="24"/>
        </w:rPr>
        <w:t>%), zatiaľ čo pri rožku bielom obyčajnom bol zaznamenaný výrazný medziročný pokles o vyše 20</w:t>
      </w:r>
      <w:r w:rsidRPr="00B56FA3">
        <w:rPr>
          <w:rFonts w:ascii="Arial" w:hAnsi="Arial" w:cs="Arial"/>
          <w:sz w:val="24"/>
          <w:szCs w:val="24"/>
        </w:rPr>
        <w:t> </w:t>
      </w:r>
      <w:r w:rsidRPr="00B56FA3">
        <w:rPr>
          <w:rFonts w:ascii="Arial Narrow" w:hAnsi="Arial Narrow"/>
          <w:sz w:val="24"/>
          <w:szCs w:val="24"/>
        </w:rPr>
        <w:t>%, hoci údaje v strede roka chýbajú. Celkovo možno sledovať ustupovanie cenových tlakov pri pečive a múke, pričom obchodné rozpätie sa postupne znižovalo alebo stabilizovalo.</w:t>
      </w:r>
    </w:p>
    <w:p w14:paraId="0159F963" w14:textId="77777777" w:rsidR="00947BF3" w:rsidRDefault="00947BF3" w:rsidP="00947BF3">
      <w:pPr>
        <w:spacing w:after="240"/>
        <w:jc w:val="both"/>
        <w:rPr>
          <w:rFonts w:ascii="Arial Narrow" w:hAnsi="Arial Narrow"/>
          <w:sz w:val="24"/>
          <w:szCs w:val="24"/>
        </w:rPr>
      </w:pPr>
    </w:p>
    <w:p w14:paraId="4C4779BC" w14:textId="77777777" w:rsidR="00947BF3" w:rsidRDefault="00947BF3" w:rsidP="00947BF3">
      <w:pPr>
        <w:spacing w:after="240"/>
        <w:jc w:val="both"/>
        <w:rPr>
          <w:rFonts w:ascii="Arial Narrow" w:hAnsi="Arial Narrow"/>
          <w:sz w:val="24"/>
          <w:szCs w:val="24"/>
        </w:rPr>
      </w:pPr>
    </w:p>
    <w:p w14:paraId="7FC8F9F4" w14:textId="77777777" w:rsidR="00947BF3" w:rsidRDefault="00947BF3" w:rsidP="00947BF3">
      <w:pPr>
        <w:spacing w:after="240"/>
        <w:jc w:val="both"/>
        <w:rPr>
          <w:rFonts w:ascii="Arial Narrow" w:hAnsi="Arial Narrow"/>
          <w:sz w:val="24"/>
          <w:szCs w:val="24"/>
        </w:rPr>
      </w:pPr>
    </w:p>
    <w:p w14:paraId="502CA3E0" w14:textId="77777777" w:rsidR="00947BF3" w:rsidRDefault="00947BF3" w:rsidP="00947BF3">
      <w:pPr>
        <w:spacing w:after="240"/>
        <w:jc w:val="both"/>
        <w:rPr>
          <w:rFonts w:ascii="Arial Narrow" w:hAnsi="Arial Narrow"/>
          <w:sz w:val="24"/>
          <w:szCs w:val="24"/>
        </w:rPr>
      </w:pPr>
    </w:p>
    <w:p w14:paraId="62FA8C5E" w14:textId="77777777" w:rsidR="00947BF3" w:rsidRDefault="00947BF3" w:rsidP="00947BF3">
      <w:pPr>
        <w:spacing w:after="240"/>
        <w:jc w:val="both"/>
        <w:rPr>
          <w:rFonts w:ascii="Arial Narrow" w:hAnsi="Arial Narrow"/>
          <w:sz w:val="24"/>
          <w:szCs w:val="24"/>
        </w:rPr>
      </w:pPr>
    </w:p>
    <w:p w14:paraId="18F0CA6B" w14:textId="77777777" w:rsidR="00947BF3" w:rsidRDefault="00947BF3" w:rsidP="00947BF3">
      <w:pPr>
        <w:spacing w:after="240"/>
        <w:jc w:val="both"/>
        <w:rPr>
          <w:rFonts w:ascii="Arial Narrow" w:hAnsi="Arial Narrow"/>
          <w:sz w:val="24"/>
          <w:szCs w:val="24"/>
        </w:rPr>
      </w:pPr>
    </w:p>
    <w:p w14:paraId="4BDC08E3" w14:textId="77777777" w:rsidR="00947BF3" w:rsidRDefault="00947BF3" w:rsidP="00947BF3">
      <w:pPr>
        <w:spacing w:after="240"/>
        <w:jc w:val="both"/>
        <w:rPr>
          <w:rFonts w:ascii="Arial Narrow" w:hAnsi="Arial Narrow"/>
          <w:sz w:val="24"/>
          <w:szCs w:val="24"/>
        </w:rPr>
      </w:pPr>
    </w:p>
    <w:p w14:paraId="6AA64588" w14:textId="77777777" w:rsidR="00947BF3" w:rsidRDefault="00947BF3" w:rsidP="00947BF3">
      <w:pPr>
        <w:spacing w:after="240"/>
        <w:jc w:val="both"/>
        <w:rPr>
          <w:rFonts w:ascii="Arial Narrow" w:hAnsi="Arial Narrow"/>
          <w:sz w:val="24"/>
          <w:szCs w:val="24"/>
        </w:rPr>
      </w:pPr>
    </w:p>
    <w:p w14:paraId="5F0E6B8C" w14:textId="77777777" w:rsidR="00947BF3" w:rsidRDefault="00947BF3" w:rsidP="00947BF3">
      <w:pPr>
        <w:spacing w:after="240"/>
        <w:jc w:val="both"/>
        <w:rPr>
          <w:rFonts w:ascii="Arial Narrow" w:hAnsi="Arial Narrow"/>
          <w:sz w:val="24"/>
          <w:szCs w:val="24"/>
        </w:rPr>
      </w:pPr>
    </w:p>
    <w:tbl>
      <w:tblPr>
        <w:tblW w:w="5000"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1E0" w:firstRow="1" w:lastRow="1" w:firstColumn="1" w:lastColumn="1" w:noHBand="0" w:noVBand="0"/>
      </w:tblPr>
      <w:tblGrid>
        <w:gridCol w:w="8903"/>
        <w:gridCol w:w="167"/>
      </w:tblGrid>
      <w:tr w:rsidR="00916520" w:rsidRPr="00866785" w14:paraId="07DC4FAC" w14:textId="77777777" w:rsidTr="00B43B60">
        <w:trPr>
          <w:trHeight w:val="321"/>
        </w:trPr>
        <w:tc>
          <w:tcPr>
            <w:tcW w:w="4908" w:type="pct"/>
            <w:tcBorders>
              <w:top w:val="nil"/>
              <w:left w:val="nil"/>
              <w:bottom w:val="single" w:sz="4" w:space="0" w:color="auto"/>
              <w:right w:val="nil"/>
            </w:tcBorders>
            <w:shd w:val="clear" w:color="auto" w:fill="auto"/>
            <w:vAlign w:val="center"/>
          </w:tcPr>
          <w:p w14:paraId="03CD1097" w14:textId="2D569066" w:rsidR="00916520" w:rsidRPr="00866785" w:rsidRDefault="00916520" w:rsidP="00947BF3">
            <w:pPr>
              <w:spacing w:after="120"/>
              <w:rPr>
                <w:rFonts w:ascii="Arial Narrow" w:hAnsi="Arial Narrow" w:cs="Arial"/>
                <w:b/>
                <w:color w:val="2C9ADC"/>
                <w:sz w:val="20"/>
                <w:szCs w:val="18"/>
              </w:rPr>
            </w:pPr>
            <w:r w:rsidRPr="00866785">
              <w:rPr>
                <w:rFonts w:ascii="Arial Narrow" w:hAnsi="Arial Narrow" w:cs="Arial"/>
                <w:b/>
                <w:color w:val="2C9ADC"/>
                <w:sz w:val="20"/>
                <w:szCs w:val="18"/>
              </w:rPr>
              <w:t>Vajcia a kuracie mäso – pomer spotrebiteľskej a odbytovej ceny</w:t>
            </w:r>
          </w:p>
        </w:tc>
        <w:tc>
          <w:tcPr>
            <w:tcW w:w="92" w:type="pct"/>
            <w:tcBorders>
              <w:top w:val="nil"/>
              <w:left w:val="nil"/>
              <w:bottom w:val="nil"/>
              <w:right w:val="nil"/>
            </w:tcBorders>
            <w:shd w:val="clear" w:color="auto" w:fill="auto"/>
            <w:vAlign w:val="center"/>
          </w:tcPr>
          <w:p w14:paraId="6D022F45" w14:textId="77777777" w:rsidR="00916520" w:rsidRPr="00866785" w:rsidRDefault="00916520" w:rsidP="00947BF3">
            <w:pPr>
              <w:spacing w:after="120"/>
              <w:rPr>
                <w:rFonts w:ascii="Arial Narrow" w:hAnsi="Arial Narrow" w:cs="Arial"/>
                <w:b/>
                <w:color w:val="2C9ADC"/>
                <w:sz w:val="20"/>
                <w:szCs w:val="18"/>
              </w:rPr>
            </w:pPr>
          </w:p>
        </w:tc>
      </w:tr>
      <w:tr w:rsidR="00916520" w:rsidRPr="00866785" w14:paraId="6C1E2C1C" w14:textId="77777777" w:rsidTr="00B43B60">
        <w:trPr>
          <w:trHeight w:val="820"/>
        </w:trPr>
        <w:tc>
          <w:tcPr>
            <w:tcW w:w="4908" w:type="pct"/>
            <w:tcBorders>
              <w:top w:val="single" w:sz="4" w:space="0" w:color="auto"/>
              <w:left w:val="nil"/>
              <w:bottom w:val="single" w:sz="4" w:space="0" w:color="auto"/>
              <w:right w:val="nil"/>
            </w:tcBorders>
            <w:vAlign w:val="center"/>
          </w:tcPr>
          <w:p w14:paraId="29E938A7" w14:textId="77043FCF" w:rsidR="00916520" w:rsidRPr="00866785" w:rsidRDefault="000D0908" w:rsidP="00947BF3">
            <w:pPr>
              <w:spacing w:after="120"/>
              <w:jc w:val="center"/>
              <w:rPr>
                <w:rFonts w:ascii="Arial Narrow" w:hAnsi="Arial Narrow" w:cs="Arial"/>
                <w:b/>
                <w:sz w:val="20"/>
                <w:szCs w:val="20"/>
              </w:rPr>
            </w:pPr>
            <w:r>
              <w:rPr>
                <w:rFonts w:ascii="Arial Narrow" w:hAnsi="Arial Narrow" w:cs="Arial"/>
                <w:b/>
                <w:noProof/>
                <w:sz w:val="20"/>
                <w:szCs w:val="20"/>
              </w:rPr>
              <w:drawing>
                <wp:inline distT="0" distB="0" distL="0" distR="0" wp14:anchorId="7910D7B0" wp14:editId="2333E36F">
                  <wp:extent cx="5565775" cy="2721610"/>
                  <wp:effectExtent l="0" t="0" r="0" b="2540"/>
                  <wp:docPr id="1886247640" name="Obrázok 4" descr="Obrázok, na ktorom je vývoj, text, rad, diagram&#10;&#10;Obsah vygenerovaný umelou inteligenciou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247640" name="Obrázok 4" descr="Obrázok, na ktorom je vývoj, text, rad, diagram&#10;&#10;Obsah vygenerovaný umelou inteligenciou môže byť nesprávny."/>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565775" cy="2721610"/>
                          </a:xfrm>
                          <a:prstGeom prst="rect">
                            <a:avLst/>
                          </a:prstGeom>
                        </pic:spPr>
                      </pic:pic>
                    </a:graphicData>
                  </a:graphic>
                </wp:inline>
              </w:drawing>
            </w:r>
          </w:p>
        </w:tc>
        <w:tc>
          <w:tcPr>
            <w:tcW w:w="92" w:type="pct"/>
            <w:tcBorders>
              <w:top w:val="nil"/>
              <w:left w:val="nil"/>
              <w:bottom w:val="nil"/>
              <w:right w:val="nil"/>
            </w:tcBorders>
            <w:vAlign w:val="center"/>
          </w:tcPr>
          <w:p w14:paraId="732F16DD" w14:textId="77777777" w:rsidR="00916520" w:rsidRPr="00866785" w:rsidRDefault="00916520" w:rsidP="00947BF3">
            <w:pPr>
              <w:spacing w:after="120"/>
              <w:jc w:val="center"/>
              <w:rPr>
                <w:rFonts w:ascii="Arial Narrow" w:hAnsi="Arial Narrow" w:cs="Arial"/>
                <w:b/>
                <w:sz w:val="20"/>
                <w:szCs w:val="20"/>
              </w:rPr>
            </w:pPr>
          </w:p>
          <w:p w14:paraId="708CFEF7" w14:textId="77777777" w:rsidR="00916520" w:rsidRPr="00866785" w:rsidRDefault="00916520" w:rsidP="00947BF3">
            <w:pPr>
              <w:spacing w:after="120"/>
              <w:jc w:val="center"/>
              <w:rPr>
                <w:rFonts w:ascii="Arial Narrow" w:hAnsi="Arial Narrow" w:cs="Arial"/>
                <w:b/>
                <w:sz w:val="20"/>
                <w:szCs w:val="20"/>
              </w:rPr>
            </w:pPr>
          </w:p>
        </w:tc>
      </w:tr>
      <w:tr w:rsidR="00916520" w:rsidRPr="00866785" w14:paraId="0E28FE55" w14:textId="77777777" w:rsidTr="00B43B60">
        <w:trPr>
          <w:trHeight w:val="104"/>
        </w:trPr>
        <w:tc>
          <w:tcPr>
            <w:tcW w:w="4908" w:type="pct"/>
            <w:tcBorders>
              <w:top w:val="single" w:sz="4" w:space="0" w:color="auto"/>
              <w:left w:val="nil"/>
              <w:bottom w:val="nil"/>
              <w:right w:val="nil"/>
            </w:tcBorders>
            <w:vAlign w:val="center"/>
          </w:tcPr>
          <w:p w14:paraId="5C8F1B0B" w14:textId="4F278B8C" w:rsidR="00916520" w:rsidRPr="00866785" w:rsidRDefault="00916520" w:rsidP="00947BF3">
            <w:pPr>
              <w:spacing w:after="120"/>
              <w:jc w:val="right"/>
              <w:rPr>
                <w:rFonts w:ascii="Arial Narrow" w:hAnsi="Arial Narrow" w:cs="Arial"/>
                <w:i/>
                <w:sz w:val="16"/>
                <w:szCs w:val="16"/>
              </w:rPr>
            </w:pPr>
            <w:r w:rsidRPr="00866785">
              <w:rPr>
                <w:rFonts w:ascii="Arial Narrow" w:hAnsi="Arial Narrow" w:cs="Arial"/>
                <w:i/>
                <w:sz w:val="16"/>
                <w:szCs w:val="16"/>
              </w:rPr>
              <w:t>Zdroj: MPRV SR</w:t>
            </w:r>
            <w:r>
              <w:rPr>
                <w:rFonts w:ascii="Arial Narrow" w:hAnsi="Arial Narrow" w:cs="Arial"/>
                <w:i/>
                <w:sz w:val="16"/>
                <w:szCs w:val="16"/>
              </w:rPr>
              <w:t>, MF SR, ŠÚ SR</w:t>
            </w:r>
          </w:p>
        </w:tc>
        <w:tc>
          <w:tcPr>
            <w:tcW w:w="92" w:type="pct"/>
            <w:tcBorders>
              <w:top w:val="nil"/>
              <w:left w:val="nil"/>
              <w:bottom w:val="nil"/>
              <w:right w:val="nil"/>
            </w:tcBorders>
            <w:vAlign w:val="center"/>
          </w:tcPr>
          <w:p w14:paraId="790D4BFC" w14:textId="77777777" w:rsidR="00916520" w:rsidRPr="00866785" w:rsidRDefault="00916520" w:rsidP="00947BF3">
            <w:pPr>
              <w:spacing w:after="120"/>
              <w:jc w:val="center"/>
              <w:rPr>
                <w:rFonts w:ascii="Arial Narrow" w:hAnsi="Arial Narrow" w:cs="Arial"/>
                <w:i/>
                <w:sz w:val="16"/>
                <w:szCs w:val="16"/>
              </w:rPr>
            </w:pPr>
          </w:p>
        </w:tc>
      </w:tr>
    </w:tbl>
    <w:p w14:paraId="55438C47" w14:textId="0EFADA27" w:rsidR="00B56FA3" w:rsidRPr="00BD1778" w:rsidRDefault="004341C3" w:rsidP="00947BF3">
      <w:pPr>
        <w:spacing w:after="240"/>
        <w:jc w:val="both"/>
        <w:rPr>
          <w:rFonts w:ascii="Arial Narrow" w:hAnsi="Arial Narrow"/>
          <w:sz w:val="16"/>
        </w:rPr>
      </w:pPr>
      <w:r w:rsidRPr="00B56FA3">
        <w:rPr>
          <w:rFonts w:ascii="Arial Narrow" w:hAnsi="Arial Narrow"/>
          <w:sz w:val="24"/>
          <w:szCs w:val="24"/>
        </w:rPr>
        <w:t>P</w:t>
      </w:r>
      <w:r w:rsidR="00B6208F" w:rsidRPr="00B56FA3">
        <w:rPr>
          <w:rFonts w:ascii="Arial Narrow" w:hAnsi="Arial Narrow"/>
          <w:sz w:val="24"/>
          <w:szCs w:val="24"/>
        </w:rPr>
        <w:t>omer spotrebiteľských a odbytových cien pri kurčati pitvanom</w:t>
      </w:r>
      <w:r w:rsidRPr="00B56FA3">
        <w:rPr>
          <w:rFonts w:ascii="Arial Narrow" w:hAnsi="Arial Narrow"/>
          <w:sz w:val="24"/>
          <w:szCs w:val="24"/>
        </w:rPr>
        <w:t xml:space="preserve"> ostával v priebehu roku 2024</w:t>
      </w:r>
      <w:r w:rsidR="00B6208F" w:rsidRPr="00B56FA3">
        <w:rPr>
          <w:rFonts w:ascii="Arial Narrow" w:hAnsi="Arial Narrow"/>
          <w:sz w:val="24"/>
          <w:szCs w:val="24"/>
        </w:rPr>
        <w:t xml:space="preserve"> relatívne stabilný, s minimálnou medziročnou zmenou (nárast len o približne 0,2</w:t>
      </w:r>
      <w:r w:rsidR="00B6208F" w:rsidRPr="00B56FA3">
        <w:rPr>
          <w:rFonts w:ascii="Arial" w:hAnsi="Arial" w:cs="Arial"/>
          <w:sz w:val="24"/>
          <w:szCs w:val="24"/>
        </w:rPr>
        <w:t> </w:t>
      </w:r>
      <w:r w:rsidR="00B6208F" w:rsidRPr="00B56FA3">
        <w:rPr>
          <w:rFonts w:ascii="Arial Narrow" w:hAnsi="Arial Narrow"/>
          <w:sz w:val="24"/>
          <w:szCs w:val="24"/>
        </w:rPr>
        <w:t>%). Naopak, pri vajciach došlo k</w:t>
      </w:r>
      <w:r w:rsidR="00947BF3">
        <w:rPr>
          <w:rFonts w:ascii="Arial Narrow" w:hAnsi="Arial Narrow"/>
          <w:sz w:val="24"/>
          <w:szCs w:val="24"/>
        </w:rPr>
        <w:t> </w:t>
      </w:r>
      <w:r w:rsidR="00B6208F" w:rsidRPr="00B56FA3">
        <w:rPr>
          <w:rFonts w:ascii="Arial Narrow" w:hAnsi="Arial Narrow"/>
          <w:sz w:val="24"/>
          <w:szCs w:val="24"/>
        </w:rPr>
        <w:t>miernemu nárastu obchodného rozpätia – priemerný ročný pomer stúpol o zhruba 1,7</w:t>
      </w:r>
      <w:r w:rsidR="00B6208F" w:rsidRPr="00B56FA3">
        <w:rPr>
          <w:rFonts w:ascii="Arial" w:hAnsi="Arial" w:cs="Arial"/>
          <w:sz w:val="24"/>
          <w:szCs w:val="24"/>
        </w:rPr>
        <w:t> </w:t>
      </w:r>
      <w:r w:rsidR="00B6208F" w:rsidRPr="00B56FA3">
        <w:rPr>
          <w:rFonts w:ascii="Arial Narrow" w:hAnsi="Arial Narrow"/>
          <w:sz w:val="24"/>
          <w:szCs w:val="24"/>
        </w:rPr>
        <w:t>% oproti roku 2023. Vývoj bol však nerovnomerný, s nápadným kolísaním najmä v druhej polovici roka. Napriek tomu nedochádzalo k systematickému nárastu cien, ktorý by poukazoval na mimoriadne zmeny v distribučnom reťazci</w:t>
      </w:r>
      <w:r w:rsidR="00947BF3">
        <w:rPr>
          <w:rFonts w:ascii="Arial Narrow" w:hAnsi="Arial Narrow"/>
          <w:sz w:val="24"/>
          <w:szCs w:val="24"/>
        </w:rPr>
        <w:t>.</w:t>
      </w:r>
    </w:p>
    <w:tbl>
      <w:tblPr>
        <w:tblW w:w="5000"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1E0" w:firstRow="1" w:lastRow="1" w:firstColumn="1" w:lastColumn="1" w:noHBand="0" w:noVBand="0"/>
      </w:tblPr>
      <w:tblGrid>
        <w:gridCol w:w="8903"/>
        <w:gridCol w:w="167"/>
      </w:tblGrid>
      <w:tr w:rsidR="00916520" w:rsidRPr="00866785" w14:paraId="06471547" w14:textId="77777777" w:rsidTr="00B43B60">
        <w:trPr>
          <w:trHeight w:val="321"/>
        </w:trPr>
        <w:tc>
          <w:tcPr>
            <w:tcW w:w="4908" w:type="pct"/>
            <w:tcBorders>
              <w:top w:val="nil"/>
              <w:left w:val="nil"/>
              <w:bottom w:val="single" w:sz="4" w:space="0" w:color="auto"/>
              <w:right w:val="nil"/>
            </w:tcBorders>
            <w:shd w:val="clear" w:color="auto" w:fill="auto"/>
            <w:vAlign w:val="center"/>
          </w:tcPr>
          <w:p w14:paraId="28C9CD63" w14:textId="0A84C380" w:rsidR="00916520" w:rsidRPr="00866785" w:rsidRDefault="00916520" w:rsidP="00947BF3">
            <w:pPr>
              <w:spacing w:after="120"/>
              <w:rPr>
                <w:rFonts w:ascii="Arial Narrow" w:hAnsi="Arial Narrow" w:cs="Arial"/>
                <w:b/>
                <w:color w:val="2C9ADC"/>
                <w:sz w:val="20"/>
                <w:szCs w:val="18"/>
              </w:rPr>
            </w:pPr>
            <w:r w:rsidRPr="00C10F84">
              <w:rPr>
                <w:rFonts w:ascii="Arial Narrow" w:hAnsi="Arial Narrow" w:cs="Arial"/>
                <w:b/>
                <w:color w:val="2C9ADC"/>
                <w:sz w:val="20"/>
                <w:szCs w:val="18"/>
              </w:rPr>
              <w:t>Mliečne výrobky – pomer spotrebiteľskej a odbytovej ceny</w:t>
            </w:r>
          </w:p>
        </w:tc>
        <w:tc>
          <w:tcPr>
            <w:tcW w:w="92" w:type="pct"/>
            <w:tcBorders>
              <w:top w:val="nil"/>
              <w:left w:val="nil"/>
              <w:bottom w:val="nil"/>
              <w:right w:val="nil"/>
            </w:tcBorders>
            <w:shd w:val="clear" w:color="auto" w:fill="auto"/>
            <w:vAlign w:val="center"/>
          </w:tcPr>
          <w:p w14:paraId="60D92AAD" w14:textId="77777777" w:rsidR="00916520" w:rsidRPr="00866785" w:rsidRDefault="00916520" w:rsidP="00947BF3">
            <w:pPr>
              <w:spacing w:after="120"/>
              <w:rPr>
                <w:rFonts w:ascii="Arial Narrow" w:hAnsi="Arial Narrow" w:cs="Arial"/>
                <w:b/>
                <w:color w:val="2C9ADC"/>
                <w:sz w:val="20"/>
                <w:szCs w:val="18"/>
              </w:rPr>
            </w:pPr>
          </w:p>
        </w:tc>
      </w:tr>
      <w:tr w:rsidR="00916520" w:rsidRPr="00866785" w14:paraId="1C616C53" w14:textId="77777777" w:rsidTr="00B43B60">
        <w:trPr>
          <w:trHeight w:val="820"/>
        </w:trPr>
        <w:tc>
          <w:tcPr>
            <w:tcW w:w="4908" w:type="pct"/>
            <w:tcBorders>
              <w:top w:val="single" w:sz="4" w:space="0" w:color="auto"/>
              <w:left w:val="nil"/>
              <w:bottom w:val="single" w:sz="4" w:space="0" w:color="auto"/>
              <w:right w:val="nil"/>
            </w:tcBorders>
            <w:vAlign w:val="center"/>
          </w:tcPr>
          <w:p w14:paraId="700803E1" w14:textId="0AE8EFC5" w:rsidR="00916520" w:rsidRPr="00866785" w:rsidRDefault="000D0908" w:rsidP="00947BF3">
            <w:pPr>
              <w:spacing w:after="120"/>
              <w:jc w:val="center"/>
              <w:rPr>
                <w:rFonts w:ascii="Arial Narrow" w:hAnsi="Arial Narrow" w:cs="Arial"/>
                <w:b/>
                <w:sz w:val="20"/>
                <w:szCs w:val="20"/>
              </w:rPr>
            </w:pPr>
            <w:r>
              <w:rPr>
                <w:rFonts w:ascii="Arial Narrow" w:hAnsi="Arial Narrow" w:cs="Arial"/>
                <w:b/>
                <w:noProof/>
                <w:sz w:val="20"/>
                <w:szCs w:val="20"/>
              </w:rPr>
              <w:drawing>
                <wp:inline distT="0" distB="0" distL="0" distR="0" wp14:anchorId="25430FB7" wp14:editId="25114940">
                  <wp:extent cx="5565775" cy="2713990"/>
                  <wp:effectExtent l="0" t="0" r="0" b="0"/>
                  <wp:docPr id="595265610" name="Obrázok 5" descr="Obrázok, na ktorom je diagram, rad, text, vývoj&#10;&#10;Obsah vygenerovaný umelou inteligenciou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265610" name="Obrázok 5" descr="Obrázok, na ktorom je diagram, rad, text, vývoj&#10;&#10;Obsah vygenerovaný umelou inteligenciou môže byť nesprávny."/>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565775" cy="2713990"/>
                          </a:xfrm>
                          <a:prstGeom prst="rect">
                            <a:avLst/>
                          </a:prstGeom>
                        </pic:spPr>
                      </pic:pic>
                    </a:graphicData>
                  </a:graphic>
                </wp:inline>
              </w:drawing>
            </w:r>
          </w:p>
        </w:tc>
        <w:tc>
          <w:tcPr>
            <w:tcW w:w="92" w:type="pct"/>
            <w:tcBorders>
              <w:top w:val="nil"/>
              <w:left w:val="nil"/>
              <w:bottom w:val="nil"/>
              <w:right w:val="nil"/>
            </w:tcBorders>
            <w:vAlign w:val="center"/>
          </w:tcPr>
          <w:p w14:paraId="7E89CCB0" w14:textId="77777777" w:rsidR="00916520" w:rsidRPr="00866785" w:rsidRDefault="00916520" w:rsidP="00947BF3">
            <w:pPr>
              <w:spacing w:after="120"/>
              <w:jc w:val="center"/>
              <w:rPr>
                <w:rFonts w:ascii="Arial Narrow" w:hAnsi="Arial Narrow" w:cs="Arial"/>
                <w:b/>
                <w:sz w:val="20"/>
                <w:szCs w:val="20"/>
              </w:rPr>
            </w:pPr>
          </w:p>
          <w:p w14:paraId="077E892E" w14:textId="77777777" w:rsidR="00916520" w:rsidRPr="00866785" w:rsidRDefault="00916520" w:rsidP="00947BF3">
            <w:pPr>
              <w:spacing w:after="120"/>
              <w:jc w:val="center"/>
              <w:rPr>
                <w:rFonts w:ascii="Arial Narrow" w:hAnsi="Arial Narrow" w:cs="Arial"/>
                <w:b/>
                <w:sz w:val="20"/>
                <w:szCs w:val="20"/>
              </w:rPr>
            </w:pPr>
          </w:p>
        </w:tc>
      </w:tr>
      <w:tr w:rsidR="00916520" w:rsidRPr="00866785" w14:paraId="1DA8D680" w14:textId="77777777" w:rsidTr="00B43B60">
        <w:trPr>
          <w:trHeight w:val="104"/>
        </w:trPr>
        <w:tc>
          <w:tcPr>
            <w:tcW w:w="4908" w:type="pct"/>
            <w:tcBorders>
              <w:top w:val="single" w:sz="4" w:space="0" w:color="auto"/>
              <w:left w:val="nil"/>
              <w:bottom w:val="nil"/>
              <w:right w:val="nil"/>
            </w:tcBorders>
            <w:vAlign w:val="center"/>
          </w:tcPr>
          <w:p w14:paraId="15D83962" w14:textId="77777777" w:rsidR="00916520" w:rsidRDefault="00916520" w:rsidP="00947BF3">
            <w:pPr>
              <w:spacing w:after="120"/>
              <w:jc w:val="right"/>
              <w:rPr>
                <w:rFonts w:ascii="Arial Narrow" w:hAnsi="Arial Narrow" w:cs="Arial"/>
                <w:i/>
                <w:sz w:val="16"/>
                <w:szCs w:val="16"/>
              </w:rPr>
            </w:pPr>
            <w:r w:rsidRPr="00866785">
              <w:rPr>
                <w:rFonts w:ascii="Arial Narrow" w:hAnsi="Arial Narrow" w:cs="Arial"/>
                <w:i/>
                <w:sz w:val="16"/>
                <w:szCs w:val="16"/>
              </w:rPr>
              <w:t>Zdroj: MPRV SR</w:t>
            </w:r>
            <w:r>
              <w:rPr>
                <w:rFonts w:ascii="Arial Narrow" w:hAnsi="Arial Narrow" w:cs="Arial"/>
                <w:i/>
                <w:sz w:val="16"/>
                <w:szCs w:val="16"/>
              </w:rPr>
              <w:t>, MF SR, ŠÚ SR</w:t>
            </w:r>
          </w:p>
          <w:p w14:paraId="608571FC" w14:textId="0A1E99FC" w:rsidR="00947BF3" w:rsidRPr="00866785" w:rsidRDefault="00947BF3" w:rsidP="00947BF3">
            <w:pPr>
              <w:jc w:val="right"/>
              <w:rPr>
                <w:rFonts w:ascii="Arial Narrow" w:hAnsi="Arial Narrow" w:cs="Arial"/>
                <w:i/>
                <w:sz w:val="16"/>
                <w:szCs w:val="16"/>
              </w:rPr>
            </w:pPr>
          </w:p>
        </w:tc>
        <w:tc>
          <w:tcPr>
            <w:tcW w:w="92" w:type="pct"/>
            <w:tcBorders>
              <w:top w:val="nil"/>
              <w:left w:val="nil"/>
              <w:bottom w:val="nil"/>
              <w:right w:val="nil"/>
            </w:tcBorders>
            <w:vAlign w:val="center"/>
          </w:tcPr>
          <w:p w14:paraId="7A72B579" w14:textId="77777777" w:rsidR="00916520" w:rsidRPr="00866785" w:rsidRDefault="00916520" w:rsidP="00947BF3">
            <w:pPr>
              <w:spacing w:after="120"/>
              <w:jc w:val="center"/>
              <w:rPr>
                <w:rFonts w:ascii="Arial Narrow" w:hAnsi="Arial Narrow" w:cs="Arial"/>
                <w:i/>
                <w:sz w:val="16"/>
                <w:szCs w:val="16"/>
              </w:rPr>
            </w:pPr>
          </w:p>
        </w:tc>
      </w:tr>
    </w:tbl>
    <w:p w14:paraId="6B0D2C89" w14:textId="0311E902" w:rsidR="00947BF3" w:rsidRPr="00B56FA3" w:rsidRDefault="004341C3" w:rsidP="00947BF3">
      <w:pPr>
        <w:spacing w:after="240"/>
        <w:jc w:val="both"/>
        <w:rPr>
          <w:rFonts w:ascii="Arial Narrow" w:hAnsi="Arial Narrow"/>
          <w:sz w:val="24"/>
          <w:szCs w:val="24"/>
        </w:rPr>
      </w:pPr>
      <w:r w:rsidRPr="00B56FA3">
        <w:rPr>
          <w:rFonts w:ascii="Arial Narrow" w:hAnsi="Arial Narrow"/>
          <w:sz w:val="24"/>
          <w:szCs w:val="24"/>
        </w:rPr>
        <w:t>Priemerný</w:t>
      </w:r>
      <w:r w:rsidR="00B6208F" w:rsidRPr="00B56FA3">
        <w:rPr>
          <w:rFonts w:ascii="Arial Narrow" w:hAnsi="Arial Narrow"/>
          <w:sz w:val="24"/>
          <w:szCs w:val="24"/>
        </w:rPr>
        <w:t xml:space="preserve"> pomer spotrebiteľských a odbytových cien mliečnych výrobkov</w:t>
      </w:r>
      <w:r w:rsidRPr="00B56FA3">
        <w:rPr>
          <w:rFonts w:ascii="Arial Narrow" w:hAnsi="Arial Narrow"/>
          <w:sz w:val="24"/>
          <w:szCs w:val="24"/>
        </w:rPr>
        <w:t xml:space="preserve"> sa v roku 2024</w:t>
      </w:r>
      <w:r w:rsidR="00B6208F" w:rsidRPr="00B56FA3">
        <w:rPr>
          <w:rFonts w:ascii="Arial Narrow" w:hAnsi="Arial Narrow"/>
          <w:sz w:val="24"/>
          <w:szCs w:val="24"/>
        </w:rPr>
        <w:t xml:space="preserve"> znížil o približne 7,3</w:t>
      </w:r>
      <w:r w:rsidR="00B6208F" w:rsidRPr="00947BF3">
        <w:rPr>
          <w:rFonts w:ascii="Arial" w:hAnsi="Arial" w:cs="Arial"/>
          <w:sz w:val="24"/>
          <w:szCs w:val="24"/>
        </w:rPr>
        <w:t> </w:t>
      </w:r>
      <w:r w:rsidR="00B6208F" w:rsidRPr="00B56FA3">
        <w:rPr>
          <w:rFonts w:ascii="Arial Narrow" w:hAnsi="Arial Narrow"/>
          <w:sz w:val="24"/>
          <w:szCs w:val="24"/>
        </w:rPr>
        <w:t>% oproti roku 2023, čo naznačuje mierne zúženie obchodného rozpätia. Vývoj sa však medzi jednotlivými produktmi líšil – k najvýraznejšiemu poklesu došlo pri syre Eidam, tvarohu a čerstvom masle. Naopak, pri polotučnom mlieku či jogurtoch bol vývoj stabilnejší a oštiepok vykazoval mierne kolísanie. Celkovo však nedošlo k systematickému nárastu obchodnej marže, čo naznačuje absenciu mimoriadnych cenových tlakov v tejto kategórii.</w:t>
      </w:r>
    </w:p>
    <w:tbl>
      <w:tblPr>
        <w:tblW w:w="5000"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1E0" w:firstRow="1" w:lastRow="1" w:firstColumn="1" w:lastColumn="1" w:noHBand="0" w:noVBand="0"/>
      </w:tblPr>
      <w:tblGrid>
        <w:gridCol w:w="8903"/>
        <w:gridCol w:w="167"/>
      </w:tblGrid>
      <w:tr w:rsidR="00916520" w:rsidRPr="00866785" w14:paraId="46B2B54B" w14:textId="77777777" w:rsidTr="00B43B60">
        <w:trPr>
          <w:trHeight w:val="321"/>
        </w:trPr>
        <w:tc>
          <w:tcPr>
            <w:tcW w:w="4908" w:type="pct"/>
            <w:tcBorders>
              <w:top w:val="nil"/>
              <w:left w:val="nil"/>
              <w:bottom w:val="single" w:sz="4" w:space="0" w:color="auto"/>
              <w:right w:val="nil"/>
            </w:tcBorders>
            <w:shd w:val="clear" w:color="auto" w:fill="auto"/>
            <w:vAlign w:val="center"/>
          </w:tcPr>
          <w:p w14:paraId="31E89511" w14:textId="752392AE" w:rsidR="00916520" w:rsidRPr="00866785" w:rsidRDefault="00B6208F" w:rsidP="00947BF3">
            <w:pPr>
              <w:spacing w:after="120"/>
              <w:rPr>
                <w:rFonts w:ascii="Arial Narrow" w:hAnsi="Arial Narrow" w:cs="Arial"/>
                <w:b/>
                <w:color w:val="2C9ADC"/>
                <w:sz w:val="20"/>
                <w:szCs w:val="18"/>
              </w:rPr>
            </w:pPr>
            <w:r>
              <w:rPr>
                <w:rFonts w:ascii="Arial Narrow" w:hAnsi="Arial Narrow" w:cs="Arial"/>
                <w:b/>
                <w:color w:val="2C9ADC"/>
                <w:sz w:val="20"/>
                <w:szCs w:val="18"/>
              </w:rPr>
              <w:t>Z</w:t>
            </w:r>
            <w:r w:rsidR="00916520" w:rsidRPr="00C10F84">
              <w:rPr>
                <w:rFonts w:ascii="Arial Narrow" w:hAnsi="Arial Narrow" w:cs="Arial"/>
                <w:b/>
                <w:color w:val="2C9ADC"/>
                <w:sz w:val="20"/>
                <w:szCs w:val="18"/>
              </w:rPr>
              <w:t>emiaky a jablká – pomer spotrebiteľskej a odbytovej ceny</w:t>
            </w:r>
          </w:p>
        </w:tc>
        <w:tc>
          <w:tcPr>
            <w:tcW w:w="92" w:type="pct"/>
            <w:tcBorders>
              <w:top w:val="nil"/>
              <w:left w:val="nil"/>
              <w:bottom w:val="nil"/>
              <w:right w:val="nil"/>
            </w:tcBorders>
            <w:shd w:val="clear" w:color="auto" w:fill="auto"/>
            <w:vAlign w:val="center"/>
          </w:tcPr>
          <w:p w14:paraId="42AB74F5" w14:textId="77777777" w:rsidR="00916520" w:rsidRPr="00866785" w:rsidRDefault="00916520" w:rsidP="00947BF3">
            <w:pPr>
              <w:spacing w:after="120"/>
              <w:rPr>
                <w:rFonts w:ascii="Arial Narrow" w:hAnsi="Arial Narrow" w:cs="Arial"/>
                <w:b/>
                <w:color w:val="2C9ADC"/>
                <w:sz w:val="20"/>
                <w:szCs w:val="18"/>
              </w:rPr>
            </w:pPr>
          </w:p>
        </w:tc>
      </w:tr>
      <w:tr w:rsidR="00916520" w:rsidRPr="00866785" w14:paraId="2DC1E742" w14:textId="77777777" w:rsidTr="00B43B60">
        <w:trPr>
          <w:trHeight w:val="820"/>
        </w:trPr>
        <w:tc>
          <w:tcPr>
            <w:tcW w:w="4908" w:type="pct"/>
            <w:tcBorders>
              <w:top w:val="single" w:sz="4" w:space="0" w:color="auto"/>
              <w:left w:val="nil"/>
              <w:bottom w:val="single" w:sz="4" w:space="0" w:color="auto"/>
              <w:right w:val="nil"/>
            </w:tcBorders>
            <w:vAlign w:val="center"/>
          </w:tcPr>
          <w:p w14:paraId="50E1D35D" w14:textId="5DD7ECE3" w:rsidR="00916520" w:rsidRPr="00866785" w:rsidRDefault="000D0908" w:rsidP="00947BF3">
            <w:pPr>
              <w:spacing w:after="120"/>
              <w:jc w:val="center"/>
              <w:rPr>
                <w:rFonts w:ascii="Arial Narrow" w:hAnsi="Arial Narrow" w:cs="Arial"/>
                <w:b/>
                <w:sz w:val="20"/>
                <w:szCs w:val="20"/>
              </w:rPr>
            </w:pPr>
            <w:r>
              <w:rPr>
                <w:rFonts w:ascii="Arial Narrow" w:hAnsi="Arial Narrow" w:cs="Arial"/>
                <w:b/>
                <w:noProof/>
                <w:sz w:val="20"/>
                <w:szCs w:val="20"/>
              </w:rPr>
              <w:drawing>
                <wp:inline distT="0" distB="0" distL="0" distR="0" wp14:anchorId="3FA7A8B1" wp14:editId="25C581CD">
                  <wp:extent cx="5565775" cy="2677795"/>
                  <wp:effectExtent l="0" t="0" r="0" b="8255"/>
                  <wp:docPr id="1031448265" name="Obrázok 6" descr="Obrázok, na ktorom je rad, diagram, vývoj, svah&#10;&#10;Obsah vygenerovaný umelou inteligenciou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448265" name="Obrázok 6" descr="Obrázok, na ktorom je rad, diagram, vývoj, svah&#10;&#10;Obsah vygenerovaný umelou inteligenciou môže byť nesprávny."/>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565775" cy="2677795"/>
                          </a:xfrm>
                          <a:prstGeom prst="rect">
                            <a:avLst/>
                          </a:prstGeom>
                        </pic:spPr>
                      </pic:pic>
                    </a:graphicData>
                  </a:graphic>
                </wp:inline>
              </w:drawing>
            </w:r>
          </w:p>
        </w:tc>
        <w:tc>
          <w:tcPr>
            <w:tcW w:w="92" w:type="pct"/>
            <w:tcBorders>
              <w:top w:val="nil"/>
              <w:left w:val="nil"/>
              <w:bottom w:val="nil"/>
              <w:right w:val="nil"/>
            </w:tcBorders>
            <w:vAlign w:val="center"/>
          </w:tcPr>
          <w:p w14:paraId="02767DD1" w14:textId="77777777" w:rsidR="00916520" w:rsidRPr="00866785" w:rsidRDefault="00916520" w:rsidP="00947BF3">
            <w:pPr>
              <w:spacing w:after="120"/>
              <w:jc w:val="center"/>
              <w:rPr>
                <w:rFonts w:ascii="Arial Narrow" w:hAnsi="Arial Narrow" w:cs="Arial"/>
                <w:b/>
                <w:sz w:val="20"/>
                <w:szCs w:val="20"/>
              </w:rPr>
            </w:pPr>
          </w:p>
          <w:p w14:paraId="16C5650A" w14:textId="77777777" w:rsidR="00916520" w:rsidRPr="00866785" w:rsidRDefault="00916520" w:rsidP="00947BF3">
            <w:pPr>
              <w:spacing w:after="120"/>
              <w:jc w:val="center"/>
              <w:rPr>
                <w:rFonts w:ascii="Arial Narrow" w:hAnsi="Arial Narrow" w:cs="Arial"/>
                <w:b/>
                <w:sz w:val="20"/>
                <w:szCs w:val="20"/>
              </w:rPr>
            </w:pPr>
          </w:p>
        </w:tc>
      </w:tr>
      <w:tr w:rsidR="00916520" w:rsidRPr="00866785" w14:paraId="5136B519" w14:textId="77777777" w:rsidTr="00B43B60">
        <w:trPr>
          <w:trHeight w:val="104"/>
        </w:trPr>
        <w:tc>
          <w:tcPr>
            <w:tcW w:w="4908" w:type="pct"/>
            <w:tcBorders>
              <w:top w:val="single" w:sz="4" w:space="0" w:color="auto"/>
              <w:left w:val="nil"/>
              <w:bottom w:val="nil"/>
              <w:right w:val="nil"/>
            </w:tcBorders>
            <w:vAlign w:val="center"/>
          </w:tcPr>
          <w:p w14:paraId="5729153A" w14:textId="77777777" w:rsidR="00916520" w:rsidRDefault="00916520" w:rsidP="00947BF3">
            <w:pPr>
              <w:spacing w:after="120"/>
              <w:jc w:val="right"/>
              <w:rPr>
                <w:rFonts w:ascii="Arial Narrow" w:hAnsi="Arial Narrow" w:cs="Arial"/>
                <w:i/>
                <w:sz w:val="16"/>
                <w:szCs w:val="16"/>
              </w:rPr>
            </w:pPr>
            <w:r w:rsidRPr="00866785">
              <w:rPr>
                <w:rFonts w:ascii="Arial Narrow" w:hAnsi="Arial Narrow" w:cs="Arial"/>
                <w:i/>
                <w:sz w:val="16"/>
                <w:szCs w:val="16"/>
              </w:rPr>
              <w:t>Zdroj: MPRV SR</w:t>
            </w:r>
            <w:r>
              <w:rPr>
                <w:rFonts w:ascii="Arial Narrow" w:hAnsi="Arial Narrow" w:cs="Arial"/>
                <w:i/>
                <w:sz w:val="16"/>
                <w:szCs w:val="16"/>
              </w:rPr>
              <w:t>, MF SR, ŠÚ SR</w:t>
            </w:r>
          </w:p>
          <w:p w14:paraId="02D1A96B" w14:textId="2B97A1E0" w:rsidR="00947BF3" w:rsidRPr="00866785" w:rsidRDefault="00947BF3" w:rsidP="00947BF3">
            <w:pPr>
              <w:jc w:val="right"/>
              <w:rPr>
                <w:rFonts w:ascii="Arial Narrow" w:hAnsi="Arial Narrow" w:cs="Arial"/>
                <w:i/>
                <w:sz w:val="16"/>
                <w:szCs w:val="16"/>
              </w:rPr>
            </w:pPr>
          </w:p>
        </w:tc>
        <w:tc>
          <w:tcPr>
            <w:tcW w:w="92" w:type="pct"/>
            <w:tcBorders>
              <w:top w:val="nil"/>
              <w:left w:val="nil"/>
              <w:bottom w:val="nil"/>
              <w:right w:val="nil"/>
            </w:tcBorders>
            <w:vAlign w:val="center"/>
          </w:tcPr>
          <w:p w14:paraId="405D2A90" w14:textId="77777777" w:rsidR="00916520" w:rsidRPr="00866785" w:rsidRDefault="00916520" w:rsidP="00947BF3">
            <w:pPr>
              <w:spacing w:after="120"/>
              <w:jc w:val="center"/>
              <w:rPr>
                <w:rFonts w:ascii="Arial Narrow" w:hAnsi="Arial Narrow" w:cs="Arial"/>
                <w:i/>
                <w:sz w:val="16"/>
                <w:szCs w:val="16"/>
              </w:rPr>
            </w:pPr>
          </w:p>
        </w:tc>
      </w:tr>
    </w:tbl>
    <w:p w14:paraId="536F128A" w14:textId="4F485F25" w:rsidR="007E6704" w:rsidRDefault="00BD1778" w:rsidP="00947BF3">
      <w:pPr>
        <w:spacing w:after="240"/>
        <w:jc w:val="both"/>
        <w:rPr>
          <w:rFonts w:ascii="Arial Narrow" w:hAnsi="Arial Narrow"/>
          <w:sz w:val="24"/>
          <w:szCs w:val="24"/>
        </w:rPr>
      </w:pPr>
      <w:bookmarkStart w:id="18" w:name="_Toc137116260"/>
      <w:bookmarkEnd w:id="7"/>
      <w:r w:rsidRPr="00947BF3">
        <w:rPr>
          <w:rFonts w:ascii="Arial Narrow" w:hAnsi="Arial Narrow"/>
          <w:sz w:val="24"/>
          <w:szCs w:val="24"/>
        </w:rPr>
        <w:t>V roku 2024 sa priemerný pomer spotrebiteľských a odbytových cien pri jablkách medziročne zvýšil o</w:t>
      </w:r>
      <w:r w:rsidR="00947BF3">
        <w:rPr>
          <w:rFonts w:ascii="Arial Narrow" w:hAnsi="Arial Narrow"/>
          <w:sz w:val="24"/>
          <w:szCs w:val="24"/>
        </w:rPr>
        <w:t> </w:t>
      </w:r>
      <w:r w:rsidRPr="00947BF3">
        <w:rPr>
          <w:rFonts w:ascii="Arial Narrow" w:hAnsi="Arial Narrow"/>
          <w:sz w:val="24"/>
          <w:szCs w:val="24"/>
        </w:rPr>
        <w:t>približne 9</w:t>
      </w:r>
      <w:r w:rsidRPr="00947BF3">
        <w:rPr>
          <w:rFonts w:ascii="Arial" w:hAnsi="Arial" w:cs="Arial"/>
          <w:sz w:val="24"/>
          <w:szCs w:val="24"/>
        </w:rPr>
        <w:t> </w:t>
      </w:r>
      <w:r w:rsidRPr="00947BF3">
        <w:rPr>
          <w:rFonts w:ascii="Arial Narrow" w:hAnsi="Arial Narrow"/>
          <w:sz w:val="24"/>
          <w:szCs w:val="24"/>
        </w:rPr>
        <w:t>%, čo odráža nárast obchodného rozpätia. Rast bol obzvlášť výrazný v druhej polovici roka, pričom vrchol dosiahol v septembri. Naopak, pri konzumných zemiakoch došlo k miernemu poklesu pomeru o zhruba 1,2</w:t>
      </w:r>
      <w:r w:rsidRPr="00947BF3">
        <w:rPr>
          <w:rFonts w:ascii="Arial" w:hAnsi="Arial" w:cs="Arial"/>
          <w:sz w:val="24"/>
          <w:szCs w:val="24"/>
        </w:rPr>
        <w:t> </w:t>
      </w:r>
      <w:r w:rsidRPr="00947BF3">
        <w:rPr>
          <w:rFonts w:ascii="Arial Narrow" w:hAnsi="Arial Narrow"/>
          <w:sz w:val="24"/>
          <w:szCs w:val="24"/>
        </w:rPr>
        <w:t>% oproti roku 2023. Napriek niekoľkým sezónnym výkyvom sa cenové rozpätie pri zemiakoch v roku 2024 skôr stabilizovalo, bez známok výraznej odchýlky v obchodnej marži.</w:t>
      </w:r>
    </w:p>
    <w:p w14:paraId="55D42E36" w14:textId="77777777" w:rsidR="00947BF3" w:rsidRDefault="00947BF3" w:rsidP="00947BF3">
      <w:pPr>
        <w:spacing w:after="240"/>
        <w:jc w:val="both"/>
        <w:rPr>
          <w:rFonts w:ascii="Arial Narrow" w:hAnsi="Arial Narrow"/>
          <w:sz w:val="24"/>
          <w:szCs w:val="24"/>
        </w:rPr>
      </w:pPr>
    </w:p>
    <w:p w14:paraId="69C5FCE6" w14:textId="77777777" w:rsidR="00947BF3" w:rsidRDefault="00947BF3" w:rsidP="00947BF3">
      <w:pPr>
        <w:spacing w:after="240"/>
        <w:jc w:val="both"/>
        <w:rPr>
          <w:rFonts w:ascii="Arial Narrow" w:hAnsi="Arial Narrow"/>
          <w:sz w:val="24"/>
          <w:szCs w:val="24"/>
        </w:rPr>
      </w:pPr>
    </w:p>
    <w:p w14:paraId="4CA07C8E" w14:textId="77777777" w:rsidR="00947BF3" w:rsidRDefault="00947BF3" w:rsidP="00947BF3">
      <w:pPr>
        <w:spacing w:after="240"/>
        <w:jc w:val="both"/>
        <w:rPr>
          <w:rFonts w:ascii="Arial Narrow" w:hAnsi="Arial Narrow"/>
          <w:sz w:val="24"/>
          <w:szCs w:val="24"/>
        </w:rPr>
      </w:pPr>
    </w:p>
    <w:p w14:paraId="24D8BA91" w14:textId="77777777" w:rsidR="00947BF3" w:rsidRDefault="00947BF3" w:rsidP="00947BF3">
      <w:pPr>
        <w:spacing w:after="240"/>
        <w:jc w:val="both"/>
        <w:rPr>
          <w:rFonts w:ascii="Arial Narrow" w:hAnsi="Arial Narrow"/>
          <w:sz w:val="24"/>
          <w:szCs w:val="24"/>
        </w:rPr>
      </w:pPr>
    </w:p>
    <w:p w14:paraId="3C611D47" w14:textId="77777777" w:rsidR="00947BF3" w:rsidRDefault="00947BF3" w:rsidP="00947BF3">
      <w:pPr>
        <w:spacing w:after="240"/>
        <w:jc w:val="both"/>
        <w:rPr>
          <w:rFonts w:ascii="Arial Narrow" w:hAnsi="Arial Narrow"/>
          <w:sz w:val="24"/>
          <w:szCs w:val="24"/>
        </w:rPr>
      </w:pPr>
    </w:p>
    <w:p w14:paraId="09EE644D" w14:textId="77777777" w:rsidR="00947BF3" w:rsidRDefault="00947BF3" w:rsidP="00947BF3">
      <w:pPr>
        <w:spacing w:after="240"/>
        <w:jc w:val="both"/>
        <w:rPr>
          <w:rFonts w:ascii="Arial Narrow" w:hAnsi="Arial Narrow"/>
          <w:sz w:val="24"/>
          <w:szCs w:val="24"/>
        </w:rPr>
      </w:pPr>
    </w:p>
    <w:p w14:paraId="479470B2" w14:textId="77777777" w:rsidR="00947BF3" w:rsidRPr="00947BF3" w:rsidRDefault="00947BF3" w:rsidP="00947BF3">
      <w:pPr>
        <w:spacing w:after="240"/>
        <w:jc w:val="both"/>
        <w:rPr>
          <w:rFonts w:ascii="Arial Narrow" w:hAnsi="Arial Narrow"/>
          <w:sz w:val="24"/>
          <w:szCs w:val="24"/>
        </w:rPr>
      </w:pPr>
    </w:p>
    <w:p w14:paraId="7CCAEC07" w14:textId="5669CB98" w:rsidR="004A69C1" w:rsidRPr="007E6704" w:rsidRDefault="009C6F73" w:rsidP="00947BF3">
      <w:pPr>
        <w:pStyle w:val="Nadpis2"/>
        <w:numPr>
          <w:ilvl w:val="1"/>
          <w:numId w:val="1"/>
        </w:numPr>
        <w:spacing w:after="240"/>
        <w:ind w:left="426"/>
        <w:rPr>
          <w:rFonts w:ascii="Arial Narrow" w:hAnsi="Arial Narrow"/>
          <w:b/>
          <w:bCs/>
          <w:color w:val="5B9BD5" w:themeColor="accent1"/>
          <w:lang w:eastAsia="en-US"/>
        </w:rPr>
      </w:pPr>
      <w:bookmarkStart w:id="19" w:name="_Toc201832587"/>
      <w:bookmarkStart w:id="20" w:name="_Toc202358583"/>
      <w:r w:rsidRPr="007E6704">
        <w:rPr>
          <w:rFonts w:ascii="Arial Narrow" w:hAnsi="Arial Narrow"/>
          <w:b/>
          <w:bCs/>
          <w:color w:val="5B9BD5" w:themeColor="accent1"/>
          <w:lang w:eastAsia="en-US"/>
        </w:rPr>
        <w:t>Cenový vývoj pohonných hmôt</w:t>
      </w:r>
      <w:bookmarkEnd w:id="19"/>
      <w:bookmarkEnd w:id="20"/>
    </w:p>
    <w:tbl>
      <w:tblPr>
        <w:tblW w:w="5000"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1E0" w:firstRow="1" w:lastRow="1" w:firstColumn="1" w:lastColumn="1" w:noHBand="0" w:noVBand="0"/>
      </w:tblPr>
      <w:tblGrid>
        <w:gridCol w:w="8903"/>
        <w:gridCol w:w="167"/>
      </w:tblGrid>
      <w:tr w:rsidR="004A69C1" w:rsidRPr="00866785" w14:paraId="6292DAC1" w14:textId="77777777" w:rsidTr="00B43B60">
        <w:trPr>
          <w:trHeight w:val="321"/>
        </w:trPr>
        <w:tc>
          <w:tcPr>
            <w:tcW w:w="4908" w:type="pct"/>
            <w:tcBorders>
              <w:top w:val="nil"/>
              <w:left w:val="nil"/>
              <w:bottom w:val="single" w:sz="4" w:space="0" w:color="auto"/>
              <w:right w:val="nil"/>
            </w:tcBorders>
            <w:shd w:val="clear" w:color="auto" w:fill="auto"/>
            <w:vAlign w:val="center"/>
          </w:tcPr>
          <w:p w14:paraId="1C099803" w14:textId="328C30D0" w:rsidR="004A69C1" w:rsidRPr="00866785" w:rsidRDefault="004A69C1" w:rsidP="00947BF3">
            <w:pPr>
              <w:spacing w:after="120"/>
              <w:rPr>
                <w:rFonts w:ascii="Arial Narrow" w:hAnsi="Arial Narrow" w:cs="Arial"/>
                <w:b/>
                <w:color w:val="2C9ADC"/>
                <w:sz w:val="20"/>
                <w:szCs w:val="18"/>
              </w:rPr>
            </w:pPr>
            <w:r>
              <w:rPr>
                <w:rFonts w:ascii="Arial Narrow" w:hAnsi="Arial Narrow" w:cs="Arial"/>
                <w:b/>
                <w:color w:val="2C9ADC"/>
                <w:sz w:val="20"/>
                <w:szCs w:val="18"/>
              </w:rPr>
              <w:t>Ceny benzínu v EUR/1 l s DPH</w:t>
            </w:r>
          </w:p>
        </w:tc>
        <w:tc>
          <w:tcPr>
            <w:tcW w:w="92" w:type="pct"/>
            <w:tcBorders>
              <w:top w:val="nil"/>
              <w:left w:val="nil"/>
              <w:bottom w:val="nil"/>
              <w:right w:val="nil"/>
            </w:tcBorders>
            <w:shd w:val="clear" w:color="auto" w:fill="auto"/>
            <w:vAlign w:val="center"/>
          </w:tcPr>
          <w:p w14:paraId="371959B2" w14:textId="77777777" w:rsidR="004A69C1" w:rsidRPr="00866785" w:rsidRDefault="004A69C1" w:rsidP="00947BF3">
            <w:pPr>
              <w:spacing w:after="120"/>
              <w:rPr>
                <w:rFonts w:ascii="Arial Narrow" w:hAnsi="Arial Narrow" w:cs="Arial"/>
                <w:b/>
                <w:color w:val="2C9ADC"/>
                <w:sz w:val="20"/>
                <w:szCs w:val="18"/>
              </w:rPr>
            </w:pPr>
          </w:p>
        </w:tc>
      </w:tr>
      <w:tr w:rsidR="004A69C1" w:rsidRPr="00866785" w14:paraId="36E20053" w14:textId="77777777" w:rsidTr="00B43B60">
        <w:trPr>
          <w:trHeight w:val="820"/>
        </w:trPr>
        <w:tc>
          <w:tcPr>
            <w:tcW w:w="4908" w:type="pct"/>
            <w:tcBorders>
              <w:top w:val="single" w:sz="4" w:space="0" w:color="auto"/>
              <w:left w:val="nil"/>
              <w:bottom w:val="single" w:sz="4" w:space="0" w:color="auto"/>
              <w:right w:val="nil"/>
            </w:tcBorders>
            <w:vAlign w:val="center"/>
          </w:tcPr>
          <w:p w14:paraId="36DEF6D4" w14:textId="7618FB3C" w:rsidR="004A69C1" w:rsidRPr="00866785" w:rsidRDefault="004A69C1" w:rsidP="00947BF3">
            <w:pPr>
              <w:spacing w:after="120"/>
              <w:jc w:val="center"/>
              <w:rPr>
                <w:rFonts w:ascii="Arial Narrow" w:hAnsi="Arial Narrow" w:cs="Arial"/>
                <w:b/>
                <w:sz w:val="20"/>
                <w:szCs w:val="20"/>
              </w:rPr>
            </w:pPr>
            <w:r>
              <w:rPr>
                <w:noProof/>
              </w:rPr>
              <w:drawing>
                <wp:inline distT="0" distB="0" distL="0" distR="0" wp14:anchorId="376B1DCA" wp14:editId="61AD7235">
                  <wp:extent cx="5648325" cy="2409825"/>
                  <wp:effectExtent l="0" t="0" r="0" b="0"/>
                  <wp:docPr id="1848467966" name="Graf 1">
                    <a:extLst xmlns:a="http://schemas.openxmlformats.org/drawingml/2006/main">
                      <a:ext uri="{FF2B5EF4-FFF2-40B4-BE49-F238E27FC236}">
                        <a16:creationId xmlns:a16="http://schemas.microsoft.com/office/drawing/2014/main" id="{104D6289-EF0F-580E-113B-60B723AACA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tc>
        <w:tc>
          <w:tcPr>
            <w:tcW w:w="92" w:type="pct"/>
            <w:tcBorders>
              <w:top w:val="nil"/>
              <w:left w:val="nil"/>
              <w:bottom w:val="nil"/>
              <w:right w:val="nil"/>
            </w:tcBorders>
            <w:vAlign w:val="center"/>
          </w:tcPr>
          <w:p w14:paraId="22AFFF41" w14:textId="77777777" w:rsidR="004A69C1" w:rsidRPr="00866785" w:rsidRDefault="004A69C1" w:rsidP="00947BF3">
            <w:pPr>
              <w:spacing w:after="120"/>
              <w:jc w:val="center"/>
              <w:rPr>
                <w:rFonts w:ascii="Arial Narrow" w:hAnsi="Arial Narrow" w:cs="Arial"/>
                <w:b/>
                <w:sz w:val="20"/>
                <w:szCs w:val="20"/>
              </w:rPr>
            </w:pPr>
          </w:p>
          <w:p w14:paraId="54E02B17" w14:textId="77777777" w:rsidR="004A69C1" w:rsidRPr="00866785" w:rsidRDefault="004A69C1" w:rsidP="00947BF3">
            <w:pPr>
              <w:spacing w:after="120"/>
              <w:jc w:val="center"/>
              <w:rPr>
                <w:rFonts w:ascii="Arial Narrow" w:hAnsi="Arial Narrow" w:cs="Arial"/>
                <w:b/>
                <w:sz w:val="20"/>
                <w:szCs w:val="20"/>
              </w:rPr>
            </w:pPr>
          </w:p>
        </w:tc>
      </w:tr>
      <w:tr w:rsidR="004A69C1" w:rsidRPr="00866785" w14:paraId="3C9C3CC2" w14:textId="77777777" w:rsidTr="00B43B60">
        <w:trPr>
          <w:trHeight w:val="104"/>
        </w:trPr>
        <w:tc>
          <w:tcPr>
            <w:tcW w:w="4908" w:type="pct"/>
            <w:tcBorders>
              <w:top w:val="single" w:sz="4" w:space="0" w:color="auto"/>
              <w:left w:val="nil"/>
              <w:bottom w:val="nil"/>
              <w:right w:val="nil"/>
            </w:tcBorders>
            <w:vAlign w:val="center"/>
          </w:tcPr>
          <w:p w14:paraId="2B2FEA52" w14:textId="77777777" w:rsidR="004A69C1" w:rsidRDefault="004A69C1" w:rsidP="00947BF3">
            <w:pPr>
              <w:spacing w:after="120"/>
              <w:jc w:val="right"/>
              <w:rPr>
                <w:rFonts w:ascii="Arial Narrow" w:hAnsi="Arial Narrow" w:cs="Arial"/>
                <w:i/>
                <w:sz w:val="16"/>
                <w:szCs w:val="16"/>
              </w:rPr>
            </w:pPr>
            <w:r w:rsidRPr="00866785">
              <w:rPr>
                <w:rFonts w:ascii="Arial Narrow" w:hAnsi="Arial Narrow" w:cs="Arial"/>
                <w:i/>
                <w:sz w:val="16"/>
                <w:szCs w:val="16"/>
              </w:rPr>
              <w:t>Zdroj: MPRV SR</w:t>
            </w:r>
            <w:r>
              <w:rPr>
                <w:rFonts w:ascii="Arial Narrow" w:hAnsi="Arial Narrow" w:cs="Arial"/>
                <w:i/>
                <w:sz w:val="16"/>
                <w:szCs w:val="16"/>
              </w:rPr>
              <w:t>, MF SR, ŠÚ SR</w:t>
            </w:r>
          </w:p>
          <w:p w14:paraId="17334A5E" w14:textId="77777777" w:rsidR="00947BF3" w:rsidRPr="00866785" w:rsidRDefault="00947BF3" w:rsidP="00947BF3">
            <w:pPr>
              <w:jc w:val="right"/>
              <w:rPr>
                <w:rFonts w:ascii="Arial Narrow" w:hAnsi="Arial Narrow" w:cs="Arial"/>
                <w:i/>
                <w:sz w:val="16"/>
                <w:szCs w:val="16"/>
              </w:rPr>
            </w:pPr>
          </w:p>
        </w:tc>
        <w:tc>
          <w:tcPr>
            <w:tcW w:w="92" w:type="pct"/>
            <w:tcBorders>
              <w:top w:val="nil"/>
              <w:left w:val="nil"/>
              <w:bottom w:val="nil"/>
              <w:right w:val="nil"/>
            </w:tcBorders>
            <w:vAlign w:val="center"/>
          </w:tcPr>
          <w:p w14:paraId="25B8C64D" w14:textId="77777777" w:rsidR="004A69C1" w:rsidRPr="00866785" w:rsidRDefault="004A69C1" w:rsidP="00947BF3">
            <w:pPr>
              <w:spacing w:after="120"/>
              <w:jc w:val="center"/>
              <w:rPr>
                <w:rFonts w:ascii="Arial Narrow" w:hAnsi="Arial Narrow" w:cs="Arial"/>
                <w:i/>
                <w:sz w:val="16"/>
                <w:szCs w:val="16"/>
              </w:rPr>
            </w:pPr>
          </w:p>
        </w:tc>
      </w:tr>
    </w:tbl>
    <w:p w14:paraId="567F0B50" w14:textId="15D4E200" w:rsidR="004065F1" w:rsidRPr="00947BF3" w:rsidRDefault="009C6F73" w:rsidP="00947BF3">
      <w:pPr>
        <w:spacing w:after="240"/>
        <w:jc w:val="both"/>
        <w:rPr>
          <w:rFonts w:ascii="Arial Narrow" w:hAnsi="Arial Narrow"/>
          <w:sz w:val="24"/>
          <w:szCs w:val="24"/>
        </w:rPr>
      </w:pPr>
      <w:r w:rsidRPr="00947BF3">
        <w:rPr>
          <w:rFonts w:ascii="Arial Narrow" w:hAnsi="Arial Narrow"/>
          <w:sz w:val="24"/>
          <w:szCs w:val="24"/>
        </w:rPr>
        <w:t>V roku 2024 ceny benzínu na Slovensku zaznamenali mierny medziročný nárast približne o 2,5</w:t>
      </w:r>
      <w:r w:rsidRPr="00947BF3">
        <w:rPr>
          <w:rFonts w:ascii="Arial" w:hAnsi="Arial" w:cs="Arial"/>
          <w:sz w:val="24"/>
          <w:szCs w:val="24"/>
        </w:rPr>
        <w:t> </w:t>
      </w:r>
      <w:r w:rsidRPr="00947BF3">
        <w:rPr>
          <w:rFonts w:ascii="Arial Narrow" w:hAnsi="Arial Narrow"/>
          <w:sz w:val="24"/>
          <w:szCs w:val="24"/>
        </w:rPr>
        <w:t>% v</w:t>
      </w:r>
      <w:r w:rsidR="00947BF3" w:rsidRPr="00947BF3">
        <w:rPr>
          <w:rFonts w:ascii="Arial Narrow" w:hAnsi="Arial Narrow"/>
          <w:sz w:val="24"/>
          <w:szCs w:val="24"/>
        </w:rPr>
        <w:t> </w:t>
      </w:r>
      <w:r w:rsidRPr="00947BF3">
        <w:rPr>
          <w:rFonts w:ascii="Arial Narrow" w:hAnsi="Arial Narrow"/>
          <w:sz w:val="24"/>
          <w:szCs w:val="24"/>
        </w:rPr>
        <w:t>porovnaní s rokom 2023. Počiatočné týždne roka 2024 priniesli stabilnejší a pomerne vyrovnaný cenový vývoj s menšími týždennými fluktuáciami. Cena benzínu sa pohybovala prevažne na vyššej úrovni ako v</w:t>
      </w:r>
      <w:r w:rsidR="00947BF3">
        <w:rPr>
          <w:rFonts w:ascii="Arial Narrow" w:hAnsi="Arial Narrow"/>
          <w:sz w:val="24"/>
          <w:szCs w:val="24"/>
        </w:rPr>
        <w:t> </w:t>
      </w:r>
      <w:r w:rsidRPr="00947BF3">
        <w:rPr>
          <w:rFonts w:ascii="Arial Narrow" w:hAnsi="Arial Narrow"/>
          <w:sz w:val="24"/>
          <w:szCs w:val="24"/>
        </w:rPr>
        <w:t>roku 2023, pričom vrcholy cien boli zaznamenané v prvom polroku. Následne v druhej polovici roka ceny mierne klesali, no celkovo zostali nad úrovňou predchádzajúceho roka, čo poukazuje na jemný rast cenovej hladiny benzínu v sledovanom období.</w:t>
      </w:r>
    </w:p>
    <w:tbl>
      <w:tblPr>
        <w:tblW w:w="5000"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1E0" w:firstRow="1" w:lastRow="1" w:firstColumn="1" w:lastColumn="1" w:noHBand="0" w:noVBand="0"/>
      </w:tblPr>
      <w:tblGrid>
        <w:gridCol w:w="8903"/>
        <w:gridCol w:w="167"/>
      </w:tblGrid>
      <w:tr w:rsidR="009C6F73" w:rsidRPr="00866785" w14:paraId="6E94639A" w14:textId="77777777" w:rsidTr="00B43B60">
        <w:trPr>
          <w:trHeight w:val="321"/>
        </w:trPr>
        <w:tc>
          <w:tcPr>
            <w:tcW w:w="4908" w:type="pct"/>
            <w:tcBorders>
              <w:top w:val="nil"/>
              <w:left w:val="nil"/>
              <w:bottom w:val="single" w:sz="4" w:space="0" w:color="auto"/>
              <w:right w:val="nil"/>
            </w:tcBorders>
            <w:shd w:val="clear" w:color="auto" w:fill="auto"/>
            <w:vAlign w:val="center"/>
          </w:tcPr>
          <w:p w14:paraId="0BBC2912" w14:textId="1B21D774" w:rsidR="009C6F73" w:rsidRPr="00866785" w:rsidRDefault="009C6F73" w:rsidP="00947BF3">
            <w:pPr>
              <w:spacing w:after="120"/>
              <w:rPr>
                <w:rFonts w:ascii="Arial Narrow" w:hAnsi="Arial Narrow" w:cs="Arial"/>
                <w:b/>
                <w:color w:val="2C9ADC"/>
                <w:sz w:val="20"/>
                <w:szCs w:val="18"/>
              </w:rPr>
            </w:pPr>
            <w:r>
              <w:rPr>
                <w:rFonts w:ascii="Arial Narrow" w:hAnsi="Arial Narrow" w:cs="Arial"/>
                <w:b/>
                <w:color w:val="2C9ADC"/>
                <w:sz w:val="20"/>
                <w:szCs w:val="18"/>
              </w:rPr>
              <w:t>Ceny nafty v EUR/1 l s DPH</w:t>
            </w:r>
          </w:p>
        </w:tc>
        <w:tc>
          <w:tcPr>
            <w:tcW w:w="92" w:type="pct"/>
            <w:tcBorders>
              <w:top w:val="nil"/>
              <w:left w:val="nil"/>
              <w:bottom w:val="nil"/>
              <w:right w:val="nil"/>
            </w:tcBorders>
            <w:shd w:val="clear" w:color="auto" w:fill="auto"/>
            <w:vAlign w:val="center"/>
          </w:tcPr>
          <w:p w14:paraId="4C803C41" w14:textId="77777777" w:rsidR="009C6F73" w:rsidRPr="00866785" w:rsidRDefault="009C6F73" w:rsidP="00947BF3">
            <w:pPr>
              <w:spacing w:after="120"/>
              <w:rPr>
                <w:rFonts w:ascii="Arial Narrow" w:hAnsi="Arial Narrow" w:cs="Arial"/>
                <w:b/>
                <w:color w:val="2C9ADC"/>
                <w:sz w:val="20"/>
                <w:szCs w:val="18"/>
              </w:rPr>
            </w:pPr>
          </w:p>
        </w:tc>
      </w:tr>
      <w:tr w:rsidR="009C6F73" w:rsidRPr="00866785" w14:paraId="313EDB24" w14:textId="77777777" w:rsidTr="00B43B60">
        <w:trPr>
          <w:trHeight w:val="820"/>
        </w:trPr>
        <w:tc>
          <w:tcPr>
            <w:tcW w:w="4908" w:type="pct"/>
            <w:tcBorders>
              <w:top w:val="single" w:sz="4" w:space="0" w:color="auto"/>
              <w:left w:val="nil"/>
              <w:bottom w:val="single" w:sz="4" w:space="0" w:color="auto"/>
              <w:right w:val="nil"/>
            </w:tcBorders>
            <w:vAlign w:val="center"/>
          </w:tcPr>
          <w:p w14:paraId="4DBDEA8E" w14:textId="3563C5F6" w:rsidR="009C6F73" w:rsidRPr="00866785" w:rsidRDefault="009C6F73" w:rsidP="00947BF3">
            <w:pPr>
              <w:spacing w:after="120"/>
              <w:jc w:val="center"/>
              <w:rPr>
                <w:rFonts w:ascii="Arial Narrow" w:hAnsi="Arial Narrow" w:cs="Arial"/>
                <w:b/>
                <w:sz w:val="20"/>
                <w:szCs w:val="20"/>
              </w:rPr>
            </w:pPr>
            <w:r>
              <w:rPr>
                <w:noProof/>
              </w:rPr>
              <w:drawing>
                <wp:inline distT="0" distB="0" distL="0" distR="0" wp14:anchorId="4FAE516C" wp14:editId="3087F2B1">
                  <wp:extent cx="5572125" cy="2505075"/>
                  <wp:effectExtent l="0" t="0" r="0" b="0"/>
                  <wp:docPr id="1204483594" name="Graf 1">
                    <a:extLst xmlns:a="http://schemas.openxmlformats.org/drawingml/2006/main">
                      <a:ext uri="{FF2B5EF4-FFF2-40B4-BE49-F238E27FC236}">
                        <a16:creationId xmlns:a16="http://schemas.microsoft.com/office/drawing/2014/main" id="{8438C46D-06DD-D624-61AC-74F638AD30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tc>
        <w:tc>
          <w:tcPr>
            <w:tcW w:w="92" w:type="pct"/>
            <w:tcBorders>
              <w:top w:val="nil"/>
              <w:left w:val="nil"/>
              <w:bottom w:val="nil"/>
              <w:right w:val="nil"/>
            </w:tcBorders>
            <w:vAlign w:val="center"/>
          </w:tcPr>
          <w:p w14:paraId="09DC1ABD" w14:textId="77777777" w:rsidR="009C6F73" w:rsidRPr="00866785" w:rsidRDefault="009C6F73" w:rsidP="00947BF3">
            <w:pPr>
              <w:spacing w:after="120"/>
              <w:jc w:val="center"/>
              <w:rPr>
                <w:rFonts w:ascii="Arial Narrow" w:hAnsi="Arial Narrow" w:cs="Arial"/>
                <w:b/>
                <w:sz w:val="20"/>
                <w:szCs w:val="20"/>
              </w:rPr>
            </w:pPr>
          </w:p>
          <w:p w14:paraId="5BFA6D45" w14:textId="77777777" w:rsidR="009C6F73" w:rsidRPr="00866785" w:rsidRDefault="009C6F73" w:rsidP="00947BF3">
            <w:pPr>
              <w:spacing w:after="120"/>
              <w:jc w:val="center"/>
              <w:rPr>
                <w:rFonts w:ascii="Arial Narrow" w:hAnsi="Arial Narrow" w:cs="Arial"/>
                <w:b/>
                <w:sz w:val="20"/>
                <w:szCs w:val="20"/>
              </w:rPr>
            </w:pPr>
          </w:p>
        </w:tc>
      </w:tr>
      <w:tr w:rsidR="009C6F73" w:rsidRPr="00866785" w14:paraId="1AEC7BC5" w14:textId="77777777" w:rsidTr="00B43B60">
        <w:trPr>
          <w:trHeight w:val="104"/>
        </w:trPr>
        <w:tc>
          <w:tcPr>
            <w:tcW w:w="4908" w:type="pct"/>
            <w:tcBorders>
              <w:top w:val="single" w:sz="4" w:space="0" w:color="auto"/>
              <w:left w:val="nil"/>
              <w:bottom w:val="nil"/>
              <w:right w:val="nil"/>
            </w:tcBorders>
            <w:vAlign w:val="center"/>
          </w:tcPr>
          <w:p w14:paraId="3B73A56D" w14:textId="77777777" w:rsidR="009C6F73" w:rsidRDefault="009C6F73" w:rsidP="00947BF3">
            <w:pPr>
              <w:spacing w:after="120"/>
              <w:jc w:val="right"/>
              <w:rPr>
                <w:rFonts w:ascii="Arial Narrow" w:hAnsi="Arial Narrow" w:cs="Arial"/>
                <w:i/>
                <w:sz w:val="16"/>
                <w:szCs w:val="16"/>
              </w:rPr>
            </w:pPr>
            <w:r w:rsidRPr="00866785">
              <w:rPr>
                <w:rFonts w:ascii="Arial Narrow" w:hAnsi="Arial Narrow" w:cs="Arial"/>
                <w:i/>
                <w:sz w:val="16"/>
                <w:szCs w:val="16"/>
              </w:rPr>
              <w:t>Zdroj: MPRV SR</w:t>
            </w:r>
            <w:r>
              <w:rPr>
                <w:rFonts w:ascii="Arial Narrow" w:hAnsi="Arial Narrow" w:cs="Arial"/>
                <w:i/>
                <w:sz w:val="16"/>
                <w:szCs w:val="16"/>
              </w:rPr>
              <w:t>, MF SR, ŠÚ SR</w:t>
            </w:r>
          </w:p>
          <w:p w14:paraId="5369BD35" w14:textId="77777777" w:rsidR="00947BF3" w:rsidRPr="00866785" w:rsidRDefault="00947BF3" w:rsidP="00947BF3">
            <w:pPr>
              <w:spacing w:after="120"/>
              <w:jc w:val="right"/>
              <w:rPr>
                <w:rFonts w:ascii="Arial Narrow" w:hAnsi="Arial Narrow" w:cs="Arial"/>
                <w:i/>
                <w:sz w:val="16"/>
                <w:szCs w:val="16"/>
              </w:rPr>
            </w:pPr>
          </w:p>
        </w:tc>
        <w:tc>
          <w:tcPr>
            <w:tcW w:w="92" w:type="pct"/>
            <w:tcBorders>
              <w:top w:val="nil"/>
              <w:left w:val="nil"/>
              <w:bottom w:val="nil"/>
              <w:right w:val="nil"/>
            </w:tcBorders>
            <w:vAlign w:val="center"/>
          </w:tcPr>
          <w:p w14:paraId="1A8C7EE3" w14:textId="77777777" w:rsidR="009C6F73" w:rsidRPr="00866785" w:rsidRDefault="009C6F73" w:rsidP="00947BF3">
            <w:pPr>
              <w:spacing w:after="120"/>
              <w:jc w:val="center"/>
              <w:rPr>
                <w:rFonts w:ascii="Arial Narrow" w:hAnsi="Arial Narrow" w:cs="Arial"/>
                <w:i/>
                <w:sz w:val="16"/>
                <w:szCs w:val="16"/>
              </w:rPr>
            </w:pPr>
          </w:p>
        </w:tc>
      </w:tr>
    </w:tbl>
    <w:p w14:paraId="4A11B990" w14:textId="10CE82F1" w:rsidR="004065F1" w:rsidRPr="00947BF3" w:rsidRDefault="009C6F73" w:rsidP="00947BF3">
      <w:pPr>
        <w:spacing w:after="240"/>
        <w:jc w:val="both"/>
        <w:rPr>
          <w:rFonts w:ascii="Arial Narrow" w:hAnsi="Arial Narrow"/>
          <w:sz w:val="24"/>
          <w:szCs w:val="24"/>
        </w:rPr>
      </w:pPr>
      <w:r w:rsidRPr="00947BF3">
        <w:rPr>
          <w:rFonts w:ascii="Arial Narrow" w:hAnsi="Arial Narrow"/>
          <w:sz w:val="24"/>
          <w:szCs w:val="24"/>
        </w:rPr>
        <w:t>Rok 2024 priniesol na trhu s naftou na Slovensku relatívne stabilný cenový vývoj s miernymi výkyvmi. Ceny nafty sa pohybovali prevažne v rozmedzí 1,40 až 1,60 EUR za liter, pričom v prvej polovici roka boli zaznamenané mierne zvýšenia, ktoré dosiahli vrchol okolo februára a marca. Následne nasledovalo obdobie mierneho poklesu cien, najmä počas letných mesiacov, ktoré však nebolo výrazné. V druhej polovici roka ceny stabilizovali svoju hladinu s drobnými kolísaniami, pričom koncom roka sa cena mierne zvýšila a udržala sa nad úrovňou 1,45 EUR za liter. Celkovo tak možno hodnotiť rok 2024 ako obdobie relatívnej cenovej stability s miernym rastovým trendom v porovnaní s predchádzajúcim rokom.</w:t>
      </w:r>
    </w:p>
    <w:tbl>
      <w:tblPr>
        <w:tblW w:w="5000"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1E0" w:firstRow="1" w:lastRow="1" w:firstColumn="1" w:lastColumn="1" w:noHBand="0" w:noVBand="0"/>
      </w:tblPr>
      <w:tblGrid>
        <w:gridCol w:w="8903"/>
        <w:gridCol w:w="167"/>
      </w:tblGrid>
      <w:tr w:rsidR="007E6704" w:rsidRPr="00866785" w14:paraId="1C1DBFF5" w14:textId="77777777" w:rsidTr="00B43B60">
        <w:trPr>
          <w:trHeight w:val="321"/>
        </w:trPr>
        <w:tc>
          <w:tcPr>
            <w:tcW w:w="4908" w:type="pct"/>
            <w:tcBorders>
              <w:top w:val="nil"/>
              <w:left w:val="nil"/>
              <w:bottom w:val="single" w:sz="4" w:space="0" w:color="auto"/>
              <w:right w:val="nil"/>
            </w:tcBorders>
            <w:shd w:val="clear" w:color="auto" w:fill="auto"/>
            <w:vAlign w:val="center"/>
          </w:tcPr>
          <w:p w14:paraId="09455CD0" w14:textId="3CFFA5C9" w:rsidR="007E6704" w:rsidRPr="00866785" w:rsidRDefault="007E6704" w:rsidP="00947BF3">
            <w:pPr>
              <w:spacing w:after="120"/>
              <w:rPr>
                <w:rFonts w:ascii="Arial Narrow" w:hAnsi="Arial Narrow" w:cs="Arial"/>
                <w:b/>
                <w:color w:val="2C9ADC"/>
                <w:sz w:val="20"/>
                <w:szCs w:val="18"/>
              </w:rPr>
            </w:pPr>
            <w:r>
              <w:rPr>
                <w:rFonts w:ascii="Arial Narrow" w:hAnsi="Arial Narrow" w:cs="Arial"/>
                <w:b/>
                <w:color w:val="2C9ADC"/>
                <w:sz w:val="20"/>
                <w:szCs w:val="18"/>
              </w:rPr>
              <w:t>Ceny CNG, LNP a bioLNG v EUR/1 kg s</w:t>
            </w:r>
            <w:r w:rsidR="00AC7359">
              <w:rPr>
                <w:rFonts w:ascii="Arial Narrow" w:hAnsi="Arial Narrow" w:cs="Arial"/>
                <w:b/>
                <w:color w:val="2C9ADC"/>
                <w:sz w:val="20"/>
                <w:szCs w:val="18"/>
              </w:rPr>
              <w:t> </w:t>
            </w:r>
            <w:r>
              <w:rPr>
                <w:rFonts w:ascii="Arial Narrow" w:hAnsi="Arial Narrow" w:cs="Arial"/>
                <w:b/>
                <w:color w:val="2C9ADC"/>
                <w:sz w:val="20"/>
                <w:szCs w:val="18"/>
              </w:rPr>
              <w:t>DPH</w:t>
            </w:r>
            <w:r w:rsidR="00AC7359">
              <w:rPr>
                <w:rFonts w:ascii="Arial Narrow" w:hAnsi="Arial Narrow" w:cs="Arial"/>
                <w:b/>
                <w:color w:val="2C9ADC"/>
                <w:sz w:val="20"/>
                <w:szCs w:val="18"/>
              </w:rPr>
              <w:t xml:space="preserve"> v SR</w:t>
            </w:r>
          </w:p>
        </w:tc>
        <w:tc>
          <w:tcPr>
            <w:tcW w:w="92" w:type="pct"/>
            <w:tcBorders>
              <w:top w:val="nil"/>
              <w:left w:val="nil"/>
              <w:bottom w:val="nil"/>
              <w:right w:val="nil"/>
            </w:tcBorders>
            <w:shd w:val="clear" w:color="auto" w:fill="auto"/>
            <w:vAlign w:val="center"/>
          </w:tcPr>
          <w:p w14:paraId="450641F9" w14:textId="77777777" w:rsidR="007E6704" w:rsidRPr="00866785" w:rsidRDefault="007E6704" w:rsidP="00947BF3">
            <w:pPr>
              <w:spacing w:after="120"/>
              <w:rPr>
                <w:rFonts w:ascii="Arial Narrow" w:hAnsi="Arial Narrow" w:cs="Arial"/>
                <w:b/>
                <w:color w:val="2C9ADC"/>
                <w:sz w:val="20"/>
                <w:szCs w:val="18"/>
              </w:rPr>
            </w:pPr>
          </w:p>
        </w:tc>
      </w:tr>
      <w:tr w:rsidR="007E6704" w:rsidRPr="00866785" w14:paraId="35C12596" w14:textId="77777777" w:rsidTr="00AC7359">
        <w:trPr>
          <w:trHeight w:val="820"/>
        </w:trPr>
        <w:tc>
          <w:tcPr>
            <w:tcW w:w="4908" w:type="pct"/>
            <w:tcBorders>
              <w:top w:val="single" w:sz="4" w:space="0" w:color="auto"/>
              <w:left w:val="nil"/>
              <w:bottom w:val="single" w:sz="4" w:space="0" w:color="auto"/>
              <w:right w:val="nil"/>
            </w:tcBorders>
            <w:vAlign w:val="center"/>
          </w:tcPr>
          <w:p w14:paraId="3C59CCF5" w14:textId="15BA1D3A" w:rsidR="007E6704" w:rsidRPr="00866785" w:rsidRDefault="00AC7359" w:rsidP="00947BF3">
            <w:pPr>
              <w:spacing w:after="120"/>
              <w:jc w:val="center"/>
              <w:rPr>
                <w:rFonts w:ascii="Arial Narrow" w:hAnsi="Arial Narrow" w:cs="Arial"/>
                <w:b/>
                <w:sz w:val="20"/>
                <w:szCs w:val="20"/>
              </w:rPr>
            </w:pPr>
            <w:r>
              <w:rPr>
                <w:noProof/>
              </w:rPr>
              <w:drawing>
                <wp:inline distT="0" distB="0" distL="0" distR="0" wp14:anchorId="2000078C" wp14:editId="5346B6AD">
                  <wp:extent cx="5581650" cy="2743200"/>
                  <wp:effectExtent l="0" t="0" r="0" b="0"/>
                  <wp:docPr id="2012455062" name="Graf 1">
                    <a:extLst xmlns:a="http://schemas.openxmlformats.org/drawingml/2006/main">
                      <a:ext uri="{FF2B5EF4-FFF2-40B4-BE49-F238E27FC236}">
                        <a16:creationId xmlns:a16="http://schemas.microsoft.com/office/drawing/2014/main" id="{7FE04C9D-02C8-E9C2-C0A9-DDDF3795134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tc>
        <w:tc>
          <w:tcPr>
            <w:tcW w:w="92" w:type="pct"/>
            <w:tcBorders>
              <w:top w:val="nil"/>
              <w:left w:val="nil"/>
              <w:bottom w:val="nil"/>
              <w:right w:val="nil"/>
            </w:tcBorders>
            <w:vAlign w:val="center"/>
          </w:tcPr>
          <w:p w14:paraId="5C189A42" w14:textId="77777777" w:rsidR="007E6704" w:rsidRPr="00866785" w:rsidRDefault="007E6704" w:rsidP="00947BF3">
            <w:pPr>
              <w:spacing w:after="120"/>
              <w:jc w:val="center"/>
              <w:rPr>
                <w:rFonts w:ascii="Arial Narrow" w:hAnsi="Arial Narrow" w:cs="Arial"/>
                <w:b/>
                <w:sz w:val="20"/>
                <w:szCs w:val="20"/>
              </w:rPr>
            </w:pPr>
          </w:p>
          <w:p w14:paraId="36E2CC37" w14:textId="77777777" w:rsidR="007E6704" w:rsidRPr="00866785" w:rsidRDefault="007E6704" w:rsidP="00947BF3">
            <w:pPr>
              <w:spacing w:after="120"/>
              <w:jc w:val="center"/>
              <w:rPr>
                <w:rFonts w:ascii="Arial Narrow" w:hAnsi="Arial Narrow" w:cs="Arial"/>
                <w:b/>
                <w:sz w:val="20"/>
                <w:szCs w:val="20"/>
              </w:rPr>
            </w:pPr>
          </w:p>
        </w:tc>
      </w:tr>
      <w:tr w:rsidR="007E6704" w:rsidRPr="00866785" w14:paraId="6EE1C82C" w14:textId="77777777" w:rsidTr="00B43B60">
        <w:trPr>
          <w:trHeight w:val="104"/>
        </w:trPr>
        <w:tc>
          <w:tcPr>
            <w:tcW w:w="4908" w:type="pct"/>
            <w:tcBorders>
              <w:top w:val="single" w:sz="4" w:space="0" w:color="auto"/>
              <w:left w:val="nil"/>
              <w:bottom w:val="nil"/>
              <w:right w:val="nil"/>
            </w:tcBorders>
            <w:vAlign w:val="center"/>
          </w:tcPr>
          <w:p w14:paraId="4DCBA988" w14:textId="77777777" w:rsidR="007E6704" w:rsidRPr="00866785" w:rsidRDefault="007E6704" w:rsidP="00947BF3">
            <w:pPr>
              <w:spacing w:after="120"/>
              <w:jc w:val="right"/>
              <w:rPr>
                <w:rFonts w:ascii="Arial Narrow" w:hAnsi="Arial Narrow" w:cs="Arial"/>
                <w:i/>
                <w:sz w:val="16"/>
                <w:szCs w:val="16"/>
              </w:rPr>
            </w:pPr>
            <w:r w:rsidRPr="00866785">
              <w:rPr>
                <w:rFonts w:ascii="Arial Narrow" w:hAnsi="Arial Narrow" w:cs="Arial"/>
                <w:i/>
                <w:sz w:val="16"/>
                <w:szCs w:val="16"/>
              </w:rPr>
              <w:t>Zdroj: MPRV SR</w:t>
            </w:r>
            <w:r>
              <w:rPr>
                <w:rFonts w:ascii="Arial Narrow" w:hAnsi="Arial Narrow" w:cs="Arial"/>
                <w:i/>
                <w:sz w:val="16"/>
                <w:szCs w:val="16"/>
              </w:rPr>
              <w:t>, MF SR, ŠÚ SR</w:t>
            </w:r>
          </w:p>
        </w:tc>
        <w:tc>
          <w:tcPr>
            <w:tcW w:w="92" w:type="pct"/>
            <w:tcBorders>
              <w:top w:val="nil"/>
              <w:left w:val="nil"/>
              <w:bottom w:val="nil"/>
              <w:right w:val="nil"/>
            </w:tcBorders>
            <w:vAlign w:val="center"/>
          </w:tcPr>
          <w:p w14:paraId="1933AF89" w14:textId="77777777" w:rsidR="007E6704" w:rsidRPr="00866785" w:rsidRDefault="007E6704" w:rsidP="00947BF3">
            <w:pPr>
              <w:spacing w:after="120"/>
              <w:jc w:val="center"/>
              <w:rPr>
                <w:rFonts w:ascii="Arial Narrow" w:hAnsi="Arial Narrow" w:cs="Arial"/>
                <w:i/>
                <w:sz w:val="16"/>
                <w:szCs w:val="16"/>
              </w:rPr>
            </w:pPr>
          </w:p>
        </w:tc>
      </w:tr>
    </w:tbl>
    <w:p w14:paraId="07B08AA9" w14:textId="10C9D106" w:rsidR="007E6704" w:rsidRPr="00947BF3" w:rsidRDefault="007E6704" w:rsidP="00947BF3">
      <w:pPr>
        <w:spacing w:before="240" w:after="160"/>
        <w:jc w:val="both"/>
        <w:rPr>
          <w:rFonts w:ascii="Arial Narrow" w:hAnsi="Arial Narrow"/>
          <w:sz w:val="24"/>
          <w:szCs w:val="24"/>
        </w:rPr>
      </w:pPr>
      <w:r w:rsidRPr="00947BF3">
        <w:rPr>
          <w:rFonts w:ascii="Arial Narrow" w:hAnsi="Arial Narrow"/>
          <w:sz w:val="24"/>
          <w:szCs w:val="24"/>
        </w:rPr>
        <w:t>V roku 2024 ceny CNG mierne klesli približne o 12 % oproti roku 2023 a stabilizovali sa okolo 1,55 – 1,60 EUR/kg. Ceny LNG najprv poklesli o vyše 40 % na začiatku roka, no následne sa postupne zvýšili približne o 10 % na konci roka na úroveň okolo 1,67 EUR/kg. BioLNG zostalo najdrahším palivom s miernymi výkyvmi cien medzi 2,15 až 2,58 EUR/kg, čo predstavuje zníženie o približne 13 % oproti roku 2023.</w:t>
      </w:r>
      <w:r w:rsidR="001641EB" w:rsidRPr="00947BF3">
        <w:rPr>
          <w:rFonts w:ascii="Arial Narrow" w:hAnsi="Arial Narrow"/>
          <w:sz w:val="24"/>
          <w:szCs w:val="24"/>
        </w:rPr>
        <w:t xml:space="preserve"> </w:t>
      </w:r>
      <w:r w:rsidRPr="00947BF3">
        <w:rPr>
          <w:rFonts w:ascii="Arial Narrow" w:hAnsi="Arial Narrow"/>
          <w:sz w:val="24"/>
          <w:szCs w:val="24"/>
        </w:rPr>
        <w:t>Celkovo sa ceny CNG a bioLNG stabilizovali, zatiaľ čo LNG zaznamenalo po výraznom útlme na začiatku mierny rast. Tento trend odzrkadľuje globálne výzvy a rastúci dopyt po ekologických palivách.</w:t>
      </w:r>
    </w:p>
    <w:p w14:paraId="3DC69FFA" w14:textId="77777777" w:rsidR="004065F1" w:rsidRDefault="004065F1" w:rsidP="00947BF3">
      <w:pPr>
        <w:spacing w:before="240" w:after="160"/>
        <w:jc w:val="both"/>
        <w:rPr>
          <w:rFonts w:ascii="Arial Narrow" w:eastAsia="Arial Narrow" w:hAnsi="Arial Narrow" w:cs="Arial Narrow"/>
          <w:sz w:val="24"/>
          <w:szCs w:val="24"/>
        </w:rPr>
      </w:pPr>
    </w:p>
    <w:p w14:paraId="36097F09" w14:textId="77777777" w:rsidR="00947BF3" w:rsidRDefault="00947BF3" w:rsidP="00947BF3">
      <w:pPr>
        <w:spacing w:before="240" w:after="160"/>
        <w:jc w:val="both"/>
        <w:rPr>
          <w:rFonts w:ascii="Arial Narrow" w:eastAsia="Arial Narrow" w:hAnsi="Arial Narrow" w:cs="Arial Narrow"/>
          <w:sz w:val="24"/>
          <w:szCs w:val="24"/>
        </w:rPr>
      </w:pPr>
    </w:p>
    <w:p w14:paraId="3CE097E3" w14:textId="77777777" w:rsidR="00947BF3" w:rsidRDefault="00947BF3" w:rsidP="00947BF3">
      <w:pPr>
        <w:spacing w:before="240" w:after="160"/>
        <w:jc w:val="both"/>
        <w:rPr>
          <w:rFonts w:ascii="Arial Narrow" w:eastAsia="Arial Narrow" w:hAnsi="Arial Narrow" w:cs="Arial Narrow"/>
          <w:sz w:val="24"/>
          <w:szCs w:val="24"/>
        </w:rPr>
      </w:pPr>
    </w:p>
    <w:p w14:paraId="3724E8C7" w14:textId="77777777" w:rsidR="004065F1" w:rsidRDefault="004065F1" w:rsidP="00947BF3">
      <w:pPr>
        <w:spacing w:before="240" w:after="160"/>
        <w:jc w:val="both"/>
        <w:rPr>
          <w:rFonts w:ascii="Arial Narrow" w:eastAsia="Arial Narrow" w:hAnsi="Arial Narrow" w:cs="Arial Narrow"/>
          <w:sz w:val="24"/>
          <w:szCs w:val="24"/>
        </w:rPr>
      </w:pPr>
    </w:p>
    <w:p w14:paraId="716B18E2" w14:textId="77777777" w:rsidR="004065F1" w:rsidRDefault="004065F1" w:rsidP="00947BF3">
      <w:pPr>
        <w:spacing w:before="240" w:after="160"/>
        <w:jc w:val="both"/>
        <w:rPr>
          <w:rFonts w:ascii="Arial Narrow" w:eastAsia="Arial Narrow" w:hAnsi="Arial Narrow" w:cs="Arial Narrow"/>
          <w:sz w:val="24"/>
          <w:szCs w:val="24"/>
        </w:rPr>
      </w:pPr>
    </w:p>
    <w:p w14:paraId="75F23F4E" w14:textId="77777777" w:rsidR="004065F1" w:rsidRDefault="004065F1" w:rsidP="00947BF3">
      <w:pPr>
        <w:spacing w:before="240" w:after="160"/>
        <w:jc w:val="both"/>
        <w:rPr>
          <w:rFonts w:ascii="Arial Narrow" w:eastAsia="Arial Narrow" w:hAnsi="Arial Narrow" w:cs="Arial Narrow"/>
          <w:sz w:val="24"/>
          <w:szCs w:val="24"/>
        </w:rPr>
      </w:pPr>
    </w:p>
    <w:tbl>
      <w:tblPr>
        <w:tblW w:w="5000"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1E0" w:firstRow="1" w:lastRow="1" w:firstColumn="1" w:lastColumn="1" w:noHBand="0" w:noVBand="0"/>
      </w:tblPr>
      <w:tblGrid>
        <w:gridCol w:w="8903"/>
        <w:gridCol w:w="167"/>
      </w:tblGrid>
      <w:tr w:rsidR="001641EB" w:rsidRPr="00866785" w14:paraId="17578C74" w14:textId="77777777" w:rsidTr="00B43B60">
        <w:trPr>
          <w:trHeight w:val="321"/>
        </w:trPr>
        <w:tc>
          <w:tcPr>
            <w:tcW w:w="4908" w:type="pct"/>
            <w:tcBorders>
              <w:top w:val="nil"/>
              <w:left w:val="nil"/>
              <w:bottom w:val="single" w:sz="4" w:space="0" w:color="auto"/>
              <w:right w:val="nil"/>
            </w:tcBorders>
            <w:shd w:val="clear" w:color="auto" w:fill="auto"/>
            <w:vAlign w:val="center"/>
          </w:tcPr>
          <w:p w14:paraId="296486E2" w14:textId="0E5AFDC9" w:rsidR="001641EB" w:rsidRPr="00866785" w:rsidRDefault="001641EB" w:rsidP="00947BF3">
            <w:pPr>
              <w:spacing w:after="120"/>
              <w:rPr>
                <w:rFonts w:ascii="Arial Narrow" w:hAnsi="Arial Narrow" w:cs="Arial"/>
                <w:b/>
                <w:color w:val="2C9ADC"/>
                <w:sz w:val="20"/>
                <w:szCs w:val="18"/>
              </w:rPr>
            </w:pPr>
            <w:r>
              <w:rPr>
                <w:rFonts w:ascii="Arial Narrow" w:hAnsi="Arial Narrow" w:cs="Arial"/>
                <w:b/>
                <w:color w:val="2C9ADC"/>
                <w:sz w:val="20"/>
                <w:szCs w:val="18"/>
              </w:rPr>
              <w:t>Ceny AdBlue a Vodíka v</w:t>
            </w:r>
            <w:r w:rsidR="008B52D0">
              <w:rPr>
                <w:rFonts w:ascii="Arial Narrow" w:hAnsi="Arial Narrow" w:cs="Arial"/>
                <w:b/>
                <w:color w:val="2C9ADC"/>
                <w:sz w:val="20"/>
                <w:szCs w:val="18"/>
              </w:rPr>
              <w:t> </w:t>
            </w:r>
            <w:r>
              <w:rPr>
                <w:rFonts w:ascii="Arial Narrow" w:hAnsi="Arial Narrow" w:cs="Arial"/>
                <w:b/>
                <w:color w:val="2C9ADC"/>
                <w:sz w:val="20"/>
                <w:szCs w:val="18"/>
              </w:rPr>
              <w:t>EUR</w:t>
            </w:r>
            <w:r w:rsidR="008B52D0">
              <w:rPr>
                <w:rFonts w:ascii="Arial Narrow" w:hAnsi="Arial Narrow" w:cs="Arial"/>
                <w:b/>
                <w:color w:val="2C9ADC"/>
                <w:sz w:val="20"/>
                <w:szCs w:val="18"/>
              </w:rPr>
              <w:t xml:space="preserve"> s </w:t>
            </w:r>
            <w:r>
              <w:rPr>
                <w:rFonts w:ascii="Arial Narrow" w:hAnsi="Arial Narrow" w:cs="Arial"/>
                <w:b/>
                <w:color w:val="2C9ADC"/>
                <w:sz w:val="20"/>
                <w:szCs w:val="18"/>
              </w:rPr>
              <w:t>DPH</w:t>
            </w:r>
            <w:r w:rsidR="00AC7359">
              <w:rPr>
                <w:rFonts w:ascii="Arial Narrow" w:hAnsi="Arial Narrow" w:cs="Arial"/>
                <w:b/>
                <w:color w:val="2C9ADC"/>
                <w:sz w:val="20"/>
                <w:szCs w:val="18"/>
              </w:rPr>
              <w:t xml:space="preserve"> v SR</w:t>
            </w:r>
          </w:p>
        </w:tc>
        <w:tc>
          <w:tcPr>
            <w:tcW w:w="92" w:type="pct"/>
            <w:tcBorders>
              <w:top w:val="nil"/>
              <w:left w:val="nil"/>
              <w:bottom w:val="nil"/>
              <w:right w:val="nil"/>
            </w:tcBorders>
            <w:shd w:val="clear" w:color="auto" w:fill="auto"/>
            <w:vAlign w:val="center"/>
          </w:tcPr>
          <w:p w14:paraId="10974C51" w14:textId="77777777" w:rsidR="001641EB" w:rsidRPr="00866785" w:rsidRDefault="001641EB" w:rsidP="00947BF3">
            <w:pPr>
              <w:spacing w:after="120"/>
              <w:rPr>
                <w:rFonts w:ascii="Arial Narrow" w:hAnsi="Arial Narrow" w:cs="Arial"/>
                <w:b/>
                <w:color w:val="2C9ADC"/>
                <w:sz w:val="20"/>
                <w:szCs w:val="18"/>
              </w:rPr>
            </w:pPr>
          </w:p>
        </w:tc>
      </w:tr>
      <w:tr w:rsidR="001641EB" w:rsidRPr="00866785" w14:paraId="2A92EF1E" w14:textId="77777777" w:rsidTr="00AC7359">
        <w:trPr>
          <w:trHeight w:val="820"/>
        </w:trPr>
        <w:tc>
          <w:tcPr>
            <w:tcW w:w="4908" w:type="pct"/>
            <w:tcBorders>
              <w:top w:val="single" w:sz="4" w:space="0" w:color="auto"/>
              <w:left w:val="nil"/>
              <w:bottom w:val="single" w:sz="4" w:space="0" w:color="auto"/>
              <w:right w:val="nil"/>
            </w:tcBorders>
            <w:vAlign w:val="center"/>
          </w:tcPr>
          <w:p w14:paraId="14B40D7E" w14:textId="7052ED66" w:rsidR="001641EB" w:rsidRPr="00866785" w:rsidRDefault="00AC7359" w:rsidP="00947BF3">
            <w:pPr>
              <w:spacing w:after="120"/>
              <w:jc w:val="center"/>
              <w:rPr>
                <w:rFonts w:ascii="Arial Narrow" w:hAnsi="Arial Narrow" w:cs="Arial"/>
                <w:b/>
                <w:sz w:val="20"/>
                <w:szCs w:val="20"/>
              </w:rPr>
            </w:pPr>
            <w:r>
              <w:rPr>
                <w:noProof/>
              </w:rPr>
              <w:drawing>
                <wp:inline distT="0" distB="0" distL="0" distR="0" wp14:anchorId="386A6854" wp14:editId="4DCD2D4F">
                  <wp:extent cx="5667375" cy="2743200"/>
                  <wp:effectExtent l="0" t="0" r="9525" b="0"/>
                  <wp:docPr id="1887678082" name="Graf 1">
                    <a:extLst xmlns:a="http://schemas.openxmlformats.org/drawingml/2006/main">
                      <a:ext uri="{FF2B5EF4-FFF2-40B4-BE49-F238E27FC236}">
                        <a16:creationId xmlns:a16="http://schemas.microsoft.com/office/drawing/2014/main" id="{4C00E974-8D42-3CA3-8A8C-6FE4FA3CCC3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tc>
        <w:tc>
          <w:tcPr>
            <w:tcW w:w="92" w:type="pct"/>
            <w:tcBorders>
              <w:top w:val="nil"/>
              <w:left w:val="nil"/>
              <w:bottom w:val="nil"/>
              <w:right w:val="nil"/>
            </w:tcBorders>
            <w:vAlign w:val="center"/>
          </w:tcPr>
          <w:p w14:paraId="5A765BF6" w14:textId="77777777" w:rsidR="001641EB" w:rsidRPr="00866785" w:rsidRDefault="001641EB" w:rsidP="00947BF3">
            <w:pPr>
              <w:spacing w:after="120"/>
              <w:jc w:val="center"/>
              <w:rPr>
                <w:rFonts w:ascii="Arial Narrow" w:hAnsi="Arial Narrow" w:cs="Arial"/>
                <w:b/>
                <w:sz w:val="20"/>
                <w:szCs w:val="20"/>
              </w:rPr>
            </w:pPr>
          </w:p>
          <w:p w14:paraId="09B2C742" w14:textId="77777777" w:rsidR="001641EB" w:rsidRPr="00866785" w:rsidRDefault="001641EB" w:rsidP="00947BF3">
            <w:pPr>
              <w:spacing w:after="120"/>
              <w:jc w:val="center"/>
              <w:rPr>
                <w:rFonts w:ascii="Arial Narrow" w:hAnsi="Arial Narrow" w:cs="Arial"/>
                <w:b/>
                <w:sz w:val="20"/>
                <w:szCs w:val="20"/>
              </w:rPr>
            </w:pPr>
          </w:p>
        </w:tc>
      </w:tr>
      <w:tr w:rsidR="001641EB" w:rsidRPr="00866785" w14:paraId="2EF33A22" w14:textId="77777777" w:rsidTr="00B43B60">
        <w:trPr>
          <w:trHeight w:val="104"/>
        </w:trPr>
        <w:tc>
          <w:tcPr>
            <w:tcW w:w="4908" w:type="pct"/>
            <w:tcBorders>
              <w:top w:val="single" w:sz="4" w:space="0" w:color="auto"/>
              <w:left w:val="nil"/>
              <w:bottom w:val="nil"/>
              <w:right w:val="nil"/>
            </w:tcBorders>
            <w:vAlign w:val="center"/>
          </w:tcPr>
          <w:p w14:paraId="61EC17F4" w14:textId="77777777" w:rsidR="001641EB" w:rsidRPr="00866785" w:rsidRDefault="001641EB" w:rsidP="00947BF3">
            <w:pPr>
              <w:spacing w:after="120"/>
              <w:jc w:val="right"/>
              <w:rPr>
                <w:rFonts w:ascii="Arial Narrow" w:hAnsi="Arial Narrow" w:cs="Arial"/>
                <w:i/>
                <w:sz w:val="16"/>
                <w:szCs w:val="16"/>
              </w:rPr>
            </w:pPr>
            <w:r w:rsidRPr="00866785">
              <w:rPr>
                <w:rFonts w:ascii="Arial Narrow" w:hAnsi="Arial Narrow" w:cs="Arial"/>
                <w:i/>
                <w:sz w:val="16"/>
                <w:szCs w:val="16"/>
              </w:rPr>
              <w:t>Zdroj: MPRV SR</w:t>
            </w:r>
            <w:r>
              <w:rPr>
                <w:rFonts w:ascii="Arial Narrow" w:hAnsi="Arial Narrow" w:cs="Arial"/>
                <w:i/>
                <w:sz w:val="16"/>
                <w:szCs w:val="16"/>
              </w:rPr>
              <w:t>, MF SR, ŠÚ SR</w:t>
            </w:r>
          </w:p>
        </w:tc>
        <w:tc>
          <w:tcPr>
            <w:tcW w:w="92" w:type="pct"/>
            <w:tcBorders>
              <w:top w:val="nil"/>
              <w:left w:val="nil"/>
              <w:bottom w:val="nil"/>
              <w:right w:val="nil"/>
            </w:tcBorders>
            <w:vAlign w:val="center"/>
          </w:tcPr>
          <w:p w14:paraId="395FE57A" w14:textId="77777777" w:rsidR="001641EB" w:rsidRPr="00866785" w:rsidRDefault="001641EB" w:rsidP="00947BF3">
            <w:pPr>
              <w:spacing w:after="120"/>
              <w:jc w:val="center"/>
              <w:rPr>
                <w:rFonts w:ascii="Arial Narrow" w:hAnsi="Arial Narrow" w:cs="Arial"/>
                <w:i/>
                <w:sz w:val="16"/>
                <w:szCs w:val="16"/>
              </w:rPr>
            </w:pPr>
          </w:p>
        </w:tc>
      </w:tr>
    </w:tbl>
    <w:p w14:paraId="63C5A917" w14:textId="722167F0" w:rsidR="00AC7359" w:rsidRPr="00947BF3" w:rsidRDefault="001641EB" w:rsidP="00947BF3">
      <w:pPr>
        <w:spacing w:before="240" w:after="160"/>
        <w:jc w:val="both"/>
        <w:rPr>
          <w:rFonts w:ascii="Arial Narrow" w:hAnsi="Arial Narrow"/>
          <w:sz w:val="24"/>
          <w:szCs w:val="24"/>
        </w:rPr>
      </w:pPr>
      <w:r w:rsidRPr="00947BF3">
        <w:rPr>
          <w:rFonts w:ascii="Arial Narrow" w:hAnsi="Arial Narrow"/>
          <w:sz w:val="24"/>
          <w:szCs w:val="24"/>
        </w:rPr>
        <w:t>V roku 2024 klesla cena AdBlue z úrovne okolo 35,7 €/10 l (koniec roka 2023) na 32,97 €/10 l v decembri 2024, čo predstavuje pokles o približne 7,6 %. Pokles bol najvýraznejší v prvej polovici roka, pričom od</w:t>
      </w:r>
      <w:r w:rsidR="00947BF3">
        <w:rPr>
          <w:rFonts w:ascii="Arial Narrow" w:hAnsi="Arial Narrow"/>
          <w:sz w:val="24"/>
          <w:szCs w:val="24"/>
        </w:rPr>
        <w:t> </w:t>
      </w:r>
      <w:r w:rsidRPr="00947BF3">
        <w:rPr>
          <w:rFonts w:ascii="Arial Narrow" w:hAnsi="Arial Narrow"/>
          <w:sz w:val="24"/>
          <w:szCs w:val="24"/>
        </w:rPr>
        <w:t>septembra sa ceny stabilizovali pod hranicou 33 €. Cena vodíka pre koncových spotrebiteľov zostala počas celého roka konštantná na úrovni 21,60 €/kg, bez výkyvov.</w:t>
      </w:r>
    </w:p>
    <w:tbl>
      <w:tblPr>
        <w:tblW w:w="5000"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1E0" w:firstRow="1" w:lastRow="1" w:firstColumn="1" w:lastColumn="1" w:noHBand="0" w:noVBand="0"/>
      </w:tblPr>
      <w:tblGrid>
        <w:gridCol w:w="8903"/>
        <w:gridCol w:w="167"/>
      </w:tblGrid>
      <w:tr w:rsidR="00AC7359" w:rsidRPr="00866785" w14:paraId="6BA13443" w14:textId="77777777" w:rsidTr="00B43B60">
        <w:trPr>
          <w:trHeight w:val="321"/>
        </w:trPr>
        <w:tc>
          <w:tcPr>
            <w:tcW w:w="4908" w:type="pct"/>
            <w:tcBorders>
              <w:top w:val="nil"/>
              <w:left w:val="nil"/>
              <w:bottom w:val="single" w:sz="4" w:space="0" w:color="auto"/>
              <w:right w:val="nil"/>
            </w:tcBorders>
            <w:shd w:val="clear" w:color="auto" w:fill="auto"/>
            <w:vAlign w:val="center"/>
          </w:tcPr>
          <w:p w14:paraId="59B2F54D" w14:textId="46C3A381" w:rsidR="00AC7359" w:rsidRPr="00866785" w:rsidRDefault="00AC7359" w:rsidP="00947BF3">
            <w:pPr>
              <w:spacing w:after="120"/>
              <w:rPr>
                <w:rFonts w:ascii="Arial Narrow" w:hAnsi="Arial Narrow" w:cs="Arial"/>
                <w:b/>
                <w:color w:val="2C9ADC"/>
                <w:sz w:val="20"/>
                <w:szCs w:val="18"/>
              </w:rPr>
            </w:pPr>
            <w:r>
              <w:rPr>
                <w:rFonts w:ascii="Arial Narrow" w:hAnsi="Arial Narrow" w:cs="Arial"/>
                <w:b/>
                <w:color w:val="2C9ADC"/>
                <w:sz w:val="20"/>
                <w:szCs w:val="18"/>
              </w:rPr>
              <w:t>Ceny Elektrickej energie nabíjania vozidiel v EUR/1 kWh s DPH v SR</w:t>
            </w:r>
          </w:p>
        </w:tc>
        <w:tc>
          <w:tcPr>
            <w:tcW w:w="92" w:type="pct"/>
            <w:tcBorders>
              <w:top w:val="nil"/>
              <w:left w:val="nil"/>
              <w:bottom w:val="nil"/>
              <w:right w:val="nil"/>
            </w:tcBorders>
            <w:shd w:val="clear" w:color="auto" w:fill="auto"/>
            <w:vAlign w:val="center"/>
          </w:tcPr>
          <w:p w14:paraId="41797599" w14:textId="77777777" w:rsidR="00AC7359" w:rsidRPr="00866785" w:rsidRDefault="00AC7359" w:rsidP="00947BF3">
            <w:pPr>
              <w:spacing w:after="120"/>
              <w:rPr>
                <w:rFonts w:ascii="Arial Narrow" w:hAnsi="Arial Narrow" w:cs="Arial"/>
                <w:b/>
                <w:color w:val="2C9ADC"/>
                <w:sz w:val="20"/>
                <w:szCs w:val="18"/>
              </w:rPr>
            </w:pPr>
          </w:p>
        </w:tc>
      </w:tr>
      <w:tr w:rsidR="00AC7359" w:rsidRPr="00866785" w14:paraId="3DE7FE80" w14:textId="77777777" w:rsidTr="00AC7359">
        <w:trPr>
          <w:trHeight w:val="820"/>
        </w:trPr>
        <w:tc>
          <w:tcPr>
            <w:tcW w:w="4908" w:type="pct"/>
            <w:tcBorders>
              <w:top w:val="single" w:sz="4" w:space="0" w:color="auto"/>
              <w:left w:val="nil"/>
              <w:bottom w:val="single" w:sz="4" w:space="0" w:color="auto"/>
              <w:right w:val="nil"/>
            </w:tcBorders>
            <w:vAlign w:val="center"/>
          </w:tcPr>
          <w:p w14:paraId="225EEBB2" w14:textId="33F99C28" w:rsidR="00AC7359" w:rsidRPr="00866785" w:rsidRDefault="00AC7359" w:rsidP="00947BF3">
            <w:pPr>
              <w:spacing w:after="120"/>
              <w:jc w:val="center"/>
              <w:rPr>
                <w:rFonts w:ascii="Arial Narrow" w:hAnsi="Arial Narrow" w:cs="Arial"/>
                <w:b/>
                <w:sz w:val="20"/>
                <w:szCs w:val="20"/>
              </w:rPr>
            </w:pPr>
            <w:r>
              <w:rPr>
                <w:noProof/>
              </w:rPr>
              <w:drawing>
                <wp:inline distT="0" distB="0" distL="0" distR="0" wp14:anchorId="09E87CA8" wp14:editId="19E2A6A0">
                  <wp:extent cx="5564505" cy="2676525"/>
                  <wp:effectExtent l="0" t="0" r="0" b="0"/>
                  <wp:docPr id="994582421" name="Graf 1">
                    <a:extLst xmlns:a="http://schemas.openxmlformats.org/drawingml/2006/main">
                      <a:ext uri="{FF2B5EF4-FFF2-40B4-BE49-F238E27FC236}">
                        <a16:creationId xmlns:a16="http://schemas.microsoft.com/office/drawing/2014/main" id="{34AB8C3F-A7AC-0532-650E-315AA667FEE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tc>
        <w:tc>
          <w:tcPr>
            <w:tcW w:w="92" w:type="pct"/>
            <w:tcBorders>
              <w:top w:val="nil"/>
              <w:left w:val="nil"/>
              <w:bottom w:val="nil"/>
              <w:right w:val="nil"/>
            </w:tcBorders>
            <w:vAlign w:val="center"/>
          </w:tcPr>
          <w:p w14:paraId="2E84E129" w14:textId="77777777" w:rsidR="00AC7359" w:rsidRPr="00866785" w:rsidRDefault="00AC7359" w:rsidP="00947BF3">
            <w:pPr>
              <w:spacing w:after="120"/>
              <w:jc w:val="center"/>
              <w:rPr>
                <w:rFonts w:ascii="Arial Narrow" w:hAnsi="Arial Narrow" w:cs="Arial"/>
                <w:b/>
                <w:sz w:val="20"/>
                <w:szCs w:val="20"/>
              </w:rPr>
            </w:pPr>
          </w:p>
          <w:p w14:paraId="3ABE9F09" w14:textId="77777777" w:rsidR="00AC7359" w:rsidRPr="00866785" w:rsidRDefault="00AC7359" w:rsidP="00947BF3">
            <w:pPr>
              <w:spacing w:after="120"/>
              <w:jc w:val="center"/>
              <w:rPr>
                <w:rFonts w:ascii="Arial Narrow" w:hAnsi="Arial Narrow" w:cs="Arial"/>
                <w:b/>
                <w:sz w:val="20"/>
                <w:szCs w:val="20"/>
              </w:rPr>
            </w:pPr>
          </w:p>
        </w:tc>
      </w:tr>
      <w:tr w:rsidR="00AC7359" w:rsidRPr="00866785" w14:paraId="5E7200DB" w14:textId="77777777" w:rsidTr="00B43B60">
        <w:trPr>
          <w:trHeight w:val="104"/>
        </w:trPr>
        <w:tc>
          <w:tcPr>
            <w:tcW w:w="4908" w:type="pct"/>
            <w:tcBorders>
              <w:top w:val="single" w:sz="4" w:space="0" w:color="auto"/>
              <w:left w:val="nil"/>
              <w:bottom w:val="nil"/>
              <w:right w:val="nil"/>
            </w:tcBorders>
            <w:vAlign w:val="center"/>
          </w:tcPr>
          <w:p w14:paraId="081B535D" w14:textId="77777777" w:rsidR="00AC7359" w:rsidRPr="00866785" w:rsidRDefault="00AC7359" w:rsidP="00947BF3">
            <w:pPr>
              <w:spacing w:after="120"/>
              <w:jc w:val="right"/>
              <w:rPr>
                <w:rFonts w:ascii="Arial Narrow" w:hAnsi="Arial Narrow" w:cs="Arial"/>
                <w:i/>
                <w:sz w:val="16"/>
                <w:szCs w:val="16"/>
              </w:rPr>
            </w:pPr>
            <w:r w:rsidRPr="00866785">
              <w:rPr>
                <w:rFonts w:ascii="Arial Narrow" w:hAnsi="Arial Narrow" w:cs="Arial"/>
                <w:i/>
                <w:sz w:val="16"/>
                <w:szCs w:val="16"/>
              </w:rPr>
              <w:t>Zdroj: MPRV SR</w:t>
            </w:r>
            <w:r>
              <w:rPr>
                <w:rFonts w:ascii="Arial Narrow" w:hAnsi="Arial Narrow" w:cs="Arial"/>
                <w:i/>
                <w:sz w:val="16"/>
                <w:szCs w:val="16"/>
              </w:rPr>
              <w:t>, MF SR, ŠÚ SR</w:t>
            </w:r>
          </w:p>
        </w:tc>
        <w:tc>
          <w:tcPr>
            <w:tcW w:w="92" w:type="pct"/>
            <w:tcBorders>
              <w:top w:val="nil"/>
              <w:left w:val="nil"/>
              <w:bottom w:val="nil"/>
              <w:right w:val="nil"/>
            </w:tcBorders>
            <w:vAlign w:val="center"/>
          </w:tcPr>
          <w:p w14:paraId="1B59C89D" w14:textId="77777777" w:rsidR="00AC7359" w:rsidRPr="00866785" w:rsidRDefault="00AC7359" w:rsidP="00947BF3">
            <w:pPr>
              <w:spacing w:after="120"/>
              <w:jc w:val="center"/>
              <w:rPr>
                <w:rFonts w:ascii="Arial Narrow" w:hAnsi="Arial Narrow" w:cs="Arial"/>
                <w:i/>
                <w:sz w:val="16"/>
                <w:szCs w:val="16"/>
              </w:rPr>
            </w:pPr>
          </w:p>
        </w:tc>
      </w:tr>
    </w:tbl>
    <w:p w14:paraId="6FA5591B" w14:textId="74668F4F" w:rsidR="009C6F73" w:rsidRPr="00947BF3" w:rsidRDefault="00AC7359" w:rsidP="00947BF3">
      <w:pPr>
        <w:spacing w:before="240" w:after="160"/>
        <w:jc w:val="both"/>
        <w:rPr>
          <w:rFonts w:ascii="Arial Narrow" w:hAnsi="Arial Narrow"/>
          <w:sz w:val="24"/>
          <w:szCs w:val="24"/>
        </w:rPr>
      </w:pPr>
      <w:r w:rsidRPr="00947BF3">
        <w:rPr>
          <w:rFonts w:ascii="Arial Narrow" w:hAnsi="Arial Narrow"/>
          <w:sz w:val="24"/>
          <w:szCs w:val="24"/>
        </w:rPr>
        <w:t>Ceny elektrickej energie pre verejné nabíjanie elektromobilov zostali v roku 2024 po celý rok stabilné AC nabíjanie (striedavý prúd) stálo 0,41 €/kWh, DC nabíjanie (jednosmerný prúd) 0,55 €/kWh a ultra-rýchle nabíjanie 0,69 €/kWh. Pre spotrebiteľov to znamenalo predvídateľné náklady na nabíjanie bez dodatočného cenového tlaku.</w:t>
      </w:r>
    </w:p>
    <w:p w14:paraId="137EB7A7" w14:textId="2454B004" w:rsidR="00AC7359" w:rsidRDefault="00FC67AE" w:rsidP="00947BF3">
      <w:pPr>
        <w:pStyle w:val="Nadpis2"/>
        <w:numPr>
          <w:ilvl w:val="1"/>
          <w:numId w:val="1"/>
        </w:numPr>
        <w:spacing w:after="240"/>
        <w:ind w:left="426"/>
        <w:rPr>
          <w:rFonts w:ascii="Arial Narrow" w:hAnsi="Arial Narrow"/>
          <w:b/>
          <w:bCs/>
          <w:color w:val="5B9BD5" w:themeColor="accent1"/>
          <w:lang w:eastAsia="en-US"/>
        </w:rPr>
      </w:pPr>
      <w:bookmarkStart w:id="21" w:name="_Toc202358584"/>
      <w:r>
        <w:rPr>
          <w:rFonts w:ascii="Arial Narrow" w:hAnsi="Arial Narrow"/>
          <w:b/>
          <w:bCs/>
          <w:color w:val="5B9BD5" w:themeColor="accent1"/>
          <w:lang w:eastAsia="en-US"/>
        </w:rPr>
        <w:t>Tempo c</w:t>
      </w:r>
      <w:r w:rsidR="00AC7359" w:rsidRPr="007E6704">
        <w:rPr>
          <w:rFonts w:ascii="Arial Narrow" w:hAnsi="Arial Narrow"/>
          <w:b/>
          <w:bCs/>
          <w:color w:val="5B9BD5" w:themeColor="accent1"/>
          <w:lang w:eastAsia="en-US"/>
        </w:rPr>
        <w:t>enov</w:t>
      </w:r>
      <w:r>
        <w:rPr>
          <w:rFonts w:ascii="Arial Narrow" w:hAnsi="Arial Narrow"/>
          <w:b/>
          <w:bCs/>
          <w:color w:val="5B9BD5" w:themeColor="accent1"/>
          <w:lang w:eastAsia="en-US"/>
        </w:rPr>
        <w:t>ého</w:t>
      </w:r>
      <w:r w:rsidR="00AC7359" w:rsidRPr="007E6704">
        <w:rPr>
          <w:rFonts w:ascii="Arial Narrow" w:hAnsi="Arial Narrow"/>
          <w:b/>
          <w:bCs/>
          <w:color w:val="5B9BD5" w:themeColor="accent1"/>
          <w:lang w:eastAsia="en-US"/>
        </w:rPr>
        <w:t xml:space="preserve"> vývoj</w:t>
      </w:r>
      <w:r>
        <w:rPr>
          <w:rFonts w:ascii="Arial Narrow" w:hAnsi="Arial Narrow"/>
          <w:b/>
          <w:bCs/>
          <w:color w:val="5B9BD5" w:themeColor="accent1"/>
          <w:lang w:eastAsia="en-US"/>
        </w:rPr>
        <w:t>a</w:t>
      </w:r>
      <w:r w:rsidR="00AC7359" w:rsidRPr="007E6704">
        <w:rPr>
          <w:rFonts w:ascii="Arial Narrow" w:hAnsi="Arial Narrow"/>
          <w:b/>
          <w:bCs/>
          <w:color w:val="5B9BD5" w:themeColor="accent1"/>
          <w:lang w:eastAsia="en-US"/>
        </w:rPr>
        <w:t xml:space="preserve"> </w:t>
      </w:r>
      <w:r>
        <w:rPr>
          <w:rFonts w:ascii="Arial Narrow" w:hAnsi="Arial Narrow"/>
          <w:b/>
          <w:bCs/>
          <w:color w:val="5B9BD5" w:themeColor="accent1"/>
          <w:lang w:eastAsia="en-US"/>
        </w:rPr>
        <w:t xml:space="preserve">ostatných </w:t>
      </w:r>
      <w:r w:rsidR="00323954">
        <w:rPr>
          <w:rFonts w:ascii="Arial Narrow" w:hAnsi="Arial Narrow"/>
          <w:b/>
          <w:bCs/>
          <w:color w:val="5B9BD5" w:themeColor="accent1"/>
          <w:lang w:eastAsia="en-US"/>
        </w:rPr>
        <w:t>segmentov</w:t>
      </w:r>
      <w:bookmarkEnd w:id="21"/>
    </w:p>
    <w:tbl>
      <w:tblPr>
        <w:tblW w:w="5000"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1E0" w:firstRow="1" w:lastRow="1" w:firstColumn="1" w:lastColumn="1" w:noHBand="0" w:noVBand="0"/>
      </w:tblPr>
      <w:tblGrid>
        <w:gridCol w:w="8903"/>
        <w:gridCol w:w="167"/>
      </w:tblGrid>
      <w:tr w:rsidR="005C3EC8" w:rsidRPr="00866785" w14:paraId="6075DC0D" w14:textId="77777777" w:rsidTr="007272E5">
        <w:trPr>
          <w:trHeight w:val="321"/>
        </w:trPr>
        <w:tc>
          <w:tcPr>
            <w:tcW w:w="4908" w:type="pct"/>
            <w:tcBorders>
              <w:top w:val="nil"/>
              <w:left w:val="nil"/>
              <w:bottom w:val="single" w:sz="4" w:space="0" w:color="auto"/>
              <w:right w:val="nil"/>
            </w:tcBorders>
            <w:shd w:val="clear" w:color="auto" w:fill="auto"/>
            <w:vAlign w:val="center"/>
          </w:tcPr>
          <w:p w14:paraId="4ADAA5BD" w14:textId="59DC4550" w:rsidR="005C3EC8" w:rsidRPr="00866785" w:rsidRDefault="00E92B5C" w:rsidP="00947BF3">
            <w:pPr>
              <w:spacing w:after="120"/>
              <w:rPr>
                <w:rFonts w:ascii="Arial Narrow" w:hAnsi="Arial Narrow" w:cs="Arial"/>
                <w:b/>
                <w:color w:val="2C9ADC"/>
                <w:sz w:val="20"/>
                <w:szCs w:val="18"/>
              </w:rPr>
            </w:pPr>
            <w:r>
              <w:rPr>
                <w:rFonts w:ascii="Arial Narrow" w:hAnsi="Arial Narrow" w:cs="Arial"/>
                <w:b/>
                <w:color w:val="2C9ADC"/>
                <w:sz w:val="20"/>
                <w:szCs w:val="18"/>
              </w:rPr>
              <w:t xml:space="preserve">Tempo rastu cenového vývoja </w:t>
            </w:r>
            <w:r w:rsidR="004B552D">
              <w:rPr>
                <w:rFonts w:ascii="Arial Narrow" w:hAnsi="Arial Narrow" w:cs="Arial"/>
                <w:b/>
                <w:color w:val="2C9ADC"/>
                <w:sz w:val="20"/>
                <w:szCs w:val="18"/>
              </w:rPr>
              <w:t>v segmente odevov a obuvi</w:t>
            </w:r>
            <w:r>
              <w:rPr>
                <w:rFonts w:ascii="Arial Narrow" w:hAnsi="Arial Narrow" w:cs="Arial"/>
                <w:b/>
                <w:color w:val="2C9ADC"/>
                <w:sz w:val="20"/>
                <w:szCs w:val="18"/>
              </w:rPr>
              <w:t xml:space="preserve"> za rok 2024</w:t>
            </w:r>
            <w:r w:rsidR="003B390D">
              <w:rPr>
                <w:rFonts w:ascii="Arial Narrow" w:hAnsi="Arial Narrow" w:cs="Arial"/>
                <w:b/>
                <w:color w:val="2C9ADC"/>
                <w:sz w:val="20"/>
                <w:szCs w:val="18"/>
              </w:rPr>
              <w:t xml:space="preserve"> (medzimesačné zmeny v %)</w:t>
            </w:r>
          </w:p>
        </w:tc>
        <w:tc>
          <w:tcPr>
            <w:tcW w:w="92" w:type="pct"/>
            <w:tcBorders>
              <w:top w:val="nil"/>
              <w:left w:val="nil"/>
              <w:bottom w:val="nil"/>
              <w:right w:val="nil"/>
            </w:tcBorders>
            <w:shd w:val="clear" w:color="auto" w:fill="auto"/>
            <w:vAlign w:val="center"/>
          </w:tcPr>
          <w:p w14:paraId="4115128F" w14:textId="77777777" w:rsidR="005C3EC8" w:rsidRPr="00866785" w:rsidRDefault="005C3EC8" w:rsidP="00947BF3">
            <w:pPr>
              <w:spacing w:after="120"/>
              <w:rPr>
                <w:rFonts w:ascii="Arial Narrow" w:hAnsi="Arial Narrow" w:cs="Arial"/>
                <w:b/>
                <w:color w:val="2C9ADC"/>
                <w:sz w:val="20"/>
                <w:szCs w:val="18"/>
              </w:rPr>
            </w:pPr>
          </w:p>
        </w:tc>
      </w:tr>
      <w:tr w:rsidR="005C3EC8" w:rsidRPr="00866785" w14:paraId="62401C2A" w14:textId="77777777" w:rsidTr="000A2028">
        <w:trPr>
          <w:trHeight w:val="820"/>
        </w:trPr>
        <w:tc>
          <w:tcPr>
            <w:tcW w:w="4908" w:type="pct"/>
            <w:tcBorders>
              <w:top w:val="single" w:sz="4" w:space="0" w:color="auto"/>
              <w:left w:val="nil"/>
              <w:bottom w:val="single" w:sz="4" w:space="0" w:color="auto"/>
              <w:right w:val="nil"/>
            </w:tcBorders>
            <w:vAlign w:val="center"/>
          </w:tcPr>
          <w:p w14:paraId="2487D257" w14:textId="5DEB0E40" w:rsidR="005C3EC8" w:rsidRPr="00866785" w:rsidRDefault="000A2028" w:rsidP="00947BF3">
            <w:pPr>
              <w:spacing w:after="120"/>
              <w:jc w:val="center"/>
              <w:rPr>
                <w:rFonts w:ascii="Arial Narrow" w:hAnsi="Arial Narrow" w:cs="Arial"/>
                <w:b/>
                <w:sz w:val="20"/>
                <w:szCs w:val="20"/>
              </w:rPr>
            </w:pPr>
            <w:r>
              <w:rPr>
                <w:noProof/>
              </w:rPr>
              <w:drawing>
                <wp:inline distT="0" distB="0" distL="0" distR="0" wp14:anchorId="1D8E8631" wp14:editId="7D340B16">
                  <wp:extent cx="5564505" cy="3338830"/>
                  <wp:effectExtent l="0" t="0" r="0" b="0"/>
                  <wp:docPr id="1583531203" name="Graf 1">
                    <a:extLst xmlns:a="http://schemas.openxmlformats.org/drawingml/2006/main">
                      <a:ext uri="{FF2B5EF4-FFF2-40B4-BE49-F238E27FC236}">
                        <a16:creationId xmlns:a16="http://schemas.microsoft.com/office/drawing/2014/main" id="{3241D34F-C1D6-322E-1F22-3E20C0472CC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tc>
        <w:tc>
          <w:tcPr>
            <w:tcW w:w="92" w:type="pct"/>
            <w:tcBorders>
              <w:top w:val="nil"/>
              <w:left w:val="nil"/>
              <w:bottom w:val="nil"/>
              <w:right w:val="nil"/>
            </w:tcBorders>
            <w:vAlign w:val="center"/>
          </w:tcPr>
          <w:p w14:paraId="099D1180" w14:textId="77777777" w:rsidR="005C3EC8" w:rsidRPr="00866785" w:rsidRDefault="005C3EC8" w:rsidP="00947BF3">
            <w:pPr>
              <w:spacing w:after="120"/>
              <w:jc w:val="center"/>
              <w:rPr>
                <w:rFonts w:ascii="Arial Narrow" w:hAnsi="Arial Narrow" w:cs="Arial"/>
                <w:b/>
                <w:sz w:val="20"/>
                <w:szCs w:val="20"/>
              </w:rPr>
            </w:pPr>
          </w:p>
          <w:p w14:paraId="69B51052" w14:textId="77777777" w:rsidR="005C3EC8" w:rsidRPr="00866785" w:rsidRDefault="005C3EC8" w:rsidP="00947BF3">
            <w:pPr>
              <w:spacing w:after="120"/>
              <w:jc w:val="center"/>
              <w:rPr>
                <w:rFonts w:ascii="Arial Narrow" w:hAnsi="Arial Narrow" w:cs="Arial"/>
                <w:b/>
                <w:sz w:val="20"/>
                <w:szCs w:val="20"/>
              </w:rPr>
            </w:pPr>
          </w:p>
        </w:tc>
      </w:tr>
      <w:tr w:rsidR="005C3EC8" w:rsidRPr="00866785" w14:paraId="09BB4372" w14:textId="77777777" w:rsidTr="007272E5">
        <w:trPr>
          <w:trHeight w:val="104"/>
        </w:trPr>
        <w:tc>
          <w:tcPr>
            <w:tcW w:w="4908" w:type="pct"/>
            <w:tcBorders>
              <w:top w:val="single" w:sz="4" w:space="0" w:color="auto"/>
              <w:left w:val="nil"/>
              <w:bottom w:val="nil"/>
              <w:right w:val="nil"/>
            </w:tcBorders>
            <w:vAlign w:val="center"/>
          </w:tcPr>
          <w:p w14:paraId="346A030A" w14:textId="77777777" w:rsidR="005C3EC8" w:rsidRDefault="005C3EC8" w:rsidP="00947BF3">
            <w:pPr>
              <w:spacing w:after="120"/>
              <w:jc w:val="right"/>
              <w:rPr>
                <w:rFonts w:ascii="Arial Narrow" w:hAnsi="Arial Narrow" w:cs="Arial"/>
                <w:i/>
                <w:sz w:val="16"/>
                <w:szCs w:val="16"/>
              </w:rPr>
            </w:pPr>
            <w:r w:rsidRPr="00866785">
              <w:rPr>
                <w:rFonts w:ascii="Arial Narrow" w:hAnsi="Arial Narrow" w:cs="Arial"/>
                <w:i/>
                <w:sz w:val="16"/>
                <w:szCs w:val="16"/>
              </w:rPr>
              <w:t>Zdroj:</w:t>
            </w:r>
            <w:r w:rsidR="00E92B5C">
              <w:rPr>
                <w:rFonts w:ascii="Arial Narrow" w:hAnsi="Arial Narrow" w:cs="Arial"/>
                <w:i/>
                <w:sz w:val="16"/>
                <w:szCs w:val="16"/>
              </w:rPr>
              <w:t xml:space="preserve"> </w:t>
            </w:r>
            <w:r>
              <w:rPr>
                <w:rFonts w:ascii="Arial Narrow" w:hAnsi="Arial Narrow" w:cs="Arial"/>
                <w:i/>
                <w:sz w:val="16"/>
                <w:szCs w:val="16"/>
              </w:rPr>
              <w:t>MF SR, ŠÚ SR</w:t>
            </w:r>
          </w:p>
          <w:p w14:paraId="50855332" w14:textId="10A1EA57" w:rsidR="00947BF3" w:rsidRPr="00866785" w:rsidRDefault="00947BF3" w:rsidP="00947BF3">
            <w:pPr>
              <w:jc w:val="right"/>
              <w:rPr>
                <w:rFonts w:ascii="Arial Narrow" w:hAnsi="Arial Narrow" w:cs="Arial"/>
                <w:i/>
                <w:sz w:val="16"/>
                <w:szCs w:val="16"/>
              </w:rPr>
            </w:pPr>
          </w:p>
        </w:tc>
        <w:tc>
          <w:tcPr>
            <w:tcW w:w="92" w:type="pct"/>
            <w:tcBorders>
              <w:top w:val="nil"/>
              <w:left w:val="nil"/>
              <w:bottom w:val="nil"/>
              <w:right w:val="nil"/>
            </w:tcBorders>
            <w:vAlign w:val="center"/>
          </w:tcPr>
          <w:p w14:paraId="25D57A22" w14:textId="77777777" w:rsidR="005C3EC8" w:rsidRPr="00866785" w:rsidRDefault="005C3EC8" w:rsidP="00947BF3">
            <w:pPr>
              <w:spacing w:after="120"/>
              <w:jc w:val="center"/>
              <w:rPr>
                <w:rFonts w:ascii="Arial Narrow" w:hAnsi="Arial Narrow" w:cs="Arial"/>
                <w:i/>
                <w:sz w:val="16"/>
                <w:szCs w:val="16"/>
              </w:rPr>
            </w:pPr>
          </w:p>
        </w:tc>
      </w:tr>
    </w:tbl>
    <w:p w14:paraId="12A4F74E" w14:textId="5D200E3B" w:rsidR="004B552D" w:rsidRPr="00947BF3" w:rsidRDefault="004B552D" w:rsidP="00947BF3">
      <w:pPr>
        <w:spacing w:after="160"/>
        <w:jc w:val="both"/>
        <w:rPr>
          <w:rFonts w:ascii="Arial Narrow" w:hAnsi="Arial Narrow"/>
          <w:sz w:val="24"/>
          <w:szCs w:val="24"/>
        </w:rPr>
      </w:pPr>
      <w:r w:rsidRPr="00947BF3">
        <w:rPr>
          <w:rFonts w:ascii="Arial Narrow" w:hAnsi="Arial Narrow"/>
          <w:b/>
          <w:bCs/>
          <w:sz w:val="24"/>
          <w:szCs w:val="24"/>
        </w:rPr>
        <w:t>Tempo vývoja rastu cien v oblasti odevov a obuvi</w:t>
      </w:r>
      <w:r w:rsidRPr="00947BF3">
        <w:rPr>
          <w:rFonts w:ascii="Arial Narrow" w:hAnsi="Arial Narrow"/>
          <w:sz w:val="24"/>
          <w:szCs w:val="24"/>
        </w:rPr>
        <w:t xml:space="preserve"> sa v rokoch 2023 a 2024 vyznačovalo výraznou sezónnosťou a častými výkyvmi. V segmente odevov boli pozorované pravidelné poklesy cien najmä v</w:t>
      </w:r>
      <w:r w:rsidR="00947BF3">
        <w:rPr>
          <w:rFonts w:ascii="Arial Narrow" w:hAnsi="Arial Narrow"/>
          <w:sz w:val="24"/>
          <w:szCs w:val="24"/>
        </w:rPr>
        <w:t> </w:t>
      </w:r>
      <w:r w:rsidRPr="00947BF3">
        <w:rPr>
          <w:rFonts w:ascii="Arial Narrow" w:hAnsi="Arial Narrow"/>
          <w:sz w:val="24"/>
          <w:szCs w:val="24"/>
        </w:rPr>
        <w:t xml:space="preserve">zimných a letných mesiacoch, zatiaľ čo jarné a jesenné obdobia zaznamenali nárasty. Hotové odevy vykazovali podobný </w:t>
      </w:r>
      <w:r w:rsidR="008B52D0" w:rsidRPr="00947BF3">
        <w:rPr>
          <w:rFonts w:ascii="Arial Narrow" w:hAnsi="Arial Narrow"/>
          <w:sz w:val="24"/>
          <w:szCs w:val="24"/>
        </w:rPr>
        <w:t>trend</w:t>
      </w:r>
      <w:r w:rsidRPr="00947BF3">
        <w:rPr>
          <w:rFonts w:ascii="Arial Narrow" w:hAnsi="Arial Narrow"/>
          <w:sz w:val="24"/>
          <w:szCs w:val="24"/>
        </w:rPr>
        <w:t>, pričom najvýraznejší nárast bol v marci 2023 (+2,2</w:t>
      </w:r>
      <w:r w:rsidRPr="00947BF3">
        <w:rPr>
          <w:rFonts w:ascii="Arial" w:hAnsi="Arial" w:cs="Arial"/>
          <w:sz w:val="24"/>
          <w:szCs w:val="24"/>
        </w:rPr>
        <w:t> </w:t>
      </w:r>
      <w:r w:rsidRPr="00947BF3">
        <w:rPr>
          <w:rFonts w:ascii="Arial Narrow" w:hAnsi="Arial Narrow"/>
          <w:sz w:val="24"/>
          <w:szCs w:val="24"/>
        </w:rPr>
        <w:t>%) a októbri 2024 (+1,3</w:t>
      </w:r>
      <w:r w:rsidRPr="00947BF3">
        <w:rPr>
          <w:rFonts w:ascii="Arial" w:hAnsi="Arial" w:cs="Arial"/>
          <w:sz w:val="24"/>
          <w:szCs w:val="24"/>
        </w:rPr>
        <w:t> </w:t>
      </w:r>
      <w:r w:rsidRPr="00947BF3">
        <w:rPr>
          <w:rFonts w:ascii="Arial Narrow" w:hAnsi="Arial Narrow"/>
          <w:sz w:val="24"/>
          <w:szCs w:val="24"/>
        </w:rPr>
        <w:t>%). Doplnky a opravy odevov rástli nerovnomerne, občas prudšie — napr. vo februári 2023 (+2,4</w:t>
      </w:r>
      <w:r w:rsidRPr="00947BF3">
        <w:rPr>
          <w:rFonts w:ascii="Arial" w:hAnsi="Arial" w:cs="Arial"/>
          <w:sz w:val="24"/>
          <w:szCs w:val="24"/>
        </w:rPr>
        <w:t> </w:t>
      </w:r>
      <w:r w:rsidRPr="00947BF3">
        <w:rPr>
          <w:rFonts w:ascii="Arial Narrow" w:hAnsi="Arial Narrow"/>
          <w:sz w:val="24"/>
          <w:szCs w:val="24"/>
        </w:rPr>
        <w:t>%) či marci 2024 (+2,6</w:t>
      </w:r>
      <w:r w:rsidRPr="00947BF3">
        <w:rPr>
          <w:rFonts w:ascii="Arial" w:hAnsi="Arial" w:cs="Arial"/>
          <w:sz w:val="24"/>
          <w:szCs w:val="24"/>
        </w:rPr>
        <w:t> </w:t>
      </w:r>
      <w:r w:rsidRPr="00947BF3">
        <w:rPr>
          <w:rFonts w:ascii="Arial Narrow" w:hAnsi="Arial Narrow"/>
          <w:sz w:val="24"/>
          <w:szCs w:val="24"/>
        </w:rPr>
        <w:t>%).</w:t>
      </w:r>
    </w:p>
    <w:p w14:paraId="5DB036F0" w14:textId="641EA158" w:rsidR="004B552D" w:rsidRPr="00947BF3" w:rsidRDefault="004B552D" w:rsidP="00947BF3">
      <w:pPr>
        <w:spacing w:after="160"/>
        <w:jc w:val="both"/>
        <w:rPr>
          <w:rFonts w:ascii="Arial Narrow" w:hAnsi="Arial Narrow"/>
          <w:sz w:val="24"/>
          <w:szCs w:val="24"/>
        </w:rPr>
      </w:pPr>
      <w:r w:rsidRPr="00947BF3">
        <w:rPr>
          <w:rFonts w:ascii="Arial Narrow" w:hAnsi="Arial Narrow"/>
          <w:sz w:val="24"/>
          <w:szCs w:val="24"/>
        </w:rPr>
        <w:t>V oblasti obuvi bolo tempo vývoja rastu cien podobne volatilné. Topánky a iná obuv mali viacero poklesov počas jari a leta 2023 aj 2024, najmä v januári 2024 (–1,4</w:t>
      </w:r>
      <w:r w:rsidRPr="00947BF3">
        <w:rPr>
          <w:rFonts w:ascii="Arial" w:hAnsi="Arial" w:cs="Arial"/>
          <w:sz w:val="24"/>
          <w:szCs w:val="24"/>
        </w:rPr>
        <w:t> </w:t>
      </w:r>
      <w:r w:rsidRPr="00947BF3">
        <w:rPr>
          <w:rFonts w:ascii="Arial Narrow" w:hAnsi="Arial Narrow"/>
          <w:sz w:val="24"/>
          <w:szCs w:val="24"/>
        </w:rPr>
        <w:t>%) a júli 2023 (–1,8</w:t>
      </w:r>
      <w:r w:rsidRPr="00947BF3">
        <w:rPr>
          <w:rFonts w:ascii="Arial" w:hAnsi="Arial" w:cs="Arial"/>
          <w:sz w:val="24"/>
          <w:szCs w:val="24"/>
        </w:rPr>
        <w:t> </w:t>
      </w:r>
      <w:r w:rsidRPr="00947BF3">
        <w:rPr>
          <w:rFonts w:ascii="Arial Narrow" w:hAnsi="Arial Narrow"/>
          <w:sz w:val="24"/>
          <w:szCs w:val="24"/>
        </w:rPr>
        <w:t>%), pričom vyššie tempo rastu sa prejavilo najmä v jesenných mesiacoch. Opravy a požičiavanie obuvi rástli len minimálne a</w:t>
      </w:r>
      <w:r w:rsidR="00947BF3">
        <w:rPr>
          <w:rFonts w:ascii="Arial Narrow" w:hAnsi="Arial Narrow"/>
          <w:sz w:val="24"/>
          <w:szCs w:val="24"/>
        </w:rPr>
        <w:t> </w:t>
      </w:r>
      <w:r w:rsidRPr="00947BF3">
        <w:rPr>
          <w:rFonts w:ascii="Arial Narrow" w:hAnsi="Arial Narrow"/>
          <w:sz w:val="24"/>
          <w:szCs w:val="24"/>
        </w:rPr>
        <w:t>pomerne stabilne, s výkyvmi najviac do +1,8</w:t>
      </w:r>
      <w:r w:rsidRPr="00947BF3">
        <w:rPr>
          <w:rFonts w:ascii="Arial" w:hAnsi="Arial" w:cs="Arial"/>
          <w:sz w:val="24"/>
          <w:szCs w:val="24"/>
        </w:rPr>
        <w:t> </w:t>
      </w:r>
      <w:r w:rsidRPr="00947BF3">
        <w:rPr>
          <w:rFonts w:ascii="Arial Narrow" w:hAnsi="Arial Narrow"/>
          <w:sz w:val="24"/>
          <w:szCs w:val="24"/>
        </w:rPr>
        <w:t>%.</w:t>
      </w:r>
    </w:p>
    <w:p w14:paraId="4C387997" w14:textId="77777777" w:rsidR="004B552D" w:rsidRDefault="004B552D" w:rsidP="00947BF3">
      <w:pPr>
        <w:spacing w:after="160"/>
        <w:jc w:val="both"/>
        <w:rPr>
          <w:rFonts w:ascii="Arial Narrow" w:hAnsi="Arial Narrow"/>
          <w:sz w:val="24"/>
          <w:szCs w:val="24"/>
        </w:rPr>
      </w:pPr>
      <w:r w:rsidRPr="00947BF3">
        <w:rPr>
          <w:rFonts w:ascii="Arial Narrow" w:hAnsi="Arial Narrow"/>
          <w:sz w:val="24"/>
          <w:szCs w:val="24"/>
        </w:rPr>
        <w:t>Celkovo išlo o segment s vysokou dynamikou cien, ovplyvnený sezónnymi výpredajmi, módnymi cyklami a špecifickým správaním spotrebiteľov.</w:t>
      </w:r>
    </w:p>
    <w:p w14:paraId="7DF64D67" w14:textId="77777777" w:rsidR="00947BF3" w:rsidRDefault="00947BF3" w:rsidP="00947BF3">
      <w:pPr>
        <w:spacing w:after="160"/>
        <w:jc w:val="both"/>
        <w:rPr>
          <w:rFonts w:ascii="Arial Narrow" w:hAnsi="Arial Narrow"/>
          <w:sz w:val="24"/>
          <w:szCs w:val="24"/>
        </w:rPr>
      </w:pPr>
    </w:p>
    <w:p w14:paraId="0637A1CB" w14:textId="77777777" w:rsidR="00947BF3" w:rsidRDefault="00947BF3" w:rsidP="00947BF3">
      <w:pPr>
        <w:spacing w:after="160"/>
        <w:jc w:val="both"/>
        <w:rPr>
          <w:rFonts w:ascii="Arial Narrow" w:hAnsi="Arial Narrow"/>
          <w:sz w:val="24"/>
          <w:szCs w:val="24"/>
        </w:rPr>
      </w:pPr>
    </w:p>
    <w:p w14:paraId="73E6BCBD" w14:textId="77777777" w:rsidR="00947BF3" w:rsidRPr="00947BF3" w:rsidRDefault="00947BF3" w:rsidP="00947BF3">
      <w:pPr>
        <w:spacing w:after="160"/>
        <w:jc w:val="both"/>
        <w:rPr>
          <w:rFonts w:ascii="Arial Narrow" w:hAnsi="Arial Narrow"/>
          <w:sz w:val="24"/>
          <w:szCs w:val="24"/>
        </w:rPr>
      </w:pPr>
    </w:p>
    <w:tbl>
      <w:tblPr>
        <w:tblW w:w="5000"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1E0" w:firstRow="1" w:lastRow="1" w:firstColumn="1" w:lastColumn="1" w:noHBand="0" w:noVBand="0"/>
      </w:tblPr>
      <w:tblGrid>
        <w:gridCol w:w="8903"/>
        <w:gridCol w:w="167"/>
      </w:tblGrid>
      <w:tr w:rsidR="0090104E" w:rsidRPr="00866785" w14:paraId="5BD9D4B7" w14:textId="77777777" w:rsidTr="007272E5">
        <w:trPr>
          <w:trHeight w:val="321"/>
        </w:trPr>
        <w:tc>
          <w:tcPr>
            <w:tcW w:w="4908" w:type="pct"/>
            <w:tcBorders>
              <w:top w:val="nil"/>
              <w:left w:val="nil"/>
              <w:bottom w:val="single" w:sz="4" w:space="0" w:color="auto"/>
              <w:right w:val="nil"/>
            </w:tcBorders>
            <w:shd w:val="clear" w:color="auto" w:fill="auto"/>
            <w:vAlign w:val="center"/>
          </w:tcPr>
          <w:p w14:paraId="76C68E79" w14:textId="795B7035" w:rsidR="0090104E" w:rsidRPr="00866785" w:rsidRDefault="0090104E" w:rsidP="00947BF3">
            <w:pPr>
              <w:spacing w:after="120"/>
              <w:rPr>
                <w:rFonts w:ascii="Arial Narrow" w:hAnsi="Arial Narrow" w:cs="Arial"/>
                <w:b/>
                <w:color w:val="2C9ADC"/>
                <w:sz w:val="20"/>
                <w:szCs w:val="18"/>
              </w:rPr>
            </w:pPr>
            <w:r>
              <w:rPr>
                <w:rFonts w:ascii="Arial Narrow" w:hAnsi="Arial Narrow" w:cs="Arial"/>
                <w:b/>
                <w:color w:val="2C9ADC"/>
                <w:sz w:val="20"/>
                <w:szCs w:val="18"/>
              </w:rPr>
              <w:t xml:space="preserve">Tempo rastu cenového vývoja </w:t>
            </w:r>
            <w:r w:rsidR="00E973D1">
              <w:rPr>
                <w:rFonts w:ascii="Arial Narrow" w:hAnsi="Arial Narrow" w:cs="Arial"/>
                <w:b/>
                <w:color w:val="2C9ADC"/>
                <w:sz w:val="20"/>
                <w:szCs w:val="18"/>
              </w:rPr>
              <w:t>v segmente bývania</w:t>
            </w:r>
            <w:r>
              <w:rPr>
                <w:rFonts w:ascii="Arial Narrow" w:hAnsi="Arial Narrow" w:cs="Arial"/>
                <w:b/>
                <w:color w:val="2C9ADC"/>
                <w:sz w:val="20"/>
                <w:szCs w:val="18"/>
              </w:rPr>
              <w:t xml:space="preserve"> za rok 2024</w:t>
            </w:r>
            <w:r w:rsidR="002457C0">
              <w:rPr>
                <w:rFonts w:ascii="Arial Narrow" w:hAnsi="Arial Narrow" w:cs="Arial"/>
                <w:b/>
                <w:color w:val="2C9ADC"/>
                <w:sz w:val="20"/>
                <w:szCs w:val="18"/>
              </w:rPr>
              <w:t xml:space="preserve"> </w:t>
            </w:r>
            <w:r w:rsidR="00B30ED7">
              <w:rPr>
                <w:rFonts w:ascii="Arial Narrow" w:hAnsi="Arial Narrow" w:cs="Arial"/>
                <w:b/>
                <w:color w:val="2C9ADC"/>
                <w:sz w:val="20"/>
                <w:szCs w:val="18"/>
              </w:rPr>
              <w:t>(</w:t>
            </w:r>
            <w:r w:rsidR="002457C0">
              <w:rPr>
                <w:rFonts w:ascii="Arial Narrow" w:hAnsi="Arial Narrow" w:cs="Arial"/>
                <w:b/>
                <w:color w:val="2C9ADC"/>
                <w:sz w:val="20"/>
                <w:szCs w:val="18"/>
              </w:rPr>
              <w:t>medzimesačné zmeny v %</w:t>
            </w:r>
            <w:r w:rsidR="00B30ED7">
              <w:rPr>
                <w:rFonts w:ascii="Arial Narrow" w:hAnsi="Arial Narrow" w:cs="Arial"/>
                <w:b/>
                <w:color w:val="2C9ADC"/>
                <w:sz w:val="20"/>
                <w:szCs w:val="18"/>
              </w:rPr>
              <w:t>)</w:t>
            </w:r>
          </w:p>
        </w:tc>
        <w:tc>
          <w:tcPr>
            <w:tcW w:w="92" w:type="pct"/>
            <w:tcBorders>
              <w:top w:val="nil"/>
              <w:left w:val="nil"/>
              <w:bottom w:val="nil"/>
              <w:right w:val="nil"/>
            </w:tcBorders>
            <w:shd w:val="clear" w:color="auto" w:fill="auto"/>
            <w:vAlign w:val="center"/>
          </w:tcPr>
          <w:p w14:paraId="3A54A20E" w14:textId="77777777" w:rsidR="0090104E" w:rsidRPr="00866785" w:rsidRDefault="0090104E" w:rsidP="00947BF3">
            <w:pPr>
              <w:spacing w:after="120"/>
              <w:rPr>
                <w:rFonts w:ascii="Arial Narrow" w:hAnsi="Arial Narrow" w:cs="Arial"/>
                <w:b/>
                <w:color w:val="2C9ADC"/>
                <w:sz w:val="20"/>
                <w:szCs w:val="18"/>
              </w:rPr>
            </w:pPr>
          </w:p>
        </w:tc>
      </w:tr>
      <w:tr w:rsidR="0090104E" w:rsidRPr="00866785" w14:paraId="3C0F7590" w14:textId="77777777" w:rsidTr="008474D8">
        <w:trPr>
          <w:trHeight w:val="820"/>
        </w:trPr>
        <w:tc>
          <w:tcPr>
            <w:tcW w:w="4908" w:type="pct"/>
            <w:tcBorders>
              <w:top w:val="single" w:sz="4" w:space="0" w:color="auto"/>
              <w:left w:val="nil"/>
              <w:bottom w:val="single" w:sz="4" w:space="0" w:color="auto"/>
              <w:right w:val="nil"/>
            </w:tcBorders>
            <w:vAlign w:val="center"/>
          </w:tcPr>
          <w:p w14:paraId="4EC26452" w14:textId="543AB47D" w:rsidR="0090104E" w:rsidRPr="00866785" w:rsidRDefault="008474D8" w:rsidP="00947BF3">
            <w:pPr>
              <w:spacing w:after="120"/>
              <w:jc w:val="center"/>
              <w:rPr>
                <w:rFonts w:ascii="Arial Narrow" w:hAnsi="Arial Narrow" w:cs="Arial"/>
                <w:b/>
                <w:sz w:val="20"/>
                <w:szCs w:val="20"/>
              </w:rPr>
            </w:pPr>
            <w:r>
              <w:rPr>
                <w:noProof/>
              </w:rPr>
              <w:drawing>
                <wp:inline distT="0" distB="0" distL="0" distR="0" wp14:anchorId="6B2B14F8" wp14:editId="7AC63915">
                  <wp:extent cx="5564505" cy="3796030"/>
                  <wp:effectExtent l="0" t="0" r="0" b="0"/>
                  <wp:docPr id="1791926043" name="Graf 1">
                    <a:extLst xmlns:a="http://schemas.openxmlformats.org/drawingml/2006/main">
                      <a:ext uri="{FF2B5EF4-FFF2-40B4-BE49-F238E27FC236}">
                        <a16:creationId xmlns:a16="http://schemas.microsoft.com/office/drawing/2014/main" id="{CAE1028B-1F56-7497-C53A-26EA2D15E06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tc>
        <w:tc>
          <w:tcPr>
            <w:tcW w:w="92" w:type="pct"/>
            <w:tcBorders>
              <w:top w:val="nil"/>
              <w:left w:val="nil"/>
              <w:bottom w:val="nil"/>
              <w:right w:val="nil"/>
            </w:tcBorders>
            <w:vAlign w:val="center"/>
          </w:tcPr>
          <w:p w14:paraId="128F7097" w14:textId="77777777" w:rsidR="0090104E" w:rsidRPr="00866785" w:rsidRDefault="0090104E" w:rsidP="00947BF3">
            <w:pPr>
              <w:spacing w:after="120"/>
              <w:jc w:val="center"/>
              <w:rPr>
                <w:rFonts w:ascii="Arial Narrow" w:hAnsi="Arial Narrow" w:cs="Arial"/>
                <w:b/>
                <w:sz w:val="20"/>
                <w:szCs w:val="20"/>
              </w:rPr>
            </w:pPr>
          </w:p>
          <w:p w14:paraId="23DEF952" w14:textId="77777777" w:rsidR="0090104E" w:rsidRPr="00866785" w:rsidRDefault="0090104E" w:rsidP="00947BF3">
            <w:pPr>
              <w:spacing w:after="120"/>
              <w:jc w:val="center"/>
              <w:rPr>
                <w:rFonts w:ascii="Arial Narrow" w:hAnsi="Arial Narrow" w:cs="Arial"/>
                <w:b/>
                <w:sz w:val="20"/>
                <w:szCs w:val="20"/>
              </w:rPr>
            </w:pPr>
          </w:p>
        </w:tc>
      </w:tr>
      <w:tr w:rsidR="0090104E" w:rsidRPr="00866785" w14:paraId="02E95FDB" w14:textId="77777777" w:rsidTr="007272E5">
        <w:trPr>
          <w:trHeight w:val="104"/>
        </w:trPr>
        <w:tc>
          <w:tcPr>
            <w:tcW w:w="4908" w:type="pct"/>
            <w:tcBorders>
              <w:top w:val="single" w:sz="4" w:space="0" w:color="auto"/>
              <w:left w:val="nil"/>
              <w:bottom w:val="nil"/>
              <w:right w:val="nil"/>
            </w:tcBorders>
            <w:vAlign w:val="center"/>
          </w:tcPr>
          <w:p w14:paraId="758157EB" w14:textId="77777777" w:rsidR="0090104E" w:rsidRDefault="0090104E" w:rsidP="00947BF3">
            <w:pPr>
              <w:spacing w:after="120"/>
              <w:jc w:val="right"/>
              <w:rPr>
                <w:rFonts w:ascii="Arial Narrow" w:hAnsi="Arial Narrow" w:cs="Arial"/>
                <w:i/>
                <w:sz w:val="16"/>
                <w:szCs w:val="16"/>
              </w:rPr>
            </w:pPr>
            <w:r w:rsidRPr="00866785">
              <w:rPr>
                <w:rFonts w:ascii="Arial Narrow" w:hAnsi="Arial Narrow" w:cs="Arial"/>
                <w:i/>
                <w:sz w:val="16"/>
                <w:szCs w:val="16"/>
              </w:rPr>
              <w:t>Zdroj:</w:t>
            </w:r>
            <w:r>
              <w:rPr>
                <w:rFonts w:ascii="Arial Narrow" w:hAnsi="Arial Narrow" w:cs="Arial"/>
                <w:i/>
                <w:sz w:val="16"/>
                <w:szCs w:val="16"/>
              </w:rPr>
              <w:t xml:space="preserve"> MF SR, ŠÚ SR</w:t>
            </w:r>
          </w:p>
          <w:p w14:paraId="381DE6AF" w14:textId="77777777" w:rsidR="00947BF3" w:rsidRPr="00866785" w:rsidRDefault="00947BF3" w:rsidP="00947BF3">
            <w:pPr>
              <w:jc w:val="right"/>
              <w:rPr>
                <w:rFonts w:ascii="Arial Narrow" w:hAnsi="Arial Narrow" w:cs="Arial"/>
                <w:i/>
                <w:sz w:val="16"/>
                <w:szCs w:val="16"/>
              </w:rPr>
            </w:pPr>
          </w:p>
        </w:tc>
        <w:tc>
          <w:tcPr>
            <w:tcW w:w="92" w:type="pct"/>
            <w:tcBorders>
              <w:top w:val="nil"/>
              <w:left w:val="nil"/>
              <w:bottom w:val="nil"/>
              <w:right w:val="nil"/>
            </w:tcBorders>
            <w:vAlign w:val="center"/>
          </w:tcPr>
          <w:p w14:paraId="6E27AB73" w14:textId="77777777" w:rsidR="0090104E" w:rsidRPr="00866785" w:rsidRDefault="0090104E" w:rsidP="00947BF3">
            <w:pPr>
              <w:spacing w:after="120"/>
              <w:jc w:val="center"/>
              <w:rPr>
                <w:rFonts w:ascii="Arial Narrow" w:hAnsi="Arial Narrow" w:cs="Arial"/>
                <w:i/>
                <w:sz w:val="16"/>
                <w:szCs w:val="16"/>
              </w:rPr>
            </w:pPr>
          </w:p>
        </w:tc>
      </w:tr>
    </w:tbl>
    <w:p w14:paraId="1846F504" w14:textId="3BC010F8" w:rsidR="00E973D1" w:rsidRPr="00947BF3" w:rsidRDefault="00E973D1" w:rsidP="00947BF3">
      <w:pPr>
        <w:spacing w:after="160"/>
        <w:jc w:val="both"/>
        <w:rPr>
          <w:rFonts w:ascii="Arial Narrow" w:hAnsi="Arial Narrow"/>
          <w:sz w:val="24"/>
          <w:szCs w:val="24"/>
        </w:rPr>
      </w:pPr>
      <w:r w:rsidRPr="00947BF3">
        <w:rPr>
          <w:rFonts w:ascii="Arial Narrow" w:hAnsi="Arial Narrow"/>
          <w:b/>
          <w:bCs/>
          <w:sz w:val="24"/>
          <w:szCs w:val="24"/>
        </w:rPr>
        <w:t>Tempo rastu cien v oblasti bývania, energií a komunálnych služieb</w:t>
      </w:r>
      <w:r w:rsidRPr="00947BF3">
        <w:rPr>
          <w:rFonts w:ascii="Arial Narrow" w:hAnsi="Arial Narrow"/>
          <w:sz w:val="24"/>
          <w:szCs w:val="24"/>
        </w:rPr>
        <w:t xml:space="preserve"> bolo počas roka 2024 celkovo veľmi mierne, s minimálnymi medzimesačnými zmenami a bez výrazných cenových šokov. V kategórii bývanie, voda, elektrina, plyn a iné palivá kolísalo tempo rastu cien od –0,1</w:t>
      </w:r>
      <w:r w:rsidRPr="00947BF3">
        <w:rPr>
          <w:rFonts w:ascii="Arial" w:hAnsi="Arial" w:cs="Arial"/>
          <w:sz w:val="24"/>
          <w:szCs w:val="24"/>
        </w:rPr>
        <w:t> </w:t>
      </w:r>
      <w:r w:rsidRPr="00947BF3">
        <w:rPr>
          <w:rFonts w:ascii="Arial Narrow" w:hAnsi="Arial Narrow"/>
          <w:sz w:val="24"/>
          <w:szCs w:val="24"/>
        </w:rPr>
        <w:t xml:space="preserve">% </w:t>
      </w:r>
      <w:r w:rsidR="00D40D23">
        <w:rPr>
          <w:rFonts w:ascii="Arial Narrow" w:hAnsi="Arial Narrow"/>
          <w:sz w:val="24"/>
          <w:szCs w:val="24"/>
        </w:rPr>
        <w:t>d</w:t>
      </w:r>
      <w:r w:rsidRPr="00947BF3">
        <w:rPr>
          <w:rFonts w:ascii="Arial Narrow" w:hAnsi="Arial Narrow"/>
          <w:sz w:val="24"/>
          <w:szCs w:val="24"/>
        </w:rPr>
        <w:t>o +0,5</w:t>
      </w:r>
      <w:r w:rsidRPr="00947BF3">
        <w:rPr>
          <w:rFonts w:ascii="Arial" w:hAnsi="Arial" w:cs="Arial"/>
          <w:sz w:val="24"/>
          <w:szCs w:val="24"/>
        </w:rPr>
        <w:t> </w:t>
      </w:r>
      <w:r w:rsidRPr="00947BF3">
        <w:rPr>
          <w:rFonts w:ascii="Arial Narrow" w:hAnsi="Arial Narrow"/>
          <w:sz w:val="24"/>
          <w:szCs w:val="24"/>
        </w:rPr>
        <w:t>%, pričom najvýraznejšie zrýchlenie nastalo v marci (+0,5</w:t>
      </w:r>
      <w:r w:rsidRPr="00947BF3">
        <w:rPr>
          <w:rFonts w:ascii="Arial" w:hAnsi="Arial" w:cs="Arial"/>
          <w:sz w:val="24"/>
          <w:szCs w:val="24"/>
        </w:rPr>
        <w:t> </w:t>
      </w:r>
      <w:r w:rsidRPr="00947BF3">
        <w:rPr>
          <w:rFonts w:ascii="Arial Narrow" w:hAnsi="Arial Narrow"/>
          <w:sz w:val="24"/>
          <w:szCs w:val="24"/>
        </w:rPr>
        <w:t>%) a septembri (+0,3</w:t>
      </w:r>
      <w:r w:rsidRPr="00947BF3">
        <w:rPr>
          <w:rFonts w:ascii="Arial" w:hAnsi="Arial" w:cs="Arial"/>
          <w:sz w:val="24"/>
          <w:szCs w:val="24"/>
        </w:rPr>
        <w:t> </w:t>
      </w:r>
      <w:r w:rsidRPr="00947BF3">
        <w:rPr>
          <w:rFonts w:ascii="Arial Narrow" w:hAnsi="Arial Narrow"/>
          <w:sz w:val="24"/>
          <w:szCs w:val="24"/>
        </w:rPr>
        <w:t>%). Vývoj bol do značnej miery ovplyvnený stabilnými cenami energií a miernym kolísaním nájomného a služieb spojených s bývaním.</w:t>
      </w:r>
    </w:p>
    <w:p w14:paraId="75326B86" w14:textId="77777777" w:rsidR="00E973D1" w:rsidRPr="00947BF3" w:rsidRDefault="00E973D1" w:rsidP="00947BF3">
      <w:pPr>
        <w:spacing w:after="160"/>
        <w:jc w:val="both"/>
        <w:rPr>
          <w:rFonts w:ascii="Arial Narrow" w:hAnsi="Arial Narrow"/>
          <w:sz w:val="24"/>
          <w:szCs w:val="24"/>
        </w:rPr>
      </w:pPr>
      <w:r w:rsidRPr="00947BF3">
        <w:rPr>
          <w:rFonts w:ascii="Arial Narrow" w:hAnsi="Arial Narrow"/>
          <w:sz w:val="24"/>
          <w:szCs w:val="24"/>
        </w:rPr>
        <w:t>Tempo rastu cien skutočného nájomného sa najviac zrýchlilo v apríli (+2,0</w:t>
      </w:r>
      <w:r w:rsidRPr="00947BF3">
        <w:rPr>
          <w:rFonts w:ascii="Arial" w:hAnsi="Arial" w:cs="Arial"/>
          <w:sz w:val="24"/>
          <w:szCs w:val="24"/>
        </w:rPr>
        <w:t> </w:t>
      </w:r>
      <w:r w:rsidRPr="00947BF3">
        <w:rPr>
          <w:rFonts w:ascii="Arial Narrow" w:hAnsi="Arial Narrow"/>
          <w:sz w:val="24"/>
          <w:szCs w:val="24"/>
        </w:rPr>
        <w:t>%) a septembri (+2,6</w:t>
      </w:r>
      <w:r w:rsidRPr="00947BF3">
        <w:rPr>
          <w:rFonts w:ascii="Arial" w:hAnsi="Arial" w:cs="Arial"/>
          <w:sz w:val="24"/>
          <w:szCs w:val="24"/>
        </w:rPr>
        <w:t> </w:t>
      </w:r>
      <w:r w:rsidRPr="00947BF3">
        <w:rPr>
          <w:rFonts w:ascii="Arial Narrow" w:hAnsi="Arial Narrow"/>
          <w:sz w:val="24"/>
          <w:szCs w:val="24"/>
        </w:rPr>
        <w:t>%), čo zrejme súvisí so sezónnosťou na trhu nájomného bývania. Ostatné mesiace sa vyznačovali len miernymi zmenami, pričom v máji, októbri, novembri a decembri sa tempo vývoja nájomného dočasne spomalilo až do záporných hodnôt. Imputované nájomné, ktoré odhaduje náklady na bývanie pre vlastníkov, vykazovalo veľmi stabilné tempo rastu, väčšinou blízke nule alebo mierne záporné.</w:t>
      </w:r>
    </w:p>
    <w:p w14:paraId="2A53E20D" w14:textId="77777777" w:rsidR="00E973D1" w:rsidRPr="00947BF3" w:rsidRDefault="00E973D1" w:rsidP="00947BF3">
      <w:pPr>
        <w:spacing w:after="160"/>
        <w:jc w:val="both"/>
        <w:rPr>
          <w:rFonts w:ascii="Arial Narrow" w:hAnsi="Arial Narrow"/>
          <w:sz w:val="24"/>
          <w:szCs w:val="24"/>
        </w:rPr>
      </w:pPr>
      <w:r w:rsidRPr="00947BF3">
        <w:rPr>
          <w:rFonts w:ascii="Arial Narrow" w:hAnsi="Arial Narrow"/>
          <w:sz w:val="24"/>
          <w:szCs w:val="24"/>
        </w:rPr>
        <w:t>Položky spojené s údržbou a opravami obydlia (materiály a služby) rástli len mierne, prevažne v rozsahu ±0,5</w:t>
      </w:r>
      <w:r w:rsidRPr="00947BF3">
        <w:rPr>
          <w:rFonts w:ascii="Arial" w:hAnsi="Arial" w:cs="Arial"/>
          <w:sz w:val="24"/>
          <w:szCs w:val="24"/>
        </w:rPr>
        <w:t> </w:t>
      </w:r>
      <w:r w:rsidRPr="00947BF3">
        <w:rPr>
          <w:rFonts w:ascii="Arial Narrow" w:hAnsi="Arial Narrow"/>
          <w:sz w:val="24"/>
          <w:szCs w:val="24"/>
        </w:rPr>
        <w:t>% mesačne, bez výraznejších výkyvov. Služby na údržbu obydlí boli o niečo dynamickejšie ako materiály, najmä v marci a septembri. Tempo rastu cien v oblasti dodávky vody a služieb týkajúcich sa obydlia bolo nerovnomerné – k výraznému zrýchleniu došlo v januári (+2,2</w:t>
      </w:r>
      <w:r w:rsidRPr="00947BF3">
        <w:rPr>
          <w:rFonts w:ascii="Arial" w:hAnsi="Arial" w:cs="Arial"/>
          <w:sz w:val="24"/>
          <w:szCs w:val="24"/>
        </w:rPr>
        <w:t> </w:t>
      </w:r>
      <w:r w:rsidRPr="00947BF3">
        <w:rPr>
          <w:rFonts w:ascii="Arial Narrow" w:hAnsi="Arial Narrow"/>
          <w:sz w:val="24"/>
          <w:szCs w:val="24"/>
        </w:rPr>
        <w:t>%) a októbri (+1,4</w:t>
      </w:r>
      <w:r w:rsidRPr="00947BF3">
        <w:rPr>
          <w:rFonts w:ascii="Arial" w:hAnsi="Arial" w:cs="Arial"/>
          <w:sz w:val="24"/>
          <w:szCs w:val="24"/>
        </w:rPr>
        <w:t> </w:t>
      </w:r>
      <w:r w:rsidRPr="00947BF3">
        <w:rPr>
          <w:rFonts w:ascii="Arial Narrow" w:hAnsi="Arial Narrow"/>
          <w:sz w:val="24"/>
          <w:szCs w:val="24"/>
        </w:rPr>
        <w:t>%), najmä v dôsledku skokového zvýšenia cien zberu smetí a odpadových vôd, ktoré sú obvykle upravované raz ročne.</w:t>
      </w:r>
    </w:p>
    <w:p w14:paraId="6F13D5A0" w14:textId="2AB66D8D" w:rsidR="00E973D1" w:rsidRPr="00947BF3" w:rsidRDefault="00E973D1" w:rsidP="00947BF3">
      <w:pPr>
        <w:spacing w:after="160"/>
        <w:jc w:val="both"/>
        <w:rPr>
          <w:rFonts w:ascii="Arial Narrow" w:hAnsi="Arial Narrow"/>
          <w:sz w:val="24"/>
          <w:szCs w:val="24"/>
        </w:rPr>
      </w:pPr>
      <w:r w:rsidRPr="00947BF3">
        <w:rPr>
          <w:rFonts w:ascii="Arial Narrow" w:hAnsi="Arial Narrow"/>
          <w:sz w:val="24"/>
          <w:szCs w:val="24"/>
        </w:rPr>
        <w:t xml:space="preserve">V segmente elektriny, plynu a palív zostávalo tempo rastu cien počas roka takmer nulové. Ceny elektriny sa nemenili, tempo vývoja cien plynu sa pohybovalo blízko nuly s miernym poklesom v prvom polroku, kým ceny tepelnej energie sa po decembrovom prepade v roku 2023 </w:t>
      </w:r>
      <w:r w:rsidR="00D40D23">
        <w:rPr>
          <w:rFonts w:ascii="Arial Narrow" w:hAnsi="Arial Narrow"/>
          <w:sz w:val="24"/>
          <w:szCs w:val="24"/>
        </w:rPr>
        <w:t xml:space="preserve">sa </w:t>
      </w:r>
      <w:r w:rsidRPr="00947BF3">
        <w:rPr>
          <w:rFonts w:ascii="Arial Narrow" w:hAnsi="Arial Narrow"/>
          <w:sz w:val="24"/>
          <w:szCs w:val="24"/>
        </w:rPr>
        <w:t>v roku 2024 stabilizovali. Výnimkou bol mierny nárast cien tepla v decembri (+1,8</w:t>
      </w:r>
      <w:r w:rsidRPr="00947BF3">
        <w:rPr>
          <w:rFonts w:ascii="Arial" w:hAnsi="Arial" w:cs="Arial"/>
          <w:sz w:val="24"/>
          <w:szCs w:val="24"/>
        </w:rPr>
        <w:t> </w:t>
      </w:r>
      <w:r w:rsidRPr="00947BF3">
        <w:rPr>
          <w:rFonts w:ascii="Arial Narrow" w:hAnsi="Arial Narrow"/>
          <w:sz w:val="24"/>
          <w:szCs w:val="24"/>
        </w:rPr>
        <w:t>%).</w:t>
      </w:r>
    </w:p>
    <w:p w14:paraId="6C05882C" w14:textId="2EE6A0BF" w:rsidR="003B390D" w:rsidRDefault="00E973D1" w:rsidP="00947BF3">
      <w:pPr>
        <w:spacing w:after="160"/>
        <w:jc w:val="both"/>
        <w:rPr>
          <w:rFonts w:ascii="Arial Narrow" w:hAnsi="Arial Narrow"/>
          <w:sz w:val="24"/>
          <w:szCs w:val="24"/>
        </w:rPr>
      </w:pPr>
      <w:r w:rsidRPr="00947BF3">
        <w:rPr>
          <w:rFonts w:ascii="Arial Narrow" w:hAnsi="Arial Narrow"/>
          <w:sz w:val="24"/>
          <w:szCs w:val="24"/>
        </w:rPr>
        <w:t>Celkovo možno konštatovať, že tempo rastu cien v oblasti bývania bolo v roku 2024 utlmené, bez zásadných šokov. Najväčší vplyv na medzimesačné zmeny mali sezónne úpravy nájomného a</w:t>
      </w:r>
      <w:r w:rsidR="00947BF3">
        <w:rPr>
          <w:rFonts w:ascii="Arial Narrow" w:hAnsi="Arial Narrow"/>
          <w:sz w:val="24"/>
          <w:szCs w:val="24"/>
        </w:rPr>
        <w:t> </w:t>
      </w:r>
      <w:r w:rsidRPr="00947BF3">
        <w:rPr>
          <w:rFonts w:ascii="Arial Narrow" w:hAnsi="Arial Narrow"/>
          <w:sz w:val="24"/>
          <w:szCs w:val="24"/>
        </w:rPr>
        <w:t>regulované ceny komunálnych služieb, zatiaľ čo ceny energií zostali prakticky nemenné.</w:t>
      </w:r>
    </w:p>
    <w:p w14:paraId="4757282C" w14:textId="77777777" w:rsidR="000B528D" w:rsidRPr="00947BF3" w:rsidRDefault="000B528D" w:rsidP="00947BF3">
      <w:pPr>
        <w:spacing w:after="160"/>
        <w:jc w:val="both"/>
        <w:rPr>
          <w:rFonts w:ascii="Arial Narrow" w:hAnsi="Arial Narrow"/>
          <w:sz w:val="24"/>
          <w:szCs w:val="24"/>
        </w:rPr>
      </w:pPr>
    </w:p>
    <w:tbl>
      <w:tblPr>
        <w:tblW w:w="5000"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1E0" w:firstRow="1" w:lastRow="1" w:firstColumn="1" w:lastColumn="1" w:noHBand="0" w:noVBand="0"/>
      </w:tblPr>
      <w:tblGrid>
        <w:gridCol w:w="8903"/>
        <w:gridCol w:w="167"/>
      </w:tblGrid>
      <w:tr w:rsidR="00C82ED4" w:rsidRPr="00866785" w14:paraId="7F02C6F5" w14:textId="77777777" w:rsidTr="007272E5">
        <w:trPr>
          <w:trHeight w:val="321"/>
        </w:trPr>
        <w:tc>
          <w:tcPr>
            <w:tcW w:w="4908" w:type="pct"/>
            <w:tcBorders>
              <w:top w:val="nil"/>
              <w:left w:val="nil"/>
              <w:bottom w:val="single" w:sz="4" w:space="0" w:color="auto"/>
              <w:right w:val="nil"/>
            </w:tcBorders>
            <w:shd w:val="clear" w:color="auto" w:fill="auto"/>
            <w:vAlign w:val="center"/>
          </w:tcPr>
          <w:p w14:paraId="5CCCC496" w14:textId="4C5724D8" w:rsidR="00C82ED4" w:rsidRPr="00866785" w:rsidRDefault="00C82ED4" w:rsidP="00947BF3">
            <w:pPr>
              <w:spacing w:after="120"/>
              <w:rPr>
                <w:rFonts w:ascii="Arial Narrow" w:hAnsi="Arial Narrow" w:cs="Arial"/>
                <w:b/>
                <w:color w:val="2C9ADC"/>
                <w:sz w:val="20"/>
                <w:szCs w:val="18"/>
              </w:rPr>
            </w:pPr>
            <w:r>
              <w:rPr>
                <w:rFonts w:ascii="Arial Narrow" w:hAnsi="Arial Narrow" w:cs="Arial"/>
                <w:b/>
                <w:color w:val="2C9ADC"/>
                <w:sz w:val="20"/>
                <w:szCs w:val="18"/>
              </w:rPr>
              <w:t xml:space="preserve">Tempo rastu cenového vývoja v segmente nábytku, bytového zariadenia a bežnej údržby domácnosti </w:t>
            </w:r>
            <w:r>
              <w:rPr>
                <w:rFonts w:ascii="Arial Narrow" w:hAnsi="Arial Narrow" w:cs="Arial"/>
                <w:b/>
                <w:color w:val="2C9ADC"/>
                <w:sz w:val="20"/>
                <w:szCs w:val="18"/>
              </w:rPr>
              <w:br/>
              <w:t>za rok 2024</w:t>
            </w:r>
            <w:r w:rsidR="00817EF9">
              <w:rPr>
                <w:rFonts w:ascii="Arial Narrow" w:hAnsi="Arial Narrow" w:cs="Arial"/>
                <w:b/>
                <w:color w:val="2C9ADC"/>
                <w:sz w:val="20"/>
                <w:szCs w:val="18"/>
              </w:rPr>
              <w:t xml:space="preserve"> (medzimesačné zmeny v %)</w:t>
            </w:r>
          </w:p>
        </w:tc>
        <w:tc>
          <w:tcPr>
            <w:tcW w:w="92" w:type="pct"/>
            <w:tcBorders>
              <w:top w:val="nil"/>
              <w:left w:val="nil"/>
              <w:bottom w:val="nil"/>
              <w:right w:val="nil"/>
            </w:tcBorders>
            <w:shd w:val="clear" w:color="auto" w:fill="auto"/>
            <w:vAlign w:val="center"/>
          </w:tcPr>
          <w:p w14:paraId="369EA3E8" w14:textId="77777777" w:rsidR="00C82ED4" w:rsidRPr="00866785" w:rsidRDefault="00C82ED4" w:rsidP="00947BF3">
            <w:pPr>
              <w:spacing w:after="120"/>
              <w:rPr>
                <w:rFonts w:ascii="Arial Narrow" w:hAnsi="Arial Narrow" w:cs="Arial"/>
                <w:b/>
                <w:color w:val="2C9ADC"/>
                <w:sz w:val="20"/>
                <w:szCs w:val="18"/>
              </w:rPr>
            </w:pPr>
          </w:p>
        </w:tc>
      </w:tr>
      <w:tr w:rsidR="00C82ED4" w:rsidRPr="00866785" w14:paraId="1A4B2F29" w14:textId="77777777" w:rsidTr="00763696">
        <w:trPr>
          <w:trHeight w:val="820"/>
        </w:trPr>
        <w:tc>
          <w:tcPr>
            <w:tcW w:w="4908" w:type="pct"/>
            <w:tcBorders>
              <w:top w:val="single" w:sz="4" w:space="0" w:color="auto"/>
              <w:left w:val="nil"/>
              <w:bottom w:val="single" w:sz="4" w:space="0" w:color="auto"/>
              <w:right w:val="nil"/>
            </w:tcBorders>
            <w:vAlign w:val="center"/>
          </w:tcPr>
          <w:p w14:paraId="28979061" w14:textId="53E0A6D6" w:rsidR="00C82ED4" w:rsidRPr="00866785" w:rsidRDefault="00763696" w:rsidP="00947BF3">
            <w:pPr>
              <w:spacing w:after="120"/>
              <w:jc w:val="center"/>
              <w:rPr>
                <w:rFonts w:ascii="Arial Narrow" w:hAnsi="Arial Narrow" w:cs="Arial"/>
                <w:b/>
                <w:sz w:val="20"/>
                <w:szCs w:val="20"/>
              </w:rPr>
            </w:pPr>
            <w:r>
              <w:rPr>
                <w:noProof/>
              </w:rPr>
              <w:drawing>
                <wp:inline distT="0" distB="0" distL="0" distR="0" wp14:anchorId="6C6D4CC3" wp14:editId="3B7F818E">
                  <wp:extent cx="5564505" cy="3338830"/>
                  <wp:effectExtent l="0" t="0" r="17145" b="13970"/>
                  <wp:docPr id="756049571" name="Graf 1">
                    <a:extLst xmlns:a="http://schemas.openxmlformats.org/drawingml/2006/main">
                      <a:ext uri="{FF2B5EF4-FFF2-40B4-BE49-F238E27FC236}">
                        <a16:creationId xmlns:a16="http://schemas.microsoft.com/office/drawing/2014/main" id="{DB781429-B84F-A73A-5080-4C470645CD9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tc>
        <w:tc>
          <w:tcPr>
            <w:tcW w:w="92" w:type="pct"/>
            <w:tcBorders>
              <w:top w:val="nil"/>
              <w:left w:val="nil"/>
              <w:bottom w:val="nil"/>
              <w:right w:val="nil"/>
            </w:tcBorders>
            <w:vAlign w:val="center"/>
          </w:tcPr>
          <w:p w14:paraId="598A97F4" w14:textId="77777777" w:rsidR="00C82ED4" w:rsidRPr="00866785" w:rsidRDefault="00C82ED4" w:rsidP="00947BF3">
            <w:pPr>
              <w:spacing w:after="120"/>
              <w:jc w:val="center"/>
              <w:rPr>
                <w:rFonts w:ascii="Arial Narrow" w:hAnsi="Arial Narrow" w:cs="Arial"/>
                <w:b/>
                <w:sz w:val="20"/>
                <w:szCs w:val="20"/>
              </w:rPr>
            </w:pPr>
          </w:p>
          <w:p w14:paraId="34F446C1" w14:textId="77777777" w:rsidR="00C82ED4" w:rsidRPr="00866785" w:rsidRDefault="00C82ED4" w:rsidP="00947BF3">
            <w:pPr>
              <w:spacing w:after="120"/>
              <w:jc w:val="center"/>
              <w:rPr>
                <w:rFonts w:ascii="Arial Narrow" w:hAnsi="Arial Narrow" w:cs="Arial"/>
                <w:b/>
                <w:sz w:val="20"/>
                <w:szCs w:val="20"/>
              </w:rPr>
            </w:pPr>
          </w:p>
        </w:tc>
      </w:tr>
      <w:tr w:rsidR="00C82ED4" w:rsidRPr="00866785" w14:paraId="0943D264" w14:textId="77777777" w:rsidTr="007272E5">
        <w:trPr>
          <w:trHeight w:val="104"/>
        </w:trPr>
        <w:tc>
          <w:tcPr>
            <w:tcW w:w="4908" w:type="pct"/>
            <w:tcBorders>
              <w:top w:val="single" w:sz="4" w:space="0" w:color="auto"/>
              <w:left w:val="nil"/>
              <w:bottom w:val="nil"/>
              <w:right w:val="nil"/>
            </w:tcBorders>
            <w:vAlign w:val="center"/>
          </w:tcPr>
          <w:p w14:paraId="142B6777" w14:textId="77777777" w:rsidR="00C82ED4" w:rsidRDefault="00C82ED4" w:rsidP="00947BF3">
            <w:pPr>
              <w:spacing w:after="120"/>
              <w:jc w:val="right"/>
              <w:rPr>
                <w:rFonts w:ascii="Arial Narrow" w:hAnsi="Arial Narrow" w:cs="Arial"/>
                <w:i/>
                <w:sz w:val="16"/>
                <w:szCs w:val="16"/>
              </w:rPr>
            </w:pPr>
            <w:r w:rsidRPr="00866785">
              <w:rPr>
                <w:rFonts w:ascii="Arial Narrow" w:hAnsi="Arial Narrow" w:cs="Arial"/>
                <w:i/>
                <w:sz w:val="16"/>
                <w:szCs w:val="16"/>
              </w:rPr>
              <w:t>Zdroj:</w:t>
            </w:r>
            <w:r>
              <w:rPr>
                <w:rFonts w:ascii="Arial Narrow" w:hAnsi="Arial Narrow" w:cs="Arial"/>
                <w:i/>
                <w:sz w:val="16"/>
                <w:szCs w:val="16"/>
              </w:rPr>
              <w:t xml:space="preserve"> MF SR, ŠÚ SR</w:t>
            </w:r>
          </w:p>
          <w:p w14:paraId="515CF197" w14:textId="77777777" w:rsidR="00947BF3" w:rsidRPr="00866785" w:rsidRDefault="00947BF3" w:rsidP="00947BF3">
            <w:pPr>
              <w:jc w:val="right"/>
              <w:rPr>
                <w:rFonts w:ascii="Arial Narrow" w:hAnsi="Arial Narrow" w:cs="Arial"/>
                <w:i/>
                <w:sz w:val="16"/>
                <w:szCs w:val="16"/>
              </w:rPr>
            </w:pPr>
          </w:p>
        </w:tc>
        <w:tc>
          <w:tcPr>
            <w:tcW w:w="92" w:type="pct"/>
            <w:tcBorders>
              <w:top w:val="nil"/>
              <w:left w:val="nil"/>
              <w:bottom w:val="nil"/>
              <w:right w:val="nil"/>
            </w:tcBorders>
            <w:vAlign w:val="center"/>
          </w:tcPr>
          <w:p w14:paraId="75AD0272" w14:textId="77777777" w:rsidR="00C82ED4" w:rsidRPr="00866785" w:rsidRDefault="00C82ED4" w:rsidP="00947BF3">
            <w:pPr>
              <w:spacing w:after="120"/>
              <w:jc w:val="center"/>
              <w:rPr>
                <w:rFonts w:ascii="Arial Narrow" w:hAnsi="Arial Narrow" w:cs="Arial"/>
                <w:i/>
                <w:sz w:val="16"/>
                <w:szCs w:val="16"/>
              </w:rPr>
            </w:pPr>
          </w:p>
        </w:tc>
      </w:tr>
    </w:tbl>
    <w:p w14:paraId="6BAE8D32" w14:textId="77777777" w:rsidR="00B6188C" w:rsidRPr="00947BF3" w:rsidRDefault="00B6188C" w:rsidP="00947BF3">
      <w:pPr>
        <w:spacing w:after="160"/>
        <w:jc w:val="both"/>
        <w:rPr>
          <w:rFonts w:ascii="Arial Narrow" w:hAnsi="Arial Narrow"/>
          <w:sz w:val="24"/>
          <w:szCs w:val="24"/>
        </w:rPr>
      </w:pPr>
      <w:r w:rsidRPr="0005277D">
        <w:rPr>
          <w:rFonts w:ascii="Arial Narrow" w:hAnsi="Arial Narrow"/>
          <w:b/>
          <w:bCs/>
          <w:sz w:val="24"/>
          <w:szCs w:val="24"/>
        </w:rPr>
        <w:t>V roku 2024 bol v segmente nábytku</w:t>
      </w:r>
      <w:r w:rsidRPr="00947BF3">
        <w:rPr>
          <w:rFonts w:ascii="Arial Narrow" w:hAnsi="Arial Narrow"/>
          <w:sz w:val="24"/>
          <w:szCs w:val="24"/>
        </w:rPr>
        <w:t>, bytového zariadenia a bežnej údržby domácnosti zaznamenaný prevažne mierny a stabilný vývoj cien. Ceny nábytku a bytového zariadenia kolísali v malých hraniciach, s miernymi nárastmi v úvode roka, napríklad vo februári (+1,0</w:t>
      </w:r>
      <w:r w:rsidRPr="00947BF3">
        <w:rPr>
          <w:rFonts w:ascii="Arial" w:hAnsi="Arial" w:cs="Arial"/>
          <w:sz w:val="24"/>
          <w:szCs w:val="24"/>
        </w:rPr>
        <w:t> </w:t>
      </w:r>
      <w:r w:rsidRPr="00947BF3">
        <w:rPr>
          <w:rFonts w:ascii="Arial Narrow" w:hAnsi="Arial Narrow"/>
          <w:sz w:val="24"/>
          <w:szCs w:val="24"/>
        </w:rPr>
        <w:t>%) a októbri (+0,8</w:t>
      </w:r>
      <w:r w:rsidRPr="00947BF3">
        <w:rPr>
          <w:rFonts w:ascii="Arial" w:hAnsi="Arial" w:cs="Arial"/>
          <w:sz w:val="24"/>
          <w:szCs w:val="24"/>
        </w:rPr>
        <w:t> </w:t>
      </w:r>
      <w:r w:rsidRPr="00947BF3">
        <w:rPr>
          <w:rFonts w:ascii="Arial Narrow" w:hAnsi="Arial Narrow"/>
          <w:sz w:val="24"/>
          <w:szCs w:val="24"/>
        </w:rPr>
        <w:t>%), pričom niektoré letné mesiace priniesli mierne poklesy, ako august (–0,5</w:t>
      </w:r>
      <w:r w:rsidRPr="00947BF3">
        <w:rPr>
          <w:rFonts w:ascii="Arial" w:hAnsi="Arial" w:cs="Arial"/>
          <w:sz w:val="24"/>
          <w:szCs w:val="24"/>
        </w:rPr>
        <w:t> </w:t>
      </w:r>
      <w:r w:rsidRPr="00947BF3">
        <w:rPr>
          <w:rFonts w:ascii="Arial Narrow" w:hAnsi="Arial Narrow"/>
          <w:sz w:val="24"/>
          <w:szCs w:val="24"/>
        </w:rPr>
        <w:t>%).</w:t>
      </w:r>
    </w:p>
    <w:p w14:paraId="226BB86B" w14:textId="77777777" w:rsidR="00B6188C" w:rsidRPr="00947BF3" w:rsidRDefault="00B6188C" w:rsidP="00947BF3">
      <w:pPr>
        <w:spacing w:after="160"/>
        <w:jc w:val="both"/>
        <w:rPr>
          <w:rFonts w:ascii="Arial Narrow" w:hAnsi="Arial Narrow"/>
          <w:sz w:val="24"/>
          <w:szCs w:val="24"/>
        </w:rPr>
      </w:pPr>
      <w:r w:rsidRPr="00947BF3">
        <w:rPr>
          <w:rFonts w:ascii="Arial Narrow" w:hAnsi="Arial Narrow"/>
          <w:sz w:val="24"/>
          <w:szCs w:val="24"/>
        </w:rPr>
        <w:t>Bytové textílie vykazovali väčšiu cenovú volatilitu, pričom v apríli a júli zaznamenali rasty +0,1</w:t>
      </w:r>
      <w:r w:rsidRPr="00947BF3">
        <w:rPr>
          <w:rFonts w:ascii="Arial" w:hAnsi="Arial" w:cs="Arial"/>
          <w:sz w:val="24"/>
          <w:szCs w:val="24"/>
        </w:rPr>
        <w:t> </w:t>
      </w:r>
      <w:r w:rsidRPr="00947BF3">
        <w:rPr>
          <w:rFonts w:ascii="Arial Narrow" w:hAnsi="Arial Narrow"/>
          <w:sz w:val="24"/>
          <w:szCs w:val="24"/>
        </w:rPr>
        <w:t>% a +0,4</w:t>
      </w:r>
      <w:r w:rsidRPr="00947BF3">
        <w:rPr>
          <w:rFonts w:ascii="Arial" w:hAnsi="Arial" w:cs="Arial"/>
          <w:sz w:val="24"/>
          <w:szCs w:val="24"/>
        </w:rPr>
        <w:t> </w:t>
      </w:r>
      <w:r w:rsidRPr="00947BF3">
        <w:rPr>
          <w:rFonts w:ascii="Arial Narrow" w:hAnsi="Arial Narrow"/>
          <w:sz w:val="24"/>
          <w:szCs w:val="24"/>
        </w:rPr>
        <w:t>%, no v auguste došlo k výraznejšiemu poklesu až o –1,0</w:t>
      </w:r>
      <w:r w:rsidRPr="00947BF3">
        <w:rPr>
          <w:rFonts w:ascii="Arial" w:hAnsi="Arial" w:cs="Arial"/>
          <w:sz w:val="24"/>
          <w:szCs w:val="24"/>
        </w:rPr>
        <w:t> </w:t>
      </w:r>
      <w:r w:rsidRPr="00947BF3">
        <w:rPr>
          <w:rFonts w:ascii="Arial Narrow" w:hAnsi="Arial Narrow"/>
          <w:sz w:val="24"/>
          <w:szCs w:val="24"/>
        </w:rPr>
        <w:t>%.</w:t>
      </w:r>
    </w:p>
    <w:p w14:paraId="198EA116" w14:textId="339593FD" w:rsidR="00B6188C" w:rsidRPr="00947BF3" w:rsidRDefault="00B6188C" w:rsidP="00947BF3">
      <w:pPr>
        <w:spacing w:after="160"/>
        <w:jc w:val="both"/>
        <w:rPr>
          <w:rFonts w:ascii="Arial Narrow" w:hAnsi="Arial Narrow"/>
          <w:sz w:val="24"/>
          <w:szCs w:val="24"/>
        </w:rPr>
      </w:pPr>
      <w:r w:rsidRPr="00947BF3">
        <w:rPr>
          <w:rFonts w:ascii="Arial Narrow" w:hAnsi="Arial Narrow"/>
          <w:sz w:val="24"/>
          <w:szCs w:val="24"/>
        </w:rPr>
        <w:t>Domáce spotrebiče, veľké aj malé, sa počas roka pohybovali prevažne v pásme stability, s miernymi výkyvmi. Veľké domáce spotrebiče mali mierne poklesy v jarných mesiacoch, zatiaľ čo malé spotrebiče rástli v októbri (+0,3</w:t>
      </w:r>
      <w:r w:rsidRPr="00947BF3">
        <w:rPr>
          <w:rFonts w:ascii="Arial" w:hAnsi="Arial" w:cs="Arial"/>
          <w:sz w:val="24"/>
          <w:szCs w:val="24"/>
        </w:rPr>
        <w:t> </w:t>
      </w:r>
      <w:r w:rsidRPr="00947BF3">
        <w:rPr>
          <w:rFonts w:ascii="Arial Narrow" w:hAnsi="Arial Narrow"/>
          <w:sz w:val="24"/>
          <w:szCs w:val="24"/>
        </w:rPr>
        <w:t>%) a novembri (+0,6</w:t>
      </w:r>
      <w:r w:rsidRPr="00947BF3">
        <w:rPr>
          <w:rFonts w:ascii="Arial" w:hAnsi="Arial" w:cs="Arial"/>
          <w:sz w:val="24"/>
          <w:szCs w:val="24"/>
        </w:rPr>
        <w:t> </w:t>
      </w:r>
      <w:r w:rsidRPr="00947BF3">
        <w:rPr>
          <w:rFonts w:ascii="Arial Narrow" w:hAnsi="Arial Narrow"/>
          <w:sz w:val="24"/>
          <w:szCs w:val="24"/>
        </w:rPr>
        <w:t>%), pričom august bol naopak slabší so znížením o 0,6</w:t>
      </w:r>
      <w:r w:rsidRPr="00947BF3">
        <w:rPr>
          <w:rFonts w:ascii="Arial" w:hAnsi="Arial" w:cs="Arial"/>
          <w:sz w:val="24"/>
          <w:szCs w:val="24"/>
        </w:rPr>
        <w:t> </w:t>
      </w:r>
      <w:r w:rsidRPr="00947BF3">
        <w:rPr>
          <w:rFonts w:ascii="Arial Narrow" w:hAnsi="Arial Narrow"/>
          <w:sz w:val="24"/>
          <w:szCs w:val="24"/>
        </w:rPr>
        <w:t>%.</w:t>
      </w:r>
    </w:p>
    <w:p w14:paraId="0FC69606" w14:textId="77777777" w:rsidR="00B6188C" w:rsidRPr="00947BF3" w:rsidRDefault="00B6188C" w:rsidP="00947BF3">
      <w:pPr>
        <w:spacing w:after="160"/>
        <w:jc w:val="both"/>
        <w:rPr>
          <w:rFonts w:ascii="Arial Narrow" w:hAnsi="Arial Narrow"/>
          <w:sz w:val="24"/>
          <w:szCs w:val="24"/>
        </w:rPr>
      </w:pPr>
      <w:r w:rsidRPr="00947BF3">
        <w:rPr>
          <w:rFonts w:ascii="Arial Narrow" w:hAnsi="Arial Narrow"/>
          <w:sz w:val="24"/>
          <w:szCs w:val="24"/>
        </w:rPr>
        <w:t>Služby opravy domácich spotrebičov vykazovali mierne výkyvy bez výrazného trendu, pričom koniec roka priniesol malé pozitívne zmeny (+0,5</w:t>
      </w:r>
      <w:r w:rsidRPr="00947BF3">
        <w:rPr>
          <w:rFonts w:ascii="Arial" w:hAnsi="Arial" w:cs="Arial"/>
          <w:sz w:val="24"/>
          <w:szCs w:val="24"/>
        </w:rPr>
        <w:t> </w:t>
      </w:r>
      <w:r w:rsidRPr="00947BF3">
        <w:rPr>
          <w:rFonts w:ascii="Arial Narrow" w:hAnsi="Arial Narrow"/>
          <w:sz w:val="24"/>
          <w:szCs w:val="24"/>
        </w:rPr>
        <w:t>% v decembri).</w:t>
      </w:r>
    </w:p>
    <w:p w14:paraId="50760D2A" w14:textId="77777777" w:rsidR="00B6188C" w:rsidRPr="00947BF3" w:rsidRDefault="00B6188C" w:rsidP="00947BF3">
      <w:pPr>
        <w:spacing w:after="160"/>
        <w:jc w:val="both"/>
        <w:rPr>
          <w:rFonts w:ascii="Arial Narrow" w:hAnsi="Arial Narrow"/>
          <w:sz w:val="24"/>
          <w:szCs w:val="24"/>
        </w:rPr>
      </w:pPr>
      <w:r w:rsidRPr="00947BF3">
        <w:rPr>
          <w:rFonts w:ascii="Arial Narrow" w:hAnsi="Arial Narrow"/>
          <w:sz w:val="24"/>
          <w:szCs w:val="24"/>
        </w:rPr>
        <w:t>Vývoj cien výrobkov zo skla, stolného riadu a potrieb pre domácnosť bol stabilný s minimálnymi zmenami.</w:t>
      </w:r>
    </w:p>
    <w:p w14:paraId="5BE3EBCF" w14:textId="77777777" w:rsidR="00B6188C" w:rsidRPr="00947BF3" w:rsidRDefault="00B6188C" w:rsidP="00947BF3">
      <w:pPr>
        <w:spacing w:after="160"/>
        <w:jc w:val="both"/>
        <w:rPr>
          <w:rFonts w:ascii="Arial Narrow" w:hAnsi="Arial Narrow"/>
          <w:sz w:val="24"/>
          <w:szCs w:val="24"/>
        </w:rPr>
      </w:pPr>
      <w:r w:rsidRPr="00947BF3">
        <w:rPr>
          <w:rFonts w:ascii="Arial Narrow" w:hAnsi="Arial Narrow"/>
          <w:sz w:val="24"/>
          <w:szCs w:val="24"/>
        </w:rPr>
        <w:t>Nástroje a náradie pre dom a záhradu zaznamenali mierne výkyvy, s nárastmi v prvých mesiacoch roka a poklesmi v lete, napríklad august –1,2</w:t>
      </w:r>
      <w:r w:rsidRPr="00947BF3">
        <w:rPr>
          <w:rFonts w:ascii="Arial" w:hAnsi="Arial" w:cs="Arial"/>
          <w:sz w:val="24"/>
          <w:szCs w:val="24"/>
        </w:rPr>
        <w:t> </w:t>
      </w:r>
      <w:r w:rsidRPr="00947BF3">
        <w:rPr>
          <w:rFonts w:ascii="Arial Narrow" w:hAnsi="Arial Narrow"/>
          <w:sz w:val="24"/>
          <w:szCs w:val="24"/>
        </w:rPr>
        <w:t>%.</w:t>
      </w:r>
    </w:p>
    <w:p w14:paraId="51DA3F16" w14:textId="77777777" w:rsidR="00B6188C" w:rsidRPr="00947BF3" w:rsidRDefault="00B6188C" w:rsidP="00947BF3">
      <w:pPr>
        <w:spacing w:after="160"/>
        <w:jc w:val="both"/>
        <w:rPr>
          <w:rFonts w:ascii="Arial Narrow" w:hAnsi="Arial Narrow"/>
          <w:sz w:val="24"/>
          <w:szCs w:val="24"/>
        </w:rPr>
      </w:pPr>
      <w:r w:rsidRPr="00947BF3">
        <w:rPr>
          <w:rFonts w:ascii="Arial Narrow" w:hAnsi="Arial Narrow"/>
          <w:sz w:val="24"/>
          <w:szCs w:val="24"/>
        </w:rPr>
        <w:t>Tovary a služby na bežnú údržbu domácnosti sa vyvíjali s miernou dynamikou, s niekoľkými kolísaniami, ale celkovo s miernym rastom v posledných mesiacoch roka.</w:t>
      </w:r>
    </w:p>
    <w:p w14:paraId="4F57EACD" w14:textId="5370F151" w:rsidR="00384B19" w:rsidRDefault="00B6188C" w:rsidP="00947BF3">
      <w:pPr>
        <w:spacing w:after="160"/>
        <w:jc w:val="both"/>
        <w:rPr>
          <w:rFonts w:ascii="Arial Narrow" w:hAnsi="Arial Narrow"/>
          <w:sz w:val="24"/>
          <w:szCs w:val="24"/>
        </w:rPr>
      </w:pPr>
      <w:r w:rsidRPr="00947BF3">
        <w:rPr>
          <w:rFonts w:ascii="Arial Narrow" w:hAnsi="Arial Narrow"/>
          <w:sz w:val="24"/>
          <w:szCs w:val="24"/>
        </w:rPr>
        <w:t>Celkovo bol rok 2024 v tomto segmente charakterizovaný nízkou infláciou, bez výrazných sezónnych výkyvov, pričom ceny nábytku a bytového zariadenia zostali stabilné, zatiaľ čo niektoré kategórie, ako bytové textílie a nástroje, zaznamenali väčšiu volatilitu. Tento vývoj odrážal vyrovnaný dopyt a ponuku v domácnostiach a mierne fluktuácie v nákladoch na výrobu a služby údržby.</w:t>
      </w:r>
    </w:p>
    <w:p w14:paraId="0AEFC330" w14:textId="77777777" w:rsidR="000B528D" w:rsidRPr="00947BF3" w:rsidRDefault="000B528D" w:rsidP="00947BF3">
      <w:pPr>
        <w:spacing w:after="160"/>
        <w:jc w:val="both"/>
        <w:rPr>
          <w:rFonts w:ascii="Arial Narrow" w:hAnsi="Arial Narrow"/>
          <w:sz w:val="24"/>
          <w:szCs w:val="24"/>
        </w:rPr>
      </w:pPr>
    </w:p>
    <w:tbl>
      <w:tblPr>
        <w:tblW w:w="5000"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1E0" w:firstRow="1" w:lastRow="1" w:firstColumn="1" w:lastColumn="1" w:noHBand="0" w:noVBand="0"/>
      </w:tblPr>
      <w:tblGrid>
        <w:gridCol w:w="8903"/>
        <w:gridCol w:w="167"/>
      </w:tblGrid>
      <w:tr w:rsidR="00C8540A" w:rsidRPr="00866785" w14:paraId="65D91E12" w14:textId="77777777" w:rsidTr="007272E5">
        <w:trPr>
          <w:trHeight w:val="321"/>
        </w:trPr>
        <w:tc>
          <w:tcPr>
            <w:tcW w:w="4908" w:type="pct"/>
            <w:tcBorders>
              <w:top w:val="nil"/>
              <w:left w:val="nil"/>
              <w:bottom w:val="single" w:sz="4" w:space="0" w:color="auto"/>
              <w:right w:val="nil"/>
            </w:tcBorders>
            <w:shd w:val="clear" w:color="auto" w:fill="auto"/>
            <w:vAlign w:val="center"/>
          </w:tcPr>
          <w:p w14:paraId="7C14F4F9" w14:textId="0EE34FBC" w:rsidR="00C8540A" w:rsidRPr="00866785" w:rsidRDefault="00C8540A" w:rsidP="00947BF3">
            <w:pPr>
              <w:spacing w:after="120"/>
              <w:rPr>
                <w:rFonts w:ascii="Arial Narrow" w:hAnsi="Arial Narrow" w:cs="Arial"/>
                <w:b/>
                <w:color w:val="2C9ADC"/>
                <w:sz w:val="20"/>
                <w:szCs w:val="18"/>
              </w:rPr>
            </w:pPr>
            <w:r>
              <w:rPr>
                <w:rFonts w:ascii="Arial Narrow" w:hAnsi="Arial Narrow" w:cs="Arial"/>
                <w:b/>
                <w:color w:val="2C9ADC"/>
                <w:sz w:val="20"/>
                <w:szCs w:val="18"/>
              </w:rPr>
              <w:t xml:space="preserve">Tempo rastu cenového vývoja v segmente </w:t>
            </w:r>
            <w:r w:rsidR="00C451DB">
              <w:rPr>
                <w:rFonts w:ascii="Arial Narrow" w:hAnsi="Arial Narrow" w:cs="Arial"/>
                <w:b/>
                <w:color w:val="2C9ADC"/>
                <w:sz w:val="20"/>
                <w:szCs w:val="18"/>
              </w:rPr>
              <w:t>zdravotníctva</w:t>
            </w:r>
            <w:r>
              <w:rPr>
                <w:rFonts w:ascii="Arial Narrow" w:hAnsi="Arial Narrow" w:cs="Arial"/>
                <w:b/>
                <w:color w:val="2C9ADC"/>
                <w:sz w:val="20"/>
                <w:szCs w:val="18"/>
              </w:rPr>
              <w:t xml:space="preserve"> za rok 2024</w:t>
            </w:r>
            <w:r w:rsidR="001D7410">
              <w:rPr>
                <w:rFonts w:ascii="Arial Narrow" w:hAnsi="Arial Narrow" w:cs="Arial"/>
                <w:b/>
                <w:color w:val="2C9ADC"/>
                <w:sz w:val="20"/>
                <w:szCs w:val="18"/>
              </w:rPr>
              <w:t xml:space="preserve"> (medzimesačné zmeny v %)</w:t>
            </w:r>
          </w:p>
        </w:tc>
        <w:tc>
          <w:tcPr>
            <w:tcW w:w="92" w:type="pct"/>
            <w:tcBorders>
              <w:top w:val="nil"/>
              <w:left w:val="nil"/>
              <w:bottom w:val="nil"/>
              <w:right w:val="nil"/>
            </w:tcBorders>
            <w:shd w:val="clear" w:color="auto" w:fill="auto"/>
            <w:vAlign w:val="center"/>
          </w:tcPr>
          <w:p w14:paraId="4B06FB07" w14:textId="77777777" w:rsidR="00C8540A" w:rsidRPr="00866785" w:rsidRDefault="00C8540A" w:rsidP="00947BF3">
            <w:pPr>
              <w:spacing w:after="120"/>
              <w:rPr>
                <w:rFonts w:ascii="Arial Narrow" w:hAnsi="Arial Narrow" w:cs="Arial"/>
                <w:b/>
                <w:color w:val="2C9ADC"/>
                <w:sz w:val="20"/>
                <w:szCs w:val="18"/>
              </w:rPr>
            </w:pPr>
          </w:p>
        </w:tc>
      </w:tr>
      <w:tr w:rsidR="00C8540A" w:rsidRPr="00866785" w14:paraId="2C4AC883" w14:textId="77777777" w:rsidTr="00CC5D98">
        <w:trPr>
          <w:trHeight w:val="820"/>
        </w:trPr>
        <w:tc>
          <w:tcPr>
            <w:tcW w:w="4908" w:type="pct"/>
            <w:tcBorders>
              <w:top w:val="single" w:sz="4" w:space="0" w:color="auto"/>
              <w:left w:val="nil"/>
              <w:bottom w:val="single" w:sz="4" w:space="0" w:color="auto"/>
              <w:right w:val="nil"/>
            </w:tcBorders>
            <w:vAlign w:val="center"/>
          </w:tcPr>
          <w:p w14:paraId="55639345" w14:textId="5D285B2A" w:rsidR="00C8540A" w:rsidRPr="00866785" w:rsidRDefault="00CC5D98" w:rsidP="00947BF3">
            <w:pPr>
              <w:spacing w:after="120"/>
              <w:jc w:val="center"/>
              <w:rPr>
                <w:rFonts w:ascii="Arial Narrow" w:hAnsi="Arial Narrow" w:cs="Arial"/>
                <w:b/>
                <w:sz w:val="20"/>
                <w:szCs w:val="20"/>
              </w:rPr>
            </w:pPr>
            <w:r>
              <w:rPr>
                <w:noProof/>
              </w:rPr>
              <w:drawing>
                <wp:inline distT="0" distB="0" distL="0" distR="0" wp14:anchorId="703E2FE6" wp14:editId="5DD780D2">
                  <wp:extent cx="5564505" cy="3338195"/>
                  <wp:effectExtent l="0" t="0" r="0" b="0"/>
                  <wp:docPr id="1612430427" name="Graf 1">
                    <a:extLst xmlns:a="http://schemas.openxmlformats.org/drawingml/2006/main">
                      <a:ext uri="{FF2B5EF4-FFF2-40B4-BE49-F238E27FC236}">
                        <a16:creationId xmlns:a16="http://schemas.microsoft.com/office/drawing/2014/main" id="{FC059FFE-F136-4670-DCF8-DB7A128DC91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tc>
        <w:tc>
          <w:tcPr>
            <w:tcW w:w="92" w:type="pct"/>
            <w:tcBorders>
              <w:top w:val="nil"/>
              <w:left w:val="nil"/>
              <w:bottom w:val="nil"/>
              <w:right w:val="nil"/>
            </w:tcBorders>
            <w:vAlign w:val="center"/>
          </w:tcPr>
          <w:p w14:paraId="6815AC22" w14:textId="77777777" w:rsidR="00C8540A" w:rsidRPr="00866785" w:rsidRDefault="00C8540A" w:rsidP="00947BF3">
            <w:pPr>
              <w:spacing w:after="120"/>
              <w:jc w:val="center"/>
              <w:rPr>
                <w:rFonts w:ascii="Arial Narrow" w:hAnsi="Arial Narrow" w:cs="Arial"/>
                <w:b/>
                <w:sz w:val="20"/>
                <w:szCs w:val="20"/>
              </w:rPr>
            </w:pPr>
          </w:p>
          <w:p w14:paraId="22798E0A" w14:textId="77777777" w:rsidR="00C8540A" w:rsidRPr="00866785" w:rsidRDefault="00C8540A" w:rsidP="00947BF3">
            <w:pPr>
              <w:spacing w:after="120"/>
              <w:jc w:val="center"/>
              <w:rPr>
                <w:rFonts w:ascii="Arial Narrow" w:hAnsi="Arial Narrow" w:cs="Arial"/>
                <w:b/>
                <w:sz w:val="20"/>
                <w:szCs w:val="20"/>
              </w:rPr>
            </w:pPr>
          </w:p>
        </w:tc>
      </w:tr>
      <w:tr w:rsidR="00C8540A" w:rsidRPr="00866785" w14:paraId="18728787" w14:textId="77777777" w:rsidTr="007272E5">
        <w:trPr>
          <w:trHeight w:val="104"/>
        </w:trPr>
        <w:tc>
          <w:tcPr>
            <w:tcW w:w="4908" w:type="pct"/>
            <w:tcBorders>
              <w:top w:val="single" w:sz="4" w:space="0" w:color="auto"/>
              <w:left w:val="nil"/>
              <w:bottom w:val="nil"/>
              <w:right w:val="nil"/>
            </w:tcBorders>
            <w:vAlign w:val="center"/>
          </w:tcPr>
          <w:p w14:paraId="08A4EEBF" w14:textId="77777777" w:rsidR="00C8540A" w:rsidRDefault="00C8540A" w:rsidP="00947BF3">
            <w:pPr>
              <w:spacing w:after="120"/>
              <w:jc w:val="right"/>
              <w:rPr>
                <w:rFonts w:ascii="Arial Narrow" w:hAnsi="Arial Narrow" w:cs="Arial"/>
                <w:i/>
                <w:sz w:val="16"/>
                <w:szCs w:val="16"/>
              </w:rPr>
            </w:pPr>
            <w:r w:rsidRPr="00866785">
              <w:rPr>
                <w:rFonts w:ascii="Arial Narrow" w:hAnsi="Arial Narrow" w:cs="Arial"/>
                <w:i/>
                <w:sz w:val="16"/>
                <w:szCs w:val="16"/>
              </w:rPr>
              <w:t>Zdroj:</w:t>
            </w:r>
            <w:r>
              <w:rPr>
                <w:rFonts w:ascii="Arial Narrow" w:hAnsi="Arial Narrow" w:cs="Arial"/>
                <w:i/>
                <w:sz w:val="16"/>
                <w:szCs w:val="16"/>
              </w:rPr>
              <w:t xml:space="preserve"> MF SR, ŠÚ SR</w:t>
            </w:r>
          </w:p>
          <w:p w14:paraId="4BFB09E1" w14:textId="77777777" w:rsidR="00947BF3" w:rsidRPr="00866785" w:rsidRDefault="00947BF3" w:rsidP="00947BF3">
            <w:pPr>
              <w:jc w:val="right"/>
              <w:rPr>
                <w:rFonts w:ascii="Arial Narrow" w:hAnsi="Arial Narrow" w:cs="Arial"/>
                <w:i/>
                <w:sz w:val="16"/>
                <w:szCs w:val="16"/>
              </w:rPr>
            </w:pPr>
          </w:p>
        </w:tc>
        <w:tc>
          <w:tcPr>
            <w:tcW w:w="92" w:type="pct"/>
            <w:tcBorders>
              <w:top w:val="nil"/>
              <w:left w:val="nil"/>
              <w:bottom w:val="nil"/>
              <w:right w:val="nil"/>
            </w:tcBorders>
            <w:vAlign w:val="center"/>
          </w:tcPr>
          <w:p w14:paraId="78B6D0BB" w14:textId="77777777" w:rsidR="00C8540A" w:rsidRPr="00866785" w:rsidRDefault="00C8540A" w:rsidP="00947BF3">
            <w:pPr>
              <w:spacing w:after="120"/>
              <w:jc w:val="center"/>
              <w:rPr>
                <w:rFonts w:ascii="Arial Narrow" w:hAnsi="Arial Narrow" w:cs="Arial"/>
                <w:i/>
                <w:sz w:val="16"/>
                <w:szCs w:val="16"/>
              </w:rPr>
            </w:pPr>
          </w:p>
        </w:tc>
      </w:tr>
    </w:tbl>
    <w:p w14:paraId="5CBE8974" w14:textId="5A8F010A" w:rsidR="004E2633" w:rsidRPr="00947BF3" w:rsidRDefault="004E2633" w:rsidP="00947BF3">
      <w:pPr>
        <w:spacing w:after="160"/>
        <w:jc w:val="both"/>
        <w:rPr>
          <w:rFonts w:ascii="Arial Narrow" w:hAnsi="Arial Narrow"/>
          <w:sz w:val="24"/>
          <w:szCs w:val="24"/>
        </w:rPr>
      </w:pPr>
      <w:r w:rsidRPr="00947BF3">
        <w:rPr>
          <w:rFonts w:ascii="Arial Narrow" w:hAnsi="Arial Narrow"/>
          <w:b/>
          <w:bCs/>
          <w:sz w:val="24"/>
          <w:szCs w:val="24"/>
        </w:rPr>
        <w:t>Tempo rastu cien v oblasti zdravotníctva</w:t>
      </w:r>
      <w:r w:rsidRPr="00947BF3">
        <w:rPr>
          <w:rFonts w:ascii="Arial Narrow" w:hAnsi="Arial Narrow"/>
          <w:sz w:val="24"/>
          <w:szCs w:val="24"/>
        </w:rPr>
        <w:t xml:space="preserve"> v roku 2024 sa vyvíjalo mierne a prevažne stabilne</w:t>
      </w:r>
      <w:r w:rsidR="001778CF" w:rsidRPr="00947BF3">
        <w:rPr>
          <w:rFonts w:ascii="Arial Narrow" w:hAnsi="Arial Narrow"/>
          <w:sz w:val="24"/>
          <w:szCs w:val="24"/>
        </w:rPr>
        <w:t xml:space="preserve"> </w:t>
      </w:r>
      <w:r w:rsidRPr="00947BF3">
        <w:rPr>
          <w:rFonts w:ascii="Arial Narrow" w:hAnsi="Arial Narrow"/>
          <w:sz w:val="24"/>
          <w:szCs w:val="24"/>
        </w:rPr>
        <w:t>s</w:t>
      </w:r>
      <w:r w:rsidR="00947BF3">
        <w:rPr>
          <w:rFonts w:ascii="Arial Narrow" w:hAnsi="Arial Narrow"/>
          <w:sz w:val="24"/>
          <w:szCs w:val="24"/>
        </w:rPr>
        <w:t> </w:t>
      </w:r>
      <w:r w:rsidRPr="00947BF3">
        <w:rPr>
          <w:rFonts w:ascii="Arial Narrow" w:hAnsi="Arial Narrow"/>
          <w:sz w:val="24"/>
          <w:szCs w:val="24"/>
        </w:rPr>
        <w:t>niekoľkými krátkodobými výkyvmi. Celkové tempo rastu cien zdravotníckych tovarov a služieb bolo najvyššie v januári (+1,3</w:t>
      </w:r>
      <w:r w:rsidRPr="00947BF3">
        <w:rPr>
          <w:rFonts w:ascii="Arial" w:hAnsi="Arial" w:cs="Arial"/>
          <w:sz w:val="24"/>
          <w:szCs w:val="24"/>
        </w:rPr>
        <w:t> </w:t>
      </w:r>
      <w:r w:rsidRPr="00947BF3">
        <w:rPr>
          <w:rFonts w:ascii="Arial Narrow" w:hAnsi="Arial Narrow"/>
          <w:sz w:val="24"/>
          <w:szCs w:val="24"/>
        </w:rPr>
        <w:t>%) a apríli (+1,3</w:t>
      </w:r>
      <w:r w:rsidRPr="00947BF3">
        <w:rPr>
          <w:rFonts w:ascii="Arial" w:hAnsi="Arial" w:cs="Arial"/>
          <w:sz w:val="24"/>
          <w:szCs w:val="24"/>
        </w:rPr>
        <w:t> </w:t>
      </w:r>
      <w:r w:rsidRPr="00947BF3">
        <w:rPr>
          <w:rFonts w:ascii="Arial Narrow" w:hAnsi="Arial Narrow"/>
          <w:sz w:val="24"/>
          <w:szCs w:val="24"/>
        </w:rPr>
        <w:t xml:space="preserve">%), pričom vo zvyšných mesiacoch oscilovalo </w:t>
      </w:r>
      <w:r w:rsidR="00D40D23">
        <w:rPr>
          <w:rFonts w:ascii="Arial Narrow" w:hAnsi="Arial Narrow"/>
          <w:sz w:val="24"/>
          <w:szCs w:val="24"/>
        </w:rPr>
        <w:t>medzi hodnotami</w:t>
      </w:r>
      <w:r w:rsidRPr="00947BF3">
        <w:rPr>
          <w:rFonts w:ascii="Arial Narrow" w:hAnsi="Arial Narrow"/>
          <w:sz w:val="24"/>
          <w:szCs w:val="24"/>
        </w:rPr>
        <w:t xml:space="preserve"> +0,1</w:t>
      </w:r>
      <w:r w:rsidRPr="00947BF3">
        <w:rPr>
          <w:rFonts w:ascii="Arial" w:hAnsi="Arial" w:cs="Arial"/>
          <w:sz w:val="24"/>
          <w:szCs w:val="24"/>
        </w:rPr>
        <w:t> </w:t>
      </w:r>
      <w:r w:rsidRPr="00947BF3">
        <w:rPr>
          <w:rFonts w:ascii="Arial Narrow" w:hAnsi="Arial Narrow"/>
          <w:sz w:val="24"/>
          <w:szCs w:val="24"/>
        </w:rPr>
        <w:t>% až +0,6</w:t>
      </w:r>
      <w:r w:rsidRPr="00947BF3">
        <w:rPr>
          <w:rFonts w:ascii="Arial" w:hAnsi="Arial" w:cs="Arial"/>
          <w:sz w:val="24"/>
          <w:szCs w:val="24"/>
        </w:rPr>
        <w:t> </w:t>
      </w:r>
      <w:r w:rsidRPr="00947BF3">
        <w:rPr>
          <w:rFonts w:ascii="Arial Narrow" w:hAnsi="Arial Narrow"/>
          <w:sz w:val="24"/>
          <w:szCs w:val="24"/>
        </w:rPr>
        <w:t>%. V auguste a septembri došlo k prechodnému spomaleniu (–0,7</w:t>
      </w:r>
      <w:r w:rsidRPr="00947BF3">
        <w:rPr>
          <w:rFonts w:ascii="Arial" w:hAnsi="Arial" w:cs="Arial"/>
          <w:sz w:val="24"/>
          <w:szCs w:val="24"/>
        </w:rPr>
        <w:t> </w:t>
      </w:r>
      <w:r w:rsidRPr="00947BF3">
        <w:rPr>
          <w:rFonts w:ascii="Arial Narrow" w:hAnsi="Arial Narrow"/>
          <w:sz w:val="24"/>
          <w:szCs w:val="24"/>
        </w:rPr>
        <w:t xml:space="preserve">%, resp. </w:t>
      </w:r>
      <w:r w:rsidR="003C796F" w:rsidRPr="00947BF3">
        <w:rPr>
          <w:rFonts w:ascii="Arial Narrow" w:hAnsi="Arial Narrow"/>
          <w:sz w:val="24"/>
          <w:szCs w:val="24"/>
        </w:rPr>
        <w:t>+</w:t>
      </w:r>
      <w:r w:rsidRPr="00947BF3">
        <w:rPr>
          <w:rFonts w:ascii="Arial Narrow" w:hAnsi="Arial Narrow"/>
          <w:sz w:val="24"/>
          <w:szCs w:val="24"/>
        </w:rPr>
        <w:t>0,1</w:t>
      </w:r>
      <w:r w:rsidRPr="00947BF3">
        <w:rPr>
          <w:rFonts w:ascii="Arial" w:hAnsi="Arial" w:cs="Arial"/>
          <w:sz w:val="24"/>
          <w:szCs w:val="24"/>
        </w:rPr>
        <w:t> </w:t>
      </w:r>
      <w:r w:rsidRPr="00947BF3">
        <w:rPr>
          <w:rFonts w:ascii="Arial Narrow" w:hAnsi="Arial Narrow"/>
          <w:sz w:val="24"/>
          <w:szCs w:val="24"/>
        </w:rPr>
        <w:t>%).</w:t>
      </w:r>
    </w:p>
    <w:p w14:paraId="14AC101E" w14:textId="1671E98F" w:rsidR="004E2633" w:rsidRPr="00947BF3" w:rsidRDefault="004E2633" w:rsidP="00947BF3">
      <w:pPr>
        <w:spacing w:after="160"/>
        <w:jc w:val="both"/>
        <w:rPr>
          <w:rFonts w:ascii="Arial Narrow" w:hAnsi="Arial Narrow"/>
          <w:sz w:val="24"/>
          <w:szCs w:val="24"/>
        </w:rPr>
      </w:pPr>
      <w:r w:rsidRPr="00947BF3">
        <w:rPr>
          <w:rFonts w:ascii="Arial Narrow" w:hAnsi="Arial Narrow"/>
          <w:sz w:val="24"/>
          <w:szCs w:val="24"/>
        </w:rPr>
        <w:t>V rámci zdravotníckych výrobkov rástlo tempo cien farmaceutických výrobkov najvýraznejšie v januári (+1,6</w:t>
      </w:r>
      <w:r w:rsidRPr="00947BF3">
        <w:rPr>
          <w:rFonts w:ascii="Arial" w:hAnsi="Arial" w:cs="Arial"/>
          <w:sz w:val="24"/>
          <w:szCs w:val="24"/>
        </w:rPr>
        <w:t> </w:t>
      </w:r>
      <w:r w:rsidRPr="00947BF3">
        <w:rPr>
          <w:rFonts w:ascii="Arial Narrow" w:hAnsi="Arial Narrow"/>
          <w:sz w:val="24"/>
          <w:szCs w:val="24"/>
        </w:rPr>
        <w:t>%) a októbri (+1,4</w:t>
      </w:r>
      <w:r w:rsidRPr="00947BF3">
        <w:rPr>
          <w:rFonts w:ascii="Arial" w:hAnsi="Arial" w:cs="Arial"/>
          <w:sz w:val="24"/>
          <w:szCs w:val="24"/>
        </w:rPr>
        <w:t> </w:t>
      </w:r>
      <w:r w:rsidRPr="00947BF3">
        <w:rPr>
          <w:rFonts w:ascii="Arial Narrow" w:hAnsi="Arial Narrow"/>
          <w:sz w:val="24"/>
          <w:szCs w:val="24"/>
        </w:rPr>
        <w:t>%), zatiaľ čo v auguste (–1,4</w:t>
      </w:r>
      <w:r w:rsidRPr="00947BF3">
        <w:rPr>
          <w:rFonts w:ascii="Arial" w:hAnsi="Arial" w:cs="Arial"/>
          <w:sz w:val="24"/>
          <w:szCs w:val="24"/>
        </w:rPr>
        <w:t> </w:t>
      </w:r>
      <w:r w:rsidRPr="00947BF3">
        <w:rPr>
          <w:rFonts w:ascii="Arial Narrow" w:hAnsi="Arial Narrow"/>
          <w:sz w:val="24"/>
          <w:szCs w:val="24"/>
        </w:rPr>
        <w:t>%) zaznamenalo výrazný pokles. Ostatné zdravotnícke výrobky a terapeutické pomôcky vykazovali počas roka minimálne zmeny, prevažne v</w:t>
      </w:r>
      <w:r w:rsidR="00947BF3">
        <w:rPr>
          <w:rFonts w:ascii="Arial Narrow" w:hAnsi="Arial Narrow"/>
          <w:sz w:val="24"/>
          <w:szCs w:val="24"/>
        </w:rPr>
        <w:t> </w:t>
      </w:r>
      <w:r w:rsidRPr="00947BF3">
        <w:rPr>
          <w:rFonts w:ascii="Arial Narrow" w:hAnsi="Arial Narrow"/>
          <w:sz w:val="24"/>
          <w:szCs w:val="24"/>
        </w:rPr>
        <w:t>rozsahu ±0,5</w:t>
      </w:r>
      <w:r w:rsidRPr="00947BF3">
        <w:rPr>
          <w:rFonts w:ascii="Arial" w:hAnsi="Arial" w:cs="Arial"/>
          <w:sz w:val="24"/>
          <w:szCs w:val="24"/>
        </w:rPr>
        <w:t> </w:t>
      </w:r>
      <w:r w:rsidRPr="00947BF3">
        <w:rPr>
          <w:rFonts w:ascii="Arial Narrow" w:hAnsi="Arial Narrow"/>
          <w:sz w:val="24"/>
          <w:szCs w:val="24"/>
        </w:rPr>
        <w:t>%.</w:t>
      </w:r>
    </w:p>
    <w:p w14:paraId="27F314BC" w14:textId="5AE765C6" w:rsidR="004E2633" w:rsidRPr="00947BF3" w:rsidRDefault="004E2633" w:rsidP="00947BF3">
      <w:pPr>
        <w:spacing w:after="160"/>
        <w:jc w:val="both"/>
        <w:rPr>
          <w:rFonts w:ascii="Arial Narrow" w:hAnsi="Arial Narrow"/>
          <w:sz w:val="24"/>
          <w:szCs w:val="24"/>
        </w:rPr>
      </w:pPr>
      <w:r w:rsidRPr="00947BF3">
        <w:rPr>
          <w:rFonts w:ascii="Arial Narrow" w:hAnsi="Arial Narrow"/>
          <w:sz w:val="24"/>
          <w:szCs w:val="24"/>
        </w:rPr>
        <w:t>Tempo rastu cien ambulantných služieb bolo stabilné, najvýraznejší rast nastal v januári (+1</w:t>
      </w:r>
      <w:r w:rsidRPr="00947BF3">
        <w:rPr>
          <w:rFonts w:ascii="Arial" w:hAnsi="Arial" w:cs="Arial"/>
          <w:sz w:val="24"/>
          <w:szCs w:val="24"/>
        </w:rPr>
        <w:t> </w:t>
      </w:r>
      <w:r w:rsidRPr="00947BF3">
        <w:rPr>
          <w:rFonts w:ascii="Arial Narrow" w:hAnsi="Arial Narrow"/>
          <w:sz w:val="24"/>
          <w:szCs w:val="24"/>
        </w:rPr>
        <w:t>%) a februári (+0,8</w:t>
      </w:r>
      <w:r w:rsidRPr="00947BF3">
        <w:rPr>
          <w:rFonts w:ascii="Arial" w:hAnsi="Arial" w:cs="Arial"/>
          <w:sz w:val="24"/>
          <w:szCs w:val="24"/>
        </w:rPr>
        <w:t> </w:t>
      </w:r>
      <w:r w:rsidRPr="00947BF3">
        <w:rPr>
          <w:rFonts w:ascii="Arial Narrow" w:hAnsi="Arial Narrow"/>
          <w:sz w:val="24"/>
          <w:szCs w:val="24"/>
        </w:rPr>
        <w:t>%), po ktorom nasledovalo postupné spomaľovanie. V októbri sa tempo dokonca mierne znížilo</w:t>
      </w:r>
      <w:r w:rsidR="00E66399" w:rsidRPr="00947BF3">
        <w:rPr>
          <w:rFonts w:ascii="Arial Narrow" w:hAnsi="Arial Narrow"/>
          <w:sz w:val="24"/>
          <w:szCs w:val="24"/>
        </w:rPr>
        <w:br/>
      </w:r>
      <w:r w:rsidRPr="00947BF3">
        <w:rPr>
          <w:rFonts w:ascii="Arial Narrow" w:hAnsi="Arial Narrow"/>
          <w:sz w:val="24"/>
          <w:szCs w:val="24"/>
        </w:rPr>
        <w:t>(–0,2</w:t>
      </w:r>
      <w:r w:rsidRPr="00947BF3">
        <w:rPr>
          <w:rFonts w:ascii="Arial" w:hAnsi="Arial" w:cs="Arial"/>
          <w:sz w:val="24"/>
          <w:szCs w:val="24"/>
        </w:rPr>
        <w:t> </w:t>
      </w:r>
      <w:r w:rsidRPr="00947BF3">
        <w:rPr>
          <w:rFonts w:ascii="Arial Narrow" w:hAnsi="Arial Narrow"/>
          <w:sz w:val="24"/>
          <w:szCs w:val="24"/>
        </w:rPr>
        <w:t>%), čo bolo spôsobené poklesom cien lekárskych služieb (–0,8</w:t>
      </w:r>
      <w:r w:rsidRPr="00947BF3">
        <w:rPr>
          <w:rFonts w:ascii="Arial" w:hAnsi="Arial" w:cs="Arial"/>
          <w:sz w:val="24"/>
          <w:szCs w:val="24"/>
        </w:rPr>
        <w:t> </w:t>
      </w:r>
      <w:r w:rsidRPr="00947BF3">
        <w:rPr>
          <w:rFonts w:ascii="Arial Narrow" w:hAnsi="Arial Narrow"/>
          <w:sz w:val="24"/>
          <w:szCs w:val="24"/>
        </w:rPr>
        <w:t>%).</w:t>
      </w:r>
    </w:p>
    <w:p w14:paraId="336F2EDD" w14:textId="77777777" w:rsidR="004E2633" w:rsidRPr="00947BF3" w:rsidRDefault="004E2633" w:rsidP="00947BF3">
      <w:pPr>
        <w:spacing w:after="160"/>
        <w:jc w:val="both"/>
        <w:rPr>
          <w:rFonts w:ascii="Arial Narrow" w:hAnsi="Arial Narrow"/>
          <w:sz w:val="24"/>
          <w:szCs w:val="24"/>
        </w:rPr>
      </w:pPr>
      <w:r w:rsidRPr="00947BF3">
        <w:rPr>
          <w:rFonts w:ascii="Arial Narrow" w:hAnsi="Arial Narrow"/>
          <w:sz w:val="24"/>
          <w:szCs w:val="24"/>
        </w:rPr>
        <w:t>Ceny nemocničných služieb rástli najviac v marci (+2,4</w:t>
      </w:r>
      <w:r w:rsidRPr="00947BF3">
        <w:rPr>
          <w:rFonts w:ascii="Arial" w:hAnsi="Arial" w:cs="Arial"/>
          <w:sz w:val="24"/>
          <w:szCs w:val="24"/>
        </w:rPr>
        <w:t> </w:t>
      </w:r>
      <w:r w:rsidRPr="00947BF3">
        <w:rPr>
          <w:rFonts w:ascii="Arial Narrow" w:hAnsi="Arial Narrow"/>
          <w:sz w:val="24"/>
          <w:szCs w:val="24"/>
        </w:rPr>
        <w:t>%), čo predstavovalo najvýraznejší mesačný nárast v rámci celého sektora zdravotníctva. V ostatných mesiacoch bol vývoj cien v nemocniciach stabilný, najčastejšie bez zmeny.</w:t>
      </w:r>
    </w:p>
    <w:p w14:paraId="1922DE7C" w14:textId="18878222" w:rsidR="00E973D1" w:rsidRDefault="004E2633" w:rsidP="00947BF3">
      <w:pPr>
        <w:spacing w:after="160"/>
        <w:jc w:val="both"/>
        <w:rPr>
          <w:rFonts w:ascii="Arial Narrow" w:hAnsi="Arial Narrow"/>
          <w:sz w:val="24"/>
          <w:szCs w:val="24"/>
        </w:rPr>
      </w:pPr>
      <w:r w:rsidRPr="00947BF3">
        <w:rPr>
          <w:rFonts w:ascii="Arial Narrow" w:hAnsi="Arial Narrow"/>
          <w:sz w:val="24"/>
          <w:szCs w:val="24"/>
        </w:rPr>
        <w:t>Celkovo možno konštatovať, že tempo rastu cien v zdravotníctve bolo v roku 2024 tlmené, s najvyšším nárastom cien na začiatku roka a prechodnými výkyvmi v polovici roka. V porovnaní s rokom 2023, keď boli rastové impulzy silnejšie najmä pri ambulantných službách a farmaceutických výrobkoch, bol vývoj v</w:t>
      </w:r>
      <w:r w:rsidR="00947BF3">
        <w:rPr>
          <w:rFonts w:ascii="Arial Narrow" w:hAnsi="Arial Narrow"/>
          <w:sz w:val="24"/>
          <w:szCs w:val="24"/>
        </w:rPr>
        <w:t> </w:t>
      </w:r>
      <w:r w:rsidRPr="00947BF3">
        <w:rPr>
          <w:rFonts w:ascii="Arial Narrow" w:hAnsi="Arial Narrow"/>
          <w:sz w:val="24"/>
          <w:szCs w:val="24"/>
        </w:rPr>
        <w:t>roku 2024 pokojnejší a menej volatilný.</w:t>
      </w:r>
    </w:p>
    <w:p w14:paraId="795C69FD" w14:textId="77777777" w:rsidR="000B528D" w:rsidRPr="00947BF3" w:rsidRDefault="000B528D" w:rsidP="00947BF3">
      <w:pPr>
        <w:spacing w:after="160"/>
        <w:jc w:val="both"/>
        <w:rPr>
          <w:rFonts w:ascii="Arial Narrow" w:hAnsi="Arial Narrow"/>
          <w:sz w:val="24"/>
          <w:szCs w:val="24"/>
        </w:rPr>
      </w:pPr>
    </w:p>
    <w:tbl>
      <w:tblPr>
        <w:tblW w:w="5000"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1E0" w:firstRow="1" w:lastRow="1" w:firstColumn="1" w:lastColumn="1" w:noHBand="0" w:noVBand="0"/>
      </w:tblPr>
      <w:tblGrid>
        <w:gridCol w:w="8903"/>
        <w:gridCol w:w="167"/>
      </w:tblGrid>
      <w:tr w:rsidR="00CC5D98" w:rsidRPr="00866785" w14:paraId="0876ABA5" w14:textId="77777777" w:rsidTr="007272E5">
        <w:trPr>
          <w:trHeight w:val="321"/>
        </w:trPr>
        <w:tc>
          <w:tcPr>
            <w:tcW w:w="4908" w:type="pct"/>
            <w:tcBorders>
              <w:top w:val="nil"/>
              <w:left w:val="nil"/>
              <w:bottom w:val="single" w:sz="4" w:space="0" w:color="auto"/>
              <w:right w:val="nil"/>
            </w:tcBorders>
            <w:shd w:val="clear" w:color="auto" w:fill="auto"/>
            <w:vAlign w:val="center"/>
          </w:tcPr>
          <w:p w14:paraId="372B3CFE" w14:textId="3CBABDEC" w:rsidR="00CC5D98" w:rsidRPr="00866785" w:rsidRDefault="00CC5D98" w:rsidP="00947BF3">
            <w:pPr>
              <w:spacing w:after="120"/>
              <w:rPr>
                <w:rFonts w:ascii="Arial Narrow" w:hAnsi="Arial Narrow" w:cs="Arial"/>
                <w:b/>
                <w:color w:val="2C9ADC"/>
                <w:sz w:val="20"/>
                <w:szCs w:val="18"/>
              </w:rPr>
            </w:pPr>
            <w:r>
              <w:rPr>
                <w:rFonts w:ascii="Arial Narrow" w:hAnsi="Arial Narrow" w:cs="Arial"/>
                <w:b/>
                <w:color w:val="2C9ADC"/>
                <w:sz w:val="20"/>
                <w:szCs w:val="18"/>
              </w:rPr>
              <w:t xml:space="preserve">Tempo rastu cenového vývoja v segmente </w:t>
            </w:r>
            <w:r w:rsidR="00C451DB">
              <w:rPr>
                <w:rFonts w:ascii="Arial Narrow" w:hAnsi="Arial Narrow" w:cs="Arial"/>
                <w:b/>
                <w:color w:val="2C9ADC"/>
                <w:sz w:val="20"/>
                <w:szCs w:val="18"/>
              </w:rPr>
              <w:t>dopravy</w:t>
            </w:r>
            <w:r>
              <w:rPr>
                <w:rFonts w:ascii="Arial Narrow" w:hAnsi="Arial Narrow" w:cs="Arial"/>
                <w:b/>
                <w:color w:val="2C9ADC"/>
                <w:sz w:val="20"/>
                <w:szCs w:val="18"/>
              </w:rPr>
              <w:t xml:space="preserve"> za rok 2024</w:t>
            </w:r>
            <w:r w:rsidR="001D7410">
              <w:rPr>
                <w:rFonts w:ascii="Arial Narrow" w:hAnsi="Arial Narrow" w:cs="Arial"/>
                <w:b/>
                <w:color w:val="2C9ADC"/>
                <w:sz w:val="20"/>
                <w:szCs w:val="18"/>
              </w:rPr>
              <w:t xml:space="preserve"> (medzimesačné zmeny v %)</w:t>
            </w:r>
          </w:p>
        </w:tc>
        <w:tc>
          <w:tcPr>
            <w:tcW w:w="92" w:type="pct"/>
            <w:tcBorders>
              <w:top w:val="nil"/>
              <w:left w:val="nil"/>
              <w:bottom w:val="nil"/>
              <w:right w:val="nil"/>
            </w:tcBorders>
            <w:shd w:val="clear" w:color="auto" w:fill="auto"/>
            <w:vAlign w:val="center"/>
          </w:tcPr>
          <w:p w14:paraId="10CFA196" w14:textId="77777777" w:rsidR="00CC5D98" w:rsidRPr="00866785" w:rsidRDefault="00CC5D98" w:rsidP="00947BF3">
            <w:pPr>
              <w:spacing w:after="120"/>
              <w:rPr>
                <w:rFonts w:ascii="Arial Narrow" w:hAnsi="Arial Narrow" w:cs="Arial"/>
                <w:b/>
                <w:color w:val="2C9ADC"/>
                <w:sz w:val="20"/>
                <w:szCs w:val="18"/>
              </w:rPr>
            </w:pPr>
          </w:p>
        </w:tc>
      </w:tr>
      <w:tr w:rsidR="00CC5D98" w:rsidRPr="00866785" w14:paraId="1EA73D7D" w14:textId="77777777" w:rsidTr="008409FF">
        <w:trPr>
          <w:trHeight w:val="820"/>
        </w:trPr>
        <w:tc>
          <w:tcPr>
            <w:tcW w:w="4908" w:type="pct"/>
            <w:tcBorders>
              <w:top w:val="single" w:sz="4" w:space="0" w:color="auto"/>
              <w:left w:val="nil"/>
              <w:bottom w:val="single" w:sz="4" w:space="0" w:color="auto"/>
              <w:right w:val="nil"/>
            </w:tcBorders>
            <w:vAlign w:val="center"/>
          </w:tcPr>
          <w:p w14:paraId="4BA39C9A" w14:textId="5EB10A85" w:rsidR="00CC5D98" w:rsidRPr="00866785" w:rsidRDefault="008409FF" w:rsidP="00947BF3">
            <w:pPr>
              <w:spacing w:after="120"/>
              <w:rPr>
                <w:rFonts w:ascii="Arial Narrow" w:hAnsi="Arial Narrow" w:cs="Arial"/>
                <w:b/>
                <w:sz w:val="20"/>
                <w:szCs w:val="20"/>
              </w:rPr>
            </w:pPr>
            <w:r>
              <w:rPr>
                <w:noProof/>
              </w:rPr>
              <w:drawing>
                <wp:inline distT="0" distB="0" distL="0" distR="0" wp14:anchorId="48ED668F" wp14:editId="367F59E7">
                  <wp:extent cx="5564505" cy="3338830"/>
                  <wp:effectExtent l="0" t="0" r="0" b="0"/>
                  <wp:docPr id="730061925" name="Graf 1">
                    <a:extLst xmlns:a="http://schemas.openxmlformats.org/drawingml/2006/main">
                      <a:ext uri="{FF2B5EF4-FFF2-40B4-BE49-F238E27FC236}">
                        <a16:creationId xmlns:a16="http://schemas.microsoft.com/office/drawing/2014/main" id="{80C881D8-E94A-F192-32F1-0F76B78365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tc>
        <w:tc>
          <w:tcPr>
            <w:tcW w:w="92" w:type="pct"/>
            <w:tcBorders>
              <w:top w:val="nil"/>
              <w:left w:val="nil"/>
              <w:bottom w:val="nil"/>
              <w:right w:val="nil"/>
            </w:tcBorders>
            <w:vAlign w:val="center"/>
          </w:tcPr>
          <w:p w14:paraId="5EBB9A9B" w14:textId="77777777" w:rsidR="00CC5D98" w:rsidRPr="00866785" w:rsidRDefault="00CC5D98" w:rsidP="00947BF3">
            <w:pPr>
              <w:spacing w:after="120"/>
              <w:jc w:val="center"/>
              <w:rPr>
                <w:rFonts w:ascii="Arial Narrow" w:hAnsi="Arial Narrow" w:cs="Arial"/>
                <w:b/>
                <w:sz w:val="20"/>
                <w:szCs w:val="20"/>
              </w:rPr>
            </w:pPr>
          </w:p>
          <w:p w14:paraId="5E272444" w14:textId="77777777" w:rsidR="00CC5D98" w:rsidRPr="00866785" w:rsidRDefault="00CC5D98" w:rsidP="00947BF3">
            <w:pPr>
              <w:spacing w:after="120"/>
              <w:jc w:val="center"/>
              <w:rPr>
                <w:rFonts w:ascii="Arial Narrow" w:hAnsi="Arial Narrow" w:cs="Arial"/>
                <w:b/>
                <w:sz w:val="20"/>
                <w:szCs w:val="20"/>
              </w:rPr>
            </w:pPr>
          </w:p>
        </w:tc>
      </w:tr>
      <w:tr w:rsidR="00CC5D98" w:rsidRPr="00866785" w14:paraId="01FBD010" w14:textId="77777777" w:rsidTr="007272E5">
        <w:trPr>
          <w:trHeight w:val="104"/>
        </w:trPr>
        <w:tc>
          <w:tcPr>
            <w:tcW w:w="4908" w:type="pct"/>
            <w:tcBorders>
              <w:top w:val="single" w:sz="4" w:space="0" w:color="auto"/>
              <w:left w:val="nil"/>
              <w:bottom w:val="nil"/>
              <w:right w:val="nil"/>
            </w:tcBorders>
            <w:vAlign w:val="center"/>
          </w:tcPr>
          <w:p w14:paraId="60A8A1BD" w14:textId="77777777" w:rsidR="00CC5D98" w:rsidRDefault="00CC5D98" w:rsidP="00947BF3">
            <w:pPr>
              <w:spacing w:after="120"/>
              <w:jc w:val="right"/>
              <w:rPr>
                <w:rFonts w:ascii="Arial Narrow" w:hAnsi="Arial Narrow" w:cs="Arial"/>
                <w:i/>
                <w:sz w:val="16"/>
                <w:szCs w:val="16"/>
              </w:rPr>
            </w:pPr>
            <w:r w:rsidRPr="00866785">
              <w:rPr>
                <w:rFonts w:ascii="Arial Narrow" w:hAnsi="Arial Narrow" w:cs="Arial"/>
                <w:i/>
                <w:sz w:val="16"/>
                <w:szCs w:val="16"/>
              </w:rPr>
              <w:t>Zdroj:</w:t>
            </w:r>
            <w:r>
              <w:rPr>
                <w:rFonts w:ascii="Arial Narrow" w:hAnsi="Arial Narrow" w:cs="Arial"/>
                <w:i/>
                <w:sz w:val="16"/>
                <w:szCs w:val="16"/>
              </w:rPr>
              <w:t xml:space="preserve"> MF SR, ŠÚ SR</w:t>
            </w:r>
          </w:p>
          <w:p w14:paraId="10EEB6C2" w14:textId="77777777" w:rsidR="00947BF3" w:rsidRPr="00866785" w:rsidRDefault="00947BF3" w:rsidP="00947BF3">
            <w:pPr>
              <w:jc w:val="right"/>
              <w:rPr>
                <w:rFonts w:ascii="Arial Narrow" w:hAnsi="Arial Narrow" w:cs="Arial"/>
                <w:i/>
                <w:sz w:val="16"/>
                <w:szCs w:val="16"/>
              </w:rPr>
            </w:pPr>
          </w:p>
        </w:tc>
        <w:tc>
          <w:tcPr>
            <w:tcW w:w="92" w:type="pct"/>
            <w:tcBorders>
              <w:top w:val="nil"/>
              <w:left w:val="nil"/>
              <w:bottom w:val="nil"/>
              <w:right w:val="nil"/>
            </w:tcBorders>
            <w:vAlign w:val="center"/>
          </w:tcPr>
          <w:p w14:paraId="30E5FBDB" w14:textId="77777777" w:rsidR="00CC5D98" w:rsidRPr="00866785" w:rsidRDefault="00CC5D98" w:rsidP="00947BF3">
            <w:pPr>
              <w:spacing w:after="120"/>
              <w:jc w:val="center"/>
              <w:rPr>
                <w:rFonts w:ascii="Arial Narrow" w:hAnsi="Arial Narrow" w:cs="Arial"/>
                <w:i/>
                <w:sz w:val="16"/>
                <w:szCs w:val="16"/>
              </w:rPr>
            </w:pPr>
          </w:p>
        </w:tc>
      </w:tr>
    </w:tbl>
    <w:p w14:paraId="68BCA004" w14:textId="679C6029" w:rsidR="00324D8B" w:rsidRPr="00947BF3" w:rsidRDefault="00324D8B" w:rsidP="00947BF3">
      <w:pPr>
        <w:spacing w:after="160"/>
        <w:jc w:val="both"/>
        <w:rPr>
          <w:rFonts w:ascii="Arial Narrow" w:hAnsi="Arial Narrow"/>
          <w:sz w:val="24"/>
          <w:szCs w:val="24"/>
        </w:rPr>
      </w:pPr>
      <w:r w:rsidRPr="00947BF3">
        <w:rPr>
          <w:rFonts w:ascii="Arial Narrow" w:hAnsi="Arial Narrow"/>
          <w:b/>
          <w:bCs/>
          <w:sz w:val="24"/>
          <w:szCs w:val="24"/>
        </w:rPr>
        <w:t>Tempo vývoja rastu cien v oblasti dopravy</w:t>
      </w:r>
      <w:r w:rsidRPr="00947BF3">
        <w:rPr>
          <w:rFonts w:ascii="Arial Narrow" w:hAnsi="Arial Narrow"/>
          <w:sz w:val="24"/>
          <w:szCs w:val="24"/>
        </w:rPr>
        <w:t xml:space="preserve"> v roku 2024 bolo výrazne kolísavé, s prudkými nárastmi aj poklesmi v jednotlivých mesiacoch a podkategóriách. Celkové tempo rastu cien dopravy zaznamenalo najvyšší nárast vo februári (+3,4</w:t>
      </w:r>
      <w:r w:rsidRPr="00947BF3">
        <w:rPr>
          <w:rFonts w:ascii="Arial" w:hAnsi="Arial" w:cs="Arial"/>
          <w:sz w:val="24"/>
          <w:szCs w:val="24"/>
        </w:rPr>
        <w:t> </w:t>
      </w:r>
      <w:r w:rsidRPr="00947BF3">
        <w:rPr>
          <w:rFonts w:ascii="Arial Narrow" w:hAnsi="Arial Narrow"/>
          <w:sz w:val="24"/>
          <w:szCs w:val="24"/>
        </w:rPr>
        <w:t>%) a apríli (+2,4</w:t>
      </w:r>
      <w:r w:rsidRPr="00947BF3">
        <w:rPr>
          <w:rFonts w:ascii="Arial" w:hAnsi="Arial" w:cs="Arial"/>
          <w:sz w:val="24"/>
          <w:szCs w:val="24"/>
        </w:rPr>
        <w:t> </w:t>
      </w:r>
      <w:r w:rsidRPr="00947BF3">
        <w:rPr>
          <w:rFonts w:ascii="Arial Narrow" w:hAnsi="Arial Narrow"/>
          <w:sz w:val="24"/>
          <w:szCs w:val="24"/>
        </w:rPr>
        <w:t>%), pričom najväčší pokles nastal v máji (–2,9</w:t>
      </w:r>
      <w:r w:rsidRPr="00947BF3">
        <w:rPr>
          <w:rFonts w:ascii="Arial" w:hAnsi="Arial" w:cs="Arial"/>
          <w:sz w:val="24"/>
          <w:szCs w:val="24"/>
        </w:rPr>
        <w:t> </w:t>
      </w:r>
      <w:r w:rsidRPr="00947BF3">
        <w:rPr>
          <w:rFonts w:ascii="Arial Narrow" w:hAnsi="Arial Narrow"/>
          <w:sz w:val="24"/>
          <w:szCs w:val="24"/>
        </w:rPr>
        <w:t>%) a</w:t>
      </w:r>
      <w:r w:rsidR="00947BF3">
        <w:rPr>
          <w:rFonts w:ascii="Arial Narrow" w:hAnsi="Arial Narrow"/>
          <w:sz w:val="24"/>
          <w:szCs w:val="24"/>
        </w:rPr>
        <w:t> </w:t>
      </w:r>
      <w:r w:rsidRPr="00947BF3">
        <w:rPr>
          <w:rFonts w:ascii="Arial Narrow" w:hAnsi="Arial Narrow"/>
          <w:sz w:val="24"/>
          <w:szCs w:val="24"/>
        </w:rPr>
        <w:t>septembri (–2,4</w:t>
      </w:r>
      <w:r w:rsidRPr="00947BF3">
        <w:rPr>
          <w:rFonts w:ascii="Arial" w:hAnsi="Arial" w:cs="Arial"/>
          <w:sz w:val="24"/>
          <w:szCs w:val="24"/>
        </w:rPr>
        <w:t> </w:t>
      </w:r>
      <w:r w:rsidRPr="00947BF3">
        <w:rPr>
          <w:rFonts w:ascii="Arial Narrow" w:hAnsi="Arial Narrow"/>
          <w:sz w:val="24"/>
          <w:szCs w:val="24"/>
        </w:rPr>
        <w:t>%). Kľúčovým faktorom výkyvov boli najmä ceny palív a leteckej dopravy.</w:t>
      </w:r>
    </w:p>
    <w:p w14:paraId="2753A9B3" w14:textId="293FB35F" w:rsidR="00324D8B" w:rsidRPr="00947BF3" w:rsidRDefault="00324D8B" w:rsidP="00947BF3">
      <w:pPr>
        <w:spacing w:after="160"/>
        <w:jc w:val="both"/>
        <w:rPr>
          <w:rFonts w:ascii="Arial Narrow" w:hAnsi="Arial Narrow"/>
          <w:sz w:val="24"/>
          <w:szCs w:val="24"/>
        </w:rPr>
      </w:pPr>
      <w:r w:rsidRPr="00947BF3">
        <w:rPr>
          <w:rFonts w:ascii="Arial Narrow" w:hAnsi="Arial Narrow"/>
          <w:sz w:val="24"/>
          <w:szCs w:val="24"/>
        </w:rPr>
        <w:t>Tempo rastu cien pri nákupe dopravných prostriedkov bolo na začiatku roka zvýšené (+2,2</w:t>
      </w:r>
      <w:r w:rsidRPr="00947BF3">
        <w:rPr>
          <w:rFonts w:ascii="Arial" w:hAnsi="Arial" w:cs="Arial"/>
          <w:sz w:val="24"/>
          <w:szCs w:val="24"/>
        </w:rPr>
        <w:t> </w:t>
      </w:r>
      <w:r w:rsidRPr="00947BF3">
        <w:rPr>
          <w:rFonts w:ascii="Arial Narrow" w:hAnsi="Arial Narrow"/>
          <w:sz w:val="24"/>
          <w:szCs w:val="24"/>
        </w:rPr>
        <w:t>% v</w:t>
      </w:r>
      <w:r w:rsidR="009D105A" w:rsidRPr="00947BF3">
        <w:rPr>
          <w:rFonts w:ascii="Arial Narrow" w:hAnsi="Arial Narrow"/>
          <w:sz w:val="24"/>
          <w:szCs w:val="24"/>
        </w:rPr>
        <w:t> </w:t>
      </w:r>
      <w:r w:rsidRPr="00947BF3">
        <w:rPr>
          <w:rFonts w:ascii="Arial Narrow" w:hAnsi="Arial Narrow"/>
          <w:sz w:val="24"/>
          <w:szCs w:val="24"/>
        </w:rPr>
        <w:t>januári</w:t>
      </w:r>
      <w:r w:rsidR="009D105A" w:rsidRPr="00947BF3">
        <w:rPr>
          <w:rFonts w:ascii="Arial Narrow" w:hAnsi="Arial Narrow"/>
          <w:sz w:val="24"/>
          <w:szCs w:val="24"/>
        </w:rPr>
        <w:t xml:space="preserve"> 2024</w:t>
      </w:r>
      <w:r w:rsidRPr="00947BF3">
        <w:rPr>
          <w:rFonts w:ascii="Arial Narrow" w:hAnsi="Arial Narrow"/>
          <w:sz w:val="24"/>
          <w:szCs w:val="24"/>
        </w:rPr>
        <w:t>), no počas roka stagnovalo alebo mierne kolísalo, pričom v auguste zaznamenalo pokles (–1</w:t>
      </w:r>
      <w:r w:rsidRPr="00947BF3">
        <w:rPr>
          <w:rFonts w:ascii="Arial" w:hAnsi="Arial" w:cs="Arial"/>
          <w:sz w:val="24"/>
          <w:szCs w:val="24"/>
        </w:rPr>
        <w:t> </w:t>
      </w:r>
      <w:r w:rsidRPr="00947BF3">
        <w:rPr>
          <w:rFonts w:ascii="Arial Narrow" w:hAnsi="Arial Narrow"/>
          <w:sz w:val="24"/>
          <w:szCs w:val="24"/>
        </w:rPr>
        <w:t>%). Motorové vozidlá nasledovali podobný trend, zatiaľ čo ceny bicyklov a motocyklov sa pohybovali len mierne.</w:t>
      </w:r>
    </w:p>
    <w:p w14:paraId="4FA1EF40" w14:textId="77777777" w:rsidR="00324D8B" w:rsidRPr="00947BF3" w:rsidRDefault="00324D8B" w:rsidP="00947BF3">
      <w:pPr>
        <w:spacing w:after="160"/>
        <w:jc w:val="both"/>
        <w:rPr>
          <w:rFonts w:ascii="Arial Narrow" w:hAnsi="Arial Narrow"/>
          <w:sz w:val="24"/>
          <w:szCs w:val="24"/>
        </w:rPr>
      </w:pPr>
      <w:r w:rsidRPr="00947BF3">
        <w:rPr>
          <w:rFonts w:ascii="Arial Narrow" w:hAnsi="Arial Narrow"/>
          <w:sz w:val="24"/>
          <w:szCs w:val="24"/>
        </w:rPr>
        <w:t>Prevádzkovanie prostriedkov osobnej dopravy bolo ovplyvnené najmä vývojom cien palív a mazadiel, ktoré v niektorých mesiacoch rástli výrazne (napr. február +4,5</w:t>
      </w:r>
      <w:r w:rsidRPr="00947BF3">
        <w:rPr>
          <w:rFonts w:ascii="Arial" w:hAnsi="Arial" w:cs="Arial"/>
          <w:sz w:val="24"/>
          <w:szCs w:val="24"/>
        </w:rPr>
        <w:t>  </w:t>
      </w:r>
      <w:r w:rsidRPr="00947BF3">
        <w:rPr>
          <w:rFonts w:ascii="Arial Narrow" w:hAnsi="Arial Narrow"/>
          <w:sz w:val="24"/>
          <w:szCs w:val="24"/>
        </w:rPr>
        <w:t>%) a inokedy prudko klesali (máj –3,1</w:t>
      </w:r>
      <w:r w:rsidRPr="00947BF3">
        <w:rPr>
          <w:rFonts w:ascii="Arial" w:hAnsi="Arial" w:cs="Arial"/>
          <w:sz w:val="24"/>
          <w:szCs w:val="24"/>
        </w:rPr>
        <w:t> </w:t>
      </w:r>
      <w:r w:rsidRPr="00947BF3">
        <w:rPr>
          <w:rFonts w:ascii="Arial Narrow" w:hAnsi="Arial Narrow"/>
          <w:sz w:val="24"/>
          <w:szCs w:val="24"/>
        </w:rPr>
        <w:t>%, september –4,4</w:t>
      </w:r>
      <w:r w:rsidRPr="00947BF3">
        <w:rPr>
          <w:rFonts w:ascii="Arial" w:hAnsi="Arial" w:cs="Arial"/>
          <w:sz w:val="24"/>
          <w:szCs w:val="24"/>
        </w:rPr>
        <w:t> </w:t>
      </w:r>
      <w:r w:rsidRPr="00947BF3">
        <w:rPr>
          <w:rFonts w:ascii="Arial Narrow" w:hAnsi="Arial Narrow"/>
          <w:sz w:val="24"/>
          <w:szCs w:val="24"/>
        </w:rPr>
        <w:t>%). Údržba a oprava vozidiel zaznamenávala stabilnejší rast, väčšinou v rozsahu +0,1</w:t>
      </w:r>
      <w:r w:rsidRPr="00947BF3">
        <w:rPr>
          <w:rFonts w:ascii="Arial" w:hAnsi="Arial" w:cs="Arial"/>
          <w:sz w:val="24"/>
          <w:szCs w:val="24"/>
        </w:rPr>
        <w:t> </w:t>
      </w:r>
      <w:r w:rsidRPr="00947BF3">
        <w:rPr>
          <w:rFonts w:ascii="Arial Narrow" w:hAnsi="Arial Narrow"/>
          <w:sz w:val="24"/>
          <w:szCs w:val="24"/>
        </w:rPr>
        <w:t>% až +1,1</w:t>
      </w:r>
      <w:r w:rsidRPr="00947BF3">
        <w:rPr>
          <w:rFonts w:ascii="Arial" w:hAnsi="Arial" w:cs="Arial"/>
          <w:sz w:val="24"/>
          <w:szCs w:val="24"/>
        </w:rPr>
        <w:t> </w:t>
      </w:r>
      <w:r w:rsidRPr="00947BF3">
        <w:rPr>
          <w:rFonts w:ascii="Arial Narrow" w:hAnsi="Arial Narrow"/>
          <w:sz w:val="24"/>
          <w:szCs w:val="24"/>
        </w:rPr>
        <w:t>%.</w:t>
      </w:r>
    </w:p>
    <w:p w14:paraId="12643F12" w14:textId="6185EA8B" w:rsidR="00324D8B" w:rsidRPr="00947BF3" w:rsidRDefault="00324D8B" w:rsidP="00947BF3">
      <w:pPr>
        <w:spacing w:after="160"/>
        <w:jc w:val="both"/>
        <w:rPr>
          <w:rFonts w:ascii="Arial Narrow" w:hAnsi="Arial Narrow"/>
          <w:sz w:val="24"/>
          <w:szCs w:val="24"/>
        </w:rPr>
      </w:pPr>
      <w:r w:rsidRPr="00947BF3">
        <w:rPr>
          <w:rFonts w:ascii="Arial Narrow" w:hAnsi="Arial Narrow"/>
          <w:sz w:val="24"/>
          <w:szCs w:val="24"/>
        </w:rPr>
        <w:t>Najvýraznejšie výkyvy však zaznamenalo tempo rastu cien dopravných služieb, najmä v leteckej doprave. V apríli došlo k extrémnemu nárastu (+84,1</w:t>
      </w:r>
      <w:r w:rsidRPr="00947BF3">
        <w:rPr>
          <w:rFonts w:ascii="Arial" w:hAnsi="Arial" w:cs="Arial"/>
          <w:sz w:val="24"/>
          <w:szCs w:val="24"/>
        </w:rPr>
        <w:t> </w:t>
      </w:r>
      <w:r w:rsidRPr="00947BF3">
        <w:rPr>
          <w:rFonts w:ascii="Arial Narrow" w:hAnsi="Arial Narrow"/>
          <w:sz w:val="24"/>
          <w:szCs w:val="24"/>
        </w:rPr>
        <w:t>%), v auguste (+60,9</w:t>
      </w:r>
      <w:r w:rsidRPr="00947BF3">
        <w:rPr>
          <w:rFonts w:ascii="Arial" w:hAnsi="Arial" w:cs="Arial"/>
          <w:sz w:val="24"/>
          <w:szCs w:val="24"/>
        </w:rPr>
        <w:t> </w:t>
      </w:r>
      <w:r w:rsidRPr="00947BF3">
        <w:rPr>
          <w:rFonts w:ascii="Arial Narrow" w:hAnsi="Arial Narrow"/>
          <w:sz w:val="24"/>
          <w:szCs w:val="24"/>
        </w:rPr>
        <w:t>%) a v novembri (+14,8</w:t>
      </w:r>
      <w:r w:rsidRPr="00947BF3">
        <w:rPr>
          <w:rFonts w:ascii="Arial" w:hAnsi="Arial" w:cs="Arial"/>
          <w:sz w:val="24"/>
          <w:szCs w:val="24"/>
        </w:rPr>
        <w:t> </w:t>
      </w:r>
      <w:r w:rsidRPr="00947BF3">
        <w:rPr>
          <w:rFonts w:ascii="Arial Narrow" w:hAnsi="Arial Narrow"/>
          <w:sz w:val="24"/>
          <w:szCs w:val="24"/>
        </w:rPr>
        <w:t>%), zatiaľ čo v</w:t>
      </w:r>
      <w:r w:rsidR="00947BF3">
        <w:rPr>
          <w:rFonts w:ascii="Arial Narrow" w:hAnsi="Arial Narrow"/>
          <w:sz w:val="24"/>
          <w:szCs w:val="24"/>
        </w:rPr>
        <w:t> </w:t>
      </w:r>
      <w:r w:rsidRPr="00947BF3">
        <w:rPr>
          <w:rFonts w:ascii="Arial Narrow" w:hAnsi="Arial Narrow"/>
          <w:sz w:val="24"/>
          <w:szCs w:val="24"/>
        </w:rPr>
        <w:t>marci (–13,3</w:t>
      </w:r>
      <w:r w:rsidRPr="00947BF3">
        <w:rPr>
          <w:rFonts w:ascii="Arial" w:hAnsi="Arial" w:cs="Arial"/>
          <w:sz w:val="24"/>
          <w:szCs w:val="24"/>
        </w:rPr>
        <w:t> </w:t>
      </w:r>
      <w:r w:rsidRPr="00947BF3">
        <w:rPr>
          <w:rFonts w:ascii="Arial Narrow" w:hAnsi="Arial Narrow"/>
          <w:sz w:val="24"/>
          <w:szCs w:val="24"/>
        </w:rPr>
        <w:t>%), máji (–48,5</w:t>
      </w:r>
      <w:r w:rsidRPr="00947BF3">
        <w:rPr>
          <w:rFonts w:ascii="Arial" w:hAnsi="Arial" w:cs="Arial"/>
          <w:sz w:val="24"/>
          <w:szCs w:val="24"/>
        </w:rPr>
        <w:t> </w:t>
      </w:r>
      <w:r w:rsidRPr="00947BF3">
        <w:rPr>
          <w:rFonts w:ascii="Arial Narrow" w:hAnsi="Arial Narrow"/>
          <w:sz w:val="24"/>
          <w:szCs w:val="24"/>
        </w:rPr>
        <w:t>%) a októbri (–42,2</w:t>
      </w:r>
      <w:r w:rsidRPr="00947BF3">
        <w:rPr>
          <w:rFonts w:ascii="Arial" w:hAnsi="Arial" w:cs="Arial"/>
          <w:sz w:val="24"/>
          <w:szCs w:val="24"/>
        </w:rPr>
        <w:t> </w:t>
      </w:r>
      <w:r w:rsidRPr="00947BF3">
        <w:rPr>
          <w:rFonts w:ascii="Arial Narrow" w:hAnsi="Arial Narrow"/>
          <w:sz w:val="24"/>
          <w:szCs w:val="24"/>
        </w:rPr>
        <w:t>%) nastali prudké prepady. Ostatné druhy dopravy, ako železničná a cestná, sa vyvíjali stabilne, často bez zmeny.</w:t>
      </w:r>
    </w:p>
    <w:p w14:paraId="00F2E0DF" w14:textId="326181D4" w:rsidR="009D105A" w:rsidRDefault="00324D8B" w:rsidP="00947BF3">
      <w:pPr>
        <w:spacing w:after="160"/>
        <w:jc w:val="both"/>
        <w:rPr>
          <w:rFonts w:ascii="Arial Narrow" w:hAnsi="Arial Narrow"/>
          <w:sz w:val="24"/>
          <w:szCs w:val="24"/>
        </w:rPr>
      </w:pPr>
      <w:r w:rsidRPr="00947BF3">
        <w:rPr>
          <w:rFonts w:ascii="Arial Narrow" w:hAnsi="Arial Narrow"/>
          <w:sz w:val="24"/>
          <w:szCs w:val="24"/>
        </w:rPr>
        <w:t>Celkovo možno konštatovať, že tempo vývoja rastu cien v doprave bolo v roku 2024 vysoko volatilné a</w:t>
      </w:r>
      <w:r w:rsidR="00947BF3">
        <w:rPr>
          <w:rFonts w:ascii="Arial Narrow" w:hAnsi="Arial Narrow"/>
          <w:sz w:val="24"/>
          <w:szCs w:val="24"/>
        </w:rPr>
        <w:t> </w:t>
      </w:r>
      <w:r w:rsidRPr="00947BF3">
        <w:rPr>
          <w:rFonts w:ascii="Arial Narrow" w:hAnsi="Arial Narrow"/>
          <w:sz w:val="24"/>
          <w:szCs w:val="24"/>
        </w:rPr>
        <w:t>citlivo reagovalo na sezónne a trhové impulzy, najmä v oblasti palív a leteckej dopravy.</w:t>
      </w:r>
    </w:p>
    <w:p w14:paraId="666DD120" w14:textId="77777777" w:rsidR="000B528D" w:rsidRPr="00947BF3" w:rsidRDefault="000B528D" w:rsidP="00947BF3">
      <w:pPr>
        <w:spacing w:after="160"/>
        <w:jc w:val="both"/>
        <w:rPr>
          <w:rFonts w:ascii="Arial Narrow" w:hAnsi="Arial Narrow"/>
          <w:sz w:val="24"/>
          <w:szCs w:val="24"/>
        </w:rPr>
      </w:pPr>
    </w:p>
    <w:tbl>
      <w:tblPr>
        <w:tblW w:w="5000"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1E0" w:firstRow="1" w:lastRow="1" w:firstColumn="1" w:lastColumn="1" w:noHBand="0" w:noVBand="0"/>
      </w:tblPr>
      <w:tblGrid>
        <w:gridCol w:w="8903"/>
        <w:gridCol w:w="167"/>
      </w:tblGrid>
      <w:tr w:rsidR="00C451DB" w:rsidRPr="00866785" w14:paraId="46DAB55D" w14:textId="77777777" w:rsidTr="007272E5">
        <w:trPr>
          <w:trHeight w:val="321"/>
        </w:trPr>
        <w:tc>
          <w:tcPr>
            <w:tcW w:w="4908" w:type="pct"/>
            <w:tcBorders>
              <w:top w:val="nil"/>
              <w:left w:val="nil"/>
              <w:bottom w:val="single" w:sz="4" w:space="0" w:color="auto"/>
              <w:right w:val="nil"/>
            </w:tcBorders>
            <w:shd w:val="clear" w:color="auto" w:fill="auto"/>
            <w:vAlign w:val="center"/>
          </w:tcPr>
          <w:p w14:paraId="6198C9E0" w14:textId="588C4C03" w:rsidR="00C451DB" w:rsidRPr="00866785" w:rsidRDefault="00C451DB" w:rsidP="00947BF3">
            <w:pPr>
              <w:spacing w:after="120"/>
              <w:rPr>
                <w:rFonts w:ascii="Arial Narrow" w:hAnsi="Arial Narrow" w:cs="Arial"/>
                <w:b/>
                <w:color w:val="2C9ADC"/>
                <w:sz w:val="20"/>
                <w:szCs w:val="18"/>
              </w:rPr>
            </w:pPr>
            <w:r>
              <w:rPr>
                <w:rFonts w:ascii="Arial Narrow" w:hAnsi="Arial Narrow" w:cs="Arial"/>
                <w:b/>
                <w:color w:val="2C9ADC"/>
                <w:sz w:val="20"/>
                <w:szCs w:val="18"/>
              </w:rPr>
              <w:t xml:space="preserve">Tempo rastu cenového vývoja v segmente </w:t>
            </w:r>
            <w:r w:rsidR="001C5ADD">
              <w:rPr>
                <w:rFonts w:ascii="Arial Narrow" w:hAnsi="Arial Narrow" w:cs="Arial"/>
                <w:b/>
                <w:color w:val="2C9ADC"/>
                <w:sz w:val="20"/>
                <w:szCs w:val="18"/>
              </w:rPr>
              <w:t>poštových služieb</w:t>
            </w:r>
            <w:r w:rsidR="000464E4">
              <w:rPr>
                <w:rFonts w:ascii="Arial Narrow" w:hAnsi="Arial Narrow" w:cs="Arial"/>
                <w:b/>
                <w:color w:val="2C9ADC"/>
                <w:sz w:val="20"/>
                <w:szCs w:val="18"/>
              </w:rPr>
              <w:t xml:space="preserve"> a spojov</w:t>
            </w:r>
            <w:r>
              <w:rPr>
                <w:rFonts w:ascii="Arial Narrow" w:hAnsi="Arial Narrow" w:cs="Arial"/>
                <w:b/>
                <w:color w:val="2C9ADC"/>
                <w:sz w:val="20"/>
                <w:szCs w:val="18"/>
              </w:rPr>
              <w:t xml:space="preserve"> za rok 2024</w:t>
            </w:r>
            <w:r w:rsidR="001D7410">
              <w:rPr>
                <w:rFonts w:ascii="Arial Narrow" w:hAnsi="Arial Narrow" w:cs="Arial"/>
                <w:b/>
                <w:color w:val="2C9ADC"/>
                <w:sz w:val="20"/>
                <w:szCs w:val="18"/>
              </w:rPr>
              <w:t xml:space="preserve"> (medzimesačné zmeny v %)</w:t>
            </w:r>
          </w:p>
        </w:tc>
        <w:tc>
          <w:tcPr>
            <w:tcW w:w="92" w:type="pct"/>
            <w:tcBorders>
              <w:top w:val="nil"/>
              <w:left w:val="nil"/>
              <w:bottom w:val="nil"/>
              <w:right w:val="nil"/>
            </w:tcBorders>
            <w:shd w:val="clear" w:color="auto" w:fill="auto"/>
            <w:vAlign w:val="center"/>
          </w:tcPr>
          <w:p w14:paraId="3D8588B7" w14:textId="77777777" w:rsidR="00C451DB" w:rsidRPr="00866785" w:rsidRDefault="00C451DB" w:rsidP="00947BF3">
            <w:pPr>
              <w:spacing w:after="120"/>
              <w:rPr>
                <w:rFonts w:ascii="Arial Narrow" w:hAnsi="Arial Narrow" w:cs="Arial"/>
                <w:b/>
                <w:color w:val="2C9ADC"/>
                <w:sz w:val="20"/>
                <w:szCs w:val="18"/>
              </w:rPr>
            </w:pPr>
          </w:p>
        </w:tc>
      </w:tr>
      <w:tr w:rsidR="00C451DB" w:rsidRPr="00866785" w14:paraId="074EB255" w14:textId="77777777" w:rsidTr="00541539">
        <w:trPr>
          <w:trHeight w:val="820"/>
        </w:trPr>
        <w:tc>
          <w:tcPr>
            <w:tcW w:w="4908" w:type="pct"/>
            <w:tcBorders>
              <w:top w:val="single" w:sz="4" w:space="0" w:color="auto"/>
              <w:left w:val="nil"/>
              <w:bottom w:val="single" w:sz="4" w:space="0" w:color="auto"/>
              <w:right w:val="nil"/>
            </w:tcBorders>
            <w:vAlign w:val="center"/>
          </w:tcPr>
          <w:p w14:paraId="4F6C854E" w14:textId="5DF9BEBF" w:rsidR="00C451DB" w:rsidRPr="00866785" w:rsidRDefault="00541539" w:rsidP="00947BF3">
            <w:pPr>
              <w:spacing w:after="120"/>
              <w:jc w:val="center"/>
              <w:rPr>
                <w:rFonts w:ascii="Arial Narrow" w:hAnsi="Arial Narrow" w:cs="Arial"/>
                <w:b/>
                <w:sz w:val="20"/>
                <w:szCs w:val="20"/>
              </w:rPr>
            </w:pPr>
            <w:r>
              <w:rPr>
                <w:noProof/>
              </w:rPr>
              <w:drawing>
                <wp:inline distT="0" distB="0" distL="0" distR="0" wp14:anchorId="51178B37" wp14:editId="1254F121">
                  <wp:extent cx="5564505" cy="3338830"/>
                  <wp:effectExtent l="0" t="0" r="0" b="0"/>
                  <wp:docPr id="791780171" name="Graf 1">
                    <a:extLst xmlns:a="http://schemas.openxmlformats.org/drawingml/2006/main">
                      <a:ext uri="{FF2B5EF4-FFF2-40B4-BE49-F238E27FC236}">
                        <a16:creationId xmlns:a16="http://schemas.microsoft.com/office/drawing/2014/main" id="{2781A418-158F-779B-242F-553ABA0435C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tc>
        <w:tc>
          <w:tcPr>
            <w:tcW w:w="92" w:type="pct"/>
            <w:tcBorders>
              <w:top w:val="nil"/>
              <w:left w:val="nil"/>
              <w:bottom w:val="nil"/>
              <w:right w:val="nil"/>
            </w:tcBorders>
            <w:vAlign w:val="center"/>
          </w:tcPr>
          <w:p w14:paraId="1142D6FB" w14:textId="77777777" w:rsidR="00C451DB" w:rsidRPr="00866785" w:rsidRDefault="00C451DB" w:rsidP="00947BF3">
            <w:pPr>
              <w:spacing w:after="120"/>
              <w:jc w:val="center"/>
              <w:rPr>
                <w:rFonts w:ascii="Arial Narrow" w:hAnsi="Arial Narrow" w:cs="Arial"/>
                <w:b/>
                <w:sz w:val="20"/>
                <w:szCs w:val="20"/>
              </w:rPr>
            </w:pPr>
          </w:p>
          <w:p w14:paraId="4C3E2643" w14:textId="77777777" w:rsidR="00C451DB" w:rsidRPr="00866785" w:rsidRDefault="00C451DB" w:rsidP="00947BF3">
            <w:pPr>
              <w:spacing w:after="120"/>
              <w:jc w:val="center"/>
              <w:rPr>
                <w:rFonts w:ascii="Arial Narrow" w:hAnsi="Arial Narrow" w:cs="Arial"/>
                <w:b/>
                <w:sz w:val="20"/>
                <w:szCs w:val="20"/>
              </w:rPr>
            </w:pPr>
          </w:p>
        </w:tc>
      </w:tr>
      <w:tr w:rsidR="00C451DB" w:rsidRPr="00866785" w14:paraId="006D46FC" w14:textId="77777777" w:rsidTr="007272E5">
        <w:trPr>
          <w:trHeight w:val="104"/>
        </w:trPr>
        <w:tc>
          <w:tcPr>
            <w:tcW w:w="4908" w:type="pct"/>
            <w:tcBorders>
              <w:top w:val="single" w:sz="4" w:space="0" w:color="auto"/>
              <w:left w:val="nil"/>
              <w:bottom w:val="nil"/>
              <w:right w:val="nil"/>
            </w:tcBorders>
            <w:vAlign w:val="center"/>
          </w:tcPr>
          <w:p w14:paraId="29A8CC07" w14:textId="77777777" w:rsidR="00C451DB" w:rsidRDefault="00C451DB" w:rsidP="00947BF3">
            <w:pPr>
              <w:spacing w:after="120"/>
              <w:jc w:val="right"/>
              <w:rPr>
                <w:rFonts w:ascii="Arial Narrow" w:hAnsi="Arial Narrow" w:cs="Arial"/>
                <w:i/>
                <w:sz w:val="16"/>
                <w:szCs w:val="16"/>
              </w:rPr>
            </w:pPr>
            <w:r w:rsidRPr="00866785">
              <w:rPr>
                <w:rFonts w:ascii="Arial Narrow" w:hAnsi="Arial Narrow" w:cs="Arial"/>
                <w:i/>
                <w:sz w:val="16"/>
                <w:szCs w:val="16"/>
              </w:rPr>
              <w:t>Zdroj:</w:t>
            </w:r>
            <w:r>
              <w:rPr>
                <w:rFonts w:ascii="Arial Narrow" w:hAnsi="Arial Narrow" w:cs="Arial"/>
                <w:i/>
                <w:sz w:val="16"/>
                <w:szCs w:val="16"/>
              </w:rPr>
              <w:t xml:space="preserve"> MF SR, ŠÚ SR</w:t>
            </w:r>
          </w:p>
          <w:p w14:paraId="711C201F" w14:textId="77777777" w:rsidR="00947BF3" w:rsidRPr="00866785" w:rsidRDefault="00947BF3" w:rsidP="00947BF3">
            <w:pPr>
              <w:jc w:val="right"/>
              <w:rPr>
                <w:rFonts w:ascii="Arial Narrow" w:hAnsi="Arial Narrow" w:cs="Arial"/>
                <w:i/>
                <w:sz w:val="16"/>
                <w:szCs w:val="16"/>
              </w:rPr>
            </w:pPr>
          </w:p>
        </w:tc>
        <w:tc>
          <w:tcPr>
            <w:tcW w:w="92" w:type="pct"/>
            <w:tcBorders>
              <w:top w:val="nil"/>
              <w:left w:val="nil"/>
              <w:bottom w:val="nil"/>
              <w:right w:val="nil"/>
            </w:tcBorders>
            <w:vAlign w:val="center"/>
          </w:tcPr>
          <w:p w14:paraId="5F093CC5" w14:textId="77777777" w:rsidR="00C451DB" w:rsidRPr="00866785" w:rsidRDefault="00C451DB" w:rsidP="00947BF3">
            <w:pPr>
              <w:spacing w:after="120"/>
              <w:jc w:val="center"/>
              <w:rPr>
                <w:rFonts w:ascii="Arial Narrow" w:hAnsi="Arial Narrow" w:cs="Arial"/>
                <w:i/>
                <w:sz w:val="16"/>
                <w:szCs w:val="16"/>
              </w:rPr>
            </w:pPr>
          </w:p>
        </w:tc>
      </w:tr>
    </w:tbl>
    <w:p w14:paraId="35B3A46E" w14:textId="4221AA18" w:rsidR="001C5ADD" w:rsidRPr="00947BF3" w:rsidRDefault="001C5ADD" w:rsidP="00947BF3">
      <w:pPr>
        <w:spacing w:after="160"/>
        <w:jc w:val="both"/>
        <w:rPr>
          <w:rFonts w:ascii="Arial Narrow" w:hAnsi="Arial Narrow"/>
          <w:sz w:val="24"/>
          <w:szCs w:val="24"/>
        </w:rPr>
      </w:pPr>
      <w:r w:rsidRPr="00947BF3">
        <w:rPr>
          <w:rFonts w:ascii="Arial Narrow" w:hAnsi="Arial Narrow"/>
          <w:b/>
          <w:bCs/>
          <w:sz w:val="24"/>
          <w:szCs w:val="24"/>
        </w:rPr>
        <w:t>Tempo vývoja rastu cien v oblasti poštových služieb a spojov</w:t>
      </w:r>
      <w:r w:rsidRPr="00947BF3">
        <w:rPr>
          <w:rFonts w:ascii="Arial Narrow" w:hAnsi="Arial Narrow"/>
          <w:sz w:val="24"/>
          <w:szCs w:val="24"/>
        </w:rPr>
        <w:t xml:space="preserve"> sa v rokoch 2023 a 2024 vyznačovalo relatívne stabilným priebehom s niekoľkými výraznejšími výkyvmi. Najmarkantnejší nárast nastal v marci 2023 (+18</w:t>
      </w:r>
      <w:r w:rsidRPr="00947BF3">
        <w:rPr>
          <w:rFonts w:ascii="Arial" w:hAnsi="Arial" w:cs="Arial"/>
          <w:sz w:val="24"/>
          <w:szCs w:val="24"/>
        </w:rPr>
        <w:t> </w:t>
      </w:r>
      <w:r w:rsidRPr="00947BF3">
        <w:rPr>
          <w:rFonts w:ascii="Arial Narrow" w:hAnsi="Arial Narrow"/>
          <w:sz w:val="24"/>
          <w:szCs w:val="24"/>
        </w:rPr>
        <w:t>%) a júli 2024 (+10</w:t>
      </w:r>
      <w:r w:rsidRPr="00947BF3">
        <w:rPr>
          <w:rFonts w:ascii="Arial" w:hAnsi="Arial" w:cs="Arial"/>
          <w:sz w:val="24"/>
          <w:szCs w:val="24"/>
        </w:rPr>
        <w:t> </w:t>
      </w:r>
      <w:r w:rsidRPr="00947BF3">
        <w:rPr>
          <w:rFonts w:ascii="Arial Narrow" w:hAnsi="Arial Narrow"/>
          <w:sz w:val="24"/>
          <w:szCs w:val="24"/>
        </w:rPr>
        <w:t>%) v rámci poštových služieb, čo predstavuje jednorazové skokové úpravy cien. Vo zvyšných mesiacoch sa ceny poštových služieb nemenili a nevykazovali trendový vývoj.</w:t>
      </w:r>
    </w:p>
    <w:p w14:paraId="47B7DA24" w14:textId="77777777" w:rsidR="001C5ADD" w:rsidRPr="00947BF3" w:rsidRDefault="001C5ADD" w:rsidP="00947BF3">
      <w:pPr>
        <w:spacing w:after="160"/>
        <w:jc w:val="both"/>
        <w:rPr>
          <w:rFonts w:ascii="Arial Narrow" w:hAnsi="Arial Narrow"/>
          <w:sz w:val="24"/>
          <w:szCs w:val="24"/>
        </w:rPr>
      </w:pPr>
      <w:r w:rsidRPr="00947BF3">
        <w:rPr>
          <w:rFonts w:ascii="Arial Narrow" w:hAnsi="Arial Narrow"/>
          <w:sz w:val="24"/>
          <w:szCs w:val="24"/>
        </w:rPr>
        <w:t>V oblasti telefónnych a faxových zariadení bolo tempo vývoja rastu cien mierne a striedalo sa medzi kladnými a zápornými hodnotami. Najväčší pokles nastal v apríli 2024 (–1,2</w:t>
      </w:r>
      <w:r w:rsidRPr="00947BF3">
        <w:rPr>
          <w:rFonts w:ascii="Arial" w:hAnsi="Arial" w:cs="Arial"/>
          <w:sz w:val="24"/>
          <w:szCs w:val="24"/>
        </w:rPr>
        <w:t> </w:t>
      </w:r>
      <w:r w:rsidRPr="00947BF3">
        <w:rPr>
          <w:rFonts w:ascii="Arial Narrow" w:hAnsi="Arial Narrow"/>
          <w:sz w:val="24"/>
          <w:szCs w:val="24"/>
        </w:rPr>
        <w:t>%), kým ostatné mesiace zaznamenali len nevýrazné zmeny.</w:t>
      </w:r>
    </w:p>
    <w:p w14:paraId="73386A2C" w14:textId="77777777" w:rsidR="001C5ADD" w:rsidRPr="00947BF3" w:rsidRDefault="001C5ADD" w:rsidP="00947BF3">
      <w:pPr>
        <w:spacing w:after="160"/>
        <w:jc w:val="both"/>
        <w:rPr>
          <w:rFonts w:ascii="Arial Narrow" w:hAnsi="Arial Narrow"/>
          <w:sz w:val="24"/>
          <w:szCs w:val="24"/>
        </w:rPr>
      </w:pPr>
      <w:r w:rsidRPr="00947BF3">
        <w:rPr>
          <w:rFonts w:ascii="Arial Narrow" w:hAnsi="Arial Narrow"/>
          <w:sz w:val="24"/>
          <w:szCs w:val="24"/>
        </w:rPr>
        <w:t>Telefónne a faxové služby sa vyvíjali plynulejšie, pričom nárasty boli zaznamenané najmä v marci 2023 (+2,6</w:t>
      </w:r>
      <w:r w:rsidRPr="00947BF3">
        <w:rPr>
          <w:rFonts w:ascii="Arial" w:hAnsi="Arial" w:cs="Arial"/>
          <w:sz w:val="24"/>
          <w:szCs w:val="24"/>
        </w:rPr>
        <w:t> </w:t>
      </w:r>
      <w:r w:rsidRPr="00947BF3">
        <w:rPr>
          <w:rFonts w:ascii="Arial Narrow" w:hAnsi="Arial Narrow"/>
          <w:sz w:val="24"/>
          <w:szCs w:val="24"/>
        </w:rPr>
        <w:t>%), júli 2024 (+0,9</w:t>
      </w:r>
      <w:r w:rsidRPr="00947BF3">
        <w:rPr>
          <w:rFonts w:ascii="Arial" w:hAnsi="Arial" w:cs="Arial"/>
          <w:sz w:val="24"/>
          <w:szCs w:val="24"/>
        </w:rPr>
        <w:t> </w:t>
      </w:r>
      <w:r w:rsidRPr="00947BF3">
        <w:rPr>
          <w:rFonts w:ascii="Arial Narrow" w:hAnsi="Arial Narrow"/>
          <w:sz w:val="24"/>
          <w:szCs w:val="24"/>
        </w:rPr>
        <w:t>%) a niektorých ďalších mesiacoch s miernym prírastkom. V ostatných obdobiach tempo rastu cien ostalo minimálne alebo nulové.</w:t>
      </w:r>
    </w:p>
    <w:p w14:paraId="564E04AE" w14:textId="77777777" w:rsidR="001C5ADD" w:rsidRPr="00947BF3" w:rsidRDefault="001C5ADD" w:rsidP="00947BF3">
      <w:pPr>
        <w:spacing w:after="160"/>
        <w:jc w:val="both"/>
        <w:rPr>
          <w:rFonts w:ascii="Arial Narrow" w:hAnsi="Arial Narrow"/>
          <w:sz w:val="24"/>
          <w:szCs w:val="24"/>
        </w:rPr>
      </w:pPr>
      <w:r w:rsidRPr="00947BF3">
        <w:rPr>
          <w:rFonts w:ascii="Arial Narrow" w:hAnsi="Arial Narrow"/>
          <w:sz w:val="24"/>
          <w:szCs w:val="24"/>
        </w:rPr>
        <w:t>Celkovo možno vývoj v tejto oblasti charakterizovať ako stabilný s ojedinelými cenovými zásahmi, ktoré boli skôr výnimočné a nesledovali pravidelný trend.</w:t>
      </w:r>
    </w:p>
    <w:tbl>
      <w:tblPr>
        <w:tblW w:w="5000"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1E0" w:firstRow="1" w:lastRow="1" w:firstColumn="1" w:lastColumn="1" w:noHBand="0" w:noVBand="0"/>
      </w:tblPr>
      <w:tblGrid>
        <w:gridCol w:w="8903"/>
        <w:gridCol w:w="167"/>
      </w:tblGrid>
      <w:tr w:rsidR="004B552D" w:rsidRPr="00866785" w14:paraId="6BBF41CB" w14:textId="77777777" w:rsidTr="007272E5">
        <w:trPr>
          <w:trHeight w:val="321"/>
        </w:trPr>
        <w:tc>
          <w:tcPr>
            <w:tcW w:w="4908" w:type="pct"/>
            <w:tcBorders>
              <w:top w:val="nil"/>
              <w:left w:val="nil"/>
              <w:bottom w:val="single" w:sz="4" w:space="0" w:color="auto"/>
              <w:right w:val="nil"/>
            </w:tcBorders>
            <w:shd w:val="clear" w:color="auto" w:fill="auto"/>
            <w:vAlign w:val="center"/>
          </w:tcPr>
          <w:p w14:paraId="634DCA84" w14:textId="7B3EB2E5" w:rsidR="004B552D" w:rsidRPr="00866785" w:rsidRDefault="004B552D" w:rsidP="00947BF3">
            <w:pPr>
              <w:spacing w:after="120"/>
              <w:rPr>
                <w:rFonts w:ascii="Arial Narrow" w:hAnsi="Arial Narrow" w:cs="Arial"/>
                <w:b/>
                <w:color w:val="2C9ADC"/>
                <w:sz w:val="20"/>
                <w:szCs w:val="18"/>
              </w:rPr>
            </w:pPr>
            <w:r>
              <w:rPr>
                <w:rFonts w:ascii="Arial Narrow" w:hAnsi="Arial Narrow" w:cs="Arial"/>
                <w:b/>
                <w:color w:val="2C9ADC"/>
                <w:sz w:val="20"/>
                <w:szCs w:val="18"/>
              </w:rPr>
              <w:t xml:space="preserve">Tempo rastu cenového vývoja v segmente </w:t>
            </w:r>
            <w:r w:rsidR="00A86AC7">
              <w:rPr>
                <w:rFonts w:ascii="Arial Narrow" w:hAnsi="Arial Narrow" w:cs="Arial"/>
                <w:b/>
                <w:color w:val="2C9ADC"/>
                <w:sz w:val="20"/>
                <w:szCs w:val="18"/>
              </w:rPr>
              <w:t>rekreácie a kultúry</w:t>
            </w:r>
            <w:r>
              <w:rPr>
                <w:rFonts w:ascii="Arial Narrow" w:hAnsi="Arial Narrow" w:cs="Arial"/>
                <w:b/>
                <w:color w:val="2C9ADC"/>
                <w:sz w:val="20"/>
                <w:szCs w:val="18"/>
              </w:rPr>
              <w:t xml:space="preserve"> za rok 2024</w:t>
            </w:r>
            <w:r w:rsidR="001D7410">
              <w:rPr>
                <w:rFonts w:ascii="Arial Narrow" w:hAnsi="Arial Narrow" w:cs="Arial"/>
                <w:b/>
                <w:color w:val="2C9ADC"/>
                <w:sz w:val="20"/>
                <w:szCs w:val="18"/>
              </w:rPr>
              <w:t xml:space="preserve"> (medzimesačné zmeny v %)</w:t>
            </w:r>
          </w:p>
        </w:tc>
        <w:tc>
          <w:tcPr>
            <w:tcW w:w="92" w:type="pct"/>
            <w:tcBorders>
              <w:top w:val="nil"/>
              <w:left w:val="nil"/>
              <w:bottom w:val="nil"/>
              <w:right w:val="nil"/>
            </w:tcBorders>
            <w:shd w:val="clear" w:color="auto" w:fill="auto"/>
            <w:vAlign w:val="center"/>
          </w:tcPr>
          <w:p w14:paraId="3A5F0E95" w14:textId="77777777" w:rsidR="004B552D" w:rsidRPr="00866785" w:rsidRDefault="004B552D" w:rsidP="00947BF3">
            <w:pPr>
              <w:spacing w:after="120"/>
              <w:rPr>
                <w:rFonts w:ascii="Arial Narrow" w:hAnsi="Arial Narrow" w:cs="Arial"/>
                <w:b/>
                <w:color w:val="2C9ADC"/>
                <w:sz w:val="20"/>
                <w:szCs w:val="18"/>
              </w:rPr>
            </w:pPr>
          </w:p>
        </w:tc>
      </w:tr>
      <w:tr w:rsidR="004B552D" w:rsidRPr="00866785" w14:paraId="74E1985A" w14:textId="77777777" w:rsidTr="00996362">
        <w:trPr>
          <w:trHeight w:val="820"/>
        </w:trPr>
        <w:tc>
          <w:tcPr>
            <w:tcW w:w="4908" w:type="pct"/>
            <w:tcBorders>
              <w:top w:val="single" w:sz="4" w:space="0" w:color="auto"/>
              <w:left w:val="nil"/>
              <w:bottom w:val="single" w:sz="4" w:space="0" w:color="auto"/>
              <w:right w:val="nil"/>
            </w:tcBorders>
            <w:vAlign w:val="center"/>
          </w:tcPr>
          <w:p w14:paraId="234BF685" w14:textId="78F896C0" w:rsidR="004B552D" w:rsidRPr="00866785" w:rsidRDefault="00996362" w:rsidP="00947BF3">
            <w:pPr>
              <w:spacing w:after="120"/>
              <w:jc w:val="center"/>
              <w:rPr>
                <w:rFonts w:ascii="Arial Narrow" w:hAnsi="Arial Narrow" w:cs="Arial"/>
                <w:b/>
                <w:sz w:val="20"/>
                <w:szCs w:val="20"/>
              </w:rPr>
            </w:pPr>
            <w:r>
              <w:rPr>
                <w:noProof/>
              </w:rPr>
              <w:drawing>
                <wp:inline distT="0" distB="0" distL="0" distR="0" wp14:anchorId="73BC2DC5" wp14:editId="50920936">
                  <wp:extent cx="5564505" cy="3338830"/>
                  <wp:effectExtent l="0" t="0" r="0" b="0"/>
                  <wp:docPr id="1910972072" name="Graf 1">
                    <a:extLst xmlns:a="http://schemas.openxmlformats.org/drawingml/2006/main">
                      <a:ext uri="{FF2B5EF4-FFF2-40B4-BE49-F238E27FC236}">
                        <a16:creationId xmlns:a16="http://schemas.microsoft.com/office/drawing/2014/main" id="{C06BBF3F-81D1-CE5D-1B02-58C97160043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tc>
        <w:tc>
          <w:tcPr>
            <w:tcW w:w="92" w:type="pct"/>
            <w:tcBorders>
              <w:top w:val="nil"/>
              <w:left w:val="nil"/>
              <w:bottom w:val="nil"/>
              <w:right w:val="nil"/>
            </w:tcBorders>
            <w:vAlign w:val="center"/>
          </w:tcPr>
          <w:p w14:paraId="343D03D7" w14:textId="77777777" w:rsidR="004B552D" w:rsidRPr="00866785" w:rsidRDefault="004B552D" w:rsidP="00947BF3">
            <w:pPr>
              <w:spacing w:after="120"/>
              <w:jc w:val="center"/>
              <w:rPr>
                <w:rFonts w:ascii="Arial Narrow" w:hAnsi="Arial Narrow" w:cs="Arial"/>
                <w:b/>
                <w:sz w:val="20"/>
                <w:szCs w:val="20"/>
              </w:rPr>
            </w:pPr>
          </w:p>
          <w:p w14:paraId="23C91970" w14:textId="77777777" w:rsidR="004B552D" w:rsidRPr="00866785" w:rsidRDefault="004B552D" w:rsidP="00947BF3">
            <w:pPr>
              <w:spacing w:after="120"/>
              <w:jc w:val="center"/>
              <w:rPr>
                <w:rFonts w:ascii="Arial Narrow" w:hAnsi="Arial Narrow" w:cs="Arial"/>
                <w:b/>
                <w:sz w:val="20"/>
                <w:szCs w:val="20"/>
              </w:rPr>
            </w:pPr>
          </w:p>
        </w:tc>
      </w:tr>
      <w:tr w:rsidR="004B552D" w:rsidRPr="00866785" w14:paraId="323FB4A1" w14:textId="77777777" w:rsidTr="007272E5">
        <w:trPr>
          <w:trHeight w:val="104"/>
        </w:trPr>
        <w:tc>
          <w:tcPr>
            <w:tcW w:w="4908" w:type="pct"/>
            <w:tcBorders>
              <w:top w:val="single" w:sz="4" w:space="0" w:color="auto"/>
              <w:left w:val="nil"/>
              <w:bottom w:val="nil"/>
              <w:right w:val="nil"/>
            </w:tcBorders>
            <w:vAlign w:val="center"/>
          </w:tcPr>
          <w:p w14:paraId="7909E691" w14:textId="77777777" w:rsidR="004B552D" w:rsidRDefault="004B552D" w:rsidP="00947BF3">
            <w:pPr>
              <w:spacing w:after="120"/>
              <w:jc w:val="right"/>
              <w:rPr>
                <w:rFonts w:ascii="Arial Narrow" w:hAnsi="Arial Narrow" w:cs="Arial"/>
                <w:i/>
                <w:sz w:val="16"/>
                <w:szCs w:val="16"/>
              </w:rPr>
            </w:pPr>
            <w:r w:rsidRPr="00866785">
              <w:rPr>
                <w:rFonts w:ascii="Arial Narrow" w:hAnsi="Arial Narrow" w:cs="Arial"/>
                <w:i/>
                <w:sz w:val="16"/>
                <w:szCs w:val="16"/>
              </w:rPr>
              <w:t>Zdroj:</w:t>
            </w:r>
            <w:r>
              <w:rPr>
                <w:rFonts w:ascii="Arial Narrow" w:hAnsi="Arial Narrow" w:cs="Arial"/>
                <w:i/>
                <w:sz w:val="16"/>
                <w:szCs w:val="16"/>
              </w:rPr>
              <w:t xml:space="preserve"> MF SR, ŠÚ SR</w:t>
            </w:r>
          </w:p>
          <w:p w14:paraId="0D9EBD85" w14:textId="77777777" w:rsidR="000B528D" w:rsidRPr="00866785" w:rsidRDefault="000B528D" w:rsidP="000B528D">
            <w:pPr>
              <w:jc w:val="right"/>
              <w:rPr>
                <w:rFonts w:ascii="Arial Narrow" w:hAnsi="Arial Narrow" w:cs="Arial"/>
                <w:i/>
                <w:sz w:val="16"/>
                <w:szCs w:val="16"/>
              </w:rPr>
            </w:pPr>
          </w:p>
        </w:tc>
        <w:tc>
          <w:tcPr>
            <w:tcW w:w="92" w:type="pct"/>
            <w:tcBorders>
              <w:top w:val="nil"/>
              <w:left w:val="nil"/>
              <w:bottom w:val="nil"/>
              <w:right w:val="nil"/>
            </w:tcBorders>
            <w:vAlign w:val="center"/>
          </w:tcPr>
          <w:p w14:paraId="1DD93E82" w14:textId="77777777" w:rsidR="004B552D" w:rsidRPr="00866785" w:rsidRDefault="004B552D" w:rsidP="00947BF3">
            <w:pPr>
              <w:spacing w:after="120"/>
              <w:jc w:val="center"/>
              <w:rPr>
                <w:rFonts w:ascii="Arial Narrow" w:hAnsi="Arial Narrow" w:cs="Arial"/>
                <w:i/>
                <w:sz w:val="16"/>
                <w:szCs w:val="16"/>
              </w:rPr>
            </w:pPr>
          </w:p>
        </w:tc>
      </w:tr>
    </w:tbl>
    <w:p w14:paraId="3969409F" w14:textId="4801B1CF" w:rsidR="00A044D3" w:rsidRPr="000B528D" w:rsidRDefault="00A044D3" w:rsidP="00947BF3">
      <w:pPr>
        <w:spacing w:after="160"/>
        <w:jc w:val="both"/>
        <w:rPr>
          <w:rFonts w:ascii="Arial Narrow" w:hAnsi="Arial Narrow"/>
          <w:sz w:val="24"/>
          <w:szCs w:val="24"/>
        </w:rPr>
      </w:pPr>
      <w:r w:rsidRPr="000B528D">
        <w:rPr>
          <w:rFonts w:ascii="Arial Narrow" w:hAnsi="Arial Narrow"/>
          <w:b/>
          <w:bCs/>
          <w:sz w:val="24"/>
          <w:szCs w:val="24"/>
        </w:rPr>
        <w:t>Tempo vývoja cien v segmente rekreácie a kultúry</w:t>
      </w:r>
      <w:r w:rsidRPr="000B528D">
        <w:rPr>
          <w:rFonts w:ascii="Arial Narrow" w:hAnsi="Arial Narrow"/>
          <w:sz w:val="24"/>
          <w:szCs w:val="24"/>
        </w:rPr>
        <w:t xml:space="preserve"> počas roku 2024 bolo charakteristické miernym rastom, ktorý bol ovplyvnený sezónnymi výkyvmi. Najvýraznejšie zmeny zaznamenali služby a</w:t>
      </w:r>
      <w:r w:rsidR="000B528D">
        <w:rPr>
          <w:rFonts w:ascii="Arial Narrow" w:hAnsi="Arial Narrow"/>
          <w:sz w:val="24"/>
          <w:szCs w:val="24"/>
        </w:rPr>
        <w:t> </w:t>
      </w:r>
      <w:r w:rsidRPr="000B528D">
        <w:rPr>
          <w:rFonts w:ascii="Arial Narrow" w:hAnsi="Arial Narrow"/>
          <w:sz w:val="24"/>
          <w:szCs w:val="24"/>
        </w:rPr>
        <w:t>organizované dovolenkové zájazdy, ktoré vykazovali výraznú sezónnosť, zatiaľ čo technické zariadenia a tlačoviny mali prevažne stabilný alebo mierne klesajúci cenový vývoj.</w:t>
      </w:r>
    </w:p>
    <w:p w14:paraId="15E0E80F" w14:textId="77777777" w:rsidR="00A044D3" w:rsidRPr="000B528D" w:rsidRDefault="00A044D3" w:rsidP="00947BF3">
      <w:pPr>
        <w:spacing w:after="160"/>
        <w:jc w:val="both"/>
        <w:rPr>
          <w:rFonts w:ascii="Arial Narrow" w:hAnsi="Arial Narrow"/>
          <w:sz w:val="24"/>
          <w:szCs w:val="24"/>
        </w:rPr>
      </w:pPr>
      <w:r w:rsidRPr="000B528D">
        <w:rPr>
          <w:rFonts w:ascii="Arial Narrow" w:hAnsi="Arial Narrow"/>
          <w:sz w:val="24"/>
          <w:szCs w:val="24"/>
        </w:rPr>
        <w:t>Audiovizuálna technika a zariadenia na spracovanie informácií zaznamenali počas väčšiny roka pokles cien, najmä v mesiacoch máj (–1,6</w:t>
      </w:r>
      <w:r w:rsidRPr="000B528D">
        <w:rPr>
          <w:rFonts w:ascii="Arial" w:hAnsi="Arial" w:cs="Arial"/>
          <w:sz w:val="24"/>
          <w:szCs w:val="24"/>
        </w:rPr>
        <w:t> </w:t>
      </w:r>
      <w:r w:rsidRPr="000B528D">
        <w:rPr>
          <w:rFonts w:ascii="Arial Narrow" w:hAnsi="Arial Narrow"/>
          <w:sz w:val="24"/>
          <w:szCs w:val="24"/>
        </w:rPr>
        <w:t>%) a júl (–1,9</w:t>
      </w:r>
      <w:r w:rsidRPr="000B528D">
        <w:rPr>
          <w:rFonts w:ascii="Arial" w:hAnsi="Arial" w:cs="Arial"/>
          <w:sz w:val="24"/>
          <w:szCs w:val="24"/>
        </w:rPr>
        <w:t> </w:t>
      </w:r>
      <w:r w:rsidRPr="000B528D">
        <w:rPr>
          <w:rFonts w:ascii="Arial Narrow" w:hAnsi="Arial Narrow"/>
          <w:sz w:val="24"/>
          <w:szCs w:val="24"/>
        </w:rPr>
        <w:t>%), pričom mierne nárasty boli viditeľné pred sviatkami v decembri (+0,8</w:t>
      </w:r>
      <w:r w:rsidRPr="000B528D">
        <w:rPr>
          <w:rFonts w:ascii="Arial" w:hAnsi="Arial" w:cs="Arial"/>
          <w:sz w:val="24"/>
          <w:szCs w:val="24"/>
        </w:rPr>
        <w:t> </w:t>
      </w:r>
      <w:r w:rsidRPr="000B528D">
        <w:rPr>
          <w:rFonts w:ascii="Arial Narrow" w:hAnsi="Arial Narrow"/>
          <w:sz w:val="24"/>
          <w:szCs w:val="24"/>
        </w:rPr>
        <w:t>%). Významné cenové výkyvy boli taktiež zaznamenané pri hrách, hračkách a potrebách pre záhradu a domáce zvieratá. Ceny veterinárnych služieb v novembri 2024 vzrástli výrazne o +5,8</w:t>
      </w:r>
      <w:r w:rsidRPr="000B528D">
        <w:rPr>
          <w:rFonts w:ascii="Arial" w:hAnsi="Arial" w:cs="Arial"/>
          <w:sz w:val="24"/>
          <w:szCs w:val="24"/>
        </w:rPr>
        <w:t> </w:t>
      </w:r>
      <w:r w:rsidRPr="000B528D">
        <w:rPr>
          <w:rFonts w:ascii="Arial Narrow" w:hAnsi="Arial Narrow"/>
          <w:sz w:val="24"/>
          <w:szCs w:val="24"/>
        </w:rPr>
        <w:t>%, zatiaľ čo ceny ostatných položiek v tejto skupine vykazovali značnú volatilitu.</w:t>
      </w:r>
    </w:p>
    <w:p w14:paraId="7033482F" w14:textId="5305853B" w:rsidR="00A044D3" w:rsidRPr="000B528D" w:rsidRDefault="00A044D3" w:rsidP="00947BF3">
      <w:pPr>
        <w:spacing w:after="160"/>
        <w:jc w:val="both"/>
        <w:rPr>
          <w:rFonts w:ascii="Arial Narrow" w:hAnsi="Arial Narrow"/>
          <w:sz w:val="24"/>
          <w:szCs w:val="24"/>
        </w:rPr>
      </w:pPr>
      <w:r w:rsidRPr="000B528D">
        <w:rPr>
          <w:rFonts w:ascii="Arial Narrow" w:hAnsi="Arial Narrow"/>
          <w:sz w:val="24"/>
          <w:szCs w:val="24"/>
        </w:rPr>
        <w:t>Rekreačné a kultúrne služby rástli priebežne počas roka, s najvyššími nárastmi v decembri (+4,3</w:t>
      </w:r>
      <w:r w:rsidRPr="000B528D">
        <w:rPr>
          <w:rFonts w:ascii="Arial" w:hAnsi="Arial" w:cs="Arial"/>
          <w:sz w:val="24"/>
          <w:szCs w:val="24"/>
        </w:rPr>
        <w:t> </w:t>
      </w:r>
      <w:r w:rsidRPr="000B528D">
        <w:rPr>
          <w:rFonts w:ascii="Arial Narrow" w:hAnsi="Arial Narrow"/>
          <w:sz w:val="24"/>
          <w:szCs w:val="24"/>
        </w:rPr>
        <w:t>%) a</w:t>
      </w:r>
      <w:r w:rsidR="000B528D">
        <w:rPr>
          <w:rFonts w:ascii="Arial Narrow" w:hAnsi="Arial Narrow"/>
          <w:sz w:val="24"/>
          <w:szCs w:val="24"/>
        </w:rPr>
        <w:t> </w:t>
      </w:r>
      <w:r w:rsidRPr="000B528D">
        <w:rPr>
          <w:rFonts w:ascii="Arial Narrow" w:hAnsi="Arial Narrow"/>
          <w:sz w:val="24"/>
          <w:szCs w:val="24"/>
        </w:rPr>
        <w:t>miernejším rastom v júli (+0,8</w:t>
      </w:r>
      <w:r w:rsidRPr="000B528D">
        <w:rPr>
          <w:rFonts w:ascii="Arial" w:hAnsi="Arial" w:cs="Arial"/>
          <w:sz w:val="24"/>
          <w:szCs w:val="24"/>
        </w:rPr>
        <w:t> </w:t>
      </w:r>
      <w:r w:rsidRPr="000B528D">
        <w:rPr>
          <w:rFonts w:ascii="Arial Narrow" w:hAnsi="Arial Narrow"/>
          <w:sz w:val="24"/>
          <w:szCs w:val="24"/>
        </w:rPr>
        <w:t>%). Tlačoviny a knihy si udržiavali cenovú stabilitu, s výnimkou októbra, kedy ceny kníh vzrástli o +3,4</w:t>
      </w:r>
      <w:r w:rsidRPr="000B528D">
        <w:rPr>
          <w:rFonts w:ascii="Arial" w:hAnsi="Arial" w:cs="Arial"/>
          <w:sz w:val="24"/>
          <w:szCs w:val="24"/>
        </w:rPr>
        <w:t> </w:t>
      </w:r>
      <w:r w:rsidRPr="000B528D">
        <w:rPr>
          <w:rFonts w:ascii="Arial Narrow" w:hAnsi="Arial Narrow"/>
          <w:sz w:val="24"/>
          <w:szCs w:val="24"/>
        </w:rPr>
        <w:t>%. Vývoj cien organizovaných dovolenkových zájazdov bol výrazne sezónny – počas letných mesiacov došlo k prudkému nárastu (+8,2</w:t>
      </w:r>
      <w:r w:rsidRPr="000B528D">
        <w:rPr>
          <w:rFonts w:ascii="Arial" w:hAnsi="Arial" w:cs="Arial"/>
          <w:sz w:val="24"/>
          <w:szCs w:val="24"/>
        </w:rPr>
        <w:t> </w:t>
      </w:r>
      <w:r w:rsidRPr="000B528D">
        <w:rPr>
          <w:rFonts w:ascii="Arial Narrow" w:hAnsi="Arial Narrow"/>
          <w:sz w:val="24"/>
          <w:szCs w:val="24"/>
        </w:rPr>
        <w:t>% v júli), zatiaľ čo po sezóne nasledoval pokles (–5,6</w:t>
      </w:r>
      <w:r w:rsidRPr="000B528D">
        <w:rPr>
          <w:rFonts w:ascii="Arial" w:hAnsi="Arial" w:cs="Arial"/>
          <w:sz w:val="24"/>
          <w:szCs w:val="24"/>
        </w:rPr>
        <w:t> </w:t>
      </w:r>
      <w:r w:rsidRPr="000B528D">
        <w:rPr>
          <w:rFonts w:ascii="Arial Narrow" w:hAnsi="Arial Narrow"/>
          <w:sz w:val="24"/>
          <w:szCs w:val="24"/>
        </w:rPr>
        <w:t>% v septembri).</w:t>
      </w:r>
    </w:p>
    <w:p w14:paraId="7A6530E0" w14:textId="77777777" w:rsidR="00A044D3" w:rsidRPr="000B528D" w:rsidRDefault="00A044D3" w:rsidP="00947BF3">
      <w:pPr>
        <w:spacing w:after="160"/>
        <w:jc w:val="both"/>
        <w:rPr>
          <w:rFonts w:ascii="Arial Narrow" w:hAnsi="Arial Narrow"/>
          <w:sz w:val="24"/>
          <w:szCs w:val="24"/>
        </w:rPr>
      </w:pPr>
      <w:r w:rsidRPr="000B528D">
        <w:rPr>
          <w:rFonts w:ascii="Arial Narrow" w:hAnsi="Arial Narrow"/>
          <w:sz w:val="24"/>
          <w:szCs w:val="24"/>
        </w:rPr>
        <w:t>Celkovo je segment rekreácie a kultúry charakteristický premenlivým cenovým vývojom, ktorý odráža sezónny dopyt, štruktúru výdavkov domácností a dostupnosť služieb počas prázdnin a sviatkov.</w:t>
      </w:r>
    </w:p>
    <w:p w14:paraId="40926E67" w14:textId="77777777" w:rsidR="005A40AD" w:rsidRDefault="005A40AD" w:rsidP="00947BF3">
      <w:pPr>
        <w:spacing w:after="160"/>
        <w:jc w:val="both"/>
        <w:rPr>
          <w:rFonts w:ascii="Arial Narrow" w:eastAsia="Arial Narrow" w:hAnsi="Arial Narrow" w:cs="Arial Narrow"/>
          <w:sz w:val="24"/>
          <w:szCs w:val="24"/>
        </w:rPr>
      </w:pPr>
    </w:p>
    <w:p w14:paraId="6AA4B892" w14:textId="77777777" w:rsidR="000B528D" w:rsidRDefault="000B528D" w:rsidP="00947BF3">
      <w:pPr>
        <w:spacing w:after="160"/>
        <w:jc w:val="both"/>
        <w:rPr>
          <w:rFonts w:ascii="Arial Narrow" w:eastAsia="Arial Narrow" w:hAnsi="Arial Narrow" w:cs="Arial Narrow"/>
          <w:sz w:val="24"/>
          <w:szCs w:val="24"/>
        </w:rPr>
      </w:pPr>
    </w:p>
    <w:p w14:paraId="21AFF897" w14:textId="77777777" w:rsidR="000B528D" w:rsidRDefault="000B528D" w:rsidP="00947BF3">
      <w:pPr>
        <w:spacing w:after="160"/>
        <w:jc w:val="both"/>
        <w:rPr>
          <w:rFonts w:ascii="Arial Narrow" w:eastAsia="Arial Narrow" w:hAnsi="Arial Narrow" w:cs="Arial Narrow"/>
          <w:sz w:val="24"/>
          <w:szCs w:val="24"/>
        </w:rPr>
      </w:pPr>
    </w:p>
    <w:tbl>
      <w:tblPr>
        <w:tblW w:w="5000"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1E0" w:firstRow="1" w:lastRow="1" w:firstColumn="1" w:lastColumn="1" w:noHBand="0" w:noVBand="0"/>
      </w:tblPr>
      <w:tblGrid>
        <w:gridCol w:w="8903"/>
        <w:gridCol w:w="167"/>
      </w:tblGrid>
      <w:tr w:rsidR="005A40AD" w:rsidRPr="00866785" w14:paraId="5271BA93" w14:textId="77777777" w:rsidTr="007272E5">
        <w:trPr>
          <w:trHeight w:val="321"/>
        </w:trPr>
        <w:tc>
          <w:tcPr>
            <w:tcW w:w="4908" w:type="pct"/>
            <w:tcBorders>
              <w:top w:val="nil"/>
              <w:left w:val="nil"/>
              <w:bottom w:val="single" w:sz="4" w:space="0" w:color="auto"/>
              <w:right w:val="nil"/>
            </w:tcBorders>
            <w:shd w:val="clear" w:color="auto" w:fill="auto"/>
            <w:vAlign w:val="center"/>
          </w:tcPr>
          <w:p w14:paraId="7419B7A9" w14:textId="6FA7F1FB" w:rsidR="005A40AD" w:rsidRPr="00866785" w:rsidRDefault="005A40AD" w:rsidP="00947BF3">
            <w:pPr>
              <w:spacing w:after="120"/>
              <w:rPr>
                <w:rFonts w:ascii="Arial Narrow" w:hAnsi="Arial Narrow" w:cs="Arial"/>
                <w:b/>
                <w:color w:val="2C9ADC"/>
                <w:sz w:val="20"/>
                <w:szCs w:val="18"/>
              </w:rPr>
            </w:pPr>
            <w:r>
              <w:rPr>
                <w:rFonts w:ascii="Arial Narrow" w:hAnsi="Arial Narrow" w:cs="Arial"/>
                <w:b/>
                <w:color w:val="2C9ADC"/>
                <w:sz w:val="20"/>
                <w:szCs w:val="18"/>
              </w:rPr>
              <w:t xml:space="preserve">Tempo rastu cenového vývoja v segmente </w:t>
            </w:r>
            <w:r w:rsidR="00384B19">
              <w:rPr>
                <w:rFonts w:ascii="Arial Narrow" w:hAnsi="Arial Narrow" w:cs="Arial"/>
                <w:b/>
                <w:color w:val="2C9ADC"/>
                <w:sz w:val="20"/>
                <w:szCs w:val="18"/>
              </w:rPr>
              <w:t>vzdelávania</w:t>
            </w:r>
            <w:r>
              <w:rPr>
                <w:rFonts w:ascii="Arial Narrow" w:hAnsi="Arial Narrow" w:cs="Arial"/>
                <w:b/>
                <w:color w:val="2C9ADC"/>
                <w:sz w:val="20"/>
                <w:szCs w:val="18"/>
              </w:rPr>
              <w:t xml:space="preserve"> za rok 2024</w:t>
            </w:r>
            <w:r w:rsidR="001D7410">
              <w:rPr>
                <w:rFonts w:ascii="Arial Narrow" w:hAnsi="Arial Narrow" w:cs="Arial"/>
                <w:b/>
                <w:color w:val="2C9ADC"/>
                <w:sz w:val="20"/>
                <w:szCs w:val="18"/>
              </w:rPr>
              <w:t xml:space="preserve"> (medzimesačné zmeny v %)</w:t>
            </w:r>
          </w:p>
        </w:tc>
        <w:tc>
          <w:tcPr>
            <w:tcW w:w="92" w:type="pct"/>
            <w:tcBorders>
              <w:top w:val="nil"/>
              <w:left w:val="nil"/>
              <w:bottom w:val="nil"/>
              <w:right w:val="nil"/>
            </w:tcBorders>
            <w:shd w:val="clear" w:color="auto" w:fill="auto"/>
            <w:vAlign w:val="center"/>
          </w:tcPr>
          <w:p w14:paraId="19A7B905" w14:textId="77777777" w:rsidR="005A40AD" w:rsidRPr="00866785" w:rsidRDefault="005A40AD" w:rsidP="00947BF3">
            <w:pPr>
              <w:spacing w:after="120"/>
              <w:rPr>
                <w:rFonts w:ascii="Arial Narrow" w:hAnsi="Arial Narrow" w:cs="Arial"/>
                <w:b/>
                <w:color w:val="2C9ADC"/>
                <w:sz w:val="20"/>
                <w:szCs w:val="18"/>
              </w:rPr>
            </w:pPr>
          </w:p>
        </w:tc>
      </w:tr>
      <w:tr w:rsidR="005A40AD" w:rsidRPr="00866785" w14:paraId="320506D6" w14:textId="77777777" w:rsidTr="00B53822">
        <w:trPr>
          <w:trHeight w:val="820"/>
        </w:trPr>
        <w:tc>
          <w:tcPr>
            <w:tcW w:w="4908" w:type="pct"/>
            <w:tcBorders>
              <w:top w:val="single" w:sz="4" w:space="0" w:color="auto"/>
              <w:left w:val="nil"/>
              <w:bottom w:val="single" w:sz="4" w:space="0" w:color="auto"/>
              <w:right w:val="nil"/>
            </w:tcBorders>
            <w:vAlign w:val="center"/>
          </w:tcPr>
          <w:p w14:paraId="700F775C" w14:textId="539B8FD1" w:rsidR="005A40AD" w:rsidRPr="00866785" w:rsidRDefault="00B53822" w:rsidP="00947BF3">
            <w:pPr>
              <w:spacing w:after="120"/>
              <w:jc w:val="center"/>
              <w:rPr>
                <w:rFonts w:ascii="Arial Narrow" w:hAnsi="Arial Narrow" w:cs="Arial"/>
                <w:b/>
                <w:sz w:val="20"/>
                <w:szCs w:val="20"/>
              </w:rPr>
            </w:pPr>
            <w:r>
              <w:rPr>
                <w:noProof/>
              </w:rPr>
              <w:drawing>
                <wp:inline distT="0" distB="0" distL="0" distR="0" wp14:anchorId="11E92EF4" wp14:editId="084B6403">
                  <wp:extent cx="5564505" cy="3338830"/>
                  <wp:effectExtent l="0" t="0" r="0" b="0"/>
                  <wp:docPr id="1999125494" name="Graf 1">
                    <a:extLst xmlns:a="http://schemas.openxmlformats.org/drawingml/2006/main">
                      <a:ext uri="{FF2B5EF4-FFF2-40B4-BE49-F238E27FC236}">
                        <a16:creationId xmlns:a16="http://schemas.microsoft.com/office/drawing/2014/main" id="{7300F1AF-3CD6-6EAD-7592-F140D3ED4D6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tc>
        <w:tc>
          <w:tcPr>
            <w:tcW w:w="92" w:type="pct"/>
            <w:tcBorders>
              <w:top w:val="nil"/>
              <w:left w:val="nil"/>
              <w:bottom w:val="nil"/>
              <w:right w:val="nil"/>
            </w:tcBorders>
            <w:vAlign w:val="center"/>
          </w:tcPr>
          <w:p w14:paraId="1C62FC16" w14:textId="77777777" w:rsidR="005A40AD" w:rsidRPr="00866785" w:rsidRDefault="005A40AD" w:rsidP="00947BF3">
            <w:pPr>
              <w:spacing w:after="120"/>
              <w:jc w:val="center"/>
              <w:rPr>
                <w:rFonts w:ascii="Arial Narrow" w:hAnsi="Arial Narrow" w:cs="Arial"/>
                <w:b/>
                <w:sz w:val="20"/>
                <w:szCs w:val="20"/>
              </w:rPr>
            </w:pPr>
          </w:p>
          <w:p w14:paraId="1C6D8E9E" w14:textId="77777777" w:rsidR="005A40AD" w:rsidRPr="00866785" w:rsidRDefault="005A40AD" w:rsidP="00947BF3">
            <w:pPr>
              <w:spacing w:after="120"/>
              <w:jc w:val="center"/>
              <w:rPr>
                <w:rFonts w:ascii="Arial Narrow" w:hAnsi="Arial Narrow" w:cs="Arial"/>
                <w:b/>
                <w:sz w:val="20"/>
                <w:szCs w:val="20"/>
              </w:rPr>
            </w:pPr>
          </w:p>
        </w:tc>
      </w:tr>
      <w:tr w:rsidR="005A40AD" w:rsidRPr="00866785" w14:paraId="6A43C92A" w14:textId="77777777" w:rsidTr="007272E5">
        <w:trPr>
          <w:trHeight w:val="104"/>
        </w:trPr>
        <w:tc>
          <w:tcPr>
            <w:tcW w:w="4908" w:type="pct"/>
            <w:tcBorders>
              <w:top w:val="single" w:sz="4" w:space="0" w:color="auto"/>
              <w:left w:val="nil"/>
              <w:bottom w:val="nil"/>
              <w:right w:val="nil"/>
            </w:tcBorders>
            <w:vAlign w:val="center"/>
          </w:tcPr>
          <w:p w14:paraId="3F5A8ED0" w14:textId="77777777" w:rsidR="005A40AD" w:rsidRDefault="005A40AD" w:rsidP="00947BF3">
            <w:pPr>
              <w:spacing w:after="120"/>
              <w:jc w:val="right"/>
              <w:rPr>
                <w:rFonts w:ascii="Arial Narrow" w:hAnsi="Arial Narrow" w:cs="Arial"/>
                <w:i/>
                <w:sz w:val="16"/>
                <w:szCs w:val="16"/>
              </w:rPr>
            </w:pPr>
            <w:r w:rsidRPr="00866785">
              <w:rPr>
                <w:rFonts w:ascii="Arial Narrow" w:hAnsi="Arial Narrow" w:cs="Arial"/>
                <w:i/>
                <w:sz w:val="16"/>
                <w:szCs w:val="16"/>
              </w:rPr>
              <w:t>Zdroj:</w:t>
            </w:r>
            <w:r>
              <w:rPr>
                <w:rFonts w:ascii="Arial Narrow" w:hAnsi="Arial Narrow" w:cs="Arial"/>
                <w:i/>
                <w:sz w:val="16"/>
                <w:szCs w:val="16"/>
              </w:rPr>
              <w:t xml:space="preserve"> MF SR, ŠÚ SR</w:t>
            </w:r>
          </w:p>
          <w:p w14:paraId="05E40581" w14:textId="77777777" w:rsidR="000B528D" w:rsidRPr="00866785" w:rsidRDefault="000B528D" w:rsidP="000B528D">
            <w:pPr>
              <w:jc w:val="right"/>
              <w:rPr>
                <w:rFonts w:ascii="Arial Narrow" w:hAnsi="Arial Narrow" w:cs="Arial"/>
                <w:i/>
                <w:sz w:val="16"/>
                <w:szCs w:val="16"/>
              </w:rPr>
            </w:pPr>
          </w:p>
        </w:tc>
        <w:tc>
          <w:tcPr>
            <w:tcW w:w="92" w:type="pct"/>
            <w:tcBorders>
              <w:top w:val="nil"/>
              <w:left w:val="nil"/>
              <w:bottom w:val="nil"/>
              <w:right w:val="nil"/>
            </w:tcBorders>
            <w:vAlign w:val="center"/>
          </w:tcPr>
          <w:p w14:paraId="17B3DD76" w14:textId="77777777" w:rsidR="005A40AD" w:rsidRPr="00866785" w:rsidRDefault="005A40AD" w:rsidP="00947BF3">
            <w:pPr>
              <w:spacing w:after="120"/>
              <w:jc w:val="center"/>
              <w:rPr>
                <w:rFonts w:ascii="Arial Narrow" w:hAnsi="Arial Narrow" w:cs="Arial"/>
                <w:i/>
                <w:sz w:val="16"/>
                <w:szCs w:val="16"/>
              </w:rPr>
            </w:pPr>
          </w:p>
        </w:tc>
      </w:tr>
    </w:tbl>
    <w:p w14:paraId="31F04E45" w14:textId="3C138A53" w:rsidR="00340615" w:rsidRPr="000B528D" w:rsidRDefault="00340615" w:rsidP="00947BF3">
      <w:pPr>
        <w:spacing w:after="160"/>
        <w:jc w:val="both"/>
        <w:rPr>
          <w:rFonts w:ascii="Arial Narrow" w:hAnsi="Arial Narrow"/>
          <w:sz w:val="24"/>
          <w:szCs w:val="24"/>
        </w:rPr>
      </w:pPr>
      <w:r w:rsidRPr="0005277D">
        <w:rPr>
          <w:rFonts w:ascii="Arial Narrow" w:hAnsi="Arial Narrow"/>
          <w:b/>
          <w:bCs/>
          <w:sz w:val="24"/>
          <w:szCs w:val="24"/>
        </w:rPr>
        <w:t>Rok 2024 vo</w:t>
      </w:r>
      <w:r w:rsidR="00C51A2E" w:rsidRPr="0005277D">
        <w:rPr>
          <w:rFonts w:ascii="Arial Narrow" w:hAnsi="Arial Narrow"/>
          <w:b/>
          <w:bCs/>
          <w:sz w:val="24"/>
          <w:szCs w:val="24"/>
        </w:rPr>
        <w:t xml:space="preserve"> </w:t>
      </w:r>
      <w:r w:rsidRPr="0005277D">
        <w:rPr>
          <w:rFonts w:ascii="Arial Narrow" w:hAnsi="Arial Narrow"/>
          <w:b/>
          <w:bCs/>
          <w:sz w:val="24"/>
          <w:szCs w:val="24"/>
        </w:rPr>
        <w:t>vzdelávacom sektore</w:t>
      </w:r>
      <w:r w:rsidRPr="000B528D">
        <w:rPr>
          <w:rFonts w:ascii="Arial Narrow" w:hAnsi="Arial Narrow"/>
          <w:sz w:val="24"/>
          <w:szCs w:val="24"/>
        </w:rPr>
        <w:t xml:space="preserve"> priniesol epizodické, no výrazné cenové nárasty, ktoré boli najvýraznejšie koncentrované do začiatku školského roka. V septembri 2024 ceny predprimárneho a</w:t>
      </w:r>
      <w:r w:rsidR="000B528D">
        <w:rPr>
          <w:rFonts w:ascii="Arial Narrow" w:hAnsi="Arial Narrow"/>
          <w:sz w:val="24"/>
          <w:szCs w:val="24"/>
        </w:rPr>
        <w:t> </w:t>
      </w:r>
      <w:r w:rsidRPr="000B528D">
        <w:rPr>
          <w:rFonts w:ascii="Arial Narrow" w:hAnsi="Arial Narrow"/>
          <w:sz w:val="24"/>
          <w:szCs w:val="24"/>
        </w:rPr>
        <w:t>primárneho vzdelávania vzrástli o +4,4</w:t>
      </w:r>
      <w:r w:rsidRPr="000B528D">
        <w:rPr>
          <w:rFonts w:ascii="Arial" w:hAnsi="Arial" w:cs="Arial"/>
          <w:sz w:val="24"/>
          <w:szCs w:val="24"/>
        </w:rPr>
        <w:t> </w:t>
      </w:r>
      <w:r w:rsidRPr="000B528D">
        <w:rPr>
          <w:rFonts w:ascii="Arial Narrow" w:hAnsi="Arial Narrow"/>
          <w:sz w:val="24"/>
          <w:szCs w:val="24"/>
        </w:rPr>
        <w:t>%, pričom sekundárne vzdelávanie zaznamenalo ešte výraznejší nárast o +8,9</w:t>
      </w:r>
      <w:r w:rsidRPr="000B528D">
        <w:rPr>
          <w:rFonts w:ascii="Arial" w:hAnsi="Arial" w:cs="Arial"/>
          <w:sz w:val="24"/>
          <w:szCs w:val="24"/>
        </w:rPr>
        <w:t> </w:t>
      </w:r>
      <w:r w:rsidRPr="000B528D">
        <w:rPr>
          <w:rFonts w:ascii="Arial Narrow" w:hAnsi="Arial Narrow"/>
          <w:sz w:val="24"/>
          <w:szCs w:val="24"/>
        </w:rPr>
        <w:t>%. Tieto skoky boli spôsobené najmä zvýšením školného, poplatkov za stravu a</w:t>
      </w:r>
      <w:r w:rsidR="000B528D">
        <w:rPr>
          <w:rFonts w:ascii="Arial Narrow" w:hAnsi="Arial Narrow"/>
          <w:sz w:val="24"/>
          <w:szCs w:val="24"/>
        </w:rPr>
        <w:t> </w:t>
      </w:r>
      <w:r w:rsidRPr="000B528D">
        <w:rPr>
          <w:rFonts w:ascii="Arial Narrow" w:hAnsi="Arial Narrow"/>
          <w:sz w:val="24"/>
          <w:szCs w:val="24"/>
        </w:rPr>
        <w:t>poplatkov za mimoškolské aktivity.</w:t>
      </w:r>
    </w:p>
    <w:p w14:paraId="6AF77E10" w14:textId="77777777" w:rsidR="00340615" w:rsidRPr="000B528D" w:rsidRDefault="00340615" w:rsidP="00947BF3">
      <w:pPr>
        <w:spacing w:after="160"/>
        <w:jc w:val="both"/>
        <w:rPr>
          <w:rFonts w:ascii="Arial Narrow" w:hAnsi="Arial Narrow"/>
          <w:sz w:val="24"/>
          <w:szCs w:val="24"/>
        </w:rPr>
      </w:pPr>
      <w:r w:rsidRPr="000B528D">
        <w:rPr>
          <w:rFonts w:ascii="Arial Narrow" w:hAnsi="Arial Narrow"/>
          <w:sz w:val="24"/>
          <w:szCs w:val="24"/>
        </w:rPr>
        <w:t>Terciárne vzdelávanie sa v roku 2024 prejavilo výraznejším nárastom cien v júni (+2,2</w:t>
      </w:r>
      <w:r w:rsidRPr="000B528D">
        <w:rPr>
          <w:rFonts w:ascii="Arial" w:hAnsi="Arial" w:cs="Arial"/>
          <w:sz w:val="24"/>
          <w:szCs w:val="24"/>
        </w:rPr>
        <w:t> </w:t>
      </w:r>
      <w:r w:rsidRPr="000B528D">
        <w:rPr>
          <w:rFonts w:ascii="Arial Narrow" w:hAnsi="Arial Narrow"/>
          <w:sz w:val="24"/>
          <w:szCs w:val="24"/>
        </w:rPr>
        <w:t>%), čo môže byť spojené so zavedením nových poplatkov alebo zmenami vo financovaní vysokých škôl. Naopak, vzdelávacie aktivity mimo štandardných úrovní, ako sú jazykové kurzy či iné mimoformálne vzdelávanie, si zachovali relatívnu cenovú stabilitu, hoci v septembri 2024 došlo k nárastu o +5,6</w:t>
      </w:r>
      <w:r w:rsidRPr="000B528D">
        <w:rPr>
          <w:rFonts w:ascii="Arial" w:hAnsi="Arial" w:cs="Arial"/>
          <w:sz w:val="24"/>
          <w:szCs w:val="24"/>
        </w:rPr>
        <w:t> </w:t>
      </w:r>
      <w:r w:rsidRPr="000B528D">
        <w:rPr>
          <w:rFonts w:ascii="Arial Narrow" w:hAnsi="Arial Narrow"/>
          <w:sz w:val="24"/>
          <w:szCs w:val="24"/>
        </w:rPr>
        <w:t>%, reflektujúcemu zvýšený záujem v tomto období.</w:t>
      </w:r>
    </w:p>
    <w:p w14:paraId="33AC1337" w14:textId="77777777" w:rsidR="00340615" w:rsidRDefault="00340615" w:rsidP="00947BF3">
      <w:pPr>
        <w:spacing w:after="160"/>
        <w:jc w:val="both"/>
        <w:rPr>
          <w:rFonts w:ascii="Arial Narrow" w:hAnsi="Arial Narrow"/>
          <w:sz w:val="24"/>
          <w:szCs w:val="24"/>
        </w:rPr>
      </w:pPr>
      <w:r w:rsidRPr="000B528D">
        <w:rPr>
          <w:rFonts w:ascii="Arial Narrow" w:hAnsi="Arial Narrow"/>
          <w:sz w:val="24"/>
          <w:szCs w:val="24"/>
        </w:rPr>
        <w:t>Celkovo vzdelávací sektor v roku 2024 vykazoval nízku frekvenciu cenových zmien, avšak s výraznými výkyvmi v kľúčových mesiacoch, ktoré boli úzko späté s akademickým kalendárom a rozhodnutiami poskytovateľov vzdelávacích služieb.</w:t>
      </w:r>
    </w:p>
    <w:p w14:paraId="3E71E974" w14:textId="77777777" w:rsidR="000B528D" w:rsidRDefault="000B528D" w:rsidP="00947BF3">
      <w:pPr>
        <w:spacing w:after="160"/>
        <w:jc w:val="both"/>
        <w:rPr>
          <w:rFonts w:ascii="Arial Narrow" w:hAnsi="Arial Narrow"/>
          <w:sz w:val="24"/>
          <w:szCs w:val="24"/>
        </w:rPr>
      </w:pPr>
    </w:p>
    <w:p w14:paraId="67C4019B" w14:textId="77777777" w:rsidR="000B528D" w:rsidRDefault="000B528D" w:rsidP="00947BF3">
      <w:pPr>
        <w:spacing w:after="160"/>
        <w:jc w:val="both"/>
        <w:rPr>
          <w:rFonts w:ascii="Arial Narrow" w:hAnsi="Arial Narrow"/>
          <w:sz w:val="24"/>
          <w:szCs w:val="24"/>
        </w:rPr>
      </w:pPr>
    </w:p>
    <w:p w14:paraId="42064B1A" w14:textId="77777777" w:rsidR="000B528D" w:rsidRDefault="000B528D" w:rsidP="00947BF3">
      <w:pPr>
        <w:spacing w:after="160"/>
        <w:jc w:val="both"/>
        <w:rPr>
          <w:rFonts w:ascii="Arial Narrow" w:hAnsi="Arial Narrow"/>
          <w:sz w:val="24"/>
          <w:szCs w:val="24"/>
        </w:rPr>
      </w:pPr>
    </w:p>
    <w:p w14:paraId="5D83ABF1" w14:textId="77777777" w:rsidR="000B528D" w:rsidRPr="000B528D" w:rsidRDefault="000B528D" w:rsidP="00947BF3">
      <w:pPr>
        <w:spacing w:after="160"/>
        <w:jc w:val="both"/>
        <w:rPr>
          <w:rFonts w:ascii="Arial Narrow" w:hAnsi="Arial Narrow"/>
          <w:sz w:val="24"/>
          <w:szCs w:val="24"/>
        </w:rPr>
      </w:pPr>
    </w:p>
    <w:p w14:paraId="7E3C737D" w14:textId="77777777" w:rsidR="009D105A" w:rsidRPr="00340615" w:rsidRDefault="009D105A" w:rsidP="00947BF3">
      <w:pPr>
        <w:spacing w:after="160"/>
        <w:jc w:val="both"/>
        <w:rPr>
          <w:rFonts w:ascii="Arial Narrow" w:eastAsia="Arial Narrow" w:hAnsi="Arial Narrow" w:cs="Arial Narrow"/>
          <w:sz w:val="24"/>
          <w:szCs w:val="24"/>
        </w:rPr>
      </w:pPr>
    </w:p>
    <w:tbl>
      <w:tblPr>
        <w:tblW w:w="5000"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1E0" w:firstRow="1" w:lastRow="1" w:firstColumn="1" w:lastColumn="1" w:noHBand="0" w:noVBand="0"/>
      </w:tblPr>
      <w:tblGrid>
        <w:gridCol w:w="8903"/>
        <w:gridCol w:w="167"/>
      </w:tblGrid>
      <w:tr w:rsidR="00384B19" w:rsidRPr="00866785" w14:paraId="673AE8EE" w14:textId="77777777" w:rsidTr="007272E5">
        <w:trPr>
          <w:trHeight w:val="321"/>
        </w:trPr>
        <w:tc>
          <w:tcPr>
            <w:tcW w:w="4908" w:type="pct"/>
            <w:tcBorders>
              <w:top w:val="nil"/>
              <w:left w:val="nil"/>
              <w:bottom w:val="single" w:sz="4" w:space="0" w:color="auto"/>
              <w:right w:val="nil"/>
            </w:tcBorders>
            <w:shd w:val="clear" w:color="auto" w:fill="auto"/>
            <w:vAlign w:val="center"/>
          </w:tcPr>
          <w:p w14:paraId="547EB080" w14:textId="3BC9A475" w:rsidR="00384B19" w:rsidRPr="00866785" w:rsidRDefault="00384B19" w:rsidP="00947BF3">
            <w:pPr>
              <w:spacing w:after="120"/>
              <w:rPr>
                <w:rFonts w:ascii="Arial Narrow" w:hAnsi="Arial Narrow" w:cs="Arial"/>
                <w:b/>
                <w:color w:val="2C9ADC"/>
                <w:sz w:val="20"/>
                <w:szCs w:val="18"/>
              </w:rPr>
            </w:pPr>
            <w:r>
              <w:rPr>
                <w:rFonts w:ascii="Arial Narrow" w:hAnsi="Arial Narrow" w:cs="Arial"/>
                <w:b/>
                <w:color w:val="2C9ADC"/>
                <w:sz w:val="20"/>
                <w:szCs w:val="18"/>
              </w:rPr>
              <w:t xml:space="preserve">Tempo rastu cenového vývoja v segmente </w:t>
            </w:r>
            <w:r w:rsidR="00426193">
              <w:rPr>
                <w:rFonts w:ascii="Arial Narrow" w:hAnsi="Arial Narrow" w:cs="Arial"/>
                <w:b/>
                <w:color w:val="2C9ADC"/>
                <w:sz w:val="20"/>
                <w:szCs w:val="18"/>
              </w:rPr>
              <w:t>reštaurácií a</w:t>
            </w:r>
            <w:r w:rsidR="00B867AD">
              <w:rPr>
                <w:rFonts w:ascii="Arial Narrow" w:hAnsi="Arial Narrow" w:cs="Arial"/>
                <w:b/>
                <w:color w:val="2C9ADC"/>
                <w:sz w:val="20"/>
                <w:szCs w:val="18"/>
              </w:rPr>
              <w:t> </w:t>
            </w:r>
            <w:r w:rsidR="00426193">
              <w:rPr>
                <w:rFonts w:ascii="Arial Narrow" w:hAnsi="Arial Narrow" w:cs="Arial"/>
                <w:b/>
                <w:color w:val="2C9ADC"/>
                <w:sz w:val="20"/>
                <w:szCs w:val="18"/>
              </w:rPr>
              <w:t>ubytova</w:t>
            </w:r>
            <w:r w:rsidR="00B867AD">
              <w:rPr>
                <w:rFonts w:ascii="Arial Narrow" w:hAnsi="Arial Narrow" w:cs="Arial"/>
                <w:b/>
                <w:color w:val="2C9ADC"/>
                <w:sz w:val="20"/>
                <w:szCs w:val="18"/>
              </w:rPr>
              <w:t>cích zariadení</w:t>
            </w:r>
            <w:r>
              <w:rPr>
                <w:rFonts w:ascii="Arial Narrow" w:hAnsi="Arial Narrow" w:cs="Arial"/>
                <w:b/>
                <w:color w:val="2C9ADC"/>
                <w:sz w:val="20"/>
                <w:szCs w:val="18"/>
              </w:rPr>
              <w:t xml:space="preserve"> za rok 2024</w:t>
            </w:r>
            <w:r w:rsidR="001D7410">
              <w:rPr>
                <w:rFonts w:ascii="Arial Narrow" w:hAnsi="Arial Narrow" w:cs="Arial"/>
                <w:b/>
                <w:color w:val="2C9ADC"/>
                <w:sz w:val="20"/>
                <w:szCs w:val="18"/>
              </w:rPr>
              <w:t xml:space="preserve"> (medzimesačné zmeny v %)</w:t>
            </w:r>
          </w:p>
        </w:tc>
        <w:tc>
          <w:tcPr>
            <w:tcW w:w="92" w:type="pct"/>
            <w:tcBorders>
              <w:top w:val="nil"/>
              <w:left w:val="nil"/>
              <w:bottom w:val="nil"/>
              <w:right w:val="nil"/>
            </w:tcBorders>
            <w:shd w:val="clear" w:color="auto" w:fill="auto"/>
            <w:vAlign w:val="center"/>
          </w:tcPr>
          <w:p w14:paraId="1B45FE56" w14:textId="77777777" w:rsidR="00384B19" w:rsidRPr="00866785" w:rsidRDefault="00384B19" w:rsidP="00947BF3">
            <w:pPr>
              <w:spacing w:after="120"/>
              <w:rPr>
                <w:rFonts w:ascii="Arial Narrow" w:hAnsi="Arial Narrow" w:cs="Arial"/>
                <w:b/>
                <w:color w:val="2C9ADC"/>
                <w:sz w:val="20"/>
                <w:szCs w:val="18"/>
              </w:rPr>
            </w:pPr>
          </w:p>
        </w:tc>
      </w:tr>
      <w:tr w:rsidR="00384B19" w:rsidRPr="00866785" w14:paraId="0199AA11" w14:textId="77777777" w:rsidTr="00426193">
        <w:trPr>
          <w:trHeight w:val="820"/>
        </w:trPr>
        <w:tc>
          <w:tcPr>
            <w:tcW w:w="4908" w:type="pct"/>
            <w:tcBorders>
              <w:top w:val="single" w:sz="4" w:space="0" w:color="auto"/>
              <w:left w:val="nil"/>
              <w:bottom w:val="single" w:sz="4" w:space="0" w:color="auto"/>
              <w:right w:val="nil"/>
            </w:tcBorders>
            <w:vAlign w:val="center"/>
          </w:tcPr>
          <w:p w14:paraId="5A06DB6F" w14:textId="10162965" w:rsidR="00384B19" w:rsidRPr="00866785" w:rsidRDefault="00426193" w:rsidP="00947BF3">
            <w:pPr>
              <w:spacing w:after="120"/>
              <w:jc w:val="center"/>
              <w:rPr>
                <w:rFonts w:ascii="Arial Narrow" w:hAnsi="Arial Narrow" w:cs="Arial"/>
                <w:b/>
                <w:sz w:val="20"/>
                <w:szCs w:val="20"/>
              </w:rPr>
            </w:pPr>
            <w:r>
              <w:rPr>
                <w:noProof/>
              </w:rPr>
              <w:drawing>
                <wp:inline distT="0" distB="0" distL="0" distR="0" wp14:anchorId="3D3EB134" wp14:editId="1C74E77D">
                  <wp:extent cx="5564505" cy="3338830"/>
                  <wp:effectExtent l="0" t="0" r="0" b="0"/>
                  <wp:docPr id="954465657" name="Graf 1">
                    <a:extLst xmlns:a="http://schemas.openxmlformats.org/drawingml/2006/main">
                      <a:ext uri="{FF2B5EF4-FFF2-40B4-BE49-F238E27FC236}">
                        <a16:creationId xmlns:a16="http://schemas.microsoft.com/office/drawing/2014/main" id="{822B6484-471F-53FF-C56C-6F5CE39DA00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tc>
        <w:tc>
          <w:tcPr>
            <w:tcW w:w="92" w:type="pct"/>
            <w:tcBorders>
              <w:top w:val="nil"/>
              <w:left w:val="nil"/>
              <w:bottom w:val="nil"/>
              <w:right w:val="nil"/>
            </w:tcBorders>
            <w:vAlign w:val="center"/>
          </w:tcPr>
          <w:p w14:paraId="541D1D85" w14:textId="77777777" w:rsidR="00384B19" w:rsidRPr="00866785" w:rsidRDefault="00384B19" w:rsidP="00947BF3">
            <w:pPr>
              <w:spacing w:after="120"/>
              <w:jc w:val="center"/>
              <w:rPr>
                <w:rFonts w:ascii="Arial Narrow" w:hAnsi="Arial Narrow" w:cs="Arial"/>
                <w:b/>
                <w:sz w:val="20"/>
                <w:szCs w:val="20"/>
              </w:rPr>
            </w:pPr>
          </w:p>
          <w:p w14:paraId="7C025C3E" w14:textId="77777777" w:rsidR="00384B19" w:rsidRPr="00866785" w:rsidRDefault="00384B19" w:rsidP="00947BF3">
            <w:pPr>
              <w:spacing w:after="120"/>
              <w:jc w:val="center"/>
              <w:rPr>
                <w:rFonts w:ascii="Arial Narrow" w:hAnsi="Arial Narrow" w:cs="Arial"/>
                <w:b/>
                <w:sz w:val="20"/>
                <w:szCs w:val="20"/>
              </w:rPr>
            </w:pPr>
          </w:p>
        </w:tc>
      </w:tr>
      <w:tr w:rsidR="00384B19" w:rsidRPr="00866785" w14:paraId="77690A48" w14:textId="77777777" w:rsidTr="007272E5">
        <w:trPr>
          <w:trHeight w:val="104"/>
        </w:trPr>
        <w:tc>
          <w:tcPr>
            <w:tcW w:w="4908" w:type="pct"/>
            <w:tcBorders>
              <w:top w:val="single" w:sz="4" w:space="0" w:color="auto"/>
              <w:left w:val="nil"/>
              <w:bottom w:val="nil"/>
              <w:right w:val="nil"/>
            </w:tcBorders>
            <w:vAlign w:val="center"/>
          </w:tcPr>
          <w:p w14:paraId="7F1E053F" w14:textId="77777777" w:rsidR="00384B19" w:rsidRPr="00866785" w:rsidRDefault="00384B19" w:rsidP="00947BF3">
            <w:pPr>
              <w:spacing w:after="120"/>
              <w:jc w:val="right"/>
              <w:rPr>
                <w:rFonts w:ascii="Arial Narrow" w:hAnsi="Arial Narrow" w:cs="Arial"/>
                <w:i/>
                <w:sz w:val="16"/>
                <w:szCs w:val="16"/>
              </w:rPr>
            </w:pPr>
            <w:r w:rsidRPr="00866785">
              <w:rPr>
                <w:rFonts w:ascii="Arial Narrow" w:hAnsi="Arial Narrow" w:cs="Arial"/>
                <w:i/>
                <w:sz w:val="16"/>
                <w:szCs w:val="16"/>
              </w:rPr>
              <w:t>Zdroj:</w:t>
            </w:r>
            <w:r>
              <w:rPr>
                <w:rFonts w:ascii="Arial Narrow" w:hAnsi="Arial Narrow" w:cs="Arial"/>
                <w:i/>
                <w:sz w:val="16"/>
                <w:szCs w:val="16"/>
              </w:rPr>
              <w:t xml:space="preserve"> MF SR, ŠÚ SR</w:t>
            </w:r>
          </w:p>
        </w:tc>
        <w:tc>
          <w:tcPr>
            <w:tcW w:w="92" w:type="pct"/>
            <w:tcBorders>
              <w:top w:val="nil"/>
              <w:left w:val="nil"/>
              <w:bottom w:val="nil"/>
              <w:right w:val="nil"/>
            </w:tcBorders>
            <w:vAlign w:val="center"/>
          </w:tcPr>
          <w:p w14:paraId="3DBC2F22" w14:textId="77777777" w:rsidR="00384B19" w:rsidRPr="00866785" w:rsidRDefault="00384B19" w:rsidP="00947BF3">
            <w:pPr>
              <w:spacing w:after="120"/>
              <w:jc w:val="center"/>
              <w:rPr>
                <w:rFonts w:ascii="Arial Narrow" w:hAnsi="Arial Narrow" w:cs="Arial"/>
                <w:i/>
                <w:sz w:val="16"/>
                <w:szCs w:val="16"/>
              </w:rPr>
            </w:pPr>
          </w:p>
        </w:tc>
      </w:tr>
    </w:tbl>
    <w:p w14:paraId="271063AB" w14:textId="77777777" w:rsidR="004B552D" w:rsidRDefault="004B552D" w:rsidP="00947BF3">
      <w:pPr>
        <w:spacing w:after="160"/>
        <w:jc w:val="both"/>
        <w:rPr>
          <w:rFonts w:ascii="Arial Narrow" w:eastAsia="Arial Narrow" w:hAnsi="Arial Narrow" w:cs="Arial Narrow"/>
          <w:sz w:val="24"/>
          <w:szCs w:val="24"/>
        </w:rPr>
      </w:pPr>
    </w:p>
    <w:p w14:paraId="2D960227" w14:textId="41BF88F7" w:rsidR="00A311E9" w:rsidRPr="000B528D" w:rsidRDefault="00A311E9" w:rsidP="00947BF3">
      <w:pPr>
        <w:spacing w:after="160"/>
        <w:jc w:val="both"/>
        <w:rPr>
          <w:rFonts w:ascii="Arial Narrow" w:hAnsi="Arial Narrow"/>
          <w:sz w:val="24"/>
          <w:szCs w:val="24"/>
        </w:rPr>
      </w:pPr>
      <w:r w:rsidRPr="0005277D">
        <w:rPr>
          <w:rFonts w:ascii="Arial Narrow" w:hAnsi="Arial Narrow"/>
          <w:b/>
          <w:bCs/>
          <w:sz w:val="24"/>
          <w:szCs w:val="24"/>
        </w:rPr>
        <w:t>V roku 2024 pokračoval v segmente reštaurácií a hotelov</w:t>
      </w:r>
      <w:r w:rsidRPr="000B528D">
        <w:rPr>
          <w:rFonts w:ascii="Arial Narrow" w:hAnsi="Arial Narrow"/>
          <w:sz w:val="24"/>
          <w:szCs w:val="24"/>
        </w:rPr>
        <w:t xml:space="preserve"> mierny, no stabilný rast cien. V oblasti stravovacích služieb sa ceny zvyšovali takmer každý mesiac, prevažne tempom medzi +0,2</w:t>
      </w:r>
      <w:r w:rsidRPr="000B528D">
        <w:rPr>
          <w:rFonts w:ascii="Arial" w:hAnsi="Arial" w:cs="Arial"/>
          <w:sz w:val="24"/>
          <w:szCs w:val="24"/>
        </w:rPr>
        <w:t> </w:t>
      </w:r>
      <w:r w:rsidRPr="000B528D">
        <w:rPr>
          <w:rFonts w:ascii="Arial Narrow" w:hAnsi="Arial Narrow"/>
          <w:sz w:val="24"/>
          <w:szCs w:val="24"/>
        </w:rPr>
        <w:t>% až +0,6</w:t>
      </w:r>
      <w:r w:rsidRPr="000B528D">
        <w:rPr>
          <w:rFonts w:ascii="Arial" w:hAnsi="Arial" w:cs="Arial"/>
          <w:sz w:val="24"/>
          <w:szCs w:val="24"/>
        </w:rPr>
        <w:t> </w:t>
      </w:r>
      <w:r w:rsidRPr="000B528D">
        <w:rPr>
          <w:rFonts w:ascii="Arial Narrow" w:hAnsi="Arial Narrow"/>
          <w:sz w:val="24"/>
          <w:szCs w:val="24"/>
        </w:rPr>
        <w:t>%. Najvýraznejší mesačný nárast zaznamenal január (+1,2</w:t>
      </w:r>
      <w:r w:rsidRPr="000B528D">
        <w:rPr>
          <w:rFonts w:ascii="Arial" w:hAnsi="Arial" w:cs="Arial"/>
          <w:sz w:val="24"/>
          <w:szCs w:val="24"/>
        </w:rPr>
        <w:t> </w:t>
      </w:r>
      <w:r w:rsidRPr="000B528D">
        <w:rPr>
          <w:rFonts w:ascii="Arial Narrow" w:hAnsi="Arial Narrow"/>
          <w:sz w:val="24"/>
          <w:szCs w:val="24"/>
        </w:rPr>
        <w:t>%), čo pravdepodobne súviselo s prechodom na nové cenníky a rastom vstupných nákladov. Reštaurácie a kaviarne rástli rovnomerne, väčšinou v</w:t>
      </w:r>
      <w:r w:rsidR="000B528D">
        <w:rPr>
          <w:rFonts w:ascii="Arial Narrow" w:hAnsi="Arial Narrow"/>
          <w:sz w:val="24"/>
          <w:szCs w:val="24"/>
        </w:rPr>
        <w:t> </w:t>
      </w:r>
      <w:r w:rsidRPr="000B528D">
        <w:rPr>
          <w:rFonts w:ascii="Arial Narrow" w:hAnsi="Arial Narrow"/>
          <w:sz w:val="24"/>
          <w:szCs w:val="24"/>
        </w:rPr>
        <w:t>intervale +0,4</w:t>
      </w:r>
      <w:r w:rsidRPr="000B528D">
        <w:rPr>
          <w:rFonts w:ascii="Arial" w:hAnsi="Arial" w:cs="Arial"/>
          <w:sz w:val="24"/>
          <w:szCs w:val="24"/>
        </w:rPr>
        <w:t> </w:t>
      </w:r>
      <w:r w:rsidRPr="000B528D">
        <w:rPr>
          <w:rFonts w:ascii="Arial Narrow" w:hAnsi="Arial Narrow"/>
          <w:sz w:val="24"/>
          <w:szCs w:val="24"/>
        </w:rPr>
        <w:t>% až +0,7</w:t>
      </w:r>
      <w:r w:rsidRPr="000B528D">
        <w:rPr>
          <w:rFonts w:ascii="Arial" w:hAnsi="Arial" w:cs="Arial"/>
          <w:sz w:val="24"/>
          <w:szCs w:val="24"/>
        </w:rPr>
        <w:t> </w:t>
      </w:r>
      <w:r w:rsidRPr="000B528D">
        <w:rPr>
          <w:rFonts w:ascii="Arial Narrow" w:hAnsi="Arial Narrow"/>
          <w:sz w:val="24"/>
          <w:szCs w:val="24"/>
        </w:rPr>
        <w:t>% mesačne, bez výrazných výkyvov.</w:t>
      </w:r>
    </w:p>
    <w:p w14:paraId="6EDD5D78" w14:textId="77777777" w:rsidR="00A311E9" w:rsidRPr="000B528D" w:rsidRDefault="00A311E9" w:rsidP="00947BF3">
      <w:pPr>
        <w:spacing w:after="160"/>
        <w:jc w:val="both"/>
        <w:rPr>
          <w:rFonts w:ascii="Arial Narrow" w:hAnsi="Arial Narrow"/>
          <w:sz w:val="24"/>
          <w:szCs w:val="24"/>
        </w:rPr>
      </w:pPr>
      <w:r w:rsidRPr="000B528D">
        <w:rPr>
          <w:rFonts w:ascii="Arial Narrow" w:hAnsi="Arial Narrow"/>
          <w:sz w:val="24"/>
          <w:szCs w:val="24"/>
        </w:rPr>
        <w:t>Ceny v závodných jedálňach boli volatilnejšie — vo februári, marci a júli rástli len o +0,1</w:t>
      </w:r>
      <w:r w:rsidRPr="000B528D">
        <w:rPr>
          <w:rFonts w:ascii="Arial" w:hAnsi="Arial" w:cs="Arial"/>
          <w:sz w:val="24"/>
          <w:szCs w:val="24"/>
        </w:rPr>
        <w:t> </w:t>
      </w:r>
      <w:r w:rsidRPr="000B528D">
        <w:rPr>
          <w:rFonts w:ascii="Arial Narrow" w:hAnsi="Arial Narrow"/>
          <w:sz w:val="24"/>
          <w:szCs w:val="24"/>
        </w:rPr>
        <w:t>%, no v septembri sa prejavil prudký nárast až o +2,5</w:t>
      </w:r>
      <w:r w:rsidRPr="000B528D">
        <w:rPr>
          <w:rFonts w:ascii="Arial" w:hAnsi="Arial" w:cs="Arial"/>
          <w:sz w:val="24"/>
          <w:szCs w:val="24"/>
        </w:rPr>
        <w:t> </w:t>
      </w:r>
      <w:r w:rsidRPr="000B528D">
        <w:rPr>
          <w:rFonts w:ascii="Arial Narrow" w:hAnsi="Arial Narrow"/>
          <w:sz w:val="24"/>
          <w:szCs w:val="24"/>
        </w:rPr>
        <w:t>%.</w:t>
      </w:r>
    </w:p>
    <w:p w14:paraId="3D57B37D" w14:textId="77777777" w:rsidR="00A311E9" w:rsidRPr="000B528D" w:rsidRDefault="00A311E9" w:rsidP="00947BF3">
      <w:pPr>
        <w:spacing w:after="160"/>
        <w:jc w:val="both"/>
        <w:rPr>
          <w:rFonts w:ascii="Arial Narrow" w:hAnsi="Arial Narrow"/>
          <w:sz w:val="24"/>
          <w:szCs w:val="24"/>
        </w:rPr>
      </w:pPr>
      <w:r w:rsidRPr="000B528D">
        <w:rPr>
          <w:rFonts w:ascii="Arial Narrow" w:hAnsi="Arial Narrow"/>
          <w:sz w:val="24"/>
          <w:szCs w:val="24"/>
        </w:rPr>
        <w:t>V segmente ubytovacích služieb bol vývoj miernejší. Po silnejšom januári (+1,9</w:t>
      </w:r>
      <w:r w:rsidRPr="000B528D">
        <w:rPr>
          <w:rFonts w:ascii="Arial" w:hAnsi="Arial" w:cs="Arial"/>
          <w:sz w:val="24"/>
          <w:szCs w:val="24"/>
        </w:rPr>
        <w:t> </w:t>
      </w:r>
      <w:r w:rsidRPr="000B528D">
        <w:rPr>
          <w:rFonts w:ascii="Arial Narrow" w:hAnsi="Arial Narrow"/>
          <w:sz w:val="24"/>
          <w:szCs w:val="24"/>
        </w:rPr>
        <w:t>%) nasledovali stabilné prírastky v rozmedzí +0,2</w:t>
      </w:r>
      <w:r w:rsidRPr="000B528D">
        <w:rPr>
          <w:rFonts w:ascii="Arial" w:hAnsi="Arial" w:cs="Arial"/>
          <w:sz w:val="24"/>
          <w:szCs w:val="24"/>
        </w:rPr>
        <w:t> </w:t>
      </w:r>
      <w:r w:rsidRPr="000B528D">
        <w:rPr>
          <w:rFonts w:ascii="Arial Narrow" w:hAnsi="Arial Narrow"/>
          <w:sz w:val="24"/>
          <w:szCs w:val="24"/>
        </w:rPr>
        <w:t>% až +0,9</w:t>
      </w:r>
      <w:r w:rsidRPr="000B528D">
        <w:rPr>
          <w:rFonts w:ascii="Arial" w:hAnsi="Arial" w:cs="Arial"/>
          <w:sz w:val="24"/>
          <w:szCs w:val="24"/>
        </w:rPr>
        <w:t> </w:t>
      </w:r>
      <w:r w:rsidRPr="000B528D">
        <w:rPr>
          <w:rFonts w:ascii="Arial Narrow" w:hAnsi="Arial Narrow"/>
          <w:sz w:val="24"/>
          <w:szCs w:val="24"/>
        </w:rPr>
        <w:t>%, s menšími výkyvmi počas leta a jesene. Negatívny vývoj sa objavil len výnimočne, keď v októbri ceny mierne klesli (–0,2</w:t>
      </w:r>
      <w:r w:rsidRPr="000B528D">
        <w:rPr>
          <w:rFonts w:ascii="Arial" w:hAnsi="Arial" w:cs="Arial"/>
          <w:sz w:val="24"/>
          <w:szCs w:val="24"/>
        </w:rPr>
        <w:t> </w:t>
      </w:r>
      <w:r w:rsidRPr="000B528D">
        <w:rPr>
          <w:rFonts w:ascii="Arial Narrow" w:hAnsi="Arial Narrow"/>
          <w:sz w:val="24"/>
          <w:szCs w:val="24"/>
        </w:rPr>
        <w:t>%).</w:t>
      </w:r>
    </w:p>
    <w:p w14:paraId="044D5F93" w14:textId="5FD25AFD" w:rsidR="00BF6764" w:rsidRPr="000B528D" w:rsidRDefault="00A311E9" w:rsidP="00947BF3">
      <w:pPr>
        <w:spacing w:after="160"/>
        <w:jc w:val="both"/>
        <w:rPr>
          <w:rFonts w:ascii="Arial Narrow" w:hAnsi="Arial Narrow"/>
          <w:sz w:val="24"/>
          <w:szCs w:val="24"/>
        </w:rPr>
      </w:pPr>
      <w:r w:rsidRPr="000B528D">
        <w:rPr>
          <w:rFonts w:ascii="Arial Narrow" w:hAnsi="Arial Narrow"/>
          <w:sz w:val="24"/>
          <w:szCs w:val="24"/>
        </w:rPr>
        <w:t>Celkovo bol rok 2024 v segmente reštaurácií a hotelov charakterizovaný nízkou, no pretrvávajúcou infláciou, bez výraznej sezónnej dynamiky. Rast cien bol výraznejší v reštauračných službách, zatiaľ čo ubytovanie zostalo relatívne stabilné. Tento vývoj odrážal pozvoľný návrat spotrebiteľského dopytu a</w:t>
      </w:r>
      <w:r w:rsidR="000B528D">
        <w:rPr>
          <w:rFonts w:ascii="Arial Narrow" w:hAnsi="Arial Narrow"/>
          <w:sz w:val="24"/>
          <w:szCs w:val="24"/>
        </w:rPr>
        <w:t> </w:t>
      </w:r>
      <w:r w:rsidRPr="000B528D">
        <w:rPr>
          <w:rFonts w:ascii="Arial Narrow" w:hAnsi="Arial Narrow"/>
          <w:sz w:val="24"/>
          <w:szCs w:val="24"/>
        </w:rPr>
        <w:t>mierny rast prevádzkových nákladov.</w:t>
      </w:r>
    </w:p>
    <w:p w14:paraId="0086E430" w14:textId="77777777" w:rsidR="00BF6764" w:rsidRDefault="00BF6764" w:rsidP="00947BF3">
      <w:pPr>
        <w:spacing w:after="160"/>
        <w:jc w:val="both"/>
        <w:rPr>
          <w:rFonts w:ascii="Arial Narrow" w:eastAsia="Arial Narrow" w:hAnsi="Arial Narrow" w:cs="Arial Narrow"/>
          <w:sz w:val="24"/>
          <w:szCs w:val="24"/>
        </w:rPr>
      </w:pPr>
    </w:p>
    <w:p w14:paraId="2335FD60" w14:textId="3512AF1A" w:rsidR="006373B5" w:rsidRDefault="006373B5" w:rsidP="00947BF3">
      <w:pPr>
        <w:pStyle w:val="Nadpis2"/>
        <w:numPr>
          <w:ilvl w:val="1"/>
          <w:numId w:val="1"/>
        </w:numPr>
        <w:spacing w:after="240"/>
        <w:ind w:left="426"/>
        <w:rPr>
          <w:rFonts w:ascii="Arial Narrow" w:hAnsi="Arial Narrow"/>
          <w:b/>
          <w:bCs/>
          <w:color w:val="5B9BD5" w:themeColor="accent1"/>
          <w:lang w:eastAsia="en-US"/>
        </w:rPr>
      </w:pPr>
      <w:bookmarkStart w:id="22" w:name="_Toc202358585"/>
      <w:r>
        <w:rPr>
          <w:rFonts w:ascii="Arial Narrow" w:hAnsi="Arial Narrow"/>
          <w:b/>
          <w:bCs/>
          <w:color w:val="5B9BD5" w:themeColor="accent1"/>
          <w:lang w:eastAsia="en-US"/>
        </w:rPr>
        <w:t>Zhrnutie cenového vývoja</w:t>
      </w:r>
      <w:bookmarkEnd w:id="22"/>
    </w:p>
    <w:p w14:paraId="6852FDE1" w14:textId="360A02B2" w:rsidR="00211A2E" w:rsidRPr="000B528D" w:rsidRDefault="00211A2E" w:rsidP="000B528D">
      <w:pPr>
        <w:spacing w:after="160"/>
        <w:jc w:val="both"/>
        <w:rPr>
          <w:rFonts w:ascii="Arial Narrow" w:hAnsi="Arial Narrow"/>
          <w:sz w:val="24"/>
          <w:szCs w:val="24"/>
        </w:rPr>
      </w:pPr>
      <w:r w:rsidRPr="000B528D">
        <w:rPr>
          <w:rFonts w:ascii="Arial Narrow" w:hAnsi="Arial Narrow"/>
          <w:sz w:val="24"/>
          <w:szCs w:val="24"/>
        </w:rPr>
        <w:t>V roku 2024 došlo na Slovensku k výraznému spomaleniu inflácie, pričom celková inflácia dosiahla úroveň 2,8</w:t>
      </w:r>
      <w:r w:rsidRPr="000B528D">
        <w:rPr>
          <w:rFonts w:ascii="Arial" w:hAnsi="Arial" w:cs="Arial"/>
          <w:sz w:val="24"/>
          <w:szCs w:val="24"/>
        </w:rPr>
        <w:t> </w:t>
      </w:r>
      <w:r w:rsidRPr="000B528D">
        <w:rPr>
          <w:rFonts w:ascii="Arial Narrow" w:hAnsi="Arial Narrow"/>
          <w:sz w:val="24"/>
          <w:szCs w:val="24"/>
        </w:rPr>
        <w:t>% a potravinová inflácia 2,5</w:t>
      </w:r>
      <w:r w:rsidRPr="000B528D">
        <w:rPr>
          <w:rFonts w:ascii="Arial" w:hAnsi="Arial" w:cs="Arial"/>
          <w:sz w:val="24"/>
          <w:szCs w:val="24"/>
        </w:rPr>
        <w:t> </w:t>
      </w:r>
      <w:r w:rsidRPr="000B528D">
        <w:rPr>
          <w:rFonts w:ascii="Arial Narrow" w:hAnsi="Arial Narrow"/>
          <w:sz w:val="24"/>
          <w:szCs w:val="24"/>
        </w:rPr>
        <w:t>%. Tento pokles oproti predchádzajúcemu roku bol výsledkom stabilizácie cien energií a</w:t>
      </w:r>
      <w:r w:rsidR="00BF6764" w:rsidRPr="000B528D">
        <w:rPr>
          <w:rFonts w:ascii="Arial Narrow" w:hAnsi="Arial Narrow"/>
          <w:sz w:val="24"/>
          <w:szCs w:val="24"/>
        </w:rPr>
        <w:t> </w:t>
      </w:r>
      <w:r w:rsidRPr="000B528D">
        <w:rPr>
          <w:rFonts w:ascii="Arial Narrow" w:hAnsi="Arial Narrow"/>
          <w:sz w:val="24"/>
          <w:szCs w:val="24"/>
        </w:rPr>
        <w:t>agro</w:t>
      </w:r>
      <w:r w:rsidR="00BF6764" w:rsidRPr="000B528D">
        <w:rPr>
          <w:rFonts w:ascii="Arial Narrow" w:hAnsi="Arial Narrow"/>
          <w:sz w:val="24"/>
          <w:szCs w:val="24"/>
        </w:rPr>
        <w:t xml:space="preserve"> </w:t>
      </w:r>
      <w:r w:rsidRPr="000B528D">
        <w:rPr>
          <w:rFonts w:ascii="Arial Narrow" w:hAnsi="Arial Narrow"/>
          <w:sz w:val="24"/>
          <w:szCs w:val="24"/>
        </w:rPr>
        <w:t>komodít, ako aj postupného návratu trhu k rovnováhe po predchádzajúcich turbulentných obdobiach. Dynamika cien potravín sa zmiernila, čo sa prejavilo aj poklesom ziskového rozpätia v potravinovej vertikále. Hlavným zdrojom cenových tlakov sa stali najmä mzdové náklady a</w:t>
      </w:r>
      <w:r w:rsidR="000B528D">
        <w:rPr>
          <w:rFonts w:ascii="Arial Narrow" w:hAnsi="Arial Narrow"/>
          <w:sz w:val="24"/>
          <w:szCs w:val="24"/>
        </w:rPr>
        <w:t> </w:t>
      </w:r>
      <w:r w:rsidRPr="000B528D">
        <w:rPr>
          <w:rFonts w:ascii="Arial Narrow" w:hAnsi="Arial Narrow"/>
          <w:sz w:val="24"/>
          <w:szCs w:val="24"/>
        </w:rPr>
        <w:t>klimatické faktory.</w:t>
      </w:r>
    </w:p>
    <w:p w14:paraId="599E823B" w14:textId="77777777" w:rsidR="00211A2E" w:rsidRPr="000B528D" w:rsidRDefault="00211A2E" w:rsidP="000B528D">
      <w:pPr>
        <w:spacing w:after="160"/>
        <w:jc w:val="both"/>
        <w:rPr>
          <w:rFonts w:ascii="Arial Narrow" w:hAnsi="Arial Narrow"/>
          <w:sz w:val="24"/>
          <w:szCs w:val="24"/>
        </w:rPr>
      </w:pPr>
      <w:r w:rsidRPr="000B528D">
        <w:rPr>
          <w:rFonts w:ascii="Arial Narrow" w:hAnsi="Arial Narrow"/>
          <w:sz w:val="24"/>
          <w:szCs w:val="24"/>
        </w:rPr>
        <w:t>Medzinárodné porovnania ukázali, že Slovensko si udržalo jednu z najnižších cenových hladín potravín v rámci EÚ, keď ceny dosahovali 83,4</w:t>
      </w:r>
      <w:r w:rsidRPr="000B528D">
        <w:rPr>
          <w:rFonts w:ascii="Arial" w:hAnsi="Arial" w:cs="Arial"/>
          <w:sz w:val="24"/>
          <w:szCs w:val="24"/>
        </w:rPr>
        <w:t> </w:t>
      </w:r>
      <w:r w:rsidRPr="000B528D">
        <w:rPr>
          <w:rFonts w:ascii="Arial Narrow" w:hAnsi="Arial Narrow"/>
          <w:sz w:val="24"/>
          <w:szCs w:val="24"/>
        </w:rPr>
        <w:t>% priemeru Únie. Ceny mäsa a mliečnych výrobkov boli nižšie ako v okolitých krajinách, avšak niektoré komodity, ako chlieb, vajcia či syr Eidam, zostávali drahšie. Nová metodika zberu údajov cez pokladničné skenery umožnila presnejšie zachytenie reálnych cien, vrátane zliav.</w:t>
      </w:r>
    </w:p>
    <w:p w14:paraId="10279A81" w14:textId="255F2A6B" w:rsidR="00211A2E" w:rsidRPr="000B528D" w:rsidRDefault="00211A2E" w:rsidP="000B528D">
      <w:pPr>
        <w:spacing w:after="160"/>
        <w:jc w:val="both"/>
        <w:rPr>
          <w:rFonts w:ascii="Arial Narrow" w:hAnsi="Arial Narrow"/>
          <w:sz w:val="24"/>
          <w:szCs w:val="24"/>
        </w:rPr>
      </w:pPr>
      <w:r w:rsidRPr="000B528D">
        <w:rPr>
          <w:rFonts w:ascii="Arial Narrow" w:hAnsi="Arial Narrow"/>
          <w:sz w:val="24"/>
          <w:szCs w:val="24"/>
        </w:rPr>
        <w:t>Vývoj pomeru spotrebiteľských a odbytových cien signalizoval znižovanie obchodných marží, najmä v</w:t>
      </w:r>
      <w:r w:rsidR="000B528D">
        <w:rPr>
          <w:rFonts w:ascii="Arial Narrow" w:hAnsi="Arial Narrow"/>
          <w:sz w:val="24"/>
          <w:szCs w:val="24"/>
        </w:rPr>
        <w:t> </w:t>
      </w:r>
      <w:r w:rsidRPr="000B528D">
        <w:rPr>
          <w:rFonts w:ascii="Arial Narrow" w:hAnsi="Arial Narrow"/>
          <w:sz w:val="24"/>
          <w:szCs w:val="24"/>
        </w:rPr>
        <w:t>prvej polovici roka. Druhá polovica bola charakteristická väčšou cenovou volatilitou, avšak bez náznakov mimoriadneho trhového zlyhania. Medziročne najviac zdraželo čerstvé maslo (o 45</w:t>
      </w:r>
      <w:r w:rsidRPr="000B528D">
        <w:rPr>
          <w:rFonts w:ascii="Arial" w:hAnsi="Arial" w:cs="Arial"/>
          <w:sz w:val="24"/>
          <w:szCs w:val="24"/>
        </w:rPr>
        <w:t> </w:t>
      </w:r>
      <w:r w:rsidRPr="000B528D">
        <w:rPr>
          <w:rFonts w:ascii="Arial Narrow" w:hAnsi="Arial Narrow"/>
          <w:sz w:val="24"/>
          <w:szCs w:val="24"/>
        </w:rPr>
        <w:t>%) a vajcia (o 19,8</w:t>
      </w:r>
      <w:r w:rsidRPr="000B528D">
        <w:rPr>
          <w:rFonts w:ascii="Arial" w:hAnsi="Arial" w:cs="Arial"/>
          <w:sz w:val="24"/>
          <w:szCs w:val="24"/>
        </w:rPr>
        <w:t> </w:t>
      </w:r>
      <w:r w:rsidRPr="000B528D">
        <w:rPr>
          <w:rFonts w:ascii="Arial Narrow" w:hAnsi="Arial Narrow"/>
          <w:sz w:val="24"/>
          <w:szCs w:val="24"/>
        </w:rPr>
        <w:t>%), naopak, výrazne zlacnel cukor (o 31</w:t>
      </w:r>
      <w:r w:rsidRPr="000B528D">
        <w:rPr>
          <w:rFonts w:ascii="Arial" w:hAnsi="Arial" w:cs="Arial"/>
          <w:sz w:val="24"/>
          <w:szCs w:val="24"/>
        </w:rPr>
        <w:t> </w:t>
      </w:r>
      <w:r w:rsidRPr="000B528D">
        <w:rPr>
          <w:rFonts w:ascii="Arial Narrow" w:hAnsi="Arial Narrow"/>
          <w:sz w:val="24"/>
          <w:szCs w:val="24"/>
        </w:rPr>
        <w:t>%).</w:t>
      </w:r>
    </w:p>
    <w:p w14:paraId="097184E0" w14:textId="2962E00A" w:rsidR="00211A2E" w:rsidRPr="000B528D" w:rsidRDefault="00211A2E" w:rsidP="000B528D">
      <w:pPr>
        <w:spacing w:after="160"/>
        <w:jc w:val="both"/>
        <w:rPr>
          <w:rFonts w:ascii="Arial Narrow" w:hAnsi="Arial Narrow"/>
          <w:sz w:val="24"/>
          <w:szCs w:val="24"/>
        </w:rPr>
      </w:pPr>
      <w:r w:rsidRPr="000B528D">
        <w:rPr>
          <w:rFonts w:ascii="Arial Narrow" w:hAnsi="Arial Narrow"/>
          <w:sz w:val="24"/>
          <w:szCs w:val="24"/>
        </w:rPr>
        <w:t>Zvýšenie minimálnej mzdy na 750</w:t>
      </w:r>
      <w:r w:rsidRPr="000B528D">
        <w:rPr>
          <w:rFonts w:ascii="Arial" w:hAnsi="Arial" w:cs="Arial"/>
          <w:sz w:val="24"/>
          <w:szCs w:val="24"/>
        </w:rPr>
        <w:t> </w:t>
      </w:r>
      <w:r w:rsidRPr="000B528D">
        <w:rPr>
          <w:rFonts w:ascii="Arial Narrow" w:hAnsi="Arial Narrow"/>
          <w:sz w:val="24"/>
          <w:szCs w:val="24"/>
        </w:rPr>
        <w:t>€ a reálny rast miezd o 3,7</w:t>
      </w:r>
      <w:r w:rsidRPr="000B528D">
        <w:rPr>
          <w:rFonts w:ascii="Arial" w:hAnsi="Arial" w:cs="Arial"/>
          <w:sz w:val="24"/>
          <w:szCs w:val="24"/>
        </w:rPr>
        <w:t> </w:t>
      </w:r>
      <w:r w:rsidRPr="000B528D">
        <w:rPr>
          <w:rFonts w:ascii="Arial Narrow" w:hAnsi="Arial Narrow"/>
          <w:sz w:val="24"/>
          <w:szCs w:val="24"/>
        </w:rPr>
        <w:t>% prispeli k zlepšeniu kúpnej sily obyvateľstva. Slovensko však naďalej zostáva výrazne potravinovo závislé od dovozu a citlivo reaguje na</w:t>
      </w:r>
      <w:r w:rsidR="000B528D">
        <w:rPr>
          <w:rFonts w:ascii="Arial Narrow" w:hAnsi="Arial Narrow"/>
          <w:sz w:val="24"/>
          <w:szCs w:val="24"/>
        </w:rPr>
        <w:t> </w:t>
      </w:r>
      <w:r w:rsidRPr="000B528D">
        <w:rPr>
          <w:rFonts w:ascii="Arial Narrow" w:hAnsi="Arial Narrow"/>
          <w:sz w:val="24"/>
          <w:szCs w:val="24"/>
        </w:rPr>
        <w:t>globálne výkyvy cien a klímy.</w:t>
      </w:r>
    </w:p>
    <w:p w14:paraId="0DB1747C" w14:textId="2B06913D" w:rsidR="00211A2E" w:rsidRDefault="00211A2E" w:rsidP="000B528D">
      <w:pPr>
        <w:spacing w:after="160"/>
        <w:jc w:val="both"/>
        <w:rPr>
          <w:rFonts w:ascii="Arial Narrow" w:hAnsi="Arial Narrow"/>
          <w:sz w:val="24"/>
          <w:szCs w:val="24"/>
        </w:rPr>
      </w:pPr>
      <w:r w:rsidRPr="000B528D">
        <w:rPr>
          <w:rFonts w:ascii="Arial Narrow" w:hAnsi="Arial Narrow"/>
          <w:sz w:val="24"/>
          <w:szCs w:val="24"/>
        </w:rPr>
        <w:t>Ceny pohonných látok, energií a alternatívnych palív sa vyvíjali stabilne, bez výrazných výkyvov, čo</w:t>
      </w:r>
      <w:r w:rsidR="000B528D">
        <w:rPr>
          <w:rFonts w:ascii="Arial Narrow" w:hAnsi="Arial Narrow"/>
          <w:sz w:val="24"/>
          <w:szCs w:val="24"/>
        </w:rPr>
        <w:t> </w:t>
      </w:r>
      <w:r w:rsidRPr="000B528D">
        <w:rPr>
          <w:rFonts w:ascii="Arial Narrow" w:hAnsi="Arial Narrow"/>
          <w:sz w:val="24"/>
          <w:szCs w:val="24"/>
        </w:rPr>
        <w:t>prispelo k predvídateľnosti nákladov v doprave aj poľnohospodárskej výrobe. Stabilizovaný bol aj vývoj cien v ďalších sektoroch ako bývanie, zdravotníctvo, školstvo či reštauračné a hotelové služby.</w:t>
      </w:r>
    </w:p>
    <w:tbl>
      <w:tblPr>
        <w:tblW w:w="8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240"/>
        <w:gridCol w:w="2977"/>
      </w:tblGrid>
      <w:tr w:rsidR="00C1359C" w:rsidRPr="009A6302" w14:paraId="61233055" w14:textId="77777777" w:rsidTr="00C1359C">
        <w:trPr>
          <w:trHeight w:val="300"/>
        </w:trPr>
        <w:tc>
          <w:tcPr>
            <w:tcW w:w="5240" w:type="dxa"/>
            <w:shd w:val="clear" w:color="auto" w:fill="auto"/>
            <w:noWrap/>
            <w:vAlign w:val="bottom"/>
          </w:tcPr>
          <w:p w14:paraId="4166F28B" w14:textId="77777777" w:rsidR="00C1359C" w:rsidRPr="009A6302" w:rsidRDefault="00C1359C" w:rsidP="0049519E">
            <w:pPr>
              <w:rPr>
                <w:rFonts w:eastAsia="Times New Roman" w:cs="Calibri"/>
                <w:b/>
                <w:bCs/>
              </w:rPr>
            </w:pPr>
          </w:p>
        </w:tc>
        <w:tc>
          <w:tcPr>
            <w:tcW w:w="2977" w:type="dxa"/>
            <w:shd w:val="clear" w:color="auto" w:fill="auto"/>
            <w:noWrap/>
            <w:vAlign w:val="center"/>
          </w:tcPr>
          <w:p w14:paraId="2573A8E5" w14:textId="77777777" w:rsidR="00C1359C" w:rsidRPr="009A6302" w:rsidRDefault="00C1359C" w:rsidP="0049519E">
            <w:pPr>
              <w:jc w:val="center"/>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Priemerný medziročný vývoj </w:t>
            </w:r>
            <w:r>
              <w:rPr>
                <w:rFonts w:ascii="Arial" w:eastAsia="Times New Roman" w:hAnsi="Arial" w:cs="Arial"/>
                <w:b/>
                <w:bCs/>
                <w:color w:val="000000"/>
                <w:sz w:val="20"/>
                <w:szCs w:val="20"/>
              </w:rPr>
              <w:br/>
            </w:r>
            <w:r w:rsidRPr="009A6302">
              <w:rPr>
                <w:rFonts w:ascii="Arial" w:eastAsia="Times New Roman" w:hAnsi="Arial" w:cs="Arial"/>
                <w:i/>
                <w:iCs/>
                <w:color w:val="000000"/>
                <w:sz w:val="16"/>
                <w:szCs w:val="16"/>
              </w:rPr>
              <w:t>(rok 2024</w:t>
            </w:r>
            <w:r>
              <w:rPr>
                <w:rFonts w:ascii="Arial" w:eastAsia="Times New Roman" w:hAnsi="Arial" w:cs="Arial"/>
                <w:i/>
                <w:iCs/>
                <w:color w:val="000000"/>
                <w:sz w:val="16"/>
                <w:szCs w:val="16"/>
              </w:rPr>
              <w:t>/2023</w:t>
            </w:r>
            <w:r w:rsidRPr="009A6302">
              <w:rPr>
                <w:rFonts w:ascii="Arial" w:eastAsia="Times New Roman" w:hAnsi="Arial" w:cs="Arial"/>
                <w:i/>
                <w:iCs/>
                <w:color w:val="000000"/>
                <w:sz w:val="16"/>
                <w:szCs w:val="16"/>
              </w:rPr>
              <w:t>)</w:t>
            </w:r>
          </w:p>
        </w:tc>
      </w:tr>
      <w:tr w:rsidR="00C1359C" w:rsidRPr="009A6302" w14:paraId="34983375" w14:textId="77777777" w:rsidTr="00C1359C">
        <w:trPr>
          <w:trHeight w:val="300"/>
        </w:trPr>
        <w:tc>
          <w:tcPr>
            <w:tcW w:w="5240" w:type="dxa"/>
            <w:shd w:val="clear" w:color="auto" w:fill="auto"/>
            <w:noWrap/>
            <w:vAlign w:val="bottom"/>
            <w:hideMark/>
          </w:tcPr>
          <w:p w14:paraId="1E02103C" w14:textId="77777777" w:rsidR="00C1359C" w:rsidRPr="009A6302" w:rsidRDefault="00C1359C" w:rsidP="0049519E">
            <w:pPr>
              <w:rPr>
                <w:rFonts w:eastAsia="Times New Roman" w:cs="Calibri"/>
                <w:b/>
                <w:bCs/>
              </w:rPr>
            </w:pPr>
            <w:r w:rsidRPr="009A6302">
              <w:rPr>
                <w:rFonts w:eastAsia="Times New Roman" w:cs="Calibri"/>
                <w:b/>
                <w:bCs/>
              </w:rPr>
              <w:t>POTRAVINY A NEALKOHOLICKÉ NÁPOJE (01)</w:t>
            </w:r>
          </w:p>
        </w:tc>
        <w:tc>
          <w:tcPr>
            <w:tcW w:w="2977" w:type="dxa"/>
            <w:shd w:val="clear" w:color="auto" w:fill="auto"/>
            <w:noWrap/>
            <w:vAlign w:val="bottom"/>
            <w:hideMark/>
          </w:tcPr>
          <w:p w14:paraId="5035A217" w14:textId="77777777" w:rsidR="00C1359C" w:rsidRPr="009A6302" w:rsidRDefault="00C1359C" w:rsidP="0049519E">
            <w:pPr>
              <w:jc w:val="right"/>
              <w:rPr>
                <w:rFonts w:ascii="Arial" w:eastAsia="Times New Roman" w:hAnsi="Arial" w:cs="Arial"/>
                <w:b/>
                <w:bCs/>
                <w:color w:val="000000"/>
                <w:sz w:val="20"/>
                <w:szCs w:val="20"/>
              </w:rPr>
            </w:pPr>
            <w:r w:rsidRPr="009A6302">
              <w:rPr>
                <w:rFonts w:ascii="Arial" w:eastAsia="Times New Roman" w:hAnsi="Arial" w:cs="Arial"/>
                <w:b/>
                <w:bCs/>
                <w:color w:val="000000"/>
                <w:sz w:val="20"/>
                <w:szCs w:val="20"/>
              </w:rPr>
              <w:t>2,5%</w:t>
            </w:r>
          </w:p>
        </w:tc>
      </w:tr>
      <w:tr w:rsidR="00C1359C" w:rsidRPr="009A6302" w14:paraId="55F67E77" w14:textId="77777777" w:rsidTr="00C1359C">
        <w:trPr>
          <w:trHeight w:val="300"/>
        </w:trPr>
        <w:tc>
          <w:tcPr>
            <w:tcW w:w="5240" w:type="dxa"/>
            <w:shd w:val="clear" w:color="auto" w:fill="auto"/>
            <w:noWrap/>
            <w:vAlign w:val="bottom"/>
            <w:hideMark/>
          </w:tcPr>
          <w:p w14:paraId="4DFAE6F2" w14:textId="77777777" w:rsidR="00C1359C" w:rsidRPr="009A6302" w:rsidRDefault="00C1359C" w:rsidP="0049519E">
            <w:pPr>
              <w:rPr>
                <w:rFonts w:eastAsia="Times New Roman" w:cs="Calibri"/>
              </w:rPr>
            </w:pPr>
            <w:r>
              <w:rPr>
                <w:rFonts w:cs="Calibri"/>
                <w:b/>
                <w:bCs/>
              </w:rPr>
              <w:t>ODEVY A OBUV (03)</w:t>
            </w:r>
          </w:p>
        </w:tc>
        <w:tc>
          <w:tcPr>
            <w:tcW w:w="2977" w:type="dxa"/>
            <w:shd w:val="clear" w:color="auto" w:fill="auto"/>
            <w:noWrap/>
            <w:vAlign w:val="bottom"/>
            <w:hideMark/>
          </w:tcPr>
          <w:p w14:paraId="2D7AAAC8" w14:textId="77777777" w:rsidR="00C1359C" w:rsidRPr="009A6302" w:rsidRDefault="00C1359C" w:rsidP="0049519E">
            <w:pPr>
              <w:jc w:val="right"/>
              <w:rPr>
                <w:rFonts w:ascii="Arial" w:eastAsia="Times New Roman" w:hAnsi="Arial" w:cs="Arial"/>
                <w:color w:val="000000"/>
                <w:sz w:val="20"/>
                <w:szCs w:val="20"/>
              </w:rPr>
            </w:pPr>
            <w:r w:rsidRPr="009A6302">
              <w:rPr>
                <w:rFonts w:ascii="Arial" w:eastAsia="Times New Roman" w:hAnsi="Arial" w:cs="Arial"/>
                <w:color w:val="000000"/>
                <w:sz w:val="20"/>
                <w:szCs w:val="20"/>
              </w:rPr>
              <w:t>2,</w:t>
            </w:r>
            <w:r>
              <w:rPr>
                <w:rFonts w:ascii="Arial" w:eastAsia="Times New Roman" w:hAnsi="Arial" w:cs="Arial"/>
                <w:color w:val="000000"/>
                <w:sz w:val="20"/>
                <w:szCs w:val="20"/>
              </w:rPr>
              <w:t>9</w:t>
            </w:r>
            <w:r w:rsidRPr="009A6302">
              <w:rPr>
                <w:rFonts w:ascii="Arial" w:eastAsia="Times New Roman" w:hAnsi="Arial" w:cs="Arial"/>
                <w:color w:val="000000"/>
                <w:sz w:val="20"/>
                <w:szCs w:val="20"/>
              </w:rPr>
              <w:t>%</w:t>
            </w:r>
          </w:p>
        </w:tc>
      </w:tr>
      <w:tr w:rsidR="00C1359C" w:rsidRPr="009A6302" w14:paraId="370A3E8B" w14:textId="77777777" w:rsidTr="00C1359C">
        <w:trPr>
          <w:trHeight w:val="300"/>
        </w:trPr>
        <w:tc>
          <w:tcPr>
            <w:tcW w:w="5240" w:type="dxa"/>
            <w:shd w:val="clear" w:color="auto" w:fill="auto"/>
            <w:noWrap/>
            <w:vAlign w:val="bottom"/>
            <w:hideMark/>
          </w:tcPr>
          <w:p w14:paraId="6C5E83D4" w14:textId="77777777" w:rsidR="00C1359C" w:rsidRPr="009A6302" w:rsidRDefault="00C1359C" w:rsidP="0049519E">
            <w:pPr>
              <w:rPr>
                <w:rFonts w:eastAsia="Times New Roman" w:cs="Calibri"/>
              </w:rPr>
            </w:pPr>
            <w:r>
              <w:rPr>
                <w:rFonts w:cs="Calibri"/>
                <w:b/>
                <w:bCs/>
              </w:rPr>
              <w:t>POŠTY A SPOJE (08)</w:t>
            </w:r>
          </w:p>
        </w:tc>
        <w:tc>
          <w:tcPr>
            <w:tcW w:w="2977" w:type="dxa"/>
            <w:shd w:val="clear" w:color="auto" w:fill="auto"/>
            <w:noWrap/>
            <w:vAlign w:val="bottom"/>
            <w:hideMark/>
          </w:tcPr>
          <w:p w14:paraId="00F44BBD" w14:textId="77777777" w:rsidR="00C1359C" w:rsidRPr="009A6302" w:rsidRDefault="00C1359C" w:rsidP="0049519E">
            <w:pPr>
              <w:jc w:val="right"/>
              <w:rPr>
                <w:rFonts w:ascii="Arial" w:eastAsia="Times New Roman" w:hAnsi="Arial" w:cs="Arial"/>
                <w:color w:val="000000"/>
                <w:sz w:val="20"/>
                <w:szCs w:val="20"/>
              </w:rPr>
            </w:pPr>
            <w:r w:rsidRPr="009A6302">
              <w:rPr>
                <w:rFonts w:ascii="Arial" w:eastAsia="Times New Roman" w:hAnsi="Arial" w:cs="Arial"/>
                <w:color w:val="000000"/>
                <w:sz w:val="20"/>
                <w:szCs w:val="20"/>
              </w:rPr>
              <w:t>4,</w:t>
            </w:r>
            <w:r>
              <w:rPr>
                <w:rFonts w:ascii="Arial" w:eastAsia="Times New Roman" w:hAnsi="Arial" w:cs="Arial"/>
                <w:color w:val="000000"/>
                <w:sz w:val="20"/>
                <w:szCs w:val="20"/>
              </w:rPr>
              <w:t>4</w:t>
            </w:r>
            <w:r w:rsidRPr="009A6302">
              <w:rPr>
                <w:rFonts w:ascii="Arial" w:eastAsia="Times New Roman" w:hAnsi="Arial" w:cs="Arial"/>
                <w:color w:val="000000"/>
                <w:sz w:val="20"/>
                <w:szCs w:val="20"/>
              </w:rPr>
              <w:t>%</w:t>
            </w:r>
          </w:p>
        </w:tc>
      </w:tr>
      <w:tr w:rsidR="00C1359C" w:rsidRPr="009A6302" w14:paraId="6EB927A7" w14:textId="77777777" w:rsidTr="00C1359C">
        <w:trPr>
          <w:trHeight w:val="300"/>
        </w:trPr>
        <w:tc>
          <w:tcPr>
            <w:tcW w:w="5240" w:type="dxa"/>
            <w:shd w:val="clear" w:color="auto" w:fill="auto"/>
            <w:noWrap/>
            <w:vAlign w:val="bottom"/>
            <w:hideMark/>
          </w:tcPr>
          <w:p w14:paraId="1F0E2CC5" w14:textId="77777777" w:rsidR="00C1359C" w:rsidRPr="009A6302" w:rsidRDefault="00C1359C" w:rsidP="0049519E">
            <w:pPr>
              <w:rPr>
                <w:rFonts w:eastAsia="Times New Roman" w:cs="Calibri"/>
              </w:rPr>
            </w:pPr>
            <w:r>
              <w:rPr>
                <w:rFonts w:cs="Calibri"/>
                <w:b/>
                <w:bCs/>
              </w:rPr>
              <w:t>BÝVANIE, VODA, ELEKTRINA, PLYN A INÉ PALIVÁ (04)</w:t>
            </w:r>
          </w:p>
        </w:tc>
        <w:tc>
          <w:tcPr>
            <w:tcW w:w="2977" w:type="dxa"/>
            <w:shd w:val="clear" w:color="auto" w:fill="auto"/>
            <w:noWrap/>
            <w:vAlign w:val="bottom"/>
            <w:hideMark/>
          </w:tcPr>
          <w:p w14:paraId="7DD85170" w14:textId="77777777" w:rsidR="00C1359C" w:rsidRPr="009A6302" w:rsidRDefault="00C1359C" w:rsidP="0049519E">
            <w:pPr>
              <w:jc w:val="right"/>
              <w:rPr>
                <w:rFonts w:ascii="Arial" w:eastAsia="Times New Roman" w:hAnsi="Arial" w:cs="Arial"/>
                <w:color w:val="000000"/>
                <w:sz w:val="20"/>
                <w:szCs w:val="20"/>
              </w:rPr>
            </w:pPr>
            <w:r w:rsidRPr="009A6302">
              <w:rPr>
                <w:rFonts w:ascii="Arial" w:eastAsia="Times New Roman" w:hAnsi="Arial" w:cs="Arial"/>
                <w:color w:val="000000"/>
                <w:sz w:val="20"/>
                <w:szCs w:val="20"/>
              </w:rPr>
              <w:t>0,</w:t>
            </w:r>
            <w:r>
              <w:rPr>
                <w:rFonts w:ascii="Arial" w:eastAsia="Times New Roman" w:hAnsi="Arial" w:cs="Arial"/>
                <w:color w:val="000000"/>
                <w:sz w:val="20"/>
                <w:szCs w:val="20"/>
              </w:rPr>
              <w:t>5</w:t>
            </w:r>
            <w:r w:rsidRPr="009A6302">
              <w:rPr>
                <w:rFonts w:ascii="Arial" w:eastAsia="Times New Roman" w:hAnsi="Arial" w:cs="Arial"/>
                <w:color w:val="000000"/>
                <w:sz w:val="20"/>
                <w:szCs w:val="20"/>
              </w:rPr>
              <w:t>%</w:t>
            </w:r>
          </w:p>
        </w:tc>
      </w:tr>
      <w:tr w:rsidR="00C1359C" w:rsidRPr="009A6302" w14:paraId="48772C4A" w14:textId="77777777" w:rsidTr="00C1359C">
        <w:trPr>
          <w:trHeight w:val="300"/>
        </w:trPr>
        <w:tc>
          <w:tcPr>
            <w:tcW w:w="5240" w:type="dxa"/>
            <w:shd w:val="clear" w:color="auto" w:fill="auto"/>
            <w:noWrap/>
            <w:vAlign w:val="bottom"/>
            <w:hideMark/>
          </w:tcPr>
          <w:p w14:paraId="50331625" w14:textId="77777777" w:rsidR="00C1359C" w:rsidRPr="009A6302" w:rsidRDefault="00C1359C" w:rsidP="0049519E">
            <w:pPr>
              <w:rPr>
                <w:rFonts w:eastAsia="Times New Roman" w:cs="Calibri"/>
              </w:rPr>
            </w:pPr>
            <w:r>
              <w:rPr>
                <w:rFonts w:cs="Calibri"/>
                <w:b/>
                <w:bCs/>
              </w:rPr>
              <w:t>DOPRAVA (07)</w:t>
            </w:r>
          </w:p>
        </w:tc>
        <w:tc>
          <w:tcPr>
            <w:tcW w:w="2977" w:type="dxa"/>
            <w:shd w:val="clear" w:color="auto" w:fill="auto"/>
            <w:noWrap/>
            <w:vAlign w:val="bottom"/>
            <w:hideMark/>
          </w:tcPr>
          <w:p w14:paraId="52E5799C" w14:textId="77777777" w:rsidR="00C1359C" w:rsidRPr="009A6302" w:rsidRDefault="00C1359C" w:rsidP="0049519E">
            <w:pPr>
              <w:jc w:val="right"/>
              <w:rPr>
                <w:rFonts w:ascii="Arial" w:eastAsia="Times New Roman" w:hAnsi="Arial" w:cs="Arial"/>
                <w:color w:val="000000"/>
                <w:sz w:val="20"/>
                <w:szCs w:val="20"/>
              </w:rPr>
            </w:pPr>
            <w:r>
              <w:rPr>
                <w:rFonts w:ascii="Arial" w:eastAsia="Times New Roman" w:hAnsi="Arial" w:cs="Arial"/>
                <w:color w:val="000000"/>
                <w:sz w:val="20"/>
                <w:szCs w:val="20"/>
              </w:rPr>
              <w:t>3</w:t>
            </w:r>
            <w:r w:rsidRPr="009A6302">
              <w:rPr>
                <w:rFonts w:ascii="Arial" w:eastAsia="Times New Roman" w:hAnsi="Arial" w:cs="Arial"/>
                <w:color w:val="000000"/>
                <w:sz w:val="20"/>
                <w:szCs w:val="20"/>
              </w:rPr>
              <w:t>,</w:t>
            </w:r>
            <w:r>
              <w:rPr>
                <w:rFonts w:ascii="Arial" w:eastAsia="Times New Roman" w:hAnsi="Arial" w:cs="Arial"/>
                <w:color w:val="000000"/>
                <w:sz w:val="20"/>
                <w:szCs w:val="20"/>
              </w:rPr>
              <w:t>2</w:t>
            </w:r>
            <w:r w:rsidRPr="009A6302">
              <w:rPr>
                <w:rFonts w:ascii="Arial" w:eastAsia="Times New Roman" w:hAnsi="Arial" w:cs="Arial"/>
                <w:color w:val="000000"/>
                <w:sz w:val="20"/>
                <w:szCs w:val="20"/>
              </w:rPr>
              <w:t>%</w:t>
            </w:r>
          </w:p>
        </w:tc>
      </w:tr>
      <w:tr w:rsidR="00C1359C" w:rsidRPr="009A6302" w14:paraId="1CC70871" w14:textId="77777777" w:rsidTr="00C1359C">
        <w:trPr>
          <w:trHeight w:val="300"/>
        </w:trPr>
        <w:tc>
          <w:tcPr>
            <w:tcW w:w="5240" w:type="dxa"/>
            <w:shd w:val="clear" w:color="auto" w:fill="auto"/>
            <w:noWrap/>
            <w:vAlign w:val="bottom"/>
            <w:hideMark/>
          </w:tcPr>
          <w:p w14:paraId="1EEAEBD3" w14:textId="77777777" w:rsidR="00C1359C" w:rsidRPr="009A6302" w:rsidRDefault="00C1359C" w:rsidP="0049519E">
            <w:pPr>
              <w:rPr>
                <w:rFonts w:eastAsia="Times New Roman" w:cs="Calibri"/>
              </w:rPr>
            </w:pPr>
            <w:r>
              <w:rPr>
                <w:rFonts w:cs="Calibri"/>
                <w:b/>
                <w:bCs/>
              </w:rPr>
              <w:t>ZDRAVOTNÍCTVO (06)</w:t>
            </w:r>
          </w:p>
        </w:tc>
        <w:tc>
          <w:tcPr>
            <w:tcW w:w="2977" w:type="dxa"/>
            <w:shd w:val="clear" w:color="auto" w:fill="auto"/>
            <w:noWrap/>
            <w:vAlign w:val="bottom"/>
            <w:hideMark/>
          </w:tcPr>
          <w:p w14:paraId="3565C86F" w14:textId="77777777" w:rsidR="00C1359C" w:rsidRPr="009A6302" w:rsidRDefault="00C1359C" w:rsidP="0049519E">
            <w:pPr>
              <w:jc w:val="right"/>
              <w:rPr>
                <w:rFonts w:ascii="Arial" w:eastAsia="Times New Roman" w:hAnsi="Arial" w:cs="Arial"/>
                <w:color w:val="000000"/>
                <w:sz w:val="20"/>
                <w:szCs w:val="20"/>
              </w:rPr>
            </w:pPr>
            <w:r>
              <w:rPr>
                <w:rFonts w:ascii="Arial" w:eastAsia="Times New Roman" w:hAnsi="Arial" w:cs="Arial"/>
                <w:color w:val="000000"/>
                <w:sz w:val="20"/>
                <w:szCs w:val="20"/>
              </w:rPr>
              <w:t>6,8</w:t>
            </w:r>
            <w:r w:rsidRPr="009A6302">
              <w:rPr>
                <w:rFonts w:ascii="Arial" w:eastAsia="Times New Roman" w:hAnsi="Arial" w:cs="Arial"/>
                <w:color w:val="000000"/>
                <w:sz w:val="20"/>
                <w:szCs w:val="20"/>
              </w:rPr>
              <w:t>%</w:t>
            </w:r>
          </w:p>
        </w:tc>
      </w:tr>
      <w:tr w:rsidR="00C1359C" w:rsidRPr="009A6302" w14:paraId="7CA3D565" w14:textId="77777777" w:rsidTr="00C1359C">
        <w:trPr>
          <w:trHeight w:val="300"/>
        </w:trPr>
        <w:tc>
          <w:tcPr>
            <w:tcW w:w="5240" w:type="dxa"/>
            <w:shd w:val="clear" w:color="auto" w:fill="auto"/>
            <w:noWrap/>
            <w:vAlign w:val="bottom"/>
            <w:hideMark/>
          </w:tcPr>
          <w:p w14:paraId="1A9BA0C8" w14:textId="77777777" w:rsidR="00C1359C" w:rsidRPr="009A6302" w:rsidRDefault="00C1359C" w:rsidP="0049519E">
            <w:pPr>
              <w:rPr>
                <w:rFonts w:eastAsia="Times New Roman" w:cs="Calibri"/>
              </w:rPr>
            </w:pPr>
            <w:r>
              <w:rPr>
                <w:rFonts w:cs="Calibri"/>
                <w:b/>
                <w:bCs/>
              </w:rPr>
              <w:t>NÁBYTOK, BYTOVÉ ZARIADENIE A BEŽNÁ ÚDRŽBA DOMÁCNOSTI (05)</w:t>
            </w:r>
          </w:p>
        </w:tc>
        <w:tc>
          <w:tcPr>
            <w:tcW w:w="2977" w:type="dxa"/>
            <w:shd w:val="clear" w:color="auto" w:fill="auto"/>
            <w:noWrap/>
            <w:vAlign w:val="bottom"/>
            <w:hideMark/>
          </w:tcPr>
          <w:p w14:paraId="5F73E84E" w14:textId="77777777" w:rsidR="00C1359C" w:rsidRPr="009A6302" w:rsidRDefault="00C1359C" w:rsidP="0049519E">
            <w:pPr>
              <w:jc w:val="right"/>
              <w:rPr>
                <w:rFonts w:ascii="Arial" w:eastAsia="Times New Roman" w:hAnsi="Arial" w:cs="Arial"/>
                <w:color w:val="000000"/>
                <w:sz w:val="20"/>
                <w:szCs w:val="20"/>
              </w:rPr>
            </w:pPr>
            <w:r>
              <w:rPr>
                <w:rFonts w:ascii="Arial" w:eastAsia="Times New Roman" w:hAnsi="Arial" w:cs="Arial"/>
                <w:color w:val="000000"/>
                <w:sz w:val="20"/>
                <w:szCs w:val="20"/>
              </w:rPr>
              <w:t>2</w:t>
            </w:r>
            <w:r w:rsidRPr="009A6302">
              <w:rPr>
                <w:rFonts w:ascii="Arial" w:eastAsia="Times New Roman" w:hAnsi="Arial" w:cs="Arial"/>
                <w:color w:val="000000"/>
                <w:sz w:val="20"/>
                <w:szCs w:val="20"/>
              </w:rPr>
              <w:t>,</w:t>
            </w:r>
            <w:r>
              <w:rPr>
                <w:rFonts w:ascii="Arial" w:eastAsia="Times New Roman" w:hAnsi="Arial" w:cs="Arial"/>
                <w:color w:val="000000"/>
                <w:sz w:val="20"/>
                <w:szCs w:val="20"/>
              </w:rPr>
              <w:t>2</w:t>
            </w:r>
            <w:r w:rsidRPr="009A6302">
              <w:rPr>
                <w:rFonts w:ascii="Arial" w:eastAsia="Times New Roman" w:hAnsi="Arial" w:cs="Arial"/>
                <w:color w:val="000000"/>
                <w:sz w:val="20"/>
                <w:szCs w:val="20"/>
              </w:rPr>
              <w:t>%</w:t>
            </w:r>
          </w:p>
        </w:tc>
      </w:tr>
      <w:tr w:rsidR="00C1359C" w:rsidRPr="009A6302" w14:paraId="267ED712" w14:textId="77777777" w:rsidTr="00C1359C">
        <w:trPr>
          <w:trHeight w:val="300"/>
        </w:trPr>
        <w:tc>
          <w:tcPr>
            <w:tcW w:w="5240" w:type="dxa"/>
            <w:shd w:val="clear" w:color="auto" w:fill="auto"/>
            <w:noWrap/>
            <w:vAlign w:val="bottom"/>
            <w:hideMark/>
          </w:tcPr>
          <w:p w14:paraId="343E7476" w14:textId="77777777" w:rsidR="00C1359C" w:rsidRPr="009A6302" w:rsidRDefault="00C1359C" w:rsidP="0049519E">
            <w:pPr>
              <w:rPr>
                <w:rFonts w:eastAsia="Times New Roman" w:cs="Calibri"/>
              </w:rPr>
            </w:pPr>
            <w:r>
              <w:rPr>
                <w:rFonts w:cs="Calibri"/>
                <w:b/>
                <w:bCs/>
              </w:rPr>
              <w:t>REKREÁCIA A KULTÚRA (09)</w:t>
            </w:r>
          </w:p>
        </w:tc>
        <w:tc>
          <w:tcPr>
            <w:tcW w:w="2977" w:type="dxa"/>
            <w:shd w:val="clear" w:color="auto" w:fill="auto"/>
            <w:noWrap/>
            <w:vAlign w:val="bottom"/>
            <w:hideMark/>
          </w:tcPr>
          <w:p w14:paraId="5B069494" w14:textId="77777777" w:rsidR="00C1359C" w:rsidRPr="009A6302" w:rsidRDefault="00C1359C" w:rsidP="0049519E">
            <w:pPr>
              <w:jc w:val="right"/>
              <w:rPr>
                <w:rFonts w:ascii="Arial" w:eastAsia="Times New Roman" w:hAnsi="Arial" w:cs="Arial"/>
                <w:color w:val="000000"/>
                <w:sz w:val="20"/>
                <w:szCs w:val="20"/>
              </w:rPr>
            </w:pPr>
            <w:r>
              <w:rPr>
                <w:rFonts w:ascii="Arial" w:eastAsia="Times New Roman" w:hAnsi="Arial" w:cs="Arial"/>
                <w:color w:val="000000"/>
                <w:sz w:val="20"/>
                <w:szCs w:val="20"/>
              </w:rPr>
              <w:t>1</w:t>
            </w:r>
            <w:r w:rsidRPr="009A6302">
              <w:rPr>
                <w:rFonts w:ascii="Arial" w:eastAsia="Times New Roman" w:hAnsi="Arial" w:cs="Arial"/>
                <w:color w:val="000000"/>
                <w:sz w:val="20"/>
                <w:szCs w:val="20"/>
              </w:rPr>
              <w:t>,</w:t>
            </w:r>
            <w:r>
              <w:rPr>
                <w:rFonts w:ascii="Arial" w:eastAsia="Times New Roman" w:hAnsi="Arial" w:cs="Arial"/>
                <w:color w:val="000000"/>
                <w:sz w:val="20"/>
                <w:szCs w:val="20"/>
              </w:rPr>
              <w:t>8</w:t>
            </w:r>
            <w:r w:rsidRPr="009A6302">
              <w:rPr>
                <w:rFonts w:ascii="Arial" w:eastAsia="Times New Roman" w:hAnsi="Arial" w:cs="Arial"/>
                <w:color w:val="000000"/>
                <w:sz w:val="20"/>
                <w:szCs w:val="20"/>
              </w:rPr>
              <w:t>%</w:t>
            </w:r>
          </w:p>
        </w:tc>
      </w:tr>
      <w:tr w:rsidR="00C1359C" w:rsidRPr="009A6302" w14:paraId="33153CCD" w14:textId="77777777" w:rsidTr="00C1359C">
        <w:trPr>
          <w:trHeight w:val="300"/>
        </w:trPr>
        <w:tc>
          <w:tcPr>
            <w:tcW w:w="5240" w:type="dxa"/>
            <w:shd w:val="clear" w:color="auto" w:fill="auto"/>
            <w:noWrap/>
            <w:vAlign w:val="bottom"/>
            <w:hideMark/>
          </w:tcPr>
          <w:p w14:paraId="6B0D9731" w14:textId="77777777" w:rsidR="00C1359C" w:rsidRPr="009A6302" w:rsidRDefault="00C1359C" w:rsidP="0049519E">
            <w:pPr>
              <w:rPr>
                <w:rFonts w:eastAsia="Times New Roman" w:cs="Calibri"/>
              </w:rPr>
            </w:pPr>
            <w:r>
              <w:rPr>
                <w:rFonts w:cs="Calibri"/>
                <w:b/>
                <w:bCs/>
              </w:rPr>
              <w:t>VZDELÁVANIE (10)</w:t>
            </w:r>
          </w:p>
        </w:tc>
        <w:tc>
          <w:tcPr>
            <w:tcW w:w="2977" w:type="dxa"/>
            <w:shd w:val="clear" w:color="auto" w:fill="auto"/>
            <w:noWrap/>
            <w:vAlign w:val="bottom"/>
            <w:hideMark/>
          </w:tcPr>
          <w:p w14:paraId="036E21D9" w14:textId="77777777" w:rsidR="00C1359C" w:rsidRPr="009A6302" w:rsidRDefault="00C1359C" w:rsidP="0049519E">
            <w:pPr>
              <w:jc w:val="right"/>
              <w:rPr>
                <w:rFonts w:ascii="Arial" w:eastAsia="Times New Roman" w:hAnsi="Arial" w:cs="Arial"/>
                <w:color w:val="000000"/>
                <w:sz w:val="20"/>
                <w:szCs w:val="20"/>
              </w:rPr>
            </w:pPr>
            <w:r>
              <w:rPr>
                <w:rFonts w:ascii="Arial" w:eastAsia="Times New Roman" w:hAnsi="Arial" w:cs="Arial"/>
                <w:color w:val="000000"/>
                <w:sz w:val="20"/>
                <w:szCs w:val="20"/>
              </w:rPr>
              <w:t>10</w:t>
            </w:r>
            <w:r w:rsidRPr="009A6302">
              <w:rPr>
                <w:rFonts w:ascii="Arial" w:eastAsia="Times New Roman" w:hAnsi="Arial" w:cs="Arial"/>
                <w:color w:val="000000"/>
                <w:sz w:val="20"/>
                <w:szCs w:val="20"/>
              </w:rPr>
              <w:t>,</w:t>
            </w:r>
            <w:r>
              <w:rPr>
                <w:rFonts w:ascii="Arial" w:eastAsia="Times New Roman" w:hAnsi="Arial" w:cs="Arial"/>
                <w:color w:val="000000"/>
                <w:sz w:val="20"/>
                <w:szCs w:val="20"/>
              </w:rPr>
              <w:t>5</w:t>
            </w:r>
            <w:r w:rsidRPr="009A6302">
              <w:rPr>
                <w:rFonts w:ascii="Arial" w:eastAsia="Times New Roman" w:hAnsi="Arial" w:cs="Arial"/>
                <w:color w:val="000000"/>
                <w:sz w:val="20"/>
                <w:szCs w:val="20"/>
              </w:rPr>
              <w:t>%</w:t>
            </w:r>
          </w:p>
        </w:tc>
      </w:tr>
      <w:tr w:rsidR="00C1359C" w:rsidRPr="009A6302" w14:paraId="5529526B" w14:textId="77777777" w:rsidTr="00C1359C">
        <w:trPr>
          <w:trHeight w:val="300"/>
        </w:trPr>
        <w:tc>
          <w:tcPr>
            <w:tcW w:w="5240" w:type="dxa"/>
            <w:shd w:val="clear" w:color="auto" w:fill="auto"/>
            <w:noWrap/>
            <w:vAlign w:val="bottom"/>
            <w:hideMark/>
          </w:tcPr>
          <w:p w14:paraId="50CA5C70" w14:textId="77777777" w:rsidR="00C1359C" w:rsidRPr="009A6302" w:rsidRDefault="00C1359C" w:rsidP="0049519E">
            <w:pPr>
              <w:rPr>
                <w:rFonts w:eastAsia="Times New Roman" w:cs="Calibri"/>
              </w:rPr>
            </w:pPr>
            <w:r>
              <w:rPr>
                <w:rFonts w:cs="Calibri"/>
                <w:b/>
                <w:bCs/>
              </w:rPr>
              <w:t>REŠTAURÁCIE A HOTELY (11)</w:t>
            </w:r>
          </w:p>
        </w:tc>
        <w:tc>
          <w:tcPr>
            <w:tcW w:w="2977" w:type="dxa"/>
            <w:shd w:val="clear" w:color="auto" w:fill="auto"/>
            <w:noWrap/>
            <w:vAlign w:val="bottom"/>
            <w:hideMark/>
          </w:tcPr>
          <w:p w14:paraId="7E4917F7" w14:textId="77777777" w:rsidR="00C1359C" w:rsidRPr="009A6302" w:rsidRDefault="00C1359C" w:rsidP="0049519E">
            <w:pPr>
              <w:jc w:val="right"/>
              <w:rPr>
                <w:rFonts w:ascii="Arial" w:eastAsia="Times New Roman" w:hAnsi="Arial" w:cs="Arial"/>
                <w:color w:val="000000"/>
                <w:sz w:val="20"/>
                <w:szCs w:val="20"/>
              </w:rPr>
            </w:pPr>
            <w:r w:rsidRPr="009A6302">
              <w:rPr>
                <w:rFonts w:ascii="Arial" w:eastAsia="Times New Roman" w:hAnsi="Arial" w:cs="Arial"/>
                <w:color w:val="000000"/>
                <w:sz w:val="20"/>
                <w:szCs w:val="20"/>
              </w:rPr>
              <w:t>5,1%</w:t>
            </w:r>
          </w:p>
        </w:tc>
      </w:tr>
      <w:tr w:rsidR="00C1359C" w:rsidRPr="009A6302" w14:paraId="1E5B7C69" w14:textId="77777777" w:rsidTr="00C1359C">
        <w:trPr>
          <w:trHeight w:val="300"/>
        </w:trPr>
        <w:tc>
          <w:tcPr>
            <w:tcW w:w="5240" w:type="dxa"/>
            <w:shd w:val="clear" w:color="auto" w:fill="auto"/>
            <w:noWrap/>
            <w:vAlign w:val="bottom"/>
            <w:hideMark/>
          </w:tcPr>
          <w:p w14:paraId="2D4BBE18" w14:textId="77777777" w:rsidR="00C1359C" w:rsidRPr="009A6302" w:rsidRDefault="00C1359C" w:rsidP="0049519E">
            <w:pPr>
              <w:rPr>
                <w:rFonts w:eastAsia="Times New Roman" w:cs="Calibri"/>
              </w:rPr>
            </w:pPr>
            <w:r>
              <w:rPr>
                <w:rFonts w:cs="Calibri"/>
                <w:b/>
                <w:bCs/>
              </w:rPr>
              <w:t>ROZLIČNÉ TOVARY A SLUŽBY (12)</w:t>
            </w:r>
          </w:p>
        </w:tc>
        <w:tc>
          <w:tcPr>
            <w:tcW w:w="2977" w:type="dxa"/>
            <w:shd w:val="clear" w:color="auto" w:fill="auto"/>
            <w:noWrap/>
            <w:vAlign w:val="bottom"/>
            <w:hideMark/>
          </w:tcPr>
          <w:p w14:paraId="4DC875C9" w14:textId="77777777" w:rsidR="00C1359C" w:rsidRPr="009A6302" w:rsidRDefault="00C1359C" w:rsidP="0049519E">
            <w:pPr>
              <w:jc w:val="right"/>
              <w:rPr>
                <w:rFonts w:ascii="Arial" w:eastAsia="Times New Roman" w:hAnsi="Arial" w:cs="Arial"/>
                <w:color w:val="000000"/>
                <w:sz w:val="20"/>
                <w:szCs w:val="20"/>
              </w:rPr>
            </w:pPr>
            <w:r>
              <w:rPr>
                <w:rFonts w:ascii="Arial" w:eastAsia="Times New Roman" w:hAnsi="Arial" w:cs="Arial"/>
                <w:color w:val="000000"/>
                <w:sz w:val="20"/>
                <w:szCs w:val="20"/>
              </w:rPr>
              <w:t>4</w:t>
            </w:r>
            <w:r w:rsidRPr="009A6302">
              <w:rPr>
                <w:rFonts w:ascii="Arial" w:eastAsia="Times New Roman" w:hAnsi="Arial" w:cs="Arial"/>
                <w:color w:val="000000"/>
                <w:sz w:val="20"/>
                <w:szCs w:val="20"/>
              </w:rPr>
              <w:t>,3%</w:t>
            </w:r>
          </w:p>
        </w:tc>
      </w:tr>
    </w:tbl>
    <w:p w14:paraId="0DF41758" w14:textId="77777777" w:rsidR="00C1359C" w:rsidRPr="000B528D" w:rsidRDefault="00C1359C" w:rsidP="000B528D">
      <w:pPr>
        <w:spacing w:after="160"/>
        <w:jc w:val="both"/>
        <w:rPr>
          <w:rFonts w:ascii="Arial Narrow" w:hAnsi="Arial Narrow"/>
          <w:sz w:val="24"/>
          <w:szCs w:val="24"/>
        </w:rPr>
      </w:pPr>
    </w:p>
    <w:p w14:paraId="7AD23044" w14:textId="4DB5324F" w:rsidR="00323954" w:rsidRDefault="00323954" w:rsidP="00947BF3">
      <w:pPr>
        <w:pStyle w:val="Nadpis1"/>
        <w:numPr>
          <w:ilvl w:val="0"/>
          <w:numId w:val="1"/>
        </w:numPr>
        <w:spacing w:after="240" w:line="240" w:lineRule="auto"/>
        <w:ind w:left="283" w:hanging="357"/>
        <w:jc w:val="left"/>
        <w:rPr>
          <w:b w:val="0"/>
          <w:bCs/>
          <w:color w:val="5B9BD5" w:themeColor="accent1"/>
        </w:rPr>
      </w:pPr>
      <w:bookmarkStart w:id="23" w:name="_Toc202358586"/>
      <w:bookmarkEnd w:id="18"/>
      <w:r w:rsidRPr="009B6DF1">
        <w:rPr>
          <w:color w:val="5B9BD5" w:themeColor="accent1"/>
        </w:rPr>
        <w:t>Uplatňovanie zákona o cenách</w:t>
      </w:r>
      <w:bookmarkEnd w:id="23"/>
    </w:p>
    <w:p w14:paraId="5CCD092C" w14:textId="77777777" w:rsidR="00323954" w:rsidRPr="000B528D" w:rsidRDefault="00323954" w:rsidP="000B528D">
      <w:pPr>
        <w:spacing w:after="160"/>
        <w:jc w:val="both"/>
        <w:rPr>
          <w:rFonts w:ascii="Arial Narrow" w:hAnsi="Arial Narrow"/>
          <w:sz w:val="24"/>
          <w:szCs w:val="24"/>
        </w:rPr>
      </w:pPr>
      <w:r w:rsidRPr="000B528D">
        <w:rPr>
          <w:rFonts w:ascii="Arial Narrow" w:hAnsi="Arial Narrow"/>
          <w:sz w:val="24"/>
          <w:szCs w:val="24"/>
        </w:rPr>
        <w:t xml:space="preserve">V roku 2024 sa ministerstvo zameralo v záujme zachovania cenovej stability na sledovanie cenového vývoja na oblasť potravín ako kľúčového segmentu z dôvodu inflačného vývoja, ktorý v poslednom období v dôsledku pandémie COVID-19 a vojny na Ukrajine oslabil cenovú stabilitu a spôsobil celosvetový rast cien aj v eurozóne. Prostredníctvom pravidelného vykonávania analýz cenového vývoja základných druhov potravín, žiadostí o cenové informácie od predávajúcich potravín vyhodnocuje aktuálny vývoj cien v tejto oblasti. </w:t>
      </w:r>
    </w:p>
    <w:p w14:paraId="4733735E" w14:textId="77777777" w:rsidR="00323954" w:rsidRPr="000B528D" w:rsidRDefault="00323954" w:rsidP="000B528D">
      <w:pPr>
        <w:spacing w:after="160"/>
        <w:jc w:val="both"/>
        <w:rPr>
          <w:rFonts w:ascii="Arial Narrow" w:hAnsi="Arial Narrow"/>
          <w:sz w:val="24"/>
          <w:szCs w:val="24"/>
        </w:rPr>
      </w:pPr>
      <w:r w:rsidRPr="000B528D">
        <w:rPr>
          <w:rFonts w:ascii="Arial Narrow" w:hAnsi="Arial Narrow"/>
          <w:sz w:val="24"/>
          <w:szCs w:val="24"/>
        </w:rPr>
        <w:t xml:space="preserve">V rámci uplatňovania zákona o cenách ministerstvo vytvára nový  informačný systém pre potreby plnenia úloh vyplývajúcich zo zákona o cenách a zjednodušenie informovanosti pre potreby vlády ako aj širokej verejnosti. Súčasťou tohto systému je aj pripravované štátne webové sídlo na zverejňovanie cenových informácií o vybraných tovaroch v súčasnosti zamerané na oblasť potravín a v budúcnosti, pri nepriaznivých cenových výkyvoch, môže dôjsť k doplneniu iných dôležitých tovarov. Pre predajcov bude štátom vytvorené spoločné miesto, kde budú vybrané predávané tovary sústredené. Tomuto kroku v roku 2024 predchádzala novelizácia zákona o cenách na vytvorenie legislatívneho rámca. </w:t>
      </w:r>
    </w:p>
    <w:p w14:paraId="1BDDBDCF" w14:textId="77777777" w:rsidR="00323954" w:rsidRPr="000B528D" w:rsidRDefault="00323954" w:rsidP="000B528D">
      <w:pPr>
        <w:spacing w:after="160"/>
        <w:jc w:val="both"/>
        <w:rPr>
          <w:rFonts w:ascii="Arial Narrow" w:hAnsi="Arial Narrow"/>
          <w:sz w:val="24"/>
          <w:szCs w:val="24"/>
        </w:rPr>
      </w:pPr>
    </w:p>
    <w:p w14:paraId="24C76DD1" w14:textId="77777777" w:rsidR="00323954" w:rsidRPr="000B528D" w:rsidRDefault="00323954" w:rsidP="000B528D">
      <w:pPr>
        <w:spacing w:after="160"/>
        <w:jc w:val="both"/>
        <w:rPr>
          <w:rFonts w:ascii="Arial Narrow" w:hAnsi="Arial Narrow"/>
          <w:sz w:val="24"/>
          <w:szCs w:val="24"/>
        </w:rPr>
      </w:pPr>
      <w:r w:rsidRPr="000B528D">
        <w:rPr>
          <w:rFonts w:ascii="Arial Narrow" w:hAnsi="Arial Narrow"/>
          <w:sz w:val="24"/>
          <w:szCs w:val="24"/>
        </w:rPr>
        <w:t>Doterajšie sledovanie cenového vývoja vyústilo do vyššie spomínaného pravidelného vykonávania analýz základných druhov potravín, ktoré sú predkladané vláde na pravidelnej báze a zverejňované na stránke ministerstva a v budúcnosti budú súčasťou novej formy cenového informačného systému.</w:t>
      </w:r>
    </w:p>
    <w:p w14:paraId="731EF8FE" w14:textId="625F6A2C" w:rsidR="00323954" w:rsidRPr="000B528D" w:rsidRDefault="00323954" w:rsidP="000B528D">
      <w:pPr>
        <w:spacing w:after="160"/>
        <w:jc w:val="both"/>
        <w:rPr>
          <w:rFonts w:ascii="Arial Narrow" w:hAnsi="Arial Narrow"/>
          <w:sz w:val="24"/>
          <w:szCs w:val="24"/>
        </w:rPr>
      </w:pPr>
      <w:r w:rsidRPr="000B528D">
        <w:rPr>
          <w:rFonts w:ascii="Arial Narrow" w:hAnsi="Arial Narrow"/>
          <w:sz w:val="24"/>
          <w:szCs w:val="24"/>
        </w:rPr>
        <w:t>Cenový vývoj v prevažnej miere neodôvodňoval využiť zákonne nástroje na priame zásahy do trhového prostredia, ale vzhľadom na dôležitosť udržania cenovej stability a dostupnosti základných potravín ministerstvo uplatňuje navrhnuté opatrenia s využitím zákonných nástrojov, ktoré boli ukotvené v</w:t>
      </w:r>
      <w:r w:rsidR="000B528D">
        <w:rPr>
          <w:rFonts w:ascii="Arial Narrow" w:hAnsi="Arial Narrow"/>
          <w:sz w:val="24"/>
          <w:szCs w:val="24"/>
        </w:rPr>
        <w:t> </w:t>
      </w:r>
      <w:r w:rsidRPr="000B528D">
        <w:rPr>
          <w:rFonts w:ascii="Arial Narrow" w:hAnsi="Arial Narrow"/>
          <w:sz w:val="24"/>
          <w:szCs w:val="24"/>
        </w:rPr>
        <w:t>uznesením vlády SR č. 732 z 20.decembra 2023.</w:t>
      </w:r>
    </w:p>
    <w:p w14:paraId="06430CD5" w14:textId="77777777" w:rsidR="00323954" w:rsidRPr="000B528D" w:rsidRDefault="00323954" w:rsidP="000B528D">
      <w:pPr>
        <w:spacing w:before="240" w:after="120"/>
        <w:jc w:val="both"/>
        <w:rPr>
          <w:rFonts w:ascii="Arial Narrow" w:hAnsi="Arial Narrow"/>
          <w:b/>
          <w:bCs/>
          <w:sz w:val="24"/>
          <w:szCs w:val="24"/>
        </w:rPr>
      </w:pPr>
      <w:bookmarkStart w:id="24" w:name="_Toc201846918"/>
      <w:r w:rsidRPr="000B528D">
        <w:rPr>
          <w:rFonts w:ascii="Arial Narrow" w:hAnsi="Arial Narrow"/>
          <w:b/>
          <w:bCs/>
          <w:sz w:val="24"/>
          <w:szCs w:val="24"/>
        </w:rPr>
        <w:t>Analýza cenového vývoja základných druhov potravín</w:t>
      </w:r>
      <w:bookmarkEnd w:id="24"/>
    </w:p>
    <w:p w14:paraId="76FE84BF" w14:textId="77777777" w:rsidR="00323954" w:rsidRPr="000B528D" w:rsidRDefault="00323954" w:rsidP="000B528D">
      <w:pPr>
        <w:spacing w:after="160"/>
        <w:jc w:val="both"/>
        <w:rPr>
          <w:rFonts w:ascii="Arial Narrow" w:hAnsi="Arial Narrow"/>
          <w:sz w:val="24"/>
          <w:szCs w:val="24"/>
        </w:rPr>
      </w:pPr>
      <w:r w:rsidRPr="000B528D">
        <w:rPr>
          <w:rFonts w:ascii="Arial Narrow" w:hAnsi="Arial Narrow"/>
          <w:sz w:val="24"/>
          <w:szCs w:val="24"/>
        </w:rPr>
        <w:t>Zákonom číslo č. 279/2023 Z. z. ktorým sa mení a dopĺňa zákon Národnej rady Slovenskej republiky č. 18/1996 Z. z. o cenách v znení neskorších predpisov s účinnosťou od 1.8.2023 bola ustanovená povinnosť ministerstva vykonať analýzu cenového vývoja základných druhov potravín.</w:t>
      </w:r>
    </w:p>
    <w:p w14:paraId="7773A19E" w14:textId="41799408" w:rsidR="00323954" w:rsidRPr="000B528D" w:rsidRDefault="00323954" w:rsidP="000B528D">
      <w:pPr>
        <w:spacing w:after="160"/>
        <w:jc w:val="both"/>
        <w:rPr>
          <w:rFonts w:ascii="Arial Narrow" w:hAnsi="Arial Narrow"/>
          <w:sz w:val="24"/>
          <w:szCs w:val="24"/>
        </w:rPr>
      </w:pPr>
      <w:r w:rsidRPr="000B528D">
        <w:rPr>
          <w:rFonts w:ascii="Arial Narrow" w:hAnsi="Arial Narrow"/>
          <w:sz w:val="24"/>
          <w:szCs w:val="24"/>
        </w:rPr>
        <w:t>Ministerstvo predložilo 17.8.2023 vláde analýzu č. 1/2023 ktorá bola vzatá na vedomie vládou na jej 14.</w:t>
      </w:r>
      <w:r w:rsidR="000B528D">
        <w:rPr>
          <w:rFonts w:ascii="Arial Narrow" w:hAnsi="Arial Narrow"/>
          <w:sz w:val="24"/>
          <w:szCs w:val="24"/>
        </w:rPr>
        <w:t> </w:t>
      </w:r>
      <w:r w:rsidRPr="000B528D">
        <w:rPr>
          <w:rFonts w:ascii="Arial Narrow" w:hAnsi="Arial Narrow"/>
          <w:sz w:val="24"/>
          <w:szCs w:val="24"/>
        </w:rPr>
        <w:t>schôdzi dňa 6.9.2023. Nasledovala analýza č. 2/2023 ktorá bola vzatá na vedomie vládou 20.12.2023 a vyplývala z uznesenia vlády SR č. 575 z 2. novembra 2023.</w:t>
      </w:r>
    </w:p>
    <w:p w14:paraId="25CDB54D" w14:textId="0CF72555" w:rsidR="00323954" w:rsidRPr="000B528D" w:rsidRDefault="00323954" w:rsidP="000B528D">
      <w:pPr>
        <w:spacing w:before="240" w:after="120"/>
        <w:jc w:val="both"/>
        <w:rPr>
          <w:rFonts w:ascii="Arial Narrow" w:hAnsi="Arial Narrow"/>
          <w:b/>
          <w:bCs/>
          <w:sz w:val="24"/>
          <w:szCs w:val="24"/>
        </w:rPr>
      </w:pPr>
      <w:r w:rsidRPr="000B528D">
        <w:rPr>
          <w:rFonts w:ascii="Arial Narrow" w:hAnsi="Arial Narrow"/>
          <w:b/>
          <w:bCs/>
          <w:sz w:val="24"/>
          <w:szCs w:val="24"/>
        </w:rPr>
        <w:t xml:space="preserve">Uznesenie </w:t>
      </w:r>
      <w:bookmarkStart w:id="25" w:name="_Hlk201780514"/>
      <w:r w:rsidRPr="000B528D">
        <w:rPr>
          <w:rFonts w:ascii="Arial Narrow" w:hAnsi="Arial Narrow"/>
          <w:b/>
          <w:bCs/>
          <w:sz w:val="24"/>
          <w:szCs w:val="24"/>
        </w:rPr>
        <w:t>vlády SR č. 575 z 2. novembra 2023</w:t>
      </w:r>
      <w:bookmarkEnd w:id="25"/>
    </w:p>
    <w:p w14:paraId="28FDDB53" w14:textId="77777777" w:rsidR="00323954" w:rsidRPr="000B528D" w:rsidRDefault="00323954" w:rsidP="000B528D">
      <w:pPr>
        <w:spacing w:after="160"/>
        <w:jc w:val="both"/>
        <w:rPr>
          <w:rFonts w:ascii="Arial Narrow" w:hAnsi="Arial Narrow"/>
          <w:sz w:val="24"/>
          <w:szCs w:val="24"/>
        </w:rPr>
      </w:pPr>
      <w:r w:rsidRPr="000B528D">
        <w:rPr>
          <w:rFonts w:ascii="Arial Narrow" w:hAnsi="Arial Narrow"/>
          <w:sz w:val="24"/>
          <w:szCs w:val="24"/>
        </w:rPr>
        <w:t xml:space="preserve">Týmto uznesením vláda v bode B.2. uložila ministrovi financií zabezpečiť dodatočné vykonanie analýzy cenového vývoja základných druhov potravín podľa § 23h </w:t>
      </w:r>
      <w:bookmarkStart w:id="26" w:name="_Hlk201778100"/>
      <w:r w:rsidRPr="000B528D">
        <w:rPr>
          <w:rFonts w:ascii="Arial Narrow" w:hAnsi="Arial Narrow"/>
          <w:sz w:val="24"/>
          <w:szCs w:val="24"/>
        </w:rPr>
        <w:t xml:space="preserve">zákona o cenách </w:t>
      </w:r>
      <w:bookmarkEnd w:id="26"/>
      <w:r w:rsidRPr="000B528D">
        <w:rPr>
          <w:rFonts w:ascii="Arial Narrow" w:hAnsi="Arial Narrow"/>
          <w:sz w:val="24"/>
          <w:szCs w:val="24"/>
        </w:rPr>
        <w:t>a v bode B.3. predložiť na rokovanie vlády na schválenie navrhnuté opatrenia, ak sa v analýze preukáže pretrvávanie mimoriadnej trhovej situácie s priamym vplyvom na ceny základných potravín na tuzemskom trhu ohrozujúcim cenovú stabilitu alebo dostupnosť základných potravín.</w:t>
      </w:r>
    </w:p>
    <w:p w14:paraId="2F9503D9" w14:textId="77777777" w:rsidR="00323954" w:rsidRPr="000B528D" w:rsidRDefault="00323954" w:rsidP="000B528D">
      <w:pPr>
        <w:spacing w:after="160"/>
        <w:jc w:val="both"/>
        <w:rPr>
          <w:rFonts w:ascii="Arial Narrow" w:hAnsi="Arial Narrow"/>
          <w:sz w:val="24"/>
          <w:szCs w:val="24"/>
        </w:rPr>
      </w:pPr>
      <w:r w:rsidRPr="000B528D">
        <w:rPr>
          <w:rFonts w:ascii="Arial Narrow" w:hAnsi="Arial Narrow"/>
          <w:sz w:val="24"/>
          <w:szCs w:val="24"/>
        </w:rPr>
        <w:t xml:space="preserve">Stručný popis záverov analýzy č. 2/2023: </w:t>
      </w:r>
    </w:p>
    <w:p w14:paraId="519B66DD" w14:textId="7030CFB2" w:rsidR="00323954" w:rsidRPr="000B528D" w:rsidRDefault="00323954" w:rsidP="000B528D">
      <w:pPr>
        <w:pStyle w:val="Odsekzoznamu"/>
        <w:numPr>
          <w:ilvl w:val="0"/>
          <w:numId w:val="8"/>
        </w:numPr>
        <w:ind w:left="378"/>
        <w:jc w:val="both"/>
        <w:rPr>
          <w:rFonts w:ascii="Arial Narrow" w:hAnsi="Arial Narrow"/>
          <w:sz w:val="24"/>
          <w:szCs w:val="24"/>
        </w:rPr>
      </w:pPr>
      <w:r w:rsidRPr="000B528D">
        <w:rPr>
          <w:rFonts w:ascii="Arial Narrow" w:hAnsi="Arial Narrow"/>
          <w:sz w:val="24"/>
          <w:szCs w:val="24"/>
        </w:rPr>
        <w:t>v súčasnosti nie je ohrozená dostupnosť a spotreba základných potravín</w:t>
      </w:r>
      <w:r w:rsidR="000B528D">
        <w:rPr>
          <w:rFonts w:ascii="Arial Narrow" w:hAnsi="Arial Narrow"/>
          <w:sz w:val="24"/>
          <w:szCs w:val="24"/>
        </w:rPr>
        <w:t>;</w:t>
      </w:r>
    </w:p>
    <w:p w14:paraId="51C61483" w14:textId="1D69BEA4" w:rsidR="00323954" w:rsidRPr="000B528D" w:rsidRDefault="00323954" w:rsidP="000B528D">
      <w:pPr>
        <w:pStyle w:val="Odsekzoznamu"/>
        <w:numPr>
          <w:ilvl w:val="0"/>
          <w:numId w:val="8"/>
        </w:numPr>
        <w:spacing w:after="240"/>
        <w:ind w:left="378"/>
        <w:jc w:val="both"/>
        <w:rPr>
          <w:rFonts w:ascii="Arial Narrow" w:hAnsi="Arial Narrow"/>
          <w:sz w:val="24"/>
          <w:szCs w:val="24"/>
        </w:rPr>
      </w:pPr>
      <w:r w:rsidRPr="000B528D">
        <w:rPr>
          <w:rFonts w:ascii="Arial Narrow" w:hAnsi="Arial Narrow"/>
          <w:sz w:val="24"/>
          <w:szCs w:val="24"/>
        </w:rPr>
        <w:t>súčasný vývoj neodôvodňuje priamu cenovú reguláciu konkrétnych druhov potravín, ale vzhľadom na dôležitosť udržania cenovej stability a dostupnosti základných potravín ministerstvom boli navrhnuté konkrétne opatrenia s využitím zákonných nástrojov, ktoré boli ukotvené v uznesením vlády SR č. 732 z 20.decembra 2023.</w:t>
      </w:r>
    </w:p>
    <w:p w14:paraId="370DC978" w14:textId="61AB6DFE" w:rsidR="00323954" w:rsidRPr="000B528D" w:rsidRDefault="00323954" w:rsidP="000B528D">
      <w:pPr>
        <w:spacing w:after="160"/>
        <w:jc w:val="both"/>
        <w:rPr>
          <w:rFonts w:ascii="Arial Narrow" w:hAnsi="Arial Narrow"/>
          <w:sz w:val="24"/>
          <w:szCs w:val="24"/>
        </w:rPr>
      </w:pPr>
      <w:r w:rsidRPr="000B528D">
        <w:rPr>
          <w:rFonts w:ascii="Arial Narrow" w:hAnsi="Arial Narrow"/>
          <w:sz w:val="24"/>
          <w:szCs w:val="24"/>
        </w:rPr>
        <w:t>Opatrenia :</w:t>
      </w:r>
    </w:p>
    <w:p w14:paraId="26F6DF4E" w14:textId="38546096" w:rsidR="00323954" w:rsidRPr="000B528D" w:rsidRDefault="00323954" w:rsidP="000B528D">
      <w:pPr>
        <w:pStyle w:val="Odsekzoznamu"/>
        <w:numPr>
          <w:ilvl w:val="0"/>
          <w:numId w:val="11"/>
        </w:numPr>
        <w:ind w:left="378"/>
        <w:jc w:val="both"/>
        <w:rPr>
          <w:rFonts w:ascii="Arial Narrow" w:hAnsi="Arial Narrow"/>
          <w:sz w:val="24"/>
          <w:szCs w:val="24"/>
        </w:rPr>
      </w:pPr>
      <w:r w:rsidRPr="000B528D">
        <w:rPr>
          <w:rFonts w:ascii="Arial Narrow" w:hAnsi="Arial Narrow"/>
          <w:sz w:val="24"/>
          <w:szCs w:val="24"/>
        </w:rPr>
        <w:t>Vykonanie cenovej kontroly u predávajúcich vybraných druhov potravín v</w:t>
      </w:r>
      <w:r w:rsidR="000B528D" w:rsidRPr="000B528D">
        <w:rPr>
          <w:rFonts w:ascii="Arial Narrow" w:hAnsi="Arial Narrow"/>
          <w:sz w:val="24"/>
          <w:szCs w:val="24"/>
        </w:rPr>
        <w:t> </w:t>
      </w:r>
      <w:r w:rsidRPr="000B528D">
        <w:rPr>
          <w:rFonts w:ascii="Arial Narrow" w:hAnsi="Arial Narrow"/>
          <w:sz w:val="24"/>
          <w:szCs w:val="24"/>
        </w:rPr>
        <w:t>maloobchode</w:t>
      </w:r>
      <w:r w:rsidR="000B528D" w:rsidRPr="000B528D">
        <w:rPr>
          <w:rFonts w:ascii="Arial Narrow" w:hAnsi="Arial Narrow"/>
          <w:sz w:val="24"/>
          <w:szCs w:val="24"/>
        </w:rPr>
        <w:t>.</w:t>
      </w:r>
    </w:p>
    <w:p w14:paraId="67E17D96" w14:textId="38BC2791" w:rsidR="00323954" w:rsidRPr="000B528D" w:rsidRDefault="00323954" w:rsidP="000B528D">
      <w:pPr>
        <w:pStyle w:val="Odsekzoznamu"/>
        <w:numPr>
          <w:ilvl w:val="0"/>
          <w:numId w:val="11"/>
        </w:numPr>
        <w:ind w:left="378"/>
        <w:jc w:val="both"/>
        <w:rPr>
          <w:rFonts w:ascii="Arial Narrow" w:hAnsi="Arial Narrow"/>
          <w:sz w:val="24"/>
          <w:szCs w:val="24"/>
        </w:rPr>
      </w:pPr>
      <w:r w:rsidRPr="000B528D">
        <w:rPr>
          <w:rFonts w:ascii="Arial Narrow" w:hAnsi="Arial Narrow"/>
          <w:sz w:val="24"/>
          <w:szCs w:val="24"/>
        </w:rPr>
        <w:t>Vyžiadanie cenových informácií v rozsahu výkazu ziskov a strát na pravidelnej báze</w:t>
      </w:r>
      <w:r w:rsidR="000B528D" w:rsidRPr="000B528D">
        <w:rPr>
          <w:rFonts w:ascii="Arial Narrow" w:hAnsi="Arial Narrow"/>
          <w:sz w:val="24"/>
          <w:szCs w:val="24"/>
        </w:rPr>
        <w:t>.</w:t>
      </w:r>
    </w:p>
    <w:p w14:paraId="509BE3EB" w14:textId="2546A78A" w:rsidR="00323954" w:rsidRPr="000B528D" w:rsidRDefault="00323954" w:rsidP="000B528D">
      <w:pPr>
        <w:pStyle w:val="Odsekzoznamu"/>
        <w:numPr>
          <w:ilvl w:val="0"/>
          <w:numId w:val="11"/>
        </w:numPr>
        <w:ind w:left="378"/>
        <w:jc w:val="both"/>
        <w:rPr>
          <w:rFonts w:ascii="Arial Narrow" w:hAnsi="Arial Narrow"/>
          <w:sz w:val="24"/>
          <w:szCs w:val="24"/>
        </w:rPr>
      </w:pPr>
      <w:r w:rsidRPr="000B528D">
        <w:rPr>
          <w:rFonts w:ascii="Arial Narrow" w:hAnsi="Arial Narrow"/>
          <w:sz w:val="24"/>
          <w:szCs w:val="24"/>
        </w:rPr>
        <w:t>Vyžiadanie cenových informácií a cenovej evidencie vybraných druhov potravín na účely ich preskúmania</w:t>
      </w:r>
      <w:r w:rsidR="000B528D" w:rsidRPr="000B528D">
        <w:rPr>
          <w:rFonts w:ascii="Arial Narrow" w:hAnsi="Arial Narrow"/>
          <w:sz w:val="24"/>
          <w:szCs w:val="24"/>
        </w:rPr>
        <w:t>.</w:t>
      </w:r>
    </w:p>
    <w:p w14:paraId="078394F4" w14:textId="4095D84B" w:rsidR="00323954" w:rsidRPr="000B528D" w:rsidRDefault="00323954" w:rsidP="000B528D">
      <w:pPr>
        <w:pStyle w:val="Odsekzoznamu"/>
        <w:numPr>
          <w:ilvl w:val="0"/>
          <w:numId w:val="11"/>
        </w:numPr>
        <w:ind w:left="378"/>
        <w:jc w:val="both"/>
        <w:rPr>
          <w:rFonts w:ascii="Arial Narrow" w:hAnsi="Arial Narrow"/>
          <w:sz w:val="24"/>
          <w:szCs w:val="24"/>
        </w:rPr>
      </w:pPr>
      <w:r w:rsidRPr="000B528D">
        <w:rPr>
          <w:rFonts w:ascii="Arial Narrow" w:hAnsi="Arial Narrow"/>
          <w:sz w:val="24"/>
          <w:szCs w:val="24"/>
        </w:rPr>
        <w:t>Doplnenie informačného systému zriadením webového sídla na porovnanie cien potravín predávajúcich v</w:t>
      </w:r>
      <w:r w:rsidR="000B528D" w:rsidRPr="000B528D">
        <w:rPr>
          <w:rFonts w:ascii="Arial Narrow" w:hAnsi="Arial Narrow"/>
          <w:sz w:val="24"/>
          <w:szCs w:val="24"/>
        </w:rPr>
        <w:t> </w:t>
      </w:r>
      <w:r w:rsidRPr="000B528D">
        <w:rPr>
          <w:rFonts w:ascii="Arial Narrow" w:hAnsi="Arial Narrow"/>
          <w:sz w:val="24"/>
          <w:szCs w:val="24"/>
        </w:rPr>
        <w:t>maloobchode</w:t>
      </w:r>
      <w:r w:rsidR="000B528D" w:rsidRPr="000B528D">
        <w:rPr>
          <w:rFonts w:ascii="Arial Narrow" w:hAnsi="Arial Narrow"/>
          <w:sz w:val="24"/>
          <w:szCs w:val="24"/>
        </w:rPr>
        <w:t>.</w:t>
      </w:r>
    </w:p>
    <w:p w14:paraId="5DF5FB4D" w14:textId="7701A586" w:rsidR="00323954" w:rsidRDefault="00323954" w:rsidP="000B528D">
      <w:pPr>
        <w:pStyle w:val="Odsekzoznamu"/>
        <w:numPr>
          <w:ilvl w:val="0"/>
          <w:numId w:val="11"/>
        </w:numPr>
        <w:ind w:left="378"/>
        <w:jc w:val="both"/>
        <w:rPr>
          <w:rFonts w:ascii="Arial Narrow" w:hAnsi="Arial Narrow"/>
          <w:sz w:val="24"/>
          <w:szCs w:val="24"/>
        </w:rPr>
      </w:pPr>
      <w:r w:rsidRPr="000B528D">
        <w:rPr>
          <w:rFonts w:ascii="Arial Narrow" w:hAnsi="Arial Narrow"/>
          <w:sz w:val="24"/>
          <w:szCs w:val="24"/>
        </w:rPr>
        <w:t>Zváženie potreby posilnenia cenových orgánov po personálnej, informačno-technologickej a</w:t>
      </w:r>
      <w:r w:rsidR="000B528D">
        <w:rPr>
          <w:rFonts w:ascii="Arial Narrow" w:hAnsi="Arial Narrow"/>
          <w:sz w:val="24"/>
          <w:szCs w:val="24"/>
        </w:rPr>
        <w:t> </w:t>
      </w:r>
      <w:r w:rsidRPr="000B528D">
        <w:rPr>
          <w:rFonts w:ascii="Arial Narrow" w:hAnsi="Arial Narrow"/>
          <w:sz w:val="24"/>
          <w:szCs w:val="24"/>
        </w:rPr>
        <w:t>organizačnej stránke</w:t>
      </w:r>
      <w:r w:rsidR="000B528D" w:rsidRPr="000B528D">
        <w:rPr>
          <w:rFonts w:ascii="Arial Narrow" w:hAnsi="Arial Narrow"/>
          <w:sz w:val="24"/>
          <w:szCs w:val="24"/>
        </w:rPr>
        <w:t>.</w:t>
      </w:r>
    </w:p>
    <w:p w14:paraId="7DA6210F" w14:textId="77777777" w:rsidR="000B528D" w:rsidRDefault="000B528D" w:rsidP="000B528D">
      <w:pPr>
        <w:jc w:val="both"/>
        <w:rPr>
          <w:rFonts w:ascii="Arial Narrow" w:hAnsi="Arial Narrow"/>
          <w:sz w:val="24"/>
          <w:szCs w:val="24"/>
        </w:rPr>
      </w:pPr>
    </w:p>
    <w:p w14:paraId="337D9E92" w14:textId="77777777" w:rsidR="000B528D" w:rsidRDefault="000B528D" w:rsidP="000B528D">
      <w:pPr>
        <w:jc w:val="both"/>
        <w:rPr>
          <w:rFonts w:ascii="Arial Narrow" w:hAnsi="Arial Narrow"/>
          <w:sz w:val="24"/>
          <w:szCs w:val="24"/>
        </w:rPr>
      </w:pPr>
    </w:p>
    <w:p w14:paraId="286AAF0C" w14:textId="77777777" w:rsidR="000B528D" w:rsidRPr="000B528D" w:rsidRDefault="000B528D" w:rsidP="000B528D">
      <w:pPr>
        <w:jc w:val="both"/>
        <w:rPr>
          <w:rFonts w:ascii="Arial Narrow" w:hAnsi="Arial Narrow"/>
          <w:sz w:val="24"/>
          <w:szCs w:val="24"/>
        </w:rPr>
      </w:pPr>
    </w:p>
    <w:p w14:paraId="3B585720" w14:textId="77777777" w:rsidR="00323954" w:rsidRPr="000B528D" w:rsidRDefault="00323954" w:rsidP="000B528D">
      <w:pPr>
        <w:spacing w:before="240" w:after="120"/>
        <w:jc w:val="both"/>
        <w:rPr>
          <w:rFonts w:ascii="Arial Narrow" w:hAnsi="Arial Narrow"/>
          <w:b/>
          <w:bCs/>
          <w:sz w:val="24"/>
          <w:szCs w:val="24"/>
        </w:rPr>
      </w:pPr>
      <w:r w:rsidRPr="000B528D">
        <w:rPr>
          <w:rFonts w:ascii="Arial Narrow" w:hAnsi="Arial Narrow"/>
          <w:b/>
          <w:bCs/>
          <w:sz w:val="24"/>
          <w:szCs w:val="24"/>
        </w:rPr>
        <w:t>Uznesenie vlády SR č. 732 z 20.decembra 2023</w:t>
      </w:r>
      <w:r w:rsidRPr="000B528D">
        <w:rPr>
          <w:rFonts w:ascii="Arial Narrow" w:hAnsi="Arial Narrow"/>
          <w:b/>
          <w:bCs/>
          <w:sz w:val="24"/>
          <w:szCs w:val="24"/>
        </w:rPr>
        <w:tab/>
      </w:r>
    </w:p>
    <w:p w14:paraId="48C52517" w14:textId="77777777" w:rsidR="00323954" w:rsidRPr="000B528D" w:rsidRDefault="00323954" w:rsidP="000B528D">
      <w:pPr>
        <w:spacing w:after="160"/>
        <w:jc w:val="both"/>
        <w:rPr>
          <w:rFonts w:ascii="Arial Narrow" w:hAnsi="Arial Narrow"/>
          <w:sz w:val="24"/>
          <w:szCs w:val="24"/>
        </w:rPr>
      </w:pPr>
      <w:r w:rsidRPr="000B528D">
        <w:rPr>
          <w:rFonts w:ascii="Arial Narrow" w:hAnsi="Arial Narrow"/>
          <w:sz w:val="24"/>
          <w:szCs w:val="24"/>
        </w:rPr>
        <w:t xml:space="preserve">Na základe tohto uznesenia ministerstvo priebežne vypracováva Analýzy cenového vývoja základných druhov potravín. Ich cieľom je sledovať cenový vývoj základných druhov potravín a v prípade existencie mimoriadnej trhovej situácie s priamym vplyvom na ich ceny na tuzemskom trhu, ohrozenia cenovej stability, resp. dostupnosti základných potravín, navrhnúť opatrenia na riešenie tejto mimoriadnej situácie.  </w:t>
      </w:r>
    </w:p>
    <w:p w14:paraId="282BD8C4" w14:textId="77777777" w:rsidR="00323954" w:rsidRPr="00323954" w:rsidRDefault="00323954" w:rsidP="000B528D">
      <w:pPr>
        <w:spacing w:before="240" w:after="120"/>
        <w:jc w:val="both"/>
        <w:rPr>
          <w:rFonts w:ascii="Arial Narrow" w:hAnsi="Arial Narrow"/>
          <w:b/>
          <w:bCs/>
          <w:color w:val="000000" w:themeColor="text1"/>
        </w:rPr>
      </w:pPr>
      <w:r w:rsidRPr="00323954">
        <w:rPr>
          <w:rFonts w:ascii="Arial Narrow" w:hAnsi="Arial Narrow"/>
          <w:b/>
          <w:bCs/>
          <w:color w:val="000000" w:themeColor="text1"/>
        </w:rPr>
        <w:t>Analýzy cenového vývoja základných druhov potravín predložené vláde v 2024</w:t>
      </w:r>
    </w:p>
    <w:tbl>
      <w:tblPr>
        <w:tblStyle w:val="Mriekatabuky"/>
        <w:tblW w:w="8969" w:type="dxa"/>
        <w:tblLook w:val="04A0" w:firstRow="1" w:lastRow="0" w:firstColumn="1" w:lastColumn="0" w:noHBand="0" w:noVBand="1"/>
      </w:tblPr>
      <w:tblGrid>
        <w:gridCol w:w="2145"/>
        <w:gridCol w:w="2102"/>
        <w:gridCol w:w="2421"/>
        <w:gridCol w:w="2301"/>
      </w:tblGrid>
      <w:tr w:rsidR="00323954" w:rsidRPr="00EF219B" w14:paraId="642DA56F" w14:textId="77777777" w:rsidTr="000B528D">
        <w:trPr>
          <w:trHeight w:val="850"/>
        </w:trPr>
        <w:tc>
          <w:tcPr>
            <w:tcW w:w="2145" w:type="dxa"/>
            <w:vAlign w:val="center"/>
          </w:tcPr>
          <w:p w14:paraId="35279804" w14:textId="77777777" w:rsidR="00323954" w:rsidRPr="000B528D" w:rsidRDefault="00323954" w:rsidP="000B528D">
            <w:pPr>
              <w:jc w:val="center"/>
              <w:rPr>
                <w:rFonts w:ascii="Arial Narrow" w:hAnsi="Arial Narrow"/>
                <w:b/>
                <w:sz w:val="24"/>
                <w:szCs w:val="24"/>
              </w:rPr>
            </w:pPr>
            <w:r w:rsidRPr="000B528D">
              <w:rPr>
                <w:rFonts w:ascii="Arial Narrow" w:hAnsi="Arial Narrow"/>
                <w:b/>
                <w:sz w:val="24"/>
                <w:szCs w:val="24"/>
              </w:rPr>
              <w:t>č. analýzy:</w:t>
            </w:r>
          </w:p>
        </w:tc>
        <w:tc>
          <w:tcPr>
            <w:tcW w:w="2102" w:type="dxa"/>
            <w:vAlign w:val="center"/>
          </w:tcPr>
          <w:p w14:paraId="4AFFAFDD" w14:textId="77777777" w:rsidR="00323954" w:rsidRPr="000B528D" w:rsidRDefault="00323954" w:rsidP="000B528D">
            <w:pPr>
              <w:jc w:val="center"/>
              <w:rPr>
                <w:rFonts w:ascii="Arial Narrow" w:hAnsi="Arial Narrow"/>
                <w:b/>
                <w:sz w:val="24"/>
                <w:szCs w:val="24"/>
              </w:rPr>
            </w:pPr>
            <w:r w:rsidRPr="000B528D">
              <w:rPr>
                <w:rFonts w:ascii="Arial Narrow" w:hAnsi="Arial Narrow"/>
                <w:b/>
                <w:sz w:val="24"/>
                <w:szCs w:val="24"/>
              </w:rPr>
              <w:t>Vychádza z uznesenia vlády</w:t>
            </w:r>
          </w:p>
        </w:tc>
        <w:tc>
          <w:tcPr>
            <w:tcW w:w="2421" w:type="dxa"/>
            <w:vAlign w:val="center"/>
          </w:tcPr>
          <w:p w14:paraId="04C4A518" w14:textId="7E3A4F89" w:rsidR="00323954" w:rsidRPr="000B528D" w:rsidRDefault="00323954" w:rsidP="000B528D">
            <w:pPr>
              <w:jc w:val="center"/>
              <w:rPr>
                <w:rFonts w:ascii="Arial Narrow" w:hAnsi="Arial Narrow"/>
                <w:b/>
                <w:sz w:val="24"/>
                <w:szCs w:val="24"/>
              </w:rPr>
            </w:pPr>
            <w:r w:rsidRPr="000B528D">
              <w:rPr>
                <w:rFonts w:ascii="Arial Narrow" w:hAnsi="Arial Narrow"/>
                <w:b/>
                <w:sz w:val="24"/>
                <w:szCs w:val="24"/>
              </w:rPr>
              <w:t>Vzatá na vedomie vládou SR:</w:t>
            </w:r>
          </w:p>
        </w:tc>
        <w:tc>
          <w:tcPr>
            <w:tcW w:w="2301" w:type="dxa"/>
            <w:vAlign w:val="center"/>
          </w:tcPr>
          <w:p w14:paraId="06FE4870" w14:textId="77777777" w:rsidR="00323954" w:rsidRPr="000B528D" w:rsidRDefault="00323954" w:rsidP="000B528D">
            <w:pPr>
              <w:jc w:val="center"/>
              <w:rPr>
                <w:rFonts w:ascii="Arial Narrow" w:hAnsi="Arial Narrow"/>
                <w:b/>
                <w:sz w:val="24"/>
                <w:szCs w:val="24"/>
              </w:rPr>
            </w:pPr>
            <w:r w:rsidRPr="000B528D">
              <w:rPr>
                <w:rFonts w:ascii="Arial Narrow" w:hAnsi="Arial Narrow"/>
                <w:b/>
                <w:sz w:val="24"/>
                <w:szCs w:val="24"/>
              </w:rPr>
              <w:t>Spracované obdobie</w:t>
            </w:r>
          </w:p>
        </w:tc>
      </w:tr>
      <w:tr w:rsidR="00323954" w:rsidRPr="00EF219B" w14:paraId="3807B57A" w14:textId="77777777" w:rsidTr="00C26F9D">
        <w:trPr>
          <w:trHeight w:val="738"/>
        </w:trPr>
        <w:tc>
          <w:tcPr>
            <w:tcW w:w="2145" w:type="dxa"/>
          </w:tcPr>
          <w:p w14:paraId="46308EBB" w14:textId="77777777" w:rsidR="00323954" w:rsidRPr="000B528D" w:rsidRDefault="00323954" w:rsidP="00947BF3">
            <w:pPr>
              <w:jc w:val="center"/>
              <w:rPr>
                <w:rFonts w:ascii="Arial Narrow" w:hAnsi="Arial Narrow"/>
                <w:sz w:val="24"/>
                <w:szCs w:val="24"/>
              </w:rPr>
            </w:pPr>
            <w:r w:rsidRPr="000B528D">
              <w:rPr>
                <w:rFonts w:ascii="Arial Narrow" w:hAnsi="Arial Narrow"/>
                <w:sz w:val="24"/>
                <w:szCs w:val="24"/>
              </w:rPr>
              <w:t>3/2024</w:t>
            </w:r>
          </w:p>
          <w:p w14:paraId="4FE07BFE" w14:textId="77777777" w:rsidR="00323954" w:rsidRPr="000B528D" w:rsidRDefault="00323954" w:rsidP="00947BF3">
            <w:pPr>
              <w:jc w:val="center"/>
              <w:rPr>
                <w:rFonts w:ascii="Arial Narrow" w:hAnsi="Arial Narrow"/>
                <w:sz w:val="24"/>
                <w:szCs w:val="24"/>
              </w:rPr>
            </w:pPr>
          </w:p>
        </w:tc>
        <w:tc>
          <w:tcPr>
            <w:tcW w:w="2102" w:type="dxa"/>
          </w:tcPr>
          <w:p w14:paraId="720193DD" w14:textId="77777777" w:rsidR="00323954" w:rsidRPr="000B528D" w:rsidRDefault="00323954" w:rsidP="00947BF3">
            <w:pPr>
              <w:rPr>
                <w:rFonts w:ascii="Arial Narrow" w:hAnsi="Arial Narrow"/>
                <w:sz w:val="24"/>
                <w:szCs w:val="24"/>
              </w:rPr>
            </w:pPr>
            <w:r w:rsidRPr="000B528D">
              <w:rPr>
                <w:rFonts w:ascii="Arial Narrow" w:hAnsi="Arial Narrow"/>
                <w:sz w:val="24"/>
                <w:szCs w:val="24"/>
              </w:rPr>
              <w:t>č. 732/2023</w:t>
            </w:r>
          </w:p>
          <w:p w14:paraId="41928843" w14:textId="77777777" w:rsidR="00323954" w:rsidRPr="000B528D" w:rsidRDefault="00323954" w:rsidP="00947BF3">
            <w:pPr>
              <w:rPr>
                <w:rFonts w:ascii="Arial Narrow" w:hAnsi="Arial Narrow"/>
                <w:sz w:val="24"/>
                <w:szCs w:val="24"/>
              </w:rPr>
            </w:pPr>
            <w:r w:rsidRPr="000B528D">
              <w:rPr>
                <w:rFonts w:ascii="Arial Narrow" w:hAnsi="Arial Narrow"/>
                <w:sz w:val="24"/>
                <w:szCs w:val="24"/>
              </w:rPr>
              <w:t>z 20. decembra 2023</w:t>
            </w:r>
          </w:p>
        </w:tc>
        <w:tc>
          <w:tcPr>
            <w:tcW w:w="2421" w:type="dxa"/>
          </w:tcPr>
          <w:p w14:paraId="2D82394C" w14:textId="77777777" w:rsidR="00323954" w:rsidRPr="000B528D" w:rsidRDefault="00323954" w:rsidP="00947BF3">
            <w:pPr>
              <w:rPr>
                <w:rFonts w:ascii="Arial Narrow" w:hAnsi="Arial Narrow"/>
                <w:sz w:val="24"/>
                <w:szCs w:val="24"/>
              </w:rPr>
            </w:pPr>
            <w:r w:rsidRPr="000B528D">
              <w:rPr>
                <w:rFonts w:ascii="Arial Narrow" w:hAnsi="Arial Narrow"/>
                <w:sz w:val="24"/>
                <w:szCs w:val="24"/>
              </w:rPr>
              <w:t xml:space="preserve">na 24. schôdzi dňa 20.03.2024 </w:t>
            </w:r>
          </w:p>
          <w:p w14:paraId="77DCF2F8" w14:textId="77777777" w:rsidR="00323954" w:rsidRPr="000B528D" w:rsidRDefault="00323954" w:rsidP="00947BF3">
            <w:pPr>
              <w:rPr>
                <w:rFonts w:ascii="Arial Narrow" w:hAnsi="Arial Narrow"/>
                <w:sz w:val="24"/>
                <w:szCs w:val="24"/>
              </w:rPr>
            </w:pPr>
          </w:p>
        </w:tc>
        <w:tc>
          <w:tcPr>
            <w:tcW w:w="2301" w:type="dxa"/>
          </w:tcPr>
          <w:p w14:paraId="7262168B" w14:textId="77777777" w:rsidR="00323954" w:rsidRPr="000B528D" w:rsidRDefault="00323954" w:rsidP="00947BF3">
            <w:pPr>
              <w:rPr>
                <w:rFonts w:ascii="Arial Narrow" w:hAnsi="Arial Narrow"/>
                <w:sz w:val="24"/>
                <w:szCs w:val="24"/>
              </w:rPr>
            </w:pPr>
            <w:r w:rsidRPr="000B528D">
              <w:rPr>
                <w:rFonts w:ascii="Arial Narrow" w:hAnsi="Arial Narrow"/>
                <w:sz w:val="24"/>
                <w:szCs w:val="24"/>
              </w:rPr>
              <w:t>11/2023 – 1/2024</w:t>
            </w:r>
          </w:p>
        </w:tc>
      </w:tr>
      <w:tr w:rsidR="00323954" w:rsidRPr="00EF219B" w14:paraId="0404CF73" w14:textId="77777777" w:rsidTr="00C26F9D">
        <w:trPr>
          <w:trHeight w:val="783"/>
        </w:trPr>
        <w:tc>
          <w:tcPr>
            <w:tcW w:w="2145" w:type="dxa"/>
          </w:tcPr>
          <w:p w14:paraId="1AC9E137" w14:textId="77777777" w:rsidR="00323954" w:rsidRPr="000B528D" w:rsidRDefault="00323954" w:rsidP="00947BF3">
            <w:pPr>
              <w:jc w:val="center"/>
              <w:rPr>
                <w:rFonts w:ascii="Arial Narrow" w:hAnsi="Arial Narrow"/>
                <w:sz w:val="24"/>
                <w:szCs w:val="24"/>
              </w:rPr>
            </w:pPr>
            <w:r w:rsidRPr="000B528D">
              <w:rPr>
                <w:rFonts w:ascii="Arial Narrow" w:hAnsi="Arial Narrow"/>
                <w:sz w:val="24"/>
                <w:szCs w:val="24"/>
              </w:rPr>
              <w:t>4/2024</w:t>
            </w:r>
          </w:p>
          <w:p w14:paraId="4DD1B0EE" w14:textId="77777777" w:rsidR="00323954" w:rsidRPr="000B528D" w:rsidRDefault="00323954" w:rsidP="00947BF3">
            <w:pPr>
              <w:jc w:val="center"/>
              <w:rPr>
                <w:rFonts w:ascii="Arial Narrow" w:hAnsi="Arial Narrow"/>
                <w:sz w:val="24"/>
                <w:szCs w:val="24"/>
              </w:rPr>
            </w:pPr>
          </w:p>
        </w:tc>
        <w:tc>
          <w:tcPr>
            <w:tcW w:w="2102" w:type="dxa"/>
          </w:tcPr>
          <w:p w14:paraId="007D6BEA" w14:textId="77777777" w:rsidR="00323954" w:rsidRPr="000B528D" w:rsidRDefault="00323954" w:rsidP="00947BF3">
            <w:pPr>
              <w:rPr>
                <w:rFonts w:ascii="Arial Narrow" w:hAnsi="Arial Narrow"/>
                <w:sz w:val="24"/>
                <w:szCs w:val="24"/>
              </w:rPr>
            </w:pPr>
            <w:r w:rsidRPr="000B528D">
              <w:rPr>
                <w:rFonts w:ascii="Arial Narrow" w:hAnsi="Arial Narrow"/>
                <w:sz w:val="24"/>
                <w:szCs w:val="24"/>
              </w:rPr>
              <w:t>č. 732/2023</w:t>
            </w:r>
          </w:p>
          <w:p w14:paraId="66A18E21" w14:textId="77777777" w:rsidR="00323954" w:rsidRPr="000B528D" w:rsidRDefault="00323954" w:rsidP="00947BF3">
            <w:pPr>
              <w:rPr>
                <w:rFonts w:ascii="Arial Narrow" w:hAnsi="Arial Narrow"/>
                <w:sz w:val="24"/>
                <w:szCs w:val="24"/>
              </w:rPr>
            </w:pPr>
            <w:r w:rsidRPr="000B528D">
              <w:rPr>
                <w:rFonts w:ascii="Arial Narrow" w:hAnsi="Arial Narrow"/>
                <w:sz w:val="24"/>
                <w:szCs w:val="24"/>
              </w:rPr>
              <w:t>z 20. decembra 2023</w:t>
            </w:r>
          </w:p>
        </w:tc>
        <w:tc>
          <w:tcPr>
            <w:tcW w:w="2421" w:type="dxa"/>
          </w:tcPr>
          <w:p w14:paraId="5ED66294" w14:textId="77777777" w:rsidR="00323954" w:rsidRPr="000B528D" w:rsidRDefault="00323954" w:rsidP="00947BF3">
            <w:pPr>
              <w:rPr>
                <w:rFonts w:ascii="Arial Narrow" w:hAnsi="Arial Narrow"/>
                <w:sz w:val="24"/>
                <w:szCs w:val="24"/>
              </w:rPr>
            </w:pPr>
            <w:r w:rsidRPr="000B528D">
              <w:rPr>
                <w:rFonts w:ascii="Arial Narrow" w:hAnsi="Arial Narrow"/>
                <w:sz w:val="24"/>
                <w:szCs w:val="24"/>
              </w:rPr>
              <w:t>na 40. schôdzi dňa 26.06.2024</w:t>
            </w:r>
          </w:p>
        </w:tc>
        <w:tc>
          <w:tcPr>
            <w:tcW w:w="2301" w:type="dxa"/>
          </w:tcPr>
          <w:p w14:paraId="61909DDB" w14:textId="77777777" w:rsidR="00323954" w:rsidRPr="000B528D" w:rsidRDefault="00323954" w:rsidP="00947BF3">
            <w:pPr>
              <w:rPr>
                <w:rFonts w:ascii="Arial Narrow" w:hAnsi="Arial Narrow"/>
                <w:sz w:val="24"/>
                <w:szCs w:val="24"/>
              </w:rPr>
            </w:pPr>
            <w:r w:rsidRPr="000B528D">
              <w:rPr>
                <w:rFonts w:ascii="Arial Narrow" w:hAnsi="Arial Narrow"/>
                <w:sz w:val="24"/>
                <w:szCs w:val="24"/>
              </w:rPr>
              <w:t>2 - 4/2024</w:t>
            </w:r>
          </w:p>
        </w:tc>
      </w:tr>
      <w:tr w:rsidR="00323954" w:rsidRPr="00EF219B" w14:paraId="041C2CE3" w14:textId="77777777" w:rsidTr="00C26F9D">
        <w:trPr>
          <w:trHeight w:val="791"/>
        </w:trPr>
        <w:tc>
          <w:tcPr>
            <w:tcW w:w="2145" w:type="dxa"/>
          </w:tcPr>
          <w:p w14:paraId="4797300A" w14:textId="77777777" w:rsidR="00323954" w:rsidRPr="000B528D" w:rsidRDefault="00323954" w:rsidP="00947BF3">
            <w:pPr>
              <w:jc w:val="center"/>
              <w:rPr>
                <w:rFonts w:ascii="Arial Narrow" w:hAnsi="Arial Narrow"/>
                <w:sz w:val="24"/>
                <w:szCs w:val="24"/>
              </w:rPr>
            </w:pPr>
            <w:r w:rsidRPr="000B528D">
              <w:rPr>
                <w:rFonts w:ascii="Arial Narrow" w:hAnsi="Arial Narrow"/>
                <w:sz w:val="24"/>
                <w:szCs w:val="24"/>
              </w:rPr>
              <w:t>5/2024</w:t>
            </w:r>
          </w:p>
        </w:tc>
        <w:tc>
          <w:tcPr>
            <w:tcW w:w="2102" w:type="dxa"/>
          </w:tcPr>
          <w:p w14:paraId="0E1AD17E" w14:textId="77777777" w:rsidR="00323954" w:rsidRPr="000B528D" w:rsidRDefault="00323954" w:rsidP="00947BF3">
            <w:pPr>
              <w:rPr>
                <w:rFonts w:ascii="Arial Narrow" w:hAnsi="Arial Narrow"/>
                <w:sz w:val="24"/>
                <w:szCs w:val="24"/>
              </w:rPr>
            </w:pPr>
            <w:r w:rsidRPr="000B528D">
              <w:rPr>
                <w:rFonts w:ascii="Arial Narrow" w:hAnsi="Arial Narrow"/>
                <w:sz w:val="24"/>
                <w:szCs w:val="24"/>
              </w:rPr>
              <w:t>č. 732/2023</w:t>
            </w:r>
          </w:p>
          <w:p w14:paraId="35E38ACB" w14:textId="77777777" w:rsidR="00323954" w:rsidRPr="000B528D" w:rsidRDefault="00323954" w:rsidP="00947BF3">
            <w:pPr>
              <w:rPr>
                <w:rFonts w:ascii="Arial Narrow" w:hAnsi="Arial Narrow"/>
                <w:sz w:val="24"/>
                <w:szCs w:val="24"/>
              </w:rPr>
            </w:pPr>
            <w:r w:rsidRPr="000B528D">
              <w:rPr>
                <w:rFonts w:ascii="Arial Narrow" w:hAnsi="Arial Narrow"/>
                <w:sz w:val="24"/>
                <w:szCs w:val="24"/>
              </w:rPr>
              <w:t>z 20. decembra 2023</w:t>
            </w:r>
          </w:p>
        </w:tc>
        <w:tc>
          <w:tcPr>
            <w:tcW w:w="2421" w:type="dxa"/>
          </w:tcPr>
          <w:p w14:paraId="7550542D" w14:textId="77777777" w:rsidR="00323954" w:rsidRPr="000B528D" w:rsidRDefault="00323954" w:rsidP="00947BF3">
            <w:pPr>
              <w:rPr>
                <w:rFonts w:ascii="Arial Narrow" w:hAnsi="Arial Narrow"/>
                <w:sz w:val="24"/>
                <w:szCs w:val="24"/>
              </w:rPr>
            </w:pPr>
            <w:r w:rsidRPr="000B528D">
              <w:rPr>
                <w:rFonts w:ascii="Arial Narrow" w:hAnsi="Arial Narrow"/>
                <w:sz w:val="24"/>
                <w:szCs w:val="24"/>
              </w:rPr>
              <w:t>na 52. schôdzi dňa</w:t>
            </w:r>
          </w:p>
          <w:p w14:paraId="25BA38A9" w14:textId="77777777" w:rsidR="00323954" w:rsidRPr="000B528D" w:rsidRDefault="00323954" w:rsidP="00947BF3">
            <w:pPr>
              <w:rPr>
                <w:rFonts w:ascii="Arial Narrow" w:hAnsi="Arial Narrow"/>
                <w:sz w:val="24"/>
                <w:szCs w:val="24"/>
              </w:rPr>
            </w:pPr>
            <w:r w:rsidRPr="000B528D">
              <w:rPr>
                <w:rFonts w:ascii="Arial Narrow" w:hAnsi="Arial Narrow"/>
                <w:sz w:val="24"/>
                <w:szCs w:val="24"/>
              </w:rPr>
              <w:t>02.10.2024</w:t>
            </w:r>
          </w:p>
        </w:tc>
        <w:tc>
          <w:tcPr>
            <w:tcW w:w="2301" w:type="dxa"/>
          </w:tcPr>
          <w:p w14:paraId="741C7E0A" w14:textId="77777777" w:rsidR="00323954" w:rsidRPr="000B528D" w:rsidRDefault="00323954" w:rsidP="00947BF3">
            <w:pPr>
              <w:rPr>
                <w:rFonts w:ascii="Arial Narrow" w:hAnsi="Arial Narrow"/>
                <w:sz w:val="24"/>
                <w:szCs w:val="24"/>
              </w:rPr>
            </w:pPr>
            <w:r w:rsidRPr="000B528D">
              <w:rPr>
                <w:rFonts w:ascii="Arial Narrow" w:hAnsi="Arial Narrow"/>
                <w:sz w:val="24"/>
                <w:szCs w:val="24"/>
              </w:rPr>
              <w:t xml:space="preserve">5- 7/2024 </w:t>
            </w:r>
          </w:p>
        </w:tc>
      </w:tr>
      <w:tr w:rsidR="00323954" w:rsidRPr="00EF219B" w14:paraId="6D9762BF" w14:textId="77777777" w:rsidTr="00C26F9D">
        <w:trPr>
          <w:trHeight w:val="783"/>
        </w:trPr>
        <w:tc>
          <w:tcPr>
            <w:tcW w:w="2145" w:type="dxa"/>
          </w:tcPr>
          <w:p w14:paraId="47F2BFA1" w14:textId="77777777" w:rsidR="00323954" w:rsidRPr="000B528D" w:rsidRDefault="00323954" w:rsidP="00947BF3">
            <w:pPr>
              <w:jc w:val="center"/>
              <w:rPr>
                <w:rFonts w:ascii="Arial Narrow" w:hAnsi="Arial Narrow"/>
                <w:sz w:val="24"/>
                <w:szCs w:val="24"/>
              </w:rPr>
            </w:pPr>
            <w:r w:rsidRPr="000B528D">
              <w:rPr>
                <w:rFonts w:ascii="Arial Narrow" w:hAnsi="Arial Narrow"/>
                <w:sz w:val="24"/>
                <w:szCs w:val="24"/>
              </w:rPr>
              <w:t>6/2024</w:t>
            </w:r>
          </w:p>
        </w:tc>
        <w:tc>
          <w:tcPr>
            <w:tcW w:w="2102" w:type="dxa"/>
          </w:tcPr>
          <w:p w14:paraId="46AE620C" w14:textId="77777777" w:rsidR="00323954" w:rsidRPr="000B528D" w:rsidRDefault="00323954" w:rsidP="00947BF3">
            <w:pPr>
              <w:rPr>
                <w:rFonts w:ascii="Arial Narrow" w:hAnsi="Arial Narrow"/>
                <w:sz w:val="24"/>
                <w:szCs w:val="24"/>
              </w:rPr>
            </w:pPr>
            <w:r w:rsidRPr="000B528D">
              <w:rPr>
                <w:rFonts w:ascii="Arial Narrow" w:hAnsi="Arial Narrow"/>
                <w:sz w:val="24"/>
                <w:szCs w:val="24"/>
              </w:rPr>
              <w:t>č. 732/2023</w:t>
            </w:r>
          </w:p>
          <w:p w14:paraId="2AF4490B" w14:textId="77777777" w:rsidR="00323954" w:rsidRPr="000B528D" w:rsidRDefault="00323954" w:rsidP="00947BF3">
            <w:pPr>
              <w:rPr>
                <w:rFonts w:ascii="Arial Narrow" w:hAnsi="Arial Narrow"/>
                <w:sz w:val="24"/>
                <w:szCs w:val="24"/>
              </w:rPr>
            </w:pPr>
            <w:r w:rsidRPr="000B528D">
              <w:rPr>
                <w:rFonts w:ascii="Arial Narrow" w:hAnsi="Arial Narrow"/>
                <w:sz w:val="24"/>
                <w:szCs w:val="24"/>
              </w:rPr>
              <w:t>z 20. decembra 2023</w:t>
            </w:r>
          </w:p>
        </w:tc>
        <w:tc>
          <w:tcPr>
            <w:tcW w:w="2421" w:type="dxa"/>
          </w:tcPr>
          <w:p w14:paraId="78A2E6F0" w14:textId="77777777" w:rsidR="00323954" w:rsidRPr="000B528D" w:rsidRDefault="00323954" w:rsidP="00947BF3">
            <w:pPr>
              <w:rPr>
                <w:rFonts w:ascii="Arial Narrow" w:hAnsi="Arial Narrow"/>
                <w:sz w:val="24"/>
                <w:szCs w:val="24"/>
              </w:rPr>
            </w:pPr>
            <w:r w:rsidRPr="000B528D">
              <w:rPr>
                <w:rFonts w:ascii="Arial Narrow" w:hAnsi="Arial Narrow"/>
                <w:sz w:val="24"/>
                <w:szCs w:val="24"/>
              </w:rPr>
              <w:t>na 67. schôdzi dňa</w:t>
            </w:r>
          </w:p>
          <w:p w14:paraId="1C826B04" w14:textId="77777777" w:rsidR="00323954" w:rsidRPr="000B528D" w:rsidRDefault="00323954" w:rsidP="00947BF3">
            <w:pPr>
              <w:rPr>
                <w:rFonts w:ascii="Arial Narrow" w:hAnsi="Arial Narrow"/>
                <w:sz w:val="24"/>
                <w:szCs w:val="24"/>
              </w:rPr>
            </w:pPr>
            <w:r w:rsidRPr="000B528D">
              <w:rPr>
                <w:rFonts w:ascii="Arial Narrow" w:hAnsi="Arial Narrow"/>
                <w:sz w:val="24"/>
                <w:szCs w:val="24"/>
              </w:rPr>
              <w:t>15.01.2025</w:t>
            </w:r>
          </w:p>
        </w:tc>
        <w:tc>
          <w:tcPr>
            <w:tcW w:w="2301" w:type="dxa"/>
          </w:tcPr>
          <w:p w14:paraId="52504C99" w14:textId="77777777" w:rsidR="00323954" w:rsidRPr="000B528D" w:rsidRDefault="00323954" w:rsidP="00947BF3">
            <w:pPr>
              <w:rPr>
                <w:rFonts w:ascii="Arial Narrow" w:hAnsi="Arial Narrow"/>
                <w:sz w:val="24"/>
                <w:szCs w:val="24"/>
              </w:rPr>
            </w:pPr>
            <w:r w:rsidRPr="000B528D">
              <w:rPr>
                <w:rFonts w:ascii="Arial Narrow" w:hAnsi="Arial Narrow"/>
                <w:sz w:val="24"/>
                <w:szCs w:val="24"/>
              </w:rPr>
              <w:t>8 – 10/2024</w:t>
            </w:r>
          </w:p>
        </w:tc>
      </w:tr>
      <w:tr w:rsidR="00323954" w:rsidRPr="00EF219B" w14:paraId="35E897AE" w14:textId="77777777" w:rsidTr="00C26F9D">
        <w:trPr>
          <w:trHeight w:val="783"/>
        </w:trPr>
        <w:tc>
          <w:tcPr>
            <w:tcW w:w="2145" w:type="dxa"/>
          </w:tcPr>
          <w:p w14:paraId="63B41911" w14:textId="77777777" w:rsidR="00323954" w:rsidRPr="000B528D" w:rsidRDefault="00323954" w:rsidP="00947BF3">
            <w:pPr>
              <w:jc w:val="center"/>
              <w:rPr>
                <w:rFonts w:ascii="Arial Narrow" w:hAnsi="Arial Narrow"/>
                <w:sz w:val="24"/>
                <w:szCs w:val="24"/>
              </w:rPr>
            </w:pPr>
            <w:r w:rsidRPr="000B528D">
              <w:rPr>
                <w:rFonts w:ascii="Arial Narrow" w:hAnsi="Arial Narrow"/>
                <w:sz w:val="24"/>
                <w:szCs w:val="24"/>
              </w:rPr>
              <w:t>7/2025</w:t>
            </w:r>
          </w:p>
        </w:tc>
        <w:tc>
          <w:tcPr>
            <w:tcW w:w="2102" w:type="dxa"/>
          </w:tcPr>
          <w:p w14:paraId="0F329FBC" w14:textId="77777777" w:rsidR="00323954" w:rsidRPr="000B528D" w:rsidRDefault="00323954" w:rsidP="00947BF3">
            <w:pPr>
              <w:rPr>
                <w:rFonts w:ascii="Arial Narrow" w:hAnsi="Arial Narrow"/>
                <w:sz w:val="24"/>
                <w:szCs w:val="24"/>
              </w:rPr>
            </w:pPr>
            <w:r w:rsidRPr="000B528D">
              <w:rPr>
                <w:rFonts w:ascii="Arial Narrow" w:hAnsi="Arial Narrow"/>
                <w:sz w:val="24"/>
                <w:szCs w:val="24"/>
              </w:rPr>
              <w:t>č. 732/2023</w:t>
            </w:r>
          </w:p>
          <w:p w14:paraId="24269AC2" w14:textId="77777777" w:rsidR="00323954" w:rsidRPr="000B528D" w:rsidRDefault="00323954" w:rsidP="00947BF3">
            <w:pPr>
              <w:rPr>
                <w:rFonts w:ascii="Arial Narrow" w:hAnsi="Arial Narrow"/>
                <w:sz w:val="24"/>
                <w:szCs w:val="24"/>
              </w:rPr>
            </w:pPr>
            <w:r w:rsidRPr="000B528D">
              <w:rPr>
                <w:rFonts w:ascii="Arial Narrow" w:hAnsi="Arial Narrow"/>
                <w:sz w:val="24"/>
                <w:szCs w:val="24"/>
              </w:rPr>
              <w:t>z 20. decembra 2023</w:t>
            </w:r>
          </w:p>
        </w:tc>
        <w:tc>
          <w:tcPr>
            <w:tcW w:w="2421" w:type="dxa"/>
          </w:tcPr>
          <w:p w14:paraId="780BC570" w14:textId="77777777" w:rsidR="00323954" w:rsidRPr="000B528D" w:rsidRDefault="00323954" w:rsidP="00947BF3">
            <w:pPr>
              <w:rPr>
                <w:rFonts w:ascii="Arial Narrow" w:hAnsi="Arial Narrow"/>
                <w:sz w:val="24"/>
                <w:szCs w:val="24"/>
              </w:rPr>
            </w:pPr>
            <w:r w:rsidRPr="000B528D">
              <w:rPr>
                <w:rFonts w:ascii="Arial Narrow" w:hAnsi="Arial Narrow"/>
                <w:sz w:val="24"/>
                <w:szCs w:val="24"/>
              </w:rPr>
              <w:t>na 83. schôdzi dňa</w:t>
            </w:r>
          </w:p>
          <w:p w14:paraId="76A24608" w14:textId="77777777" w:rsidR="00323954" w:rsidRPr="000B528D" w:rsidRDefault="00323954" w:rsidP="00947BF3">
            <w:pPr>
              <w:rPr>
                <w:rFonts w:ascii="Arial Narrow" w:hAnsi="Arial Narrow"/>
                <w:sz w:val="24"/>
                <w:szCs w:val="24"/>
              </w:rPr>
            </w:pPr>
            <w:r w:rsidRPr="000B528D">
              <w:rPr>
                <w:rFonts w:ascii="Arial Narrow" w:hAnsi="Arial Narrow"/>
                <w:sz w:val="24"/>
                <w:szCs w:val="24"/>
              </w:rPr>
              <w:t>02.04.2025</w:t>
            </w:r>
          </w:p>
        </w:tc>
        <w:tc>
          <w:tcPr>
            <w:tcW w:w="2301" w:type="dxa"/>
          </w:tcPr>
          <w:p w14:paraId="4A6593EC" w14:textId="77777777" w:rsidR="00323954" w:rsidRPr="000B528D" w:rsidRDefault="00323954" w:rsidP="00947BF3">
            <w:pPr>
              <w:rPr>
                <w:rFonts w:ascii="Arial Narrow" w:hAnsi="Arial Narrow"/>
                <w:sz w:val="24"/>
                <w:szCs w:val="24"/>
              </w:rPr>
            </w:pPr>
            <w:r w:rsidRPr="000B528D">
              <w:rPr>
                <w:rFonts w:ascii="Arial Narrow" w:hAnsi="Arial Narrow"/>
                <w:sz w:val="24"/>
                <w:szCs w:val="24"/>
              </w:rPr>
              <w:t>11/2024 - 1/2025</w:t>
            </w:r>
          </w:p>
        </w:tc>
      </w:tr>
    </w:tbl>
    <w:p w14:paraId="73EA8759" w14:textId="77777777" w:rsidR="00323954" w:rsidRPr="000B528D" w:rsidRDefault="00323954" w:rsidP="000B528D">
      <w:pPr>
        <w:spacing w:before="240" w:after="160"/>
        <w:jc w:val="both"/>
        <w:rPr>
          <w:rFonts w:ascii="Arial Narrow" w:hAnsi="Arial Narrow"/>
          <w:sz w:val="24"/>
          <w:szCs w:val="24"/>
        </w:rPr>
      </w:pPr>
      <w:r w:rsidRPr="000B528D">
        <w:rPr>
          <w:rFonts w:ascii="Arial Narrow" w:hAnsi="Arial Narrow"/>
          <w:sz w:val="24"/>
          <w:szCs w:val="24"/>
        </w:rPr>
        <w:t>Vývoj cien v roku 2024 ovplyvňovala kombinácia domácich a medzinárodných faktorov. Geopolitické napätie, klimatické extrémy, vývoj cien energií a ziskovosť subjektov v potravinovej vertikále formovali dynamiku cien na rôznych úrovniach dodávateľského reťazca.</w:t>
      </w:r>
    </w:p>
    <w:p w14:paraId="3D1D83C3" w14:textId="77777777" w:rsidR="00323954" w:rsidRPr="000B528D" w:rsidRDefault="00323954" w:rsidP="000B528D">
      <w:pPr>
        <w:spacing w:after="160"/>
        <w:jc w:val="both"/>
        <w:rPr>
          <w:rFonts w:ascii="Arial Narrow" w:hAnsi="Arial Narrow"/>
          <w:sz w:val="24"/>
          <w:szCs w:val="24"/>
        </w:rPr>
      </w:pPr>
      <w:r w:rsidRPr="000B528D">
        <w:rPr>
          <w:rFonts w:ascii="Arial Narrow" w:hAnsi="Arial Narrow"/>
          <w:sz w:val="24"/>
          <w:szCs w:val="24"/>
        </w:rPr>
        <w:t>Z doterajších analýz vyplýva, že hoci boli zaznamenané čiastkové cenové výkyvy pri niektorých druhoch potravín, aktuálny vývoj cien základných druhov potravín je primeraný a neodôvodňuje zavedenie priamej cenovej regulácie. Analýzy zároveň poskytli odporúčania na prijatie systematických opatrení na podporu cenovej dostupnosti potravín v strednodobom horizonte medzi ktoré patrila legislatívna úprava zníženia sadzby DPH na vybrané potraviny (5 %) a ostatné potraviny (19 %), či vytvorenie web portálu cenyslovensko.sk s cieľom podporiť zdravú konkurenciu medzi predajcami potravín.</w:t>
      </w:r>
    </w:p>
    <w:p w14:paraId="663CD9EE" w14:textId="336FFE52" w:rsidR="00323954" w:rsidRDefault="00323954" w:rsidP="000B528D">
      <w:pPr>
        <w:spacing w:after="160"/>
        <w:jc w:val="both"/>
        <w:rPr>
          <w:rFonts w:ascii="Arial Narrow" w:hAnsi="Arial Narrow"/>
          <w:sz w:val="24"/>
          <w:szCs w:val="24"/>
        </w:rPr>
      </w:pPr>
      <w:r w:rsidRPr="000B528D">
        <w:rPr>
          <w:rFonts w:ascii="Arial Narrow" w:hAnsi="Arial Narrow"/>
          <w:sz w:val="24"/>
          <w:szCs w:val="24"/>
        </w:rPr>
        <w:t>Cieľom materiálu je priniesť ucelený pohľad na vývoj cien potravín v priebehu roka 2024, s dôrazom na identifikáciu trendov, vývoj inflácie, ako aj širších súvislostí, ktoré formujú vývoj cien základných druhov potravín na Slovensku.</w:t>
      </w:r>
    </w:p>
    <w:p w14:paraId="27B15CDD" w14:textId="77777777" w:rsidR="000B528D" w:rsidRPr="000B528D" w:rsidRDefault="000B528D" w:rsidP="000B528D">
      <w:pPr>
        <w:spacing w:after="160"/>
        <w:jc w:val="both"/>
        <w:rPr>
          <w:rFonts w:ascii="Arial Narrow" w:hAnsi="Arial Narrow"/>
          <w:sz w:val="24"/>
          <w:szCs w:val="24"/>
        </w:rPr>
      </w:pPr>
    </w:p>
    <w:p w14:paraId="0A543ACA" w14:textId="77777777" w:rsidR="00323954" w:rsidRDefault="00323954" w:rsidP="00947BF3">
      <w:pPr>
        <w:pStyle w:val="Nadpis1"/>
        <w:numPr>
          <w:ilvl w:val="0"/>
          <w:numId w:val="1"/>
        </w:numPr>
        <w:spacing w:after="240" w:line="240" w:lineRule="auto"/>
        <w:ind w:left="283" w:hanging="357"/>
        <w:jc w:val="left"/>
        <w:rPr>
          <w:b w:val="0"/>
          <w:bCs/>
          <w:color w:val="5B9BD5" w:themeColor="accent1"/>
        </w:rPr>
      </w:pPr>
      <w:bookmarkStart w:id="27" w:name="_Toc202358587"/>
      <w:r w:rsidRPr="009B6DF1">
        <w:rPr>
          <w:color w:val="5B9BD5" w:themeColor="accent1"/>
        </w:rPr>
        <w:t>Koncepcia cenovej politiky a jej plnenie</w:t>
      </w:r>
      <w:bookmarkEnd w:id="27"/>
    </w:p>
    <w:p w14:paraId="5C600B02" w14:textId="6DC5237C" w:rsidR="00323954" w:rsidRPr="000B528D" w:rsidRDefault="00323954" w:rsidP="000B528D">
      <w:pPr>
        <w:spacing w:after="160"/>
        <w:jc w:val="both"/>
        <w:rPr>
          <w:rFonts w:ascii="Arial Narrow" w:hAnsi="Arial Narrow"/>
          <w:sz w:val="24"/>
          <w:szCs w:val="24"/>
        </w:rPr>
      </w:pPr>
      <w:r w:rsidRPr="000B528D">
        <w:rPr>
          <w:rFonts w:ascii="Arial Narrow" w:hAnsi="Arial Narrow"/>
          <w:sz w:val="24"/>
          <w:szCs w:val="24"/>
        </w:rPr>
        <w:t>Podľa § 20 ods. 2 písm. a) zákona o cenách ministerstvo vypracováva koncepciu cenovej politiky, predkladá ju vláde do desiatich mesiacov od jej vymenovania a zabezpečuje jej uskutočňovanie; ak</w:t>
      </w:r>
      <w:r w:rsidR="000B528D">
        <w:rPr>
          <w:rFonts w:ascii="Arial Narrow" w:hAnsi="Arial Narrow"/>
          <w:sz w:val="24"/>
          <w:szCs w:val="24"/>
        </w:rPr>
        <w:t> </w:t>
      </w:r>
      <w:r w:rsidRPr="000B528D">
        <w:rPr>
          <w:rFonts w:ascii="Arial Narrow" w:hAnsi="Arial Narrow"/>
          <w:sz w:val="24"/>
          <w:szCs w:val="24"/>
        </w:rPr>
        <w:t>vznikne mimoriadna trhová situácia s priamym vplyvom na ceny tovarov vypracováva koncepciu cenovej politiky, predkladá ju vláde Slovenskej republiky a zabezpečuje jej uskutočňovanie.</w:t>
      </w:r>
    </w:p>
    <w:p w14:paraId="07F25365" w14:textId="2AD6B41D" w:rsidR="00323954" w:rsidRPr="000B528D" w:rsidRDefault="00323954" w:rsidP="000B528D">
      <w:pPr>
        <w:spacing w:after="160"/>
        <w:jc w:val="both"/>
        <w:rPr>
          <w:rFonts w:ascii="Arial Narrow" w:hAnsi="Arial Narrow"/>
          <w:sz w:val="24"/>
          <w:szCs w:val="24"/>
        </w:rPr>
      </w:pPr>
      <w:r w:rsidRPr="000B528D">
        <w:rPr>
          <w:rFonts w:ascii="Arial Narrow" w:hAnsi="Arial Narrow"/>
          <w:sz w:val="24"/>
          <w:szCs w:val="24"/>
        </w:rPr>
        <w:t>Koncepcia cenovej politiky Slovenskej republiky bola prvý krát koncipovaná v  roku 1999 ako súčasť projektu zameraného na riešenie makroekonomickej nerovnováhy a konkurencieschopnosti slovenskej ekonomiky a neoddeliteľná súčasť komplexu úloh potrebných na stabilizáciu hospodárstva a</w:t>
      </w:r>
      <w:r w:rsidR="000B528D">
        <w:rPr>
          <w:rFonts w:ascii="Arial Narrow" w:hAnsi="Arial Narrow"/>
          <w:sz w:val="24"/>
          <w:szCs w:val="24"/>
        </w:rPr>
        <w:t> </w:t>
      </w:r>
      <w:r w:rsidRPr="000B528D">
        <w:rPr>
          <w:rFonts w:ascii="Arial Narrow" w:hAnsi="Arial Narrow"/>
          <w:sz w:val="24"/>
          <w:szCs w:val="24"/>
        </w:rPr>
        <w:t>naštartovanie hospodárskeho rastu v podmienkach otvorenej trhovej ekonomiky.</w:t>
      </w:r>
    </w:p>
    <w:p w14:paraId="25E03EEB" w14:textId="77777777" w:rsidR="00323954" w:rsidRPr="000B528D" w:rsidRDefault="00323954" w:rsidP="000B528D">
      <w:pPr>
        <w:spacing w:after="160"/>
        <w:jc w:val="both"/>
        <w:rPr>
          <w:rFonts w:ascii="Arial Narrow" w:hAnsi="Arial Narrow"/>
          <w:sz w:val="24"/>
          <w:szCs w:val="24"/>
        </w:rPr>
      </w:pPr>
      <w:r w:rsidRPr="000B528D">
        <w:rPr>
          <w:rFonts w:ascii="Arial Narrow" w:hAnsi="Arial Narrow"/>
          <w:sz w:val="24"/>
          <w:szCs w:val="24"/>
        </w:rPr>
        <w:t>V zmysle zákona o cenách a Programového vyhlásenia vlády ministerstvo vypracovalo a predložilo v auguste 2024 vláde Koncepciu cenovej politiky na roky 2024 – 2027 (ďalej len „koncepcia“). Koncepcia bola vypracovaná na základe vyžiadaných podkladov relevantných subjektov, ktoré sú podľa zákona o cenách cenovými organmi.</w:t>
      </w:r>
    </w:p>
    <w:p w14:paraId="27CE67FC" w14:textId="77777777" w:rsidR="00323954" w:rsidRPr="000B528D" w:rsidRDefault="00323954" w:rsidP="000B528D">
      <w:pPr>
        <w:spacing w:after="160"/>
        <w:jc w:val="both"/>
        <w:rPr>
          <w:rFonts w:ascii="Arial Narrow" w:hAnsi="Arial Narrow"/>
          <w:sz w:val="24"/>
          <w:szCs w:val="24"/>
        </w:rPr>
      </w:pPr>
      <w:r w:rsidRPr="000B528D">
        <w:rPr>
          <w:rFonts w:ascii="Arial Narrow" w:hAnsi="Arial Narrow"/>
          <w:sz w:val="24"/>
          <w:szCs w:val="24"/>
        </w:rPr>
        <w:t xml:space="preserve">Koncepcia je dokumentom ktorý odráža základné aspekty a prístup k cenovej politike v trhovej ekonomike. Vo vypracovanom materiáli boli posudzované rozhodujúce kritéria v cenovej politike relevantnými subjektami, ich zákonné kompetencie, hodnotené ďalšie možné postupy v oblasti cenovej politiky a sú v nej uvedené opatrenia, ktoré prispejú k stabilizácii hospodárstva a jeho rastu v podmienkach otvorenej trhovej ekonomiky. Koncepcia korešponduje so smerovaním cenovej politiky štátu ako verejnej autority pri dosahovaní väčšej cenovej stability a snahe zvýšiť mieru reakcie verejnej politiky v oblasti cien a cenových orgánov na extrémne nežiaduci cenový vývoj životne dôležitých tovarov. </w:t>
      </w:r>
    </w:p>
    <w:p w14:paraId="4B3977E5" w14:textId="33B32E6F" w:rsidR="00323954" w:rsidRPr="000B528D" w:rsidRDefault="00323954" w:rsidP="000B528D">
      <w:pPr>
        <w:spacing w:after="160"/>
        <w:jc w:val="both"/>
        <w:rPr>
          <w:rFonts w:ascii="Arial Narrow" w:hAnsi="Arial Narrow"/>
          <w:sz w:val="24"/>
          <w:szCs w:val="24"/>
        </w:rPr>
      </w:pPr>
      <w:r w:rsidRPr="000B528D">
        <w:rPr>
          <w:rFonts w:ascii="Arial Narrow" w:hAnsi="Arial Narrow"/>
          <w:sz w:val="24"/>
          <w:szCs w:val="24"/>
        </w:rPr>
        <w:t>Koncepcia sumarizuje strategické ciele ako kľúčový determinant na zavádzanie zmien, efektívne dosiahnutie cieľov vyplývajúcich z identifikovaných hrozieb po analyzovaní a vyhodnotení všetkých získaných cenových informácií. Úlohou na nasledujúce obdobie 2024 – 2027 je plnenie cieľov s využitím všetkých dostupných metód a zákonom ustanovených kompetencií cenových orgánov.</w:t>
      </w:r>
    </w:p>
    <w:p w14:paraId="40E839F3" w14:textId="77777777" w:rsidR="00323954" w:rsidRPr="00323954" w:rsidRDefault="00323954" w:rsidP="000B528D">
      <w:pPr>
        <w:spacing w:before="240" w:after="120"/>
        <w:jc w:val="both"/>
        <w:rPr>
          <w:rFonts w:ascii="Arial Narrow" w:hAnsi="Arial Narrow"/>
        </w:rPr>
      </w:pPr>
      <w:r w:rsidRPr="00323954">
        <w:rPr>
          <w:rFonts w:ascii="Arial Narrow" w:hAnsi="Arial Narrow"/>
          <w:b/>
          <w:bCs/>
          <w:color w:val="000000" w:themeColor="text1"/>
        </w:rPr>
        <w:t>Prehľad strategických cieľov cenových orgánov na roky 2024 - 2027</w:t>
      </w:r>
    </w:p>
    <w:tbl>
      <w:tblPr>
        <w:tblStyle w:val="Mriekatabuky"/>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520"/>
        <w:gridCol w:w="4520"/>
      </w:tblGrid>
      <w:tr w:rsidR="00323954" w:rsidRPr="000229DC" w14:paraId="33E4B4F3" w14:textId="77777777" w:rsidTr="000B528D">
        <w:trPr>
          <w:trHeight w:val="567"/>
        </w:trPr>
        <w:tc>
          <w:tcPr>
            <w:tcW w:w="4521" w:type="dxa"/>
            <w:shd w:val="clear" w:color="auto" w:fill="EAEDF1" w:themeFill="text2" w:themeFillTint="1A"/>
            <w:vAlign w:val="center"/>
          </w:tcPr>
          <w:p w14:paraId="2803FD77" w14:textId="77777777" w:rsidR="00323954" w:rsidRPr="000B528D" w:rsidRDefault="00323954" w:rsidP="000B528D">
            <w:pPr>
              <w:jc w:val="center"/>
              <w:rPr>
                <w:rFonts w:ascii="Arial Narrow" w:hAnsi="Arial Narrow" w:cstheme="minorBidi"/>
                <w:b/>
                <w:bCs/>
                <w:color w:val="000000" w:themeColor="text1"/>
                <w:sz w:val="24"/>
                <w:szCs w:val="24"/>
                <w:lang w:eastAsia="en-US"/>
              </w:rPr>
            </w:pPr>
            <w:r w:rsidRPr="000B528D">
              <w:rPr>
                <w:rFonts w:ascii="Arial Narrow" w:hAnsi="Arial Narrow" w:cstheme="minorBidi"/>
                <w:b/>
                <w:bCs/>
                <w:color w:val="000000" w:themeColor="text1"/>
                <w:sz w:val="24"/>
                <w:szCs w:val="24"/>
                <w:lang w:eastAsia="en-US"/>
              </w:rPr>
              <w:t>Cenový orgán</w:t>
            </w:r>
          </w:p>
        </w:tc>
        <w:tc>
          <w:tcPr>
            <w:tcW w:w="4521" w:type="dxa"/>
            <w:shd w:val="clear" w:color="auto" w:fill="E2EFD9" w:themeFill="accent6" w:themeFillTint="33"/>
            <w:vAlign w:val="center"/>
          </w:tcPr>
          <w:p w14:paraId="1F344917" w14:textId="693A5777" w:rsidR="00323954" w:rsidRPr="000B528D" w:rsidRDefault="00323954" w:rsidP="000B528D">
            <w:pPr>
              <w:jc w:val="center"/>
              <w:rPr>
                <w:rFonts w:ascii="Arial Narrow" w:hAnsi="Arial Narrow" w:cstheme="minorBidi"/>
                <w:b/>
                <w:bCs/>
                <w:color w:val="000000" w:themeColor="text1"/>
                <w:sz w:val="24"/>
                <w:szCs w:val="24"/>
                <w:lang w:eastAsia="en-US"/>
              </w:rPr>
            </w:pPr>
            <w:r w:rsidRPr="000B528D">
              <w:rPr>
                <w:rFonts w:ascii="Arial Narrow" w:hAnsi="Arial Narrow" w:cstheme="minorBidi"/>
                <w:b/>
                <w:bCs/>
                <w:color w:val="000000" w:themeColor="text1"/>
                <w:sz w:val="24"/>
                <w:szCs w:val="24"/>
                <w:lang w:eastAsia="en-US"/>
              </w:rPr>
              <w:t>Cieľ</w:t>
            </w:r>
          </w:p>
        </w:tc>
      </w:tr>
      <w:tr w:rsidR="00323954" w:rsidRPr="000229DC" w14:paraId="05E84523" w14:textId="77777777" w:rsidTr="00C26F9D">
        <w:tc>
          <w:tcPr>
            <w:tcW w:w="4521" w:type="dxa"/>
            <w:vMerge w:val="restart"/>
            <w:vAlign w:val="center"/>
          </w:tcPr>
          <w:p w14:paraId="67FE8D97" w14:textId="77777777" w:rsidR="00323954" w:rsidRPr="000B528D" w:rsidRDefault="00323954" w:rsidP="00947BF3">
            <w:pPr>
              <w:jc w:val="center"/>
              <w:rPr>
                <w:rFonts w:ascii="Arial Narrow" w:hAnsi="Arial Narrow" w:cstheme="minorBidi"/>
                <w:color w:val="000000" w:themeColor="text1"/>
                <w:sz w:val="24"/>
                <w:szCs w:val="24"/>
                <w:lang w:eastAsia="en-US"/>
              </w:rPr>
            </w:pPr>
            <w:r w:rsidRPr="000B528D">
              <w:rPr>
                <w:rFonts w:ascii="Arial Narrow" w:hAnsi="Arial Narrow" w:cstheme="minorBidi"/>
                <w:b/>
                <w:bCs/>
                <w:sz w:val="24"/>
                <w:szCs w:val="24"/>
                <w:lang w:eastAsia="en-US"/>
              </w:rPr>
              <w:t>ministerstvo financií</w:t>
            </w:r>
          </w:p>
        </w:tc>
        <w:tc>
          <w:tcPr>
            <w:tcW w:w="4521" w:type="dxa"/>
          </w:tcPr>
          <w:p w14:paraId="2B8AC65A" w14:textId="77777777" w:rsidR="00323954" w:rsidRPr="000B528D" w:rsidRDefault="00323954" w:rsidP="00947BF3">
            <w:pPr>
              <w:rPr>
                <w:rFonts w:ascii="Arial Narrow" w:hAnsi="Arial Narrow" w:cstheme="minorBidi"/>
                <w:color w:val="000000" w:themeColor="text1"/>
                <w:sz w:val="24"/>
                <w:szCs w:val="24"/>
                <w:lang w:eastAsia="en-US"/>
              </w:rPr>
            </w:pPr>
            <w:r w:rsidRPr="000B528D">
              <w:rPr>
                <w:rFonts w:ascii="Arial Narrow" w:hAnsi="Arial Narrow" w:cstheme="minorBidi"/>
                <w:sz w:val="24"/>
                <w:szCs w:val="24"/>
                <w:lang w:eastAsia="en-US"/>
              </w:rPr>
              <w:t>zriadenie cenového oddelenia</w:t>
            </w:r>
            <w:r w:rsidRPr="000B528D">
              <w:rPr>
                <w:rFonts w:ascii="Arial Narrow" w:hAnsi="Arial Narrow" w:cstheme="minorBidi"/>
                <w:color w:val="000000" w:themeColor="text1"/>
                <w:sz w:val="24"/>
                <w:szCs w:val="24"/>
                <w:lang w:eastAsia="en-US"/>
              </w:rPr>
              <w:t xml:space="preserve"> na realizáciu legislatívneho rámca, zber dát, analyzovanie a monitoring a vyhodnocovanie cenového vývoja</w:t>
            </w:r>
          </w:p>
        </w:tc>
      </w:tr>
      <w:tr w:rsidR="00323954" w:rsidRPr="000229DC" w14:paraId="6C8F1BE5" w14:textId="77777777" w:rsidTr="00C26F9D">
        <w:tc>
          <w:tcPr>
            <w:tcW w:w="4521" w:type="dxa"/>
            <w:vMerge/>
          </w:tcPr>
          <w:p w14:paraId="3AB10C68" w14:textId="77777777" w:rsidR="00323954" w:rsidRPr="000B528D" w:rsidRDefault="00323954" w:rsidP="00947BF3">
            <w:pPr>
              <w:rPr>
                <w:rFonts w:ascii="Arial Narrow" w:hAnsi="Arial Narrow" w:cstheme="minorBidi"/>
                <w:color w:val="000000" w:themeColor="text1"/>
                <w:sz w:val="24"/>
                <w:szCs w:val="24"/>
                <w:lang w:eastAsia="en-US"/>
              </w:rPr>
            </w:pPr>
          </w:p>
        </w:tc>
        <w:tc>
          <w:tcPr>
            <w:tcW w:w="4521" w:type="dxa"/>
          </w:tcPr>
          <w:p w14:paraId="3535D091" w14:textId="77777777" w:rsidR="00323954" w:rsidRPr="000B528D" w:rsidRDefault="00323954" w:rsidP="00947BF3">
            <w:pPr>
              <w:rPr>
                <w:rFonts w:ascii="Arial Narrow" w:hAnsi="Arial Narrow" w:cstheme="minorBidi"/>
                <w:color w:val="000000" w:themeColor="text1"/>
                <w:sz w:val="24"/>
                <w:szCs w:val="24"/>
                <w:lang w:eastAsia="en-US"/>
              </w:rPr>
            </w:pPr>
            <w:r w:rsidRPr="000B528D">
              <w:rPr>
                <w:rFonts w:ascii="Arial Narrow" w:hAnsi="Arial Narrow" w:cstheme="minorBidi"/>
                <w:sz w:val="24"/>
                <w:szCs w:val="24"/>
                <w:lang w:eastAsia="en-US"/>
              </w:rPr>
              <w:t>zriadenie webového sídla na zverejňovanie</w:t>
            </w:r>
            <w:r w:rsidRPr="000B528D">
              <w:rPr>
                <w:rFonts w:ascii="Arial Narrow" w:hAnsi="Arial Narrow" w:cstheme="minorBidi"/>
                <w:color w:val="363636"/>
                <w:spacing w:val="-1"/>
                <w:sz w:val="24"/>
                <w:szCs w:val="24"/>
                <w:shd w:val="clear" w:color="auto" w:fill="FFFFFF"/>
                <w:lang w:eastAsia="en-US"/>
              </w:rPr>
              <w:t xml:space="preserve"> cenových informácií o vybraných tovaroch</w:t>
            </w:r>
          </w:p>
        </w:tc>
      </w:tr>
      <w:tr w:rsidR="00323954" w:rsidRPr="000229DC" w14:paraId="1706EABC" w14:textId="77777777" w:rsidTr="00C26F9D">
        <w:tc>
          <w:tcPr>
            <w:tcW w:w="4521" w:type="dxa"/>
            <w:vMerge/>
          </w:tcPr>
          <w:p w14:paraId="492E1C7F" w14:textId="77777777" w:rsidR="00323954" w:rsidRPr="000B528D" w:rsidRDefault="00323954" w:rsidP="00947BF3">
            <w:pPr>
              <w:rPr>
                <w:rFonts w:ascii="Arial Narrow" w:hAnsi="Arial Narrow" w:cstheme="minorBidi"/>
                <w:color w:val="000000" w:themeColor="text1"/>
                <w:sz w:val="24"/>
                <w:szCs w:val="24"/>
                <w:lang w:eastAsia="en-US"/>
              </w:rPr>
            </w:pPr>
          </w:p>
        </w:tc>
        <w:tc>
          <w:tcPr>
            <w:tcW w:w="4521" w:type="dxa"/>
          </w:tcPr>
          <w:p w14:paraId="09081B2B" w14:textId="77777777" w:rsidR="00323954" w:rsidRPr="000B528D" w:rsidRDefault="00323954" w:rsidP="00947BF3">
            <w:pPr>
              <w:rPr>
                <w:rFonts w:ascii="Arial Narrow" w:hAnsi="Arial Narrow" w:cstheme="minorBidi"/>
                <w:color w:val="000000" w:themeColor="text1"/>
                <w:sz w:val="24"/>
                <w:szCs w:val="24"/>
                <w:lang w:eastAsia="en-US"/>
              </w:rPr>
            </w:pPr>
            <w:r w:rsidRPr="000B528D">
              <w:rPr>
                <w:rFonts w:ascii="Arial Narrow" w:hAnsi="Arial Narrow" w:cstheme="minorBidi"/>
                <w:color w:val="363636"/>
                <w:spacing w:val="-1"/>
                <w:sz w:val="24"/>
                <w:szCs w:val="24"/>
                <w:shd w:val="clear" w:color="auto" w:fill="FFFFFF"/>
                <w:lang w:eastAsia="en-US"/>
              </w:rPr>
              <w:t>vytvorenie legislatívneho rámca na zverejnenie cenových informácií o vybraných tovaroch</w:t>
            </w:r>
          </w:p>
        </w:tc>
      </w:tr>
      <w:tr w:rsidR="00323954" w:rsidRPr="000229DC" w14:paraId="785B5EBD" w14:textId="77777777" w:rsidTr="00C26F9D">
        <w:tc>
          <w:tcPr>
            <w:tcW w:w="4521" w:type="dxa"/>
            <w:vMerge/>
          </w:tcPr>
          <w:p w14:paraId="7F67E4EB" w14:textId="77777777" w:rsidR="00323954" w:rsidRPr="000B528D" w:rsidRDefault="00323954" w:rsidP="00947BF3">
            <w:pPr>
              <w:rPr>
                <w:rFonts w:ascii="Arial Narrow" w:hAnsi="Arial Narrow" w:cstheme="minorBidi"/>
                <w:color w:val="000000" w:themeColor="text1"/>
                <w:sz w:val="24"/>
                <w:szCs w:val="24"/>
                <w:lang w:eastAsia="en-US"/>
              </w:rPr>
            </w:pPr>
          </w:p>
        </w:tc>
        <w:tc>
          <w:tcPr>
            <w:tcW w:w="4521" w:type="dxa"/>
          </w:tcPr>
          <w:p w14:paraId="4FC5F52B" w14:textId="77777777" w:rsidR="00323954" w:rsidRPr="000B528D" w:rsidRDefault="00323954" w:rsidP="00947BF3">
            <w:pPr>
              <w:rPr>
                <w:rFonts w:ascii="Arial Narrow" w:hAnsi="Arial Narrow" w:cstheme="minorBidi"/>
                <w:color w:val="000000" w:themeColor="text1"/>
                <w:sz w:val="24"/>
                <w:szCs w:val="24"/>
                <w:lang w:eastAsia="en-US"/>
              </w:rPr>
            </w:pPr>
            <w:r w:rsidRPr="000B528D">
              <w:rPr>
                <w:rFonts w:ascii="Arial Narrow" w:hAnsi="Arial Narrow" w:cstheme="minorBidi"/>
                <w:color w:val="000000" w:themeColor="text1"/>
                <w:sz w:val="24"/>
                <w:szCs w:val="24"/>
                <w:lang w:eastAsia="en-US"/>
              </w:rPr>
              <w:t>pravidelné vykonávanie cenových analýz základných druhov potravín</w:t>
            </w:r>
          </w:p>
        </w:tc>
      </w:tr>
      <w:tr w:rsidR="00323954" w:rsidRPr="000229DC" w14:paraId="35B61B1F" w14:textId="77777777" w:rsidTr="00C26F9D">
        <w:tc>
          <w:tcPr>
            <w:tcW w:w="4521" w:type="dxa"/>
            <w:vMerge/>
          </w:tcPr>
          <w:p w14:paraId="644E7CFB" w14:textId="77777777" w:rsidR="00323954" w:rsidRPr="000B528D" w:rsidRDefault="00323954" w:rsidP="00947BF3">
            <w:pPr>
              <w:rPr>
                <w:rFonts w:ascii="Arial Narrow" w:hAnsi="Arial Narrow" w:cstheme="minorBidi"/>
                <w:color w:val="000000" w:themeColor="text1"/>
                <w:sz w:val="24"/>
                <w:szCs w:val="24"/>
                <w:lang w:eastAsia="en-US"/>
              </w:rPr>
            </w:pPr>
          </w:p>
        </w:tc>
        <w:tc>
          <w:tcPr>
            <w:tcW w:w="4521" w:type="dxa"/>
          </w:tcPr>
          <w:p w14:paraId="321DA0FF" w14:textId="77777777" w:rsidR="00323954" w:rsidRPr="000B528D" w:rsidRDefault="00323954" w:rsidP="00947BF3">
            <w:pPr>
              <w:rPr>
                <w:rFonts w:ascii="Arial Narrow" w:hAnsi="Arial Narrow" w:cstheme="minorBidi"/>
                <w:color w:val="000000" w:themeColor="text1"/>
                <w:sz w:val="24"/>
                <w:szCs w:val="24"/>
                <w:lang w:eastAsia="en-US"/>
              </w:rPr>
            </w:pPr>
            <w:r w:rsidRPr="000B528D">
              <w:rPr>
                <w:rFonts w:ascii="Arial Narrow" w:hAnsi="Arial Narrow" w:cstheme="minorBidi"/>
                <w:color w:val="000000" w:themeColor="text1"/>
                <w:sz w:val="24"/>
                <w:szCs w:val="24"/>
                <w:lang w:eastAsia="en-US"/>
              </w:rPr>
              <w:t>z výstupov získaných a analyzovaných dát vydávať odporúčania vláde na zavedenie opatrení proti prípadnému nežiadúcemu cenovému vývoju</w:t>
            </w:r>
          </w:p>
        </w:tc>
      </w:tr>
      <w:tr w:rsidR="00323954" w:rsidRPr="000229DC" w14:paraId="39343432" w14:textId="77777777" w:rsidTr="00C26F9D">
        <w:tc>
          <w:tcPr>
            <w:tcW w:w="4521" w:type="dxa"/>
            <w:vMerge w:val="restart"/>
            <w:vAlign w:val="center"/>
          </w:tcPr>
          <w:p w14:paraId="263B4EDA" w14:textId="77777777" w:rsidR="00323954" w:rsidRPr="000B528D" w:rsidRDefault="00323954" w:rsidP="00947BF3">
            <w:pPr>
              <w:jc w:val="center"/>
              <w:rPr>
                <w:rFonts w:ascii="Arial Narrow" w:hAnsi="Arial Narrow" w:cstheme="minorBidi"/>
                <w:color w:val="000000" w:themeColor="text1"/>
                <w:sz w:val="24"/>
                <w:szCs w:val="24"/>
                <w:lang w:eastAsia="en-US"/>
              </w:rPr>
            </w:pPr>
            <w:r w:rsidRPr="000B528D">
              <w:rPr>
                <w:rFonts w:ascii="Arial Narrow" w:hAnsi="Arial Narrow" w:cstheme="minorBidi"/>
                <w:b/>
                <w:bCs/>
                <w:sz w:val="24"/>
                <w:szCs w:val="24"/>
                <w:lang w:eastAsia="en-US"/>
              </w:rPr>
              <w:t>ministerstvo zdravotníctva</w:t>
            </w:r>
          </w:p>
        </w:tc>
        <w:tc>
          <w:tcPr>
            <w:tcW w:w="4521" w:type="dxa"/>
          </w:tcPr>
          <w:p w14:paraId="4C4CCBD3" w14:textId="77777777" w:rsidR="00323954" w:rsidRPr="000B528D" w:rsidRDefault="00323954" w:rsidP="00947BF3">
            <w:pPr>
              <w:rPr>
                <w:rFonts w:ascii="Arial Narrow" w:hAnsi="Arial Narrow" w:cstheme="minorBidi"/>
                <w:color w:val="000000" w:themeColor="text1"/>
                <w:sz w:val="24"/>
                <w:szCs w:val="24"/>
                <w:lang w:eastAsia="en-US"/>
              </w:rPr>
            </w:pPr>
            <w:r w:rsidRPr="000B528D">
              <w:rPr>
                <w:rFonts w:ascii="Arial Narrow" w:hAnsi="Arial Narrow" w:cstheme="minorBidi"/>
                <w:sz w:val="24"/>
                <w:szCs w:val="24"/>
                <w:lang w:eastAsia="en-US"/>
              </w:rPr>
              <w:t>príprava aktualizácie katalógu zdravotných výkonov</w:t>
            </w:r>
          </w:p>
        </w:tc>
      </w:tr>
      <w:tr w:rsidR="00323954" w:rsidRPr="000229DC" w14:paraId="5348F823" w14:textId="77777777" w:rsidTr="00C26F9D">
        <w:tc>
          <w:tcPr>
            <w:tcW w:w="4521" w:type="dxa"/>
            <w:vMerge/>
            <w:vAlign w:val="center"/>
          </w:tcPr>
          <w:p w14:paraId="22C33423" w14:textId="77777777" w:rsidR="00323954" w:rsidRPr="000B528D" w:rsidRDefault="00323954" w:rsidP="00947BF3">
            <w:pPr>
              <w:jc w:val="center"/>
              <w:rPr>
                <w:rFonts w:ascii="Arial Narrow" w:hAnsi="Arial Narrow" w:cstheme="minorBidi"/>
                <w:b/>
                <w:bCs/>
                <w:sz w:val="24"/>
                <w:szCs w:val="24"/>
                <w:lang w:eastAsia="en-US"/>
              </w:rPr>
            </w:pPr>
          </w:p>
        </w:tc>
        <w:tc>
          <w:tcPr>
            <w:tcW w:w="4521" w:type="dxa"/>
          </w:tcPr>
          <w:p w14:paraId="35B3F19E" w14:textId="77777777" w:rsidR="00323954" w:rsidRPr="000B528D" w:rsidRDefault="00323954" w:rsidP="00947BF3">
            <w:pPr>
              <w:rPr>
                <w:rFonts w:ascii="Arial Narrow" w:hAnsi="Arial Narrow" w:cstheme="minorBidi"/>
                <w:sz w:val="24"/>
                <w:szCs w:val="24"/>
                <w:lang w:eastAsia="en-US"/>
              </w:rPr>
            </w:pPr>
            <w:r w:rsidRPr="000B528D">
              <w:rPr>
                <w:rFonts w:ascii="Arial Narrow" w:hAnsi="Arial Narrow" w:cstheme="minorBidi"/>
                <w:sz w:val="24"/>
                <w:szCs w:val="24"/>
                <w:lang w:eastAsia="en-US"/>
              </w:rPr>
              <w:t>pokračovať v zavádzaní a rozširovaní klasifikačného systému diagnosticko-terapeutických skupín – SK-DRG do priamych úhrad</w:t>
            </w:r>
          </w:p>
        </w:tc>
      </w:tr>
      <w:tr w:rsidR="00323954" w:rsidRPr="000229DC" w14:paraId="43E7CCC1" w14:textId="77777777" w:rsidTr="00C26F9D">
        <w:trPr>
          <w:trHeight w:val="463"/>
        </w:trPr>
        <w:tc>
          <w:tcPr>
            <w:tcW w:w="4521" w:type="dxa"/>
            <w:vMerge/>
          </w:tcPr>
          <w:p w14:paraId="31644A55" w14:textId="77777777" w:rsidR="00323954" w:rsidRPr="000B528D" w:rsidRDefault="00323954" w:rsidP="00947BF3">
            <w:pPr>
              <w:rPr>
                <w:rFonts w:ascii="Arial Narrow" w:hAnsi="Arial Narrow" w:cstheme="minorBidi"/>
                <w:color w:val="000000" w:themeColor="text1"/>
                <w:sz w:val="24"/>
                <w:szCs w:val="24"/>
                <w:lang w:eastAsia="en-US"/>
              </w:rPr>
            </w:pPr>
          </w:p>
        </w:tc>
        <w:tc>
          <w:tcPr>
            <w:tcW w:w="4521" w:type="dxa"/>
          </w:tcPr>
          <w:p w14:paraId="6F845CC4" w14:textId="77777777" w:rsidR="00323954" w:rsidRPr="000B528D" w:rsidRDefault="00323954" w:rsidP="00947BF3">
            <w:pPr>
              <w:rPr>
                <w:rFonts w:ascii="Arial Narrow" w:hAnsi="Arial Narrow" w:cstheme="minorBidi"/>
                <w:color w:val="000000" w:themeColor="text1"/>
                <w:sz w:val="24"/>
                <w:szCs w:val="24"/>
                <w:lang w:eastAsia="en-US"/>
              </w:rPr>
            </w:pPr>
            <w:r w:rsidRPr="000B528D">
              <w:rPr>
                <w:rFonts w:ascii="Arial Narrow" w:hAnsi="Arial Narrow" w:cstheme="minorBidi"/>
                <w:sz w:val="24"/>
                <w:szCs w:val="24"/>
                <w:lang w:eastAsia="en-US"/>
              </w:rPr>
              <w:t>nastavenie plánu postupnej implementácie katalógu zdravotných výkonov</w:t>
            </w:r>
          </w:p>
        </w:tc>
      </w:tr>
      <w:tr w:rsidR="00323954" w:rsidRPr="000229DC" w14:paraId="70F9822B" w14:textId="77777777" w:rsidTr="00C26F9D">
        <w:tc>
          <w:tcPr>
            <w:tcW w:w="4521" w:type="dxa"/>
            <w:vAlign w:val="center"/>
          </w:tcPr>
          <w:p w14:paraId="2EA6E434" w14:textId="77777777" w:rsidR="00323954" w:rsidRPr="000B528D" w:rsidRDefault="00323954" w:rsidP="00947BF3">
            <w:pPr>
              <w:jc w:val="center"/>
              <w:rPr>
                <w:rFonts w:ascii="Arial Narrow" w:hAnsi="Arial Narrow" w:cstheme="minorBidi"/>
                <w:color w:val="000000" w:themeColor="text1"/>
                <w:sz w:val="24"/>
                <w:szCs w:val="24"/>
                <w:lang w:eastAsia="en-US"/>
              </w:rPr>
            </w:pPr>
            <w:r w:rsidRPr="000B528D">
              <w:rPr>
                <w:rFonts w:ascii="Arial Narrow" w:hAnsi="Arial Narrow" w:cstheme="minorBidi"/>
                <w:b/>
                <w:bCs/>
                <w:sz w:val="24"/>
                <w:szCs w:val="24"/>
                <w:lang w:eastAsia="en-US"/>
              </w:rPr>
              <w:t>ministerstvo dopravy</w:t>
            </w:r>
          </w:p>
        </w:tc>
        <w:tc>
          <w:tcPr>
            <w:tcW w:w="4521" w:type="dxa"/>
          </w:tcPr>
          <w:p w14:paraId="538D5B6F" w14:textId="77777777" w:rsidR="00323954" w:rsidRPr="000B528D" w:rsidRDefault="00323954" w:rsidP="00947BF3">
            <w:pPr>
              <w:rPr>
                <w:rFonts w:ascii="Arial Narrow" w:hAnsi="Arial Narrow" w:cstheme="minorBidi"/>
                <w:sz w:val="24"/>
                <w:szCs w:val="24"/>
                <w:lang w:eastAsia="en-US"/>
              </w:rPr>
            </w:pPr>
            <w:r w:rsidRPr="000B528D">
              <w:rPr>
                <w:rFonts w:ascii="Arial Narrow" w:hAnsi="Arial Narrow" w:cstheme="minorBidi"/>
                <w:sz w:val="24"/>
                <w:szCs w:val="24"/>
                <w:lang w:eastAsia="en-US"/>
              </w:rPr>
              <w:t>vytvorenie udržateľného modelu stanovovania cien nájmu bytov vo verejnom sektore</w:t>
            </w:r>
          </w:p>
        </w:tc>
      </w:tr>
      <w:tr w:rsidR="00323954" w:rsidRPr="000229DC" w14:paraId="1FA3EAD5" w14:textId="77777777" w:rsidTr="00C26F9D">
        <w:tc>
          <w:tcPr>
            <w:tcW w:w="4521" w:type="dxa"/>
            <w:vAlign w:val="center"/>
          </w:tcPr>
          <w:p w14:paraId="2F03AB73" w14:textId="77777777" w:rsidR="00323954" w:rsidRPr="000B528D" w:rsidRDefault="00323954" w:rsidP="00947BF3">
            <w:pPr>
              <w:jc w:val="center"/>
              <w:rPr>
                <w:rFonts w:ascii="Arial Narrow" w:hAnsi="Arial Narrow" w:cstheme="minorBidi"/>
                <w:b/>
                <w:bCs/>
                <w:sz w:val="24"/>
                <w:szCs w:val="24"/>
                <w:lang w:eastAsia="en-US"/>
              </w:rPr>
            </w:pPr>
            <w:r w:rsidRPr="000B528D">
              <w:rPr>
                <w:rFonts w:ascii="Arial Narrow" w:hAnsi="Arial Narrow" w:cstheme="minorBidi"/>
                <w:b/>
                <w:bCs/>
                <w:sz w:val="24"/>
                <w:szCs w:val="24"/>
                <w:lang w:eastAsia="en-US"/>
              </w:rPr>
              <w:t>ministerstvo pôdohospodárstva a rozvoja vidieka</w:t>
            </w:r>
          </w:p>
        </w:tc>
        <w:tc>
          <w:tcPr>
            <w:tcW w:w="4521" w:type="dxa"/>
          </w:tcPr>
          <w:p w14:paraId="3AD5301F" w14:textId="5AB80AEA" w:rsidR="00323954" w:rsidRPr="000B528D" w:rsidRDefault="00323954" w:rsidP="00947BF3">
            <w:pPr>
              <w:tabs>
                <w:tab w:val="left" w:pos="851"/>
              </w:tabs>
              <w:ind w:right="150"/>
              <w:rPr>
                <w:rFonts w:ascii="Arial Narrow" w:hAnsi="Arial Narrow" w:cstheme="minorBidi"/>
                <w:color w:val="000000" w:themeColor="text1"/>
                <w:sz w:val="24"/>
                <w:szCs w:val="24"/>
                <w:lang w:eastAsia="en-US"/>
              </w:rPr>
            </w:pPr>
            <w:r w:rsidRPr="000B528D">
              <w:rPr>
                <w:rFonts w:ascii="Arial Narrow" w:hAnsi="Arial Narrow" w:cstheme="minorBidi"/>
                <w:color w:val="000000" w:themeColor="text1"/>
                <w:sz w:val="24"/>
                <w:szCs w:val="24"/>
                <w:lang w:eastAsia="en-US"/>
              </w:rPr>
              <w:t xml:space="preserve">analyzovať inflačný vývoj a sledovať aktuálne ceny </w:t>
            </w:r>
            <w:r w:rsidRPr="000B528D">
              <w:rPr>
                <w:rFonts w:ascii="Arial Narrow" w:hAnsi="Arial Narrow" w:cstheme="minorHAnsi"/>
                <w:color w:val="000000" w:themeColor="text1"/>
                <w:sz w:val="24"/>
                <w:szCs w:val="24"/>
                <w:lang w:eastAsia="en-US"/>
              </w:rPr>
              <w:t>základných druhov potravín na zistenie existencie  mimoriadnej trhovej situácie s</w:t>
            </w:r>
            <w:r w:rsidR="000B528D">
              <w:rPr>
                <w:rFonts w:ascii="Arial Narrow" w:hAnsi="Arial Narrow" w:cstheme="minorHAnsi"/>
                <w:color w:val="000000" w:themeColor="text1"/>
                <w:sz w:val="24"/>
                <w:szCs w:val="24"/>
                <w:lang w:eastAsia="en-US"/>
              </w:rPr>
              <w:t> </w:t>
            </w:r>
            <w:r w:rsidRPr="000B528D">
              <w:rPr>
                <w:rFonts w:ascii="Arial Narrow" w:hAnsi="Arial Narrow" w:cstheme="minorHAnsi"/>
                <w:color w:val="000000" w:themeColor="text1"/>
                <w:sz w:val="24"/>
                <w:szCs w:val="24"/>
                <w:lang w:eastAsia="en-US"/>
              </w:rPr>
              <w:t>priamym vplyvom na ceny základných potravín na tuzemskom trhu ohrozujúcim cenovú stabilitu a dostupnosť základných potravín</w:t>
            </w:r>
          </w:p>
        </w:tc>
      </w:tr>
      <w:tr w:rsidR="00323954" w:rsidRPr="000229DC" w14:paraId="159D5B8E" w14:textId="77777777" w:rsidTr="00C26F9D">
        <w:tc>
          <w:tcPr>
            <w:tcW w:w="4521" w:type="dxa"/>
            <w:vAlign w:val="center"/>
          </w:tcPr>
          <w:p w14:paraId="6E74B17C" w14:textId="77777777" w:rsidR="00323954" w:rsidRPr="000B528D" w:rsidRDefault="00323954" w:rsidP="00947BF3">
            <w:pPr>
              <w:jc w:val="center"/>
              <w:rPr>
                <w:rFonts w:ascii="Arial Narrow" w:hAnsi="Arial Narrow" w:cstheme="minorBidi"/>
                <w:b/>
                <w:bCs/>
                <w:sz w:val="24"/>
                <w:szCs w:val="24"/>
                <w:lang w:eastAsia="en-US"/>
              </w:rPr>
            </w:pPr>
            <w:r w:rsidRPr="000B528D">
              <w:rPr>
                <w:rFonts w:ascii="Arial Narrow" w:hAnsi="Arial Narrow" w:cstheme="minorHAnsi"/>
                <w:b/>
                <w:bCs/>
                <w:color w:val="000000" w:themeColor="text1"/>
                <w:sz w:val="24"/>
                <w:szCs w:val="24"/>
                <w:lang w:eastAsia="en-US"/>
              </w:rPr>
              <w:t>vyššie územné celky</w:t>
            </w:r>
          </w:p>
        </w:tc>
        <w:tc>
          <w:tcPr>
            <w:tcW w:w="4521" w:type="dxa"/>
          </w:tcPr>
          <w:p w14:paraId="0DC9E686" w14:textId="77777777" w:rsidR="00323954" w:rsidRPr="000B528D" w:rsidRDefault="00323954" w:rsidP="00947BF3">
            <w:pPr>
              <w:rPr>
                <w:rFonts w:ascii="Arial Narrow" w:hAnsi="Arial Narrow" w:cstheme="minorBidi"/>
                <w:color w:val="000000" w:themeColor="text1"/>
                <w:sz w:val="24"/>
                <w:szCs w:val="24"/>
                <w:lang w:eastAsia="en-US"/>
              </w:rPr>
            </w:pPr>
            <w:r w:rsidRPr="000B528D">
              <w:rPr>
                <w:rFonts w:ascii="Arial Narrow" w:hAnsi="Arial Narrow" w:cstheme="minorBidi"/>
                <w:color w:val="000000" w:themeColor="text1"/>
                <w:sz w:val="24"/>
                <w:szCs w:val="24"/>
                <w:lang w:eastAsia="en-US"/>
              </w:rPr>
              <w:t>príprava a vytvorenie jednotnej koncepcie regulácie služieb autobusových staníc poskytovaných pre dopravcov</w:t>
            </w:r>
          </w:p>
        </w:tc>
      </w:tr>
      <w:tr w:rsidR="00323954" w:rsidRPr="000229DC" w14:paraId="7DFDB8FA" w14:textId="77777777" w:rsidTr="00C26F9D">
        <w:tc>
          <w:tcPr>
            <w:tcW w:w="4521" w:type="dxa"/>
            <w:vMerge w:val="restart"/>
            <w:vAlign w:val="center"/>
          </w:tcPr>
          <w:p w14:paraId="50CE04E4" w14:textId="77777777" w:rsidR="00323954" w:rsidRPr="000B528D" w:rsidRDefault="00323954" w:rsidP="00947BF3">
            <w:pPr>
              <w:jc w:val="center"/>
              <w:rPr>
                <w:rFonts w:ascii="Arial Narrow" w:hAnsi="Arial Narrow" w:cstheme="minorHAnsi"/>
                <w:b/>
                <w:bCs/>
                <w:color w:val="000000" w:themeColor="text1"/>
                <w:sz w:val="24"/>
                <w:szCs w:val="24"/>
                <w:lang w:eastAsia="en-US"/>
              </w:rPr>
            </w:pPr>
            <w:r w:rsidRPr="000B528D">
              <w:rPr>
                <w:rFonts w:ascii="Arial Narrow" w:hAnsi="Arial Narrow"/>
                <w:b/>
                <w:color w:val="000000" w:themeColor="text1"/>
                <w:sz w:val="24"/>
                <w:szCs w:val="24"/>
              </w:rPr>
              <w:t>Slovenská obchodná inšpekcia</w:t>
            </w:r>
          </w:p>
        </w:tc>
        <w:tc>
          <w:tcPr>
            <w:tcW w:w="4521" w:type="dxa"/>
          </w:tcPr>
          <w:p w14:paraId="0A9E8269" w14:textId="77777777" w:rsidR="00323954" w:rsidRPr="000B528D" w:rsidRDefault="00323954" w:rsidP="00947BF3">
            <w:pPr>
              <w:rPr>
                <w:rFonts w:ascii="Arial Narrow" w:hAnsi="Arial Narrow" w:cstheme="minorBidi"/>
                <w:color w:val="000000" w:themeColor="text1"/>
                <w:sz w:val="24"/>
                <w:szCs w:val="24"/>
                <w:lang w:eastAsia="en-US"/>
              </w:rPr>
            </w:pPr>
            <w:r w:rsidRPr="000B528D">
              <w:rPr>
                <w:rFonts w:ascii="Arial Narrow" w:hAnsi="Arial Narrow" w:cstheme="minorBidi"/>
                <w:sz w:val="24"/>
                <w:szCs w:val="24"/>
                <w:lang w:eastAsia="en-US"/>
              </w:rPr>
              <w:t>výkon cielených cenových kontrol potravín na ochranu spotrebiteľov pred neprimerane vysokými cenami</w:t>
            </w:r>
          </w:p>
        </w:tc>
      </w:tr>
      <w:tr w:rsidR="00323954" w:rsidRPr="000229DC" w14:paraId="5ED1DD24" w14:textId="77777777" w:rsidTr="00C26F9D">
        <w:tc>
          <w:tcPr>
            <w:tcW w:w="4521" w:type="dxa"/>
            <w:vMerge/>
            <w:vAlign w:val="center"/>
          </w:tcPr>
          <w:p w14:paraId="09AE4FED" w14:textId="77777777" w:rsidR="00323954" w:rsidRPr="000B528D" w:rsidRDefault="00323954" w:rsidP="00947BF3">
            <w:pPr>
              <w:jc w:val="center"/>
              <w:rPr>
                <w:rFonts w:ascii="Arial Narrow" w:hAnsi="Arial Narrow"/>
                <w:b/>
                <w:color w:val="000000" w:themeColor="text1"/>
                <w:sz w:val="24"/>
                <w:szCs w:val="24"/>
              </w:rPr>
            </w:pPr>
          </w:p>
        </w:tc>
        <w:tc>
          <w:tcPr>
            <w:tcW w:w="4521" w:type="dxa"/>
          </w:tcPr>
          <w:p w14:paraId="7F3CE95F" w14:textId="77777777" w:rsidR="00323954" w:rsidRPr="000B528D" w:rsidRDefault="00323954" w:rsidP="00947BF3">
            <w:pPr>
              <w:rPr>
                <w:rFonts w:ascii="Arial Narrow" w:hAnsi="Arial Narrow" w:cstheme="minorBidi"/>
                <w:sz w:val="24"/>
                <w:szCs w:val="24"/>
                <w:lang w:eastAsia="en-US"/>
              </w:rPr>
            </w:pPr>
            <w:r w:rsidRPr="000B528D">
              <w:rPr>
                <w:rFonts w:ascii="Arial Narrow" w:hAnsi="Arial Narrow" w:cstheme="minorBidi"/>
                <w:sz w:val="24"/>
                <w:szCs w:val="24"/>
                <w:lang w:eastAsia="en-US"/>
              </w:rPr>
              <w:t>analýza cenového vývoja v sledovanej oblasti za účelom využitia získaných dát na prijatie primeraných opatrení v spolupráci s ostatnými cenovými orgánmi</w:t>
            </w:r>
          </w:p>
        </w:tc>
      </w:tr>
      <w:tr w:rsidR="00323954" w:rsidRPr="000229DC" w14:paraId="59D05396" w14:textId="77777777" w:rsidTr="00C26F9D">
        <w:tc>
          <w:tcPr>
            <w:tcW w:w="4521" w:type="dxa"/>
            <w:vMerge/>
            <w:vAlign w:val="center"/>
          </w:tcPr>
          <w:p w14:paraId="341DA331" w14:textId="77777777" w:rsidR="00323954" w:rsidRPr="000B528D" w:rsidRDefault="00323954" w:rsidP="00947BF3">
            <w:pPr>
              <w:jc w:val="center"/>
              <w:rPr>
                <w:rFonts w:ascii="Arial Narrow" w:hAnsi="Arial Narrow"/>
                <w:b/>
                <w:color w:val="000000" w:themeColor="text1"/>
                <w:sz w:val="24"/>
                <w:szCs w:val="24"/>
              </w:rPr>
            </w:pPr>
          </w:p>
        </w:tc>
        <w:tc>
          <w:tcPr>
            <w:tcW w:w="4521" w:type="dxa"/>
          </w:tcPr>
          <w:p w14:paraId="700A64F7" w14:textId="42654CDA" w:rsidR="00323954" w:rsidRPr="000B528D" w:rsidRDefault="00323954" w:rsidP="00947BF3">
            <w:pPr>
              <w:rPr>
                <w:rFonts w:ascii="Arial Narrow" w:hAnsi="Arial Narrow" w:cstheme="minorBidi"/>
                <w:sz w:val="24"/>
                <w:szCs w:val="24"/>
                <w:lang w:eastAsia="en-US"/>
              </w:rPr>
            </w:pPr>
            <w:r w:rsidRPr="000B528D">
              <w:rPr>
                <w:rFonts w:ascii="Arial Narrow" w:hAnsi="Arial Narrow" w:cstheme="minorBidi"/>
                <w:sz w:val="24"/>
                <w:szCs w:val="24"/>
                <w:lang w:eastAsia="en-US"/>
              </w:rPr>
              <w:t>zriadenie špecializovaného organizačného útvaru pre cenové kontroly - na realizáciu zberu dát, analyzovanie, monitoring a vyhodnocovanie cenového vývoja základných druhov potravín v</w:t>
            </w:r>
            <w:r w:rsidR="000B528D">
              <w:rPr>
                <w:rFonts w:ascii="Arial Narrow" w:hAnsi="Arial Narrow" w:cstheme="minorBidi"/>
                <w:sz w:val="24"/>
                <w:szCs w:val="24"/>
                <w:lang w:eastAsia="en-US"/>
              </w:rPr>
              <w:t> </w:t>
            </w:r>
            <w:r w:rsidRPr="000B528D">
              <w:rPr>
                <w:rFonts w:ascii="Arial Narrow" w:hAnsi="Arial Narrow" w:cstheme="minorBidi"/>
                <w:sz w:val="24"/>
                <w:szCs w:val="24"/>
                <w:lang w:eastAsia="en-US"/>
              </w:rPr>
              <w:t>časti potravinovej vertikály „MALOOBCHOD“</w:t>
            </w:r>
          </w:p>
        </w:tc>
      </w:tr>
      <w:tr w:rsidR="00323954" w:rsidRPr="000229DC" w14:paraId="38EAE966" w14:textId="77777777" w:rsidTr="00C26F9D">
        <w:tc>
          <w:tcPr>
            <w:tcW w:w="4521" w:type="dxa"/>
            <w:vMerge w:val="restart"/>
            <w:vAlign w:val="center"/>
          </w:tcPr>
          <w:p w14:paraId="28238513" w14:textId="77777777" w:rsidR="00323954" w:rsidRPr="000B528D" w:rsidRDefault="00323954" w:rsidP="00947BF3">
            <w:pPr>
              <w:jc w:val="center"/>
              <w:rPr>
                <w:rFonts w:ascii="Arial Narrow" w:hAnsi="Arial Narrow" w:cstheme="minorHAnsi"/>
                <w:b/>
                <w:bCs/>
                <w:color w:val="000000" w:themeColor="text1"/>
                <w:sz w:val="24"/>
                <w:szCs w:val="24"/>
                <w:lang w:eastAsia="en-US"/>
              </w:rPr>
            </w:pPr>
            <w:r w:rsidRPr="000B528D">
              <w:rPr>
                <w:rFonts w:ascii="Arial Narrow" w:hAnsi="Arial Narrow" w:cstheme="minorBidi"/>
                <w:b/>
                <w:bCs/>
                <w:color w:val="000000" w:themeColor="text1"/>
                <w:sz w:val="24"/>
                <w:szCs w:val="24"/>
                <w:lang w:eastAsia="en-US"/>
              </w:rPr>
              <w:t>Úrad pre reguláciu sieťových odvetví</w:t>
            </w:r>
          </w:p>
        </w:tc>
        <w:tc>
          <w:tcPr>
            <w:tcW w:w="4521" w:type="dxa"/>
          </w:tcPr>
          <w:p w14:paraId="75B4ECBC" w14:textId="77777777" w:rsidR="00323954" w:rsidRPr="000B528D" w:rsidRDefault="00323954" w:rsidP="00947BF3">
            <w:pPr>
              <w:rPr>
                <w:rFonts w:ascii="Arial Narrow" w:hAnsi="Arial Narrow" w:cstheme="minorBidi"/>
                <w:color w:val="000000" w:themeColor="text1"/>
                <w:sz w:val="24"/>
                <w:szCs w:val="24"/>
                <w:lang w:eastAsia="en-US"/>
              </w:rPr>
            </w:pPr>
            <w:r w:rsidRPr="000B528D">
              <w:rPr>
                <w:rFonts w:ascii="Arial Narrow" w:hAnsi="Arial Narrow" w:cstheme="minorBidi"/>
                <w:color w:val="000000" w:themeColor="text1"/>
                <w:sz w:val="24"/>
                <w:szCs w:val="24"/>
                <w:lang w:eastAsia="en-US"/>
              </w:rPr>
              <w:t>zameranie sa na udržanie primeraných cien pre koncových odberateľov energií</w:t>
            </w:r>
          </w:p>
        </w:tc>
      </w:tr>
      <w:tr w:rsidR="00323954" w:rsidRPr="000229DC" w14:paraId="2FC1F26D" w14:textId="77777777" w:rsidTr="00C26F9D">
        <w:tc>
          <w:tcPr>
            <w:tcW w:w="4521" w:type="dxa"/>
            <w:vMerge/>
          </w:tcPr>
          <w:p w14:paraId="2708C6B2" w14:textId="77777777" w:rsidR="00323954" w:rsidRPr="000B528D" w:rsidRDefault="00323954" w:rsidP="00947BF3">
            <w:pPr>
              <w:rPr>
                <w:rFonts w:ascii="Arial Narrow" w:hAnsi="Arial Narrow" w:cstheme="minorHAnsi"/>
                <w:b/>
                <w:bCs/>
                <w:color w:val="000000" w:themeColor="text1"/>
                <w:sz w:val="24"/>
                <w:szCs w:val="24"/>
                <w:lang w:eastAsia="en-US"/>
              </w:rPr>
            </w:pPr>
          </w:p>
        </w:tc>
        <w:tc>
          <w:tcPr>
            <w:tcW w:w="4521" w:type="dxa"/>
          </w:tcPr>
          <w:p w14:paraId="16BB6FEF" w14:textId="2A1E2621" w:rsidR="00323954" w:rsidRPr="000B528D" w:rsidRDefault="00323954" w:rsidP="00947BF3">
            <w:pPr>
              <w:rPr>
                <w:rFonts w:ascii="Arial Narrow" w:hAnsi="Arial Narrow" w:cstheme="minorBidi"/>
                <w:color w:val="000000" w:themeColor="text1"/>
                <w:sz w:val="24"/>
                <w:szCs w:val="24"/>
                <w:lang w:eastAsia="en-US"/>
              </w:rPr>
            </w:pPr>
            <w:r w:rsidRPr="000B528D">
              <w:rPr>
                <w:rFonts w:ascii="Arial Narrow" w:hAnsi="Arial Narrow" w:cstheme="minorBidi"/>
                <w:color w:val="000000" w:themeColor="text1"/>
                <w:sz w:val="24"/>
                <w:szCs w:val="24"/>
                <w:lang w:eastAsia="en-US"/>
              </w:rPr>
              <w:t>dosiahnutie takých cien – taríf v energetickej oblasti, aby priemysel a podnikateľský sektor na Slovensku bol konkurencieschopný v</w:t>
            </w:r>
            <w:r w:rsidR="000B528D">
              <w:rPr>
                <w:rFonts w:ascii="Arial Narrow" w:hAnsi="Arial Narrow" w:cstheme="minorBidi"/>
                <w:color w:val="000000" w:themeColor="text1"/>
                <w:sz w:val="24"/>
                <w:szCs w:val="24"/>
                <w:lang w:eastAsia="en-US"/>
              </w:rPr>
              <w:t> </w:t>
            </w:r>
            <w:r w:rsidRPr="000B528D">
              <w:rPr>
                <w:rFonts w:ascii="Arial Narrow" w:hAnsi="Arial Narrow" w:cstheme="minorBidi"/>
                <w:color w:val="000000" w:themeColor="text1"/>
                <w:sz w:val="24"/>
                <w:szCs w:val="24"/>
                <w:lang w:eastAsia="en-US"/>
              </w:rPr>
              <w:t>podmienkach Európskej únie</w:t>
            </w:r>
          </w:p>
        </w:tc>
      </w:tr>
    </w:tbl>
    <w:p w14:paraId="03FF2DC1" w14:textId="77777777" w:rsidR="00323954" w:rsidRPr="000B528D" w:rsidRDefault="00323954" w:rsidP="000B528D">
      <w:pPr>
        <w:spacing w:after="160"/>
        <w:jc w:val="both"/>
        <w:rPr>
          <w:rFonts w:ascii="Arial Narrow" w:hAnsi="Arial Narrow"/>
          <w:sz w:val="24"/>
          <w:szCs w:val="24"/>
        </w:rPr>
      </w:pPr>
      <w:r w:rsidRPr="000B528D">
        <w:rPr>
          <w:rFonts w:ascii="Arial Narrow" w:hAnsi="Arial Narrow"/>
          <w:sz w:val="24"/>
          <w:szCs w:val="24"/>
        </w:rPr>
        <w:t>Z hľadiska makroekonomického i mikroekonomického aspektu koncepcia udáva za vhodné naďalej pokračovať v nastúpenom trende, korešpondujúcom s pravidlami Európskej únie, a konštatuje že nie sú dôvody na  zmenu cenovej politiky. Tento názor ministerstvo financií opiera aj o stanoviská oslovených subjektov, ktoré nesmerujú k zmene súčasného systému cenovej politiky Slovenskej republiky. Preto je žiaduce, aby jednotlivé vecne príslušné rezorty, ako aj ďalšie ústredné orgány štátnej správy v prvom rade problémy analyzovali a nadväzne predložili príslušné legislatívne návrhy na zmenu všeobecne záväzných právnych predpisov patriacich do ich kompetencie.</w:t>
      </w:r>
    </w:p>
    <w:p w14:paraId="0EFE6B7D" w14:textId="75F72124" w:rsidR="00091BA7" w:rsidRDefault="009B6DF1" w:rsidP="00947BF3">
      <w:pPr>
        <w:pStyle w:val="Nadpis1"/>
        <w:numPr>
          <w:ilvl w:val="0"/>
          <w:numId w:val="1"/>
        </w:numPr>
        <w:spacing w:after="240" w:line="240" w:lineRule="auto"/>
        <w:ind w:left="283" w:hanging="357"/>
        <w:jc w:val="left"/>
        <w:rPr>
          <w:b w:val="0"/>
          <w:bCs/>
          <w:color w:val="5B9BD5" w:themeColor="accent1"/>
        </w:rPr>
      </w:pPr>
      <w:bookmarkStart w:id="28" w:name="_Toc202358588"/>
      <w:r w:rsidRPr="009B6DF1">
        <w:rPr>
          <w:color w:val="5B9BD5" w:themeColor="accent1"/>
        </w:rPr>
        <w:t>Opatrenia na zamedzenie nežiadúceho cenového vývoja a návrhy opatrení vo verejnej politike v oblasti cien</w:t>
      </w:r>
      <w:bookmarkEnd w:id="28"/>
    </w:p>
    <w:p w14:paraId="56CD3C32" w14:textId="53934BDA" w:rsidR="009B6DF1" w:rsidRPr="000B528D" w:rsidRDefault="00996F66" w:rsidP="000B528D">
      <w:pPr>
        <w:spacing w:after="160"/>
        <w:jc w:val="both"/>
        <w:rPr>
          <w:rFonts w:ascii="Arial Narrow" w:hAnsi="Arial Narrow"/>
          <w:sz w:val="24"/>
          <w:szCs w:val="24"/>
        </w:rPr>
      </w:pPr>
      <w:r w:rsidRPr="000B528D">
        <w:rPr>
          <w:rFonts w:ascii="Arial Narrow" w:hAnsi="Arial Narrow"/>
          <w:sz w:val="24"/>
          <w:szCs w:val="24"/>
        </w:rPr>
        <w:t xml:space="preserve">Cenový vývoj v prevažnej miere neodôvodňoval </w:t>
      </w:r>
      <w:r w:rsidR="00C402A7" w:rsidRPr="000B528D">
        <w:rPr>
          <w:rFonts w:ascii="Arial Narrow" w:hAnsi="Arial Narrow"/>
          <w:sz w:val="24"/>
          <w:szCs w:val="24"/>
        </w:rPr>
        <w:t xml:space="preserve">potrebu </w:t>
      </w:r>
      <w:r w:rsidRPr="000B528D">
        <w:rPr>
          <w:rFonts w:ascii="Arial Narrow" w:hAnsi="Arial Narrow"/>
          <w:sz w:val="24"/>
          <w:szCs w:val="24"/>
        </w:rPr>
        <w:t>využiť zákonne nástroje na priame zásahy do</w:t>
      </w:r>
      <w:r w:rsidR="00C93F6C">
        <w:rPr>
          <w:rFonts w:ascii="Arial Narrow" w:hAnsi="Arial Narrow"/>
          <w:sz w:val="24"/>
          <w:szCs w:val="24"/>
        </w:rPr>
        <w:t> </w:t>
      </w:r>
      <w:r w:rsidRPr="000B528D">
        <w:rPr>
          <w:rFonts w:ascii="Arial Narrow" w:hAnsi="Arial Narrow"/>
          <w:sz w:val="24"/>
          <w:szCs w:val="24"/>
        </w:rPr>
        <w:t>trhového prostredia, ale vzhľadom na dôležitosť udržania cenovej stability a dostupnosti základných potravín ministerstvo uplatňuje navrhnuté opatrenia</w:t>
      </w:r>
      <w:r w:rsidR="004C1B1B" w:rsidRPr="000B528D">
        <w:rPr>
          <w:rFonts w:ascii="Arial Narrow" w:hAnsi="Arial Narrow"/>
          <w:sz w:val="24"/>
          <w:szCs w:val="24"/>
        </w:rPr>
        <w:t xml:space="preserve"> uvedené v časti 3 tejto správy </w:t>
      </w:r>
      <w:r w:rsidRPr="000B528D">
        <w:rPr>
          <w:rFonts w:ascii="Arial Narrow" w:hAnsi="Arial Narrow"/>
          <w:sz w:val="24"/>
          <w:szCs w:val="24"/>
        </w:rPr>
        <w:t>s využitím zákonných nástrojov, ktoré boli ukotvené v uznesením vlády SR č. 732 z 20.decembra 2023.</w:t>
      </w:r>
    </w:p>
    <w:p w14:paraId="5840C0DC" w14:textId="4CC504BE" w:rsidR="0095757C" w:rsidRPr="000B528D" w:rsidRDefault="009B6DF1" w:rsidP="000B528D">
      <w:pPr>
        <w:spacing w:after="160"/>
        <w:jc w:val="both"/>
        <w:rPr>
          <w:rFonts w:ascii="Arial Narrow" w:hAnsi="Arial Narrow"/>
          <w:sz w:val="24"/>
          <w:szCs w:val="24"/>
        </w:rPr>
      </w:pPr>
      <w:r w:rsidRPr="000B528D">
        <w:rPr>
          <w:rFonts w:ascii="Arial Narrow" w:hAnsi="Arial Narrow"/>
          <w:sz w:val="24"/>
          <w:szCs w:val="24"/>
        </w:rPr>
        <w:t xml:space="preserve">Na aktívne ovplyvňovanie regulačnej funkcie trhu je žiaduce sústavné monitorovanie </w:t>
      </w:r>
      <w:r w:rsidR="00C61560" w:rsidRPr="000B528D">
        <w:rPr>
          <w:rFonts w:ascii="Arial Narrow" w:hAnsi="Arial Narrow"/>
          <w:sz w:val="24"/>
          <w:szCs w:val="24"/>
        </w:rPr>
        <w:t>cenového vývoja, z</w:t>
      </w:r>
      <w:r w:rsidRPr="000B528D">
        <w:rPr>
          <w:rFonts w:ascii="Arial Narrow" w:hAnsi="Arial Narrow"/>
          <w:sz w:val="24"/>
          <w:szCs w:val="24"/>
        </w:rPr>
        <w:t>ber analytických dát o vývoji cien</w:t>
      </w:r>
      <w:r w:rsidR="00C61560" w:rsidRPr="000B528D">
        <w:rPr>
          <w:rFonts w:ascii="Arial Narrow" w:hAnsi="Arial Narrow"/>
          <w:sz w:val="24"/>
          <w:szCs w:val="24"/>
        </w:rPr>
        <w:t xml:space="preserve">, </w:t>
      </w:r>
      <w:r w:rsidRPr="000B528D">
        <w:rPr>
          <w:rFonts w:ascii="Arial Narrow" w:hAnsi="Arial Narrow"/>
          <w:sz w:val="24"/>
          <w:szCs w:val="24"/>
        </w:rPr>
        <w:t>sledovaním, analyzovaním, vyhodnocovaním inflačného vývoja a</w:t>
      </w:r>
      <w:r w:rsidR="000B528D">
        <w:rPr>
          <w:rFonts w:ascii="Arial Narrow" w:hAnsi="Arial Narrow"/>
          <w:sz w:val="24"/>
          <w:szCs w:val="24"/>
        </w:rPr>
        <w:t> </w:t>
      </w:r>
      <w:r w:rsidRPr="000B528D">
        <w:rPr>
          <w:rFonts w:ascii="Arial Narrow" w:hAnsi="Arial Narrow"/>
          <w:sz w:val="24"/>
          <w:szCs w:val="24"/>
        </w:rPr>
        <w:t>zameraním sa na udržanie primeraných cien, umožní navrhovať opatrenia</w:t>
      </w:r>
      <w:r w:rsidR="00E8174C" w:rsidRPr="000B528D">
        <w:rPr>
          <w:rFonts w:ascii="Arial Narrow" w:hAnsi="Arial Narrow"/>
          <w:sz w:val="24"/>
          <w:szCs w:val="24"/>
        </w:rPr>
        <w:t xml:space="preserve"> </w:t>
      </w:r>
      <w:r w:rsidRPr="000B528D">
        <w:rPr>
          <w:rFonts w:ascii="Arial Narrow" w:hAnsi="Arial Narrow"/>
          <w:sz w:val="24"/>
          <w:szCs w:val="24"/>
        </w:rPr>
        <w:t>na zabezpečenie dostupnosti. Cenová stabilita pomáha chrániť spotrebiteľov pred prudkým nárastom cien a zaisťuje, že</w:t>
      </w:r>
      <w:r w:rsidR="00C93F6C">
        <w:rPr>
          <w:rFonts w:ascii="Arial Narrow" w:hAnsi="Arial Narrow"/>
          <w:sz w:val="24"/>
          <w:szCs w:val="24"/>
        </w:rPr>
        <w:t> </w:t>
      </w:r>
      <w:r w:rsidRPr="000B528D">
        <w:rPr>
          <w:rFonts w:ascii="Arial Narrow" w:hAnsi="Arial Narrow"/>
          <w:sz w:val="24"/>
          <w:szCs w:val="24"/>
        </w:rPr>
        <w:t>rastúce náklady na život sú udržateľné pre všetkých občanov. Prispieva k dôvere v hospodárstvo zo strany občanov, podnikov a investorov. Stabilné ceny a nízka inflácia podporujú stabilitu a dôveru v</w:t>
      </w:r>
      <w:r w:rsidR="000B528D">
        <w:rPr>
          <w:rFonts w:ascii="Arial Narrow" w:hAnsi="Arial Narrow"/>
          <w:sz w:val="24"/>
          <w:szCs w:val="24"/>
        </w:rPr>
        <w:t> </w:t>
      </w:r>
      <w:r w:rsidRPr="000B528D">
        <w:rPr>
          <w:rFonts w:ascii="Arial Narrow" w:hAnsi="Arial Narrow"/>
          <w:sz w:val="24"/>
          <w:szCs w:val="24"/>
        </w:rPr>
        <w:t>dlhodobú perspektívu a stimulujú investície a rast.</w:t>
      </w:r>
    </w:p>
    <w:p w14:paraId="56A5BFA7" w14:textId="0498E771" w:rsidR="008F1ACA" w:rsidRDefault="00C61560" w:rsidP="000B528D">
      <w:pPr>
        <w:spacing w:after="160"/>
        <w:jc w:val="both"/>
        <w:rPr>
          <w:rFonts w:ascii="Arial Narrow" w:hAnsi="Arial Narrow"/>
          <w:sz w:val="24"/>
          <w:szCs w:val="24"/>
        </w:rPr>
      </w:pPr>
      <w:r w:rsidRPr="000B528D">
        <w:rPr>
          <w:rFonts w:ascii="Arial Narrow" w:hAnsi="Arial Narrow"/>
          <w:sz w:val="24"/>
          <w:szCs w:val="24"/>
        </w:rPr>
        <w:t xml:space="preserve">V prípade neúmerného a kontinuálneho zvyšovania spotrebiteľských cien </w:t>
      </w:r>
      <w:r w:rsidR="002C71B1" w:rsidRPr="000B528D">
        <w:rPr>
          <w:rFonts w:ascii="Arial Narrow" w:hAnsi="Arial Narrow"/>
          <w:sz w:val="24"/>
          <w:szCs w:val="24"/>
        </w:rPr>
        <w:t xml:space="preserve">bude potrebné </w:t>
      </w:r>
      <w:r w:rsidRPr="000B528D">
        <w:rPr>
          <w:rFonts w:ascii="Arial Narrow" w:hAnsi="Arial Narrow"/>
          <w:sz w:val="24"/>
          <w:szCs w:val="24"/>
        </w:rPr>
        <w:t>zvažovať</w:t>
      </w:r>
      <w:r w:rsidR="003551C5" w:rsidRPr="000B528D">
        <w:rPr>
          <w:rFonts w:ascii="Arial Narrow" w:hAnsi="Arial Narrow"/>
          <w:sz w:val="24"/>
          <w:szCs w:val="24"/>
        </w:rPr>
        <w:t xml:space="preserve"> zavedenie </w:t>
      </w:r>
      <w:r w:rsidRPr="000B528D">
        <w:rPr>
          <w:rFonts w:ascii="Arial Narrow" w:hAnsi="Arial Narrow"/>
          <w:sz w:val="24"/>
          <w:szCs w:val="24"/>
        </w:rPr>
        <w:t>dodatočných priamych opatrení na zamedzenie nepriaznivého cenového vývoja</w:t>
      </w:r>
      <w:r w:rsidR="000B528D">
        <w:rPr>
          <w:rFonts w:ascii="Arial Narrow" w:hAnsi="Arial Narrow"/>
          <w:sz w:val="24"/>
          <w:szCs w:val="24"/>
        </w:rPr>
        <w:t>.</w:t>
      </w:r>
    </w:p>
    <w:sectPr w:rsidR="008F1ACA" w:rsidSect="00601DA0">
      <w:headerReference w:type="default" r:id="rId63"/>
      <w:footerReference w:type="default" r:id="rId64"/>
      <w:pgSz w:w="11906" w:h="16838"/>
      <w:pgMar w:top="1843" w:right="1418" w:bottom="2268" w:left="1418" w:header="709" w:footer="846"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4D5C1F" w14:textId="77777777" w:rsidR="00775885" w:rsidRDefault="00775885" w:rsidP="00091BA7">
      <w:r>
        <w:separator/>
      </w:r>
    </w:p>
  </w:endnote>
  <w:endnote w:type="continuationSeparator" w:id="0">
    <w:p w14:paraId="460F0BB7" w14:textId="77777777" w:rsidR="00775885" w:rsidRDefault="00775885" w:rsidP="00091BA7">
      <w:r>
        <w:continuationSeparator/>
      </w:r>
    </w:p>
  </w:endnote>
  <w:endnote w:type="continuationNotice" w:id="1">
    <w:p w14:paraId="44A2D13F" w14:textId="77777777" w:rsidR="00775885" w:rsidRDefault="007758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Times New Roman"/>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EFF" w:usb1="C000785B" w:usb2="00000009" w:usb3="00000000" w:csb0="000001FF"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Arial Narrow">
    <w:altName w:val="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NeueHaasGroteskText W02">
    <w:altName w:val="Calibri"/>
    <w:charset w:val="EE"/>
    <w:family w:val="swiss"/>
    <w:pitch w:val="variable"/>
    <w:sig w:usb0="800000AF" w:usb1="4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DF768" w14:textId="590FB1AD" w:rsidR="00C61560" w:rsidRDefault="00C61560">
    <w:pPr>
      <w:pStyle w:val="Pta"/>
      <w:jc w:val="center"/>
    </w:pPr>
  </w:p>
  <w:p w14:paraId="345A25ED" w14:textId="77777777" w:rsidR="00C61560" w:rsidRDefault="00C6156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A153E" w14:textId="5815DEB8" w:rsidR="00601DA0" w:rsidRDefault="00601DA0">
    <w:pPr>
      <w:pStyle w:val="Pta"/>
      <w:jc w:val="center"/>
    </w:pPr>
  </w:p>
  <w:p w14:paraId="2C8DE210" w14:textId="77777777" w:rsidR="00601DA0" w:rsidRDefault="00601DA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24"/>
        <w:szCs w:val="24"/>
      </w:rPr>
      <w:id w:val="464237570"/>
      <w:docPartObj>
        <w:docPartGallery w:val="Page Numbers (Bottom of Page)"/>
        <w:docPartUnique/>
      </w:docPartObj>
    </w:sdtPr>
    <w:sdtEndPr/>
    <w:sdtContent>
      <w:p w14:paraId="102FDF4D" w14:textId="77777777" w:rsidR="00601DA0" w:rsidRPr="00601DA0" w:rsidRDefault="00601DA0">
        <w:pPr>
          <w:pStyle w:val="Pta"/>
          <w:jc w:val="center"/>
          <w:rPr>
            <w:rFonts w:ascii="Arial Narrow" w:hAnsi="Arial Narrow"/>
            <w:sz w:val="24"/>
            <w:szCs w:val="24"/>
          </w:rPr>
        </w:pPr>
        <w:r w:rsidRPr="00601DA0">
          <w:rPr>
            <w:rFonts w:ascii="Arial Narrow" w:hAnsi="Arial Narrow"/>
            <w:sz w:val="24"/>
            <w:szCs w:val="24"/>
          </w:rPr>
          <w:fldChar w:fldCharType="begin"/>
        </w:r>
        <w:r w:rsidRPr="00601DA0">
          <w:rPr>
            <w:rFonts w:ascii="Arial Narrow" w:hAnsi="Arial Narrow"/>
            <w:sz w:val="24"/>
            <w:szCs w:val="24"/>
          </w:rPr>
          <w:instrText>PAGE   \* MERGEFORMAT</w:instrText>
        </w:r>
        <w:r w:rsidRPr="00601DA0">
          <w:rPr>
            <w:rFonts w:ascii="Arial Narrow" w:hAnsi="Arial Narrow"/>
            <w:sz w:val="24"/>
            <w:szCs w:val="24"/>
          </w:rPr>
          <w:fldChar w:fldCharType="separate"/>
        </w:r>
        <w:r w:rsidRPr="00601DA0">
          <w:rPr>
            <w:rFonts w:ascii="Arial Narrow" w:hAnsi="Arial Narrow"/>
            <w:sz w:val="24"/>
            <w:szCs w:val="24"/>
          </w:rPr>
          <w:t>2</w:t>
        </w:r>
        <w:r w:rsidRPr="00601DA0">
          <w:rPr>
            <w:rFonts w:ascii="Arial Narrow" w:hAnsi="Arial Narrow"/>
            <w:sz w:val="24"/>
            <w:szCs w:val="24"/>
          </w:rPr>
          <w:fldChar w:fldCharType="end"/>
        </w:r>
      </w:p>
    </w:sdtContent>
  </w:sdt>
  <w:p w14:paraId="179646E5" w14:textId="77777777" w:rsidR="00601DA0" w:rsidRDefault="00601D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131498" w14:textId="77777777" w:rsidR="00775885" w:rsidRDefault="00775885" w:rsidP="00091BA7">
      <w:r>
        <w:separator/>
      </w:r>
    </w:p>
  </w:footnote>
  <w:footnote w:type="continuationSeparator" w:id="0">
    <w:p w14:paraId="4A37DB86" w14:textId="77777777" w:rsidR="00775885" w:rsidRDefault="00775885" w:rsidP="00091BA7">
      <w:r>
        <w:continuationSeparator/>
      </w:r>
    </w:p>
  </w:footnote>
  <w:footnote w:type="continuationNotice" w:id="1">
    <w:p w14:paraId="43E3673C" w14:textId="77777777" w:rsidR="00775885" w:rsidRDefault="00775885"/>
  </w:footnote>
  <w:footnote w:id="2">
    <w:p w14:paraId="49771B30" w14:textId="52568613" w:rsidR="005D4429" w:rsidRPr="005D4429" w:rsidRDefault="005D4429" w:rsidP="005D4429">
      <w:pPr>
        <w:pStyle w:val="Textpoznmkypodiarou"/>
        <w:jc w:val="both"/>
      </w:pPr>
      <w:r w:rsidRPr="005D4429">
        <w:rPr>
          <w:rStyle w:val="Odkaznapoznmkupodiarou"/>
        </w:rPr>
        <w:footnoteRef/>
      </w:r>
      <w:r w:rsidRPr="005D4429">
        <w:t xml:space="preserve"> </w:t>
      </w:r>
      <w:r w:rsidRPr="005D4429">
        <w:rPr>
          <w:rFonts w:ascii="Arial Narrow" w:eastAsia="Arial Narrow" w:hAnsi="Arial Narrow" w:cs="Arial Narrow"/>
        </w:rPr>
        <w:t>Vyjadrenie ŠÚSR: „Ceny potravín, zverejňované Štatistickým úradom SR sú iba orientačné a vychádzajú zo zdrojových údajov získavaných pre výpočet Indexov spotrebiteľských cien. Každá krajina má vlastnú metodiku pre zber zdrojových údajov a pre výber predajní, v ktorých ceny zisťuje. Portfólio predajní nie je v jednotlivých krajinách totožné – niekde môžu prevládať diskontné predajne, v ďalšej krajine zase môže byť vo vzorke väčší počet nezávislých malých predajní, čo ovplyvňuje výšku vypočítanej priemernej ceny. Na základe uvedeného možno konštatovať, že pri priemerných cenách vypočítaných zo zdrojových údajov pre výpočet indexu spotrebiteľských cien nie je vhodné porovnávať medzi krajinami absolútne hodnoty priemerných cien, ale vývoj cien v čase. Z tohto dôvodu aj ŠÚ SR zverejnil ceny vypočítané z nového zdroja údajov už od januára 2023, aby bolo možné urobiť analýzu vývoja cien vybraných produktov za obdobie posledného roka.“</w:t>
      </w:r>
      <w:r w:rsidRPr="005D4429">
        <w:t xml:space="preserve">  </w:t>
      </w:r>
    </w:p>
  </w:footnote>
  <w:footnote w:id="3">
    <w:p w14:paraId="5BEDAE2B" w14:textId="01E89D11" w:rsidR="00C15ECF" w:rsidRDefault="00C15ECF">
      <w:pPr>
        <w:pStyle w:val="Textpoznmkypodiarou"/>
      </w:pPr>
      <w:r>
        <w:rPr>
          <w:rStyle w:val="Odkaznapoznmkupodiarou"/>
        </w:rPr>
        <w:footnoteRef/>
      </w:r>
      <w:r>
        <w:t xml:space="preserve"> </w:t>
      </w:r>
      <w:r w:rsidRPr="007C6957">
        <w:rPr>
          <w:rFonts w:ascii="Arial Narrow" w:hAnsi="Arial Narrow"/>
        </w:rPr>
        <w:t>Pôvodné dáta uvádzali cenu položky „chlieb tmavý“, dáta</w:t>
      </w:r>
      <w:r>
        <w:rPr>
          <w:rFonts w:ascii="Arial Narrow" w:hAnsi="Arial Narrow"/>
        </w:rPr>
        <w:t xml:space="preserve"> zo </w:t>
      </w:r>
      <w:r w:rsidRPr="007C6957">
        <w:rPr>
          <w:rFonts w:ascii="Arial Narrow" w:hAnsi="Arial Narrow"/>
        </w:rPr>
        <w:t>skenero</w:t>
      </w:r>
      <w:r>
        <w:rPr>
          <w:rFonts w:ascii="Arial Narrow" w:hAnsi="Arial Narrow"/>
        </w:rPr>
        <w:t>v</w:t>
      </w:r>
      <w:r w:rsidRPr="007C6957">
        <w:rPr>
          <w:rFonts w:ascii="Arial Narrow" w:hAnsi="Arial Narrow"/>
        </w:rPr>
        <w:t xml:space="preserve"> uvádzajú cenu „chleba obyčajného“</w:t>
      </w:r>
      <w:r>
        <w:rPr>
          <w:rFonts w:ascii="Arial Narrow" w:hAnsi="Arial Narrow"/>
        </w:rPr>
        <w:t>.</w:t>
      </w:r>
    </w:p>
  </w:footnote>
  <w:footnote w:id="4">
    <w:p w14:paraId="267732F6" w14:textId="454CF77A" w:rsidR="00C15ECF" w:rsidRDefault="00C15ECF">
      <w:pPr>
        <w:pStyle w:val="Textpoznmkypodiarou"/>
      </w:pPr>
      <w:r>
        <w:rPr>
          <w:rStyle w:val="Odkaznapoznmkupodiarou"/>
        </w:rPr>
        <w:footnoteRef/>
      </w:r>
      <w:r>
        <w:t xml:space="preserve"> </w:t>
      </w:r>
      <w:r w:rsidRPr="007C6957">
        <w:rPr>
          <w:rFonts w:ascii="Arial Narrow" w:hAnsi="Arial Narrow"/>
        </w:rPr>
        <w:t>Pôvodné dáta uvádzali cenu bravčového karé s kosťou, dáta</w:t>
      </w:r>
      <w:r>
        <w:rPr>
          <w:rFonts w:ascii="Arial Narrow" w:hAnsi="Arial Narrow"/>
        </w:rPr>
        <w:t xml:space="preserve"> zo</w:t>
      </w:r>
      <w:r w:rsidRPr="007C6957">
        <w:rPr>
          <w:rFonts w:ascii="Arial Narrow" w:hAnsi="Arial Narrow"/>
        </w:rPr>
        <w:t xml:space="preserve"> skenerov uvádzajú cenu bez kosti</w:t>
      </w:r>
      <w:r>
        <w:rPr>
          <w:rFonts w:ascii="Arial Narrow" w:hAnsi="Arial Narrow"/>
        </w:rPr>
        <w:t>.</w:t>
      </w:r>
    </w:p>
  </w:footnote>
  <w:footnote w:id="5">
    <w:p w14:paraId="60491D1D" w14:textId="723931C1" w:rsidR="00C15ECF" w:rsidRDefault="00C15ECF">
      <w:pPr>
        <w:pStyle w:val="Textpoznmkypodiarou"/>
      </w:pPr>
      <w:r>
        <w:rPr>
          <w:rStyle w:val="Odkaznapoznmkupodiarou"/>
        </w:rPr>
        <w:footnoteRef/>
      </w:r>
      <w:r>
        <w:t xml:space="preserve"> </w:t>
      </w:r>
      <w:r w:rsidRPr="007C6957">
        <w:rPr>
          <w:rFonts w:ascii="Arial Narrow" w:hAnsi="Arial Narrow"/>
        </w:rPr>
        <w:t>Pôvodné dáta uvádzali cenu 125</w:t>
      </w:r>
      <w:r>
        <w:rPr>
          <w:rFonts w:ascii="Arial Narrow" w:hAnsi="Arial Narrow"/>
        </w:rPr>
        <w:t xml:space="preserve"> </w:t>
      </w:r>
      <w:r w:rsidRPr="007C6957">
        <w:rPr>
          <w:rFonts w:ascii="Arial Narrow" w:hAnsi="Arial Narrow"/>
        </w:rPr>
        <w:t>g balenia, skenerové dáta uvádzajú cenu 250</w:t>
      </w:r>
      <w:r>
        <w:rPr>
          <w:rFonts w:ascii="Arial Narrow" w:hAnsi="Arial Narrow"/>
        </w:rPr>
        <w:t xml:space="preserve"> </w:t>
      </w:r>
      <w:r w:rsidRPr="007C6957">
        <w:rPr>
          <w:rFonts w:ascii="Arial Narrow" w:hAnsi="Arial Narrow"/>
        </w:rPr>
        <w:t>g balenia. Maďarský štatistický úrad uvádza cenu 100</w:t>
      </w:r>
      <w:r>
        <w:rPr>
          <w:rFonts w:ascii="Arial Narrow" w:hAnsi="Arial Narrow"/>
        </w:rPr>
        <w:t xml:space="preserve"> </w:t>
      </w:r>
      <w:r w:rsidRPr="007C6957">
        <w:rPr>
          <w:rFonts w:ascii="Arial Narrow" w:hAnsi="Arial Narrow"/>
        </w:rPr>
        <w:t>g balenia</w:t>
      </w:r>
      <w:r>
        <w:rPr>
          <w:rFonts w:ascii="Arial Narrow" w:hAnsi="Arial Narrow"/>
        </w:rPr>
        <w:t>, poľský štatistický úrad uvádza 200 g balenia</w:t>
      </w:r>
      <w:r w:rsidRPr="007C6957">
        <w:rPr>
          <w:rFonts w:ascii="Arial Narrow" w:hAnsi="Arial Narrow"/>
        </w:rPr>
        <w:t>. Vo všetkých prípadoch je cena prepočítaná na 1 kg.</w:t>
      </w:r>
    </w:p>
  </w:footnote>
  <w:footnote w:id="6">
    <w:p w14:paraId="1355AF72" w14:textId="77777777" w:rsidR="00672868" w:rsidRPr="00C7511D" w:rsidRDefault="00672868" w:rsidP="00672868">
      <w:pPr>
        <w:pStyle w:val="Textpoznmkypodiarou"/>
        <w:rPr>
          <w:rFonts w:ascii="Arial Narrow" w:hAnsi="Arial Narrow"/>
          <w:sz w:val="18"/>
          <w:szCs w:val="18"/>
        </w:rPr>
      </w:pPr>
      <w:r>
        <w:rPr>
          <w:rStyle w:val="Odkaznapoznmkupodiarou"/>
        </w:rPr>
        <w:footnoteRef/>
      </w:r>
      <w:r>
        <w:t xml:space="preserve"> </w:t>
      </w:r>
      <w:r>
        <w:rPr>
          <w:rFonts w:ascii="Arial Narrow" w:hAnsi="Arial Narrow"/>
          <w:sz w:val="18"/>
          <w:szCs w:val="18"/>
        </w:rPr>
        <w:t>I</w:t>
      </w:r>
      <w:r w:rsidRPr="00C7511D">
        <w:rPr>
          <w:rFonts w:ascii="Arial Narrow" w:hAnsi="Arial Narrow"/>
          <w:sz w:val="18"/>
          <w:szCs w:val="18"/>
        </w:rPr>
        <w:t>nfláci</w:t>
      </w:r>
      <w:r>
        <w:rPr>
          <w:rFonts w:ascii="Arial Narrow" w:hAnsi="Arial Narrow"/>
          <w:sz w:val="18"/>
          <w:szCs w:val="18"/>
        </w:rPr>
        <w:t>a vyjadrená cez „</w:t>
      </w:r>
      <w:r w:rsidRPr="00C7511D">
        <w:rPr>
          <w:rFonts w:ascii="Arial Narrow" w:hAnsi="Arial Narrow"/>
          <w:sz w:val="18"/>
          <w:szCs w:val="18"/>
        </w:rPr>
        <w:t>HICP</w:t>
      </w:r>
      <w:r>
        <w:rPr>
          <w:rFonts w:ascii="Arial Narrow" w:hAnsi="Arial Narrow"/>
          <w:sz w:val="18"/>
          <w:szCs w:val="18"/>
        </w:rPr>
        <w:t>“</w:t>
      </w:r>
      <w:r w:rsidRPr="00C7511D">
        <w:rPr>
          <w:rFonts w:ascii="Arial Narrow" w:hAnsi="Arial Narrow"/>
          <w:sz w:val="18"/>
          <w:szCs w:val="18"/>
        </w:rPr>
        <w:t xml:space="preserve"> </w:t>
      </w:r>
      <w:r>
        <w:rPr>
          <w:rFonts w:ascii="Arial Narrow" w:hAnsi="Arial Narrow"/>
          <w:sz w:val="18"/>
          <w:szCs w:val="18"/>
        </w:rPr>
        <w:t xml:space="preserve">presnejšie </w:t>
      </w:r>
      <w:r w:rsidRPr="00C7511D">
        <w:rPr>
          <w:rFonts w:ascii="Arial Narrow" w:hAnsi="Arial Narrow"/>
          <w:sz w:val="18"/>
          <w:szCs w:val="18"/>
        </w:rPr>
        <w:t>zohľadň</w:t>
      </w:r>
      <w:r>
        <w:rPr>
          <w:rFonts w:ascii="Arial Narrow" w:hAnsi="Arial Narrow"/>
          <w:sz w:val="18"/>
          <w:szCs w:val="18"/>
        </w:rPr>
        <w:t>uje</w:t>
      </w:r>
      <w:r w:rsidRPr="00C7511D">
        <w:rPr>
          <w:rFonts w:ascii="Arial Narrow" w:hAnsi="Arial Narrow"/>
          <w:sz w:val="18"/>
          <w:szCs w:val="18"/>
        </w:rPr>
        <w:t xml:space="preserve"> vplyv zmeny nepriamych daní</w:t>
      </w:r>
      <w:r>
        <w:rPr>
          <w:rFonts w:ascii="Arial Narrow" w:hAnsi="Arial Narrow"/>
          <w:sz w:val="18"/>
          <w:szCs w:val="18"/>
        </w:rPr>
        <w:t xml:space="preserve"> v porovnaní s infláciou vyjadrenou cez „CPI“</w:t>
      </w:r>
    </w:p>
  </w:footnote>
  <w:footnote w:id="7">
    <w:p w14:paraId="59387344" w14:textId="77777777" w:rsidR="00672868" w:rsidRPr="008C4957" w:rsidRDefault="00672868" w:rsidP="00672868">
      <w:pPr>
        <w:pStyle w:val="Textpoznmkypodiarou"/>
        <w:jc w:val="both"/>
        <w:rPr>
          <w:rFonts w:ascii="Arial Narrow" w:hAnsi="Arial Narrow"/>
          <w:sz w:val="18"/>
          <w:szCs w:val="18"/>
        </w:rPr>
      </w:pPr>
      <w:r>
        <w:rPr>
          <w:rStyle w:val="Odkaznapoznmkupodiarou"/>
        </w:rPr>
        <w:footnoteRef/>
      </w:r>
      <w:r>
        <w:rPr>
          <w:rFonts w:ascii="Arial Narrow" w:hAnsi="Arial Narrow"/>
          <w:sz w:val="18"/>
          <w:szCs w:val="18"/>
        </w:rPr>
        <w:t xml:space="preserve"> </w:t>
      </w:r>
      <w:r w:rsidRPr="008C4957">
        <w:rPr>
          <w:rFonts w:ascii="Arial Narrow" w:hAnsi="Arial Narrow"/>
          <w:sz w:val="18"/>
          <w:szCs w:val="18"/>
        </w:rPr>
        <w:t>Pojem „reziduálny zisk“ sa nahradil termínom „nevysvetlená časť“. Interpretácia reziduálneho zisku ako nevysvetliteľnej časti je presnejšia, keďže okrem ziskov do tejto nevysvetlenej časti spadajú aj náklady na kapitál a možné chyby meraní.</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BF203" w14:textId="401EDBA4" w:rsidR="001641EB" w:rsidRPr="007C0E2B" w:rsidRDefault="001641EB" w:rsidP="001641EB">
    <w:pPr>
      <w:spacing w:after="120"/>
      <w:jc w:val="center"/>
      <w:rPr>
        <w:rFonts w:ascii="Arial Narrow" w:hAnsi="Arial Narrow" w:cs="Arial Narrow"/>
        <w:b/>
        <w:bCs/>
        <w:sz w:val="28"/>
        <w:szCs w:val="28"/>
      </w:rPr>
    </w:pPr>
    <w:r>
      <w:rPr>
        <w:b/>
        <w:noProof/>
        <w:sz w:val="28"/>
        <w:szCs w:val="28"/>
      </w:rPr>
      <w:drawing>
        <wp:anchor distT="0" distB="0" distL="114300" distR="114300" simplePos="0" relativeHeight="251662336" behindDoc="0" locked="1" layoutInCell="1" allowOverlap="1" wp14:anchorId="37F2452A" wp14:editId="0DBD6DFB">
          <wp:simplePos x="0" y="0"/>
          <wp:positionH relativeFrom="column">
            <wp:posOffset>28575</wp:posOffset>
          </wp:positionH>
          <wp:positionV relativeFrom="paragraph">
            <wp:posOffset>-114300</wp:posOffset>
          </wp:positionV>
          <wp:extent cx="457200" cy="571500"/>
          <wp:effectExtent l="0" t="0" r="0" b="0"/>
          <wp:wrapNone/>
          <wp:docPr id="1526683028" name="Obrázok 1526683028" descr="Obrázok, na ktorom je symbol, náčrt, emblém, kreslený obrázok&#10;&#10;Obsah vygenerovaný umelou inteligenciou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707454" name="Obrázok 1477707454" descr="Obrázok, na ktorom je symbol, náčrt, emblém, kreslený obrázok&#10;&#10;Obsah vygenerovaný umelou inteligenciou môže byť nesprávny."/>
                  <pic:cNvPicPr>
                    <a:picLocks noChangeAspect="1" noChangeArrowheads="1"/>
                  </pic:cNvPicPr>
                </pic:nvPicPr>
                <pic:blipFill>
                  <a:blip r:embed="rId1">
                    <a:lum contrast="50000"/>
                    <a:extLst>
                      <a:ext uri="{28A0092B-C50C-407E-A947-70E740481C1C}">
                        <a14:useLocalDpi xmlns:a14="http://schemas.microsoft.com/office/drawing/2010/main" val="0"/>
                      </a:ext>
                    </a:extLst>
                  </a:blip>
                  <a:srcRect/>
                  <a:stretch>
                    <a:fillRect/>
                  </a:stretch>
                </pic:blipFill>
                <pic:spPr bwMode="auto">
                  <a:xfrm>
                    <a:off x="0" y="0"/>
                    <a:ext cx="457200" cy="571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104A56" w14:textId="77777777" w:rsidR="001641EB" w:rsidRDefault="001641EB" w:rsidP="001641EB">
    <w:pPr>
      <w:rPr>
        <w:rFonts w:ascii="Arial Narrow" w:hAnsi="Arial Narrow" w:cs="Arial Narrow"/>
        <w:b/>
        <w:bCs/>
      </w:rPr>
    </w:pPr>
  </w:p>
  <w:p w14:paraId="3E0098CA" w14:textId="77777777" w:rsidR="001641EB" w:rsidRPr="00425533" w:rsidRDefault="00947D96" w:rsidP="001641EB">
    <w:pPr>
      <w:pStyle w:val="Hlavika"/>
    </w:pPr>
    <w:r>
      <w:rPr>
        <w:rFonts w:ascii="Arial Narrow" w:hAnsi="Arial Narrow" w:cs="Arial Narrow"/>
      </w:rPr>
      <w:pict w14:anchorId="1DB675A5">
        <v:rect id="_x0000_i1025" style="width:453.55pt;height:1pt" o:hralign="center" o:hrstd="t" o:hrnoshade="t" o:hr="t" fillcolor="black" stroked="f">
          <v:imagedata r:id="rId2" o:title=""/>
        </v:rect>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B673D" w14:textId="4A191A9D" w:rsidR="00091BA7" w:rsidRPr="007C0E2B" w:rsidRDefault="00091BA7" w:rsidP="006C2129">
    <w:pPr>
      <w:spacing w:after="120"/>
      <w:jc w:val="center"/>
      <w:rPr>
        <w:rFonts w:ascii="Arial Narrow" w:hAnsi="Arial Narrow" w:cs="Arial Narrow"/>
        <w:b/>
        <w:bCs/>
        <w:sz w:val="28"/>
        <w:szCs w:val="28"/>
      </w:rPr>
    </w:pPr>
    <w:r>
      <w:rPr>
        <w:b/>
        <w:noProof/>
        <w:sz w:val="28"/>
        <w:szCs w:val="28"/>
      </w:rPr>
      <w:drawing>
        <wp:anchor distT="0" distB="0" distL="114300" distR="114300" simplePos="0" relativeHeight="251657216" behindDoc="0" locked="1" layoutInCell="1" allowOverlap="1" wp14:anchorId="6B6620DE" wp14:editId="21329B90">
          <wp:simplePos x="0" y="0"/>
          <wp:positionH relativeFrom="column">
            <wp:posOffset>28575</wp:posOffset>
          </wp:positionH>
          <wp:positionV relativeFrom="paragraph">
            <wp:posOffset>-114300</wp:posOffset>
          </wp:positionV>
          <wp:extent cx="457200" cy="571500"/>
          <wp:effectExtent l="0" t="0" r="0" b="0"/>
          <wp:wrapNone/>
          <wp:docPr id="239974882" name="Obrázok 239974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50000"/>
                    <a:extLst>
                      <a:ext uri="{28A0092B-C50C-407E-A947-70E740481C1C}">
                        <a14:useLocalDpi xmlns:a14="http://schemas.microsoft.com/office/drawing/2010/main" val="0"/>
                      </a:ext>
                    </a:extLst>
                  </a:blip>
                  <a:srcRect/>
                  <a:stretch>
                    <a:fillRect/>
                  </a:stretch>
                </pic:blipFill>
                <pic:spPr bwMode="auto">
                  <a:xfrm>
                    <a:off x="0" y="0"/>
                    <a:ext cx="457200" cy="571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E43B11" w14:textId="65F4CEFA" w:rsidR="00091BA7" w:rsidRDefault="00091BA7" w:rsidP="00F867F5">
    <w:pPr>
      <w:rPr>
        <w:rFonts w:ascii="Arial Narrow" w:hAnsi="Arial Narrow" w:cs="Arial Narrow"/>
        <w:b/>
        <w:bCs/>
      </w:rPr>
    </w:pPr>
  </w:p>
  <w:p w14:paraId="09BAE5F4" w14:textId="77777777" w:rsidR="00091BA7" w:rsidRPr="00425533" w:rsidRDefault="00947D96" w:rsidP="006C2129">
    <w:pPr>
      <w:pStyle w:val="Hlavika"/>
    </w:pPr>
    <w:r>
      <w:rPr>
        <w:rFonts w:ascii="Arial Narrow" w:hAnsi="Arial Narrow" w:cs="Arial Narrow"/>
      </w:rPr>
      <w:pict w14:anchorId="6F904BA3">
        <v:rect id="_x0000_i1026" style="width:453.55pt;height:1pt" o:hralign="center" o:hrstd="t" o:hrnoshade="t" o:hr="t" fillcolor="black" stroked="f">
          <v:imagedata r:id="rId2" o:title=""/>
        </v:rect>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8C401" w14:textId="77777777" w:rsidR="005779C4" w:rsidRPr="007C0E2B" w:rsidRDefault="005779C4" w:rsidP="006C2129">
    <w:pPr>
      <w:spacing w:after="120"/>
      <w:jc w:val="center"/>
      <w:rPr>
        <w:rFonts w:ascii="Arial Narrow" w:hAnsi="Arial Narrow" w:cs="Arial Narrow"/>
        <w:b/>
        <w:bCs/>
        <w:sz w:val="28"/>
        <w:szCs w:val="28"/>
      </w:rPr>
    </w:pPr>
    <w:r>
      <w:rPr>
        <w:b/>
        <w:noProof/>
        <w:sz w:val="28"/>
        <w:szCs w:val="28"/>
      </w:rPr>
      <w:drawing>
        <wp:anchor distT="0" distB="0" distL="114300" distR="114300" simplePos="0" relativeHeight="251664384" behindDoc="0" locked="1" layoutInCell="1" allowOverlap="1" wp14:anchorId="410F7836" wp14:editId="09839200">
          <wp:simplePos x="0" y="0"/>
          <wp:positionH relativeFrom="column">
            <wp:posOffset>28575</wp:posOffset>
          </wp:positionH>
          <wp:positionV relativeFrom="paragraph">
            <wp:posOffset>-114300</wp:posOffset>
          </wp:positionV>
          <wp:extent cx="457200" cy="571500"/>
          <wp:effectExtent l="0" t="0" r="0" b="0"/>
          <wp:wrapNone/>
          <wp:docPr id="919433826" name="Obrázok 919433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50000"/>
                    <a:extLst>
                      <a:ext uri="{28A0092B-C50C-407E-A947-70E740481C1C}">
                        <a14:useLocalDpi xmlns:a14="http://schemas.microsoft.com/office/drawing/2010/main" val="0"/>
                      </a:ext>
                    </a:extLst>
                  </a:blip>
                  <a:srcRect/>
                  <a:stretch>
                    <a:fillRect/>
                  </a:stretch>
                </pic:blipFill>
                <pic:spPr bwMode="auto">
                  <a:xfrm>
                    <a:off x="0" y="0"/>
                    <a:ext cx="457200" cy="571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C0E2B">
      <w:rPr>
        <w:rFonts w:ascii="Arial Narrow" w:hAnsi="Arial Narrow" w:cs="Arial Narrow"/>
        <w:b/>
        <w:bCs/>
        <w:sz w:val="28"/>
        <w:szCs w:val="28"/>
      </w:rPr>
      <w:t>Ministerstvo financií Slovenskej republiky</w:t>
    </w:r>
  </w:p>
  <w:p w14:paraId="612428E3" w14:textId="77777777" w:rsidR="005779C4" w:rsidRDefault="005779C4" w:rsidP="00F867F5">
    <w:pPr>
      <w:rPr>
        <w:rFonts w:ascii="Arial Narrow" w:hAnsi="Arial Narrow" w:cs="Arial Narrow"/>
        <w:b/>
        <w:bCs/>
      </w:rPr>
    </w:pPr>
  </w:p>
  <w:p w14:paraId="43417417" w14:textId="77777777" w:rsidR="005779C4" w:rsidRPr="00425533" w:rsidRDefault="00947D96" w:rsidP="006C2129">
    <w:pPr>
      <w:pStyle w:val="Hlavika"/>
    </w:pPr>
    <w:r>
      <w:rPr>
        <w:rFonts w:ascii="Arial Narrow" w:hAnsi="Arial Narrow" w:cs="Arial Narrow"/>
      </w:rPr>
      <w:pict w14:anchorId="3595D4FD">
        <v:rect id="_x0000_i1027" style="width:453.55pt;height:1pt" o:hralign="center" o:hrstd="t" o:hrnoshade="t" o:hr="t" fillcolor="black" stroked="f">
          <v:imagedata r:id="rId2" o:title=""/>
        </v:rect>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C85DF" w14:textId="7ADCFDEA" w:rsidR="00601DA0" w:rsidRPr="007C0E2B" w:rsidRDefault="00601DA0" w:rsidP="001641EB">
    <w:pPr>
      <w:spacing w:after="120"/>
      <w:jc w:val="center"/>
      <w:rPr>
        <w:rFonts w:ascii="Arial Narrow" w:hAnsi="Arial Narrow" w:cs="Arial Narrow"/>
        <w:b/>
        <w:bCs/>
        <w:sz w:val="28"/>
        <w:szCs w:val="28"/>
      </w:rPr>
    </w:pPr>
    <w:r>
      <w:rPr>
        <w:b/>
        <w:noProof/>
        <w:sz w:val="28"/>
        <w:szCs w:val="28"/>
      </w:rPr>
      <w:drawing>
        <wp:anchor distT="0" distB="0" distL="114300" distR="114300" simplePos="0" relativeHeight="251666432" behindDoc="0" locked="1" layoutInCell="1" allowOverlap="1" wp14:anchorId="1D9AD6DA" wp14:editId="583133E6">
          <wp:simplePos x="0" y="0"/>
          <wp:positionH relativeFrom="column">
            <wp:posOffset>28575</wp:posOffset>
          </wp:positionH>
          <wp:positionV relativeFrom="paragraph">
            <wp:posOffset>-114300</wp:posOffset>
          </wp:positionV>
          <wp:extent cx="457200" cy="571500"/>
          <wp:effectExtent l="0" t="0" r="0" b="0"/>
          <wp:wrapNone/>
          <wp:docPr id="1838620480" name="Obrázok 1838620480" descr="Obrázok, na ktorom je symbol, náčrt, emblém, kreslený obrázok&#10;&#10;Obsah vygenerovaný umelou inteligenciou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707454" name="Obrázok 1477707454" descr="Obrázok, na ktorom je symbol, náčrt, emblém, kreslený obrázok&#10;&#10;Obsah vygenerovaný umelou inteligenciou môže byť nesprávny."/>
                  <pic:cNvPicPr>
                    <a:picLocks noChangeAspect="1" noChangeArrowheads="1"/>
                  </pic:cNvPicPr>
                </pic:nvPicPr>
                <pic:blipFill>
                  <a:blip r:embed="rId1">
                    <a:lum contrast="50000"/>
                    <a:extLst>
                      <a:ext uri="{28A0092B-C50C-407E-A947-70E740481C1C}">
                        <a14:useLocalDpi xmlns:a14="http://schemas.microsoft.com/office/drawing/2010/main" val="0"/>
                      </a:ext>
                    </a:extLst>
                  </a:blip>
                  <a:srcRect/>
                  <a:stretch>
                    <a:fillRect/>
                  </a:stretch>
                </pic:blipFill>
                <pic:spPr bwMode="auto">
                  <a:xfrm>
                    <a:off x="0" y="0"/>
                    <a:ext cx="457200" cy="571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087675" w14:textId="77777777" w:rsidR="00601DA0" w:rsidRDefault="00601DA0" w:rsidP="001641EB">
    <w:pPr>
      <w:rPr>
        <w:rFonts w:ascii="Arial Narrow" w:hAnsi="Arial Narrow" w:cs="Arial Narrow"/>
        <w:b/>
        <w:bCs/>
      </w:rPr>
    </w:pPr>
  </w:p>
  <w:p w14:paraId="17B5340F" w14:textId="77777777" w:rsidR="00601DA0" w:rsidRPr="00425533" w:rsidRDefault="00947D96" w:rsidP="001641EB">
    <w:pPr>
      <w:pStyle w:val="Hlavika"/>
    </w:pPr>
    <w:r>
      <w:rPr>
        <w:rFonts w:ascii="Arial Narrow" w:hAnsi="Arial Narrow" w:cs="Arial Narrow"/>
      </w:rPr>
      <w:pict w14:anchorId="5680CA44">
        <v:rect id="_x0000_i1028" style="width:453.55pt;height:1pt" o:hralign="center" o:hrstd="t" o:hrnoshade="t" o:hr="t" fillcolor="black" stroked="f">
          <v:imagedata r:id="rId2" o:title=""/>
        </v:rect>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F1B02"/>
    <w:multiLevelType w:val="multilevel"/>
    <w:tmpl w:val="B43E3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F60AF5"/>
    <w:multiLevelType w:val="multilevel"/>
    <w:tmpl w:val="CFAA3048"/>
    <w:lvl w:ilvl="0">
      <w:start w:val="1"/>
      <w:numFmt w:val="decimal"/>
      <w:lvlText w:val="%1."/>
      <w:lvlJc w:val="left"/>
      <w:pPr>
        <w:ind w:left="360" w:hanging="360"/>
      </w:pPr>
      <w:rPr>
        <w:rFonts w:hint="default"/>
        <w:b/>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BA85C30"/>
    <w:multiLevelType w:val="multilevel"/>
    <w:tmpl w:val="EE0C0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AF008E"/>
    <w:multiLevelType w:val="multilevel"/>
    <w:tmpl w:val="DAFA4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C547A4"/>
    <w:multiLevelType w:val="hybridMultilevel"/>
    <w:tmpl w:val="40185A1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9C30641"/>
    <w:multiLevelType w:val="multilevel"/>
    <w:tmpl w:val="30884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C7517D"/>
    <w:multiLevelType w:val="multilevel"/>
    <w:tmpl w:val="00F40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1E76B1"/>
    <w:multiLevelType w:val="hybridMultilevel"/>
    <w:tmpl w:val="7D28EAE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97D29C8"/>
    <w:multiLevelType w:val="multilevel"/>
    <w:tmpl w:val="54C6A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D307915"/>
    <w:multiLevelType w:val="hybridMultilevel"/>
    <w:tmpl w:val="046CED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4EAB47CF"/>
    <w:multiLevelType w:val="multilevel"/>
    <w:tmpl w:val="3084A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0800640"/>
    <w:multiLevelType w:val="multilevel"/>
    <w:tmpl w:val="E01E8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73E2CE6"/>
    <w:multiLevelType w:val="multilevel"/>
    <w:tmpl w:val="60CA9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9303F5E"/>
    <w:multiLevelType w:val="multilevel"/>
    <w:tmpl w:val="60DC6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BB746E8"/>
    <w:multiLevelType w:val="hybridMultilevel"/>
    <w:tmpl w:val="FA7AB87A"/>
    <w:lvl w:ilvl="0" w:tplc="8D1011F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64FA1328"/>
    <w:multiLevelType w:val="multilevel"/>
    <w:tmpl w:val="3B465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BF85A35"/>
    <w:multiLevelType w:val="hybridMultilevel"/>
    <w:tmpl w:val="E118D4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D9C5296"/>
    <w:multiLevelType w:val="multilevel"/>
    <w:tmpl w:val="2474C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47636AF"/>
    <w:multiLevelType w:val="hybridMultilevel"/>
    <w:tmpl w:val="8782295E"/>
    <w:lvl w:ilvl="0" w:tplc="A4528548">
      <w:numFmt w:val="bullet"/>
      <w:lvlText w:val="-"/>
      <w:lvlJc w:val="left"/>
      <w:pPr>
        <w:ind w:left="720" w:hanging="360"/>
      </w:pPr>
      <w:rPr>
        <w:rFonts w:ascii="Arial Narrow" w:eastAsiaTheme="minorHAns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2126459549">
    <w:abstractNumId w:val="1"/>
  </w:num>
  <w:num w:numId="2" w16cid:durableId="661930329">
    <w:abstractNumId w:val="4"/>
  </w:num>
  <w:num w:numId="3" w16cid:durableId="1756825706">
    <w:abstractNumId w:val="2"/>
  </w:num>
  <w:num w:numId="4" w16cid:durableId="2028022732">
    <w:abstractNumId w:val="6"/>
  </w:num>
  <w:num w:numId="5" w16cid:durableId="2088727125">
    <w:abstractNumId w:val="12"/>
  </w:num>
  <w:num w:numId="6" w16cid:durableId="100491459">
    <w:abstractNumId w:val="0"/>
  </w:num>
  <w:num w:numId="7" w16cid:durableId="1180195274">
    <w:abstractNumId w:val="16"/>
  </w:num>
  <w:num w:numId="8" w16cid:durableId="1232275905">
    <w:abstractNumId w:val="14"/>
  </w:num>
  <w:num w:numId="9" w16cid:durableId="488982597">
    <w:abstractNumId w:val="18"/>
  </w:num>
  <w:num w:numId="10" w16cid:durableId="422148031">
    <w:abstractNumId w:val="7"/>
  </w:num>
  <w:num w:numId="11" w16cid:durableId="1597442505">
    <w:abstractNumId w:val="9"/>
  </w:num>
  <w:num w:numId="12" w16cid:durableId="2037735178">
    <w:abstractNumId w:val="17"/>
  </w:num>
  <w:num w:numId="13" w16cid:durableId="1749379611">
    <w:abstractNumId w:val="10"/>
  </w:num>
  <w:num w:numId="14" w16cid:durableId="108356813">
    <w:abstractNumId w:val="15"/>
  </w:num>
  <w:num w:numId="15" w16cid:durableId="1967156616">
    <w:abstractNumId w:val="11"/>
  </w:num>
  <w:num w:numId="16" w16cid:durableId="688333876">
    <w:abstractNumId w:val="13"/>
  </w:num>
  <w:num w:numId="17" w16cid:durableId="501049818">
    <w:abstractNumId w:val="5"/>
  </w:num>
  <w:num w:numId="18" w16cid:durableId="4289414">
    <w:abstractNumId w:val="3"/>
  </w:num>
  <w:num w:numId="19" w16cid:durableId="11249566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1BA7"/>
    <w:rsid w:val="00002BC2"/>
    <w:rsid w:val="00004196"/>
    <w:rsid w:val="000063DF"/>
    <w:rsid w:val="0001037F"/>
    <w:rsid w:val="00011534"/>
    <w:rsid w:val="00012DEB"/>
    <w:rsid w:val="00017B19"/>
    <w:rsid w:val="00020BCE"/>
    <w:rsid w:val="00021797"/>
    <w:rsid w:val="000226EB"/>
    <w:rsid w:val="00023012"/>
    <w:rsid w:val="0003034E"/>
    <w:rsid w:val="00033FF0"/>
    <w:rsid w:val="00035CD8"/>
    <w:rsid w:val="00041D66"/>
    <w:rsid w:val="00042C3F"/>
    <w:rsid w:val="00042E0F"/>
    <w:rsid w:val="000464E4"/>
    <w:rsid w:val="0004676F"/>
    <w:rsid w:val="00046831"/>
    <w:rsid w:val="000470F7"/>
    <w:rsid w:val="000472DE"/>
    <w:rsid w:val="00050CDE"/>
    <w:rsid w:val="00051A5E"/>
    <w:rsid w:val="0005277D"/>
    <w:rsid w:val="0005390B"/>
    <w:rsid w:val="00057444"/>
    <w:rsid w:val="000632C1"/>
    <w:rsid w:val="00064557"/>
    <w:rsid w:val="00066316"/>
    <w:rsid w:val="00071337"/>
    <w:rsid w:val="00074B91"/>
    <w:rsid w:val="00091BA7"/>
    <w:rsid w:val="00094A3F"/>
    <w:rsid w:val="000A2028"/>
    <w:rsid w:val="000A3688"/>
    <w:rsid w:val="000B28BE"/>
    <w:rsid w:val="000B2D7C"/>
    <w:rsid w:val="000B5061"/>
    <w:rsid w:val="000B528D"/>
    <w:rsid w:val="000B5A60"/>
    <w:rsid w:val="000C3A91"/>
    <w:rsid w:val="000C64B0"/>
    <w:rsid w:val="000C789B"/>
    <w:rsid w:val="000D0908"/>
    <w:rsid w:val="000D5ADE"/>
    <w:rsid w:val="000E18B5"/>
    <w:rsid w:val="000F1F39"/>
    <w:rsid w:val="000F3FA3"/>
    <w:rsid w:val="0010233A"/>
    <w:rsid w:val="001078CA"/>
    <w:rsid w:val="001113A7"/>
    <w:rsid w:val="00116157"/>
    <w:rsid w:val="001235EC"/>
    <w:rsid w:val="0012672E"/>
    <w:rsid w:val="00130ADD"/>
    <w:rsid w:val="001441B2"/>
    <w:rsid w:val="00146B5B"/>
    <w:rsid w:val="00150506"/>
    <w:rsid w:val="001545C5"/>
    <w:rsid w:val="001641EB"/>
    <w:rsid w:val="001778CF"/>
    <w:rsid w:val="00177BF7"/>
    <w:rsid w:val="00187AF4"/>
    <w:rsid w:val="00193A46"/>
    <w:rsid w:val="00195ECA"/>
    <w:rsid w:val="001A5D95"/>
    <w:rsid w:val="001C2DE1"/>
    <w:rsid w:val="001C5ADD"/>
    <w:rsid w:val="001D026F"/>
    <w:rsid w:val="001D191C"/>
    <w:rsid w:val="001D1C96"/>
    <w:rsid w:val="001D298A"/>
    <w:rsid w:val="001D7410"/>
    <w:rsid w:val="001D7886"/>
    <w:rsid w:val="001F4528"/>
    <w:rsid w:val="00203CEC"/>
    <w:rsid w:val="0020660C"/>
    <w:rsid w:val="00210B27"/>
    <w:rsid w:val="00211A2E"/>
    <w:rsid w:val="0021554F"/>
    <w:rsid w:val="0021558C"/>
    <w:rsid w:val="00220998"/>
    <w:rsid w:val="002209C1"/>
    <w:rsid w:val="00221A21"/>
    <w:rsid w:val="00233A69"/>
    <w:rsid w:val="00241C07"/>
    <w:rsid w:val="002457C0"/>
    <w:rsid w:val="002473B0"/>
    <w:rsid w:val="00247F57"/>
    <w:rsid w:val="002519BC"/>
    <w:rsid w:val="00253D20"/>
    <w:rsid w:val="0025451B"/>
    <w:rsid w:val="002553F3"/>
    <w:rsid w:val="00260FE3"/>
    <w:rsid w:val="00267B2D"/>
    <w:rsid w:val="00276DF3"/>
    <w:rsid w:val="002915FE"/>
    <w:rsid w:val="00295FC2"/>
    <w:rsid w:val="002A58B3"/>
    <w:rsid w:val="002A7A21"/>
    <w:rsid w:val="002B1518"/>
    <w:rsid w:val="002B6FA9"/>
    <w:rsid w:val="002B7F59"/>
    <w:rsid w:val="002C08C9"/>
    <w:rsid w:val="002C31BF"/>
    <w:rsid w:val="002C33C2"/>
    <w:rsid w:val="002C6E36"/>
    <w:rsid w:val="002C71B1"/>
    <w:rsid w:val="002D2215"/>
    <w:rsid w:val="002E046D"/>
    <w:rsid w:val="002E3B6C"/>
    <w:rsid w:val="002E5F5C"/>
    <w:rsid w:val="002E76CA"/>
    <w:rsid w:val="002E783C"/>
    <w:rsid w:val="002F7B30"/>
    <w:rsid w:val="00301861"/>
    <w:rsid w:val="0031569F"/>
    <w:rsid w:val="00317688"/>
    <w:rsid w:val="00317CF6"/>
    <w:rsid w:val="00323954"/>
    <w:rsid w:val="00324D8B"/>
    <w:rsid w:val="00331C5E"/>
    <w:rsid w:val="003363A3"/>
    <w:rsid w:val="00340615"/>
    <w:rsid w:val="00346EE4"/>
    <w:rsid w:val="00347E6C"/>
    <w:rsid w:val="003508A5"/>
    <w:rsid w:val="003551C5"/>
    <w:rsid w:val="0036537C"/>
    <w:rsid w:val="003655D9"/>
    <w:rsid w:val="00366288"/>
    <w:rsid w:val="003667E7"/>
    <w:rsid w:val="003779E5"/>
    <w:rsid w:val="003844E5"/>
    <w:rsid w:val="00384B19"/>
    <w:rsid w:val="00386B28"/>
    <w:rsid w:val="00387D4C"/>
    <w:rsid w:val="00396B6D"/>
    <w:rsid w:val="003A6ACB"/>
    <w:rsid w:val="003B3170"/>
    <w:rsid w:val="003B3511"/>
    <w:rsid w:val="003B390D"/>
    <w:rsid w:val="003B5A43"/>
    <w:rsid w:val="003B60BA"/>
    <w:rsid w:val="003C796F"/>
    <w:rsid w:val="003D4304"/>
    <w:rsid w:val="003D64DA"/>
    <w:rsid w:val="003D6BB2"/>
    <w:rsid w:val="003E2510"/>
    <w:rsid w:val="003E569D"/>
    <w:rsid w:val="003F071D"/>
    <w:rsid w:val="003F53A5"/>
    <w:rsid w:val="003F58A3"/>
    <w:rsid w:val="003F7498"/>
    <w:rsid w:val="003F78B2"/>
    <w:rsid w:val="00402CCC"/>
    <w:rsid w:val="00402DD0"/>
    <w:rsid w:val="004063CD"/>
    <w:rsid w:val="004065F1"/>
    <w:rsid w:val="00407FF7"/>
    <w:rsid w:val="004175B3"/>
    <w:rsid w:val="0042120B"/>
    <w:rsid w:val="00426193"/>
    <w:rsid w:val="00431F75"/>
    <w:rsid w:val="00433A21"/>
    <w:rsid w:val="004341C3"/>
    <w:rsid w:val="004423DB"/>
    <w:rsid w:val="00452275"/>
    <w:rsid w:val="00453700"/>
    <w:rsid w:val="00455689"/>
    <w:rsid w:val="004615B4"/>
    <w:rsid w:val="00465050"/>
    <w:rsid w:val="004673AB"/>
    <w:rsid w:val="004674D3"/>
    <w:rsid w:val="004751B9"/>
    <w:rsid w:val="004802F5"/>
    <w:rsid w:val="0048417D"/>
    <w:rsid w:val="004968CE"/>
    <w:rsid w:val="004A6060"/>
    <w:rsid w:val="004A69C1"/>
    <w:rsid w:val="004B2402"/>
    <w:rsid w:val="004B552D"/>
    <w:rsid w:val="004B76EB"/>
    <w:rsid w:val="004C1B1B"/>
    <w:rsid w:val="004C75C9"/>
    <w:rsid w:val="004D1EE9"/>
    <w:rsid w:val="004D5E6E"/>
    <w:rsid w:val="004D6389"/>
    <w:rsid w:val="004D72AB"/>
    <w:rsid w:val="004E2633"/>
    <w:rsid w:val="004E28DB"/>
    <w:rsid w:val="004E62E8"/>
    <w:rsid w:val="004F476C"/>
    <w:rsid w:val="004F5809"/>
    <w:rsid w:val="004F65C3"/>
    <w:rsid w:val="00502BFE"/>
    <w:rsid w:val="005073FC"/>
    <w:rsid w:val="00507BDC"/>
    <w:rsid w:val="00512158"/>
    <w:rsid w:val="00513677"/>
    <w:rsid w:val="005138F8"/>
    <w:rsid w:val="005313F5"/>
    <w:rsid w:val="0053302E"/>
    <w:rsid w:val="00536047"/>
    <w:rsid w:val="00541539"/>
    <w:rsid w:val="00541EF1"/>
    <w:rsid w:val="00542823"/>
    <w:rsid w:val="00544AC4"/>
    <w:rsid w:val="005536AA"/>
    <w:rsid w:val="005626B8"/>
    <w:rsid w:val="005643D8"/>
    <w:rsid w:val="00564BFF"/>
    <w:rsid w:val="0056528F"/>
    <w:rsid w:val="00574C40"/>
    <w:rsid w:val="005779C4"/>
    <w:rsid w:val="005857B8"/>
    <w:rsid w:val="005871AF"/>
    <w:rsid w:val="005906DC"/>
    <w:rsid w:val="0059093F"/>
    <w:rsid w:val="00590F4B"/>
    <w:rsid w:val="00595683"/>
    <w:rsid w:val="005961BC"/>
    <w:rsid w:val="005A09C9"/>
    <w:rsid w:val="005A14A6"/>
    <w:rsid w:val="005A20A9"/>
    <w:rsid w:val="005A35DF"/>
    <w:rsid w:val="005A40AD"/>
    <w:rsid w:val="005B5631"/>
    <w:rsid w:val="005C3EC8"/>
    <w:rsid w:val="005C6F3C"/>
    <w:rsid w:val="005D0C8B"/>
    <w:rsid w:val="005D4075"/>
    <w:rsid w:val="005D4429"/>
    <w:rsid w:val="005E0F36"/>
    <w:rsid w:val="005E2869"/>
    <w:rsid w:val="005F0F60"/>
    <w:rsid w:val="005F3DB7"/>
    <w:rsid w:val="005F40CE"/>
    <w:rsid w:val="005F5C00"/>
    <w:rsid w:val="00601326"/>
    <w:rsid w:val="00601DA0"/>
    <w:rsid w:val="0060205A"/>
    <w:rsid w:val="00604063"/>
    <w:rsid w:val="006063DB"/>
    <w:rsid w:val="006070F7"/>
    <w:rsid w:val="0061015B"/>
    <w:rsid w:val="0061161E"/>
    <w:rsid w:val="006119A6"/>
    <w:rsid w:val="006123BA"/>
    <w:rsid w:val="0061612A"/>
    <w:rsid w:val="00617781"/>
    <w:rsid w:val="00623BE7"/>
    <w:rsid w:val="006260DC"/>
    <w:rsid w:val="006373B5"/>
    <w:rsid w:val="0064200C"/>
    <w:rsid w:val="0064262E"/>
    <w:rsid w:val="00646DCD"/>
    <w:rsid w:val="0064726D"/>
    <w:rsid w:val="00651198"/>
    <w:rsid w:val="00654721"/>
    <w:rsid w:val="006561C6"/>
    <w:rsid w:val="00657418"/>
    <w:rsid w:val="006646DA"/>
    <w:rsid w:val="006713D9"/>
    <w:rsid w:val="0067192A"/>
    <w:rsid w:val="00672868"/>
    <w:rsid w:val="00672876"/>
    <w:rsid w:val="006801C8"/>
    <w:rsid w:val="0068195C"/>
    <w:rsid w:val="00681AD4"/>
    <w:rsid w:val="006900F5"/>
    <w:rsid w:val="006902F5"/>
    <w:rsid w:val="00693458"/>
    <w:rsid w:val="006A06D6"/>
    <w:rsid w:val="006B01F4"/>
    <w:rsid w:val="006B3622"/>
    <w:rsid w:val="006B566E"/>
    <w:rsid w:val="006C2129"/>
    <w:rsid w:val="006C39AA"/>
    <w:rsid w:val="006C6360"/>
    <w:rsid w:val="006C7559"/>
    <w:rsid w:val="006D5CD1"/>
    <w:rsid w:val="006F2121"/>
    <w:rsid w:val="006F59AF"/>
    <w:rsid w:val="006F63F6"/>
    <w:rsid w:val="00704563"/>
    <w:rsid w:val="0070471F"/>
    <w:rsid w:val="00705E1B"/>
    <w:rsid w:val="00727A84"/>
    <w:rsid w:val="0073570B"/>
    <w:rsid w:val="00746768"/>
    <w:rsid w:val="00751953"/>
    <w:rsid w:val="00755BAA"/>
    <w:rsid w:val="007610AD"/>
    <w:rsid w:val="00762E1E"/>
    <w:rsid w:val="00763696"/>
    <w:rsid w:val="00767802"/>
    <w:rsid w:val="007717B1"/>
    <w:rsid w:val="0077552B"/>
    <w:rsid w:val="00775885"/>
    <w:rsid w:val="00781AF7"/>
    <w:rsid w:val="00784613"/>
    <w:rsid w:val="007A0201"/>
    <w:rsid w:val="007A3D2F"/>
    <w:rsid w:val="007B0474"/>
    <w:rsid w:val="007B4536"/>
    <w:rsid w:val="007B4C3A"/>
    <w:rsid w:val="007B6075"/>
    <w:rsid w:val="007C5A64"/>
    <w:rsid w:val="007D6BB1"/>
    <w:rsid w:val="007E6704"/>
    <w:rsid w:val="007F6679"/>
    <w:rsid w:val="007F66A7"/>
    <w:rsid w:val="00805F13"/>
    <w:rsid w:val="008108F1"/>
    <w:rsid w:val="00810F0E"/>
    <w:rsid w:val="008113C3"/>
    <w:rsid w:val="00817EF9"/>
    <w:rsid w:val="008203EC"/>
    <w:rsid w:val="00821C5A"/>
    <w:rsid w:val="008233F4"/>
    <w:rsid w:val="008245BB"/>
    <w:rsid w:val="00825D3B"/>
    <w:rsid w:val="008328E1"/>
    <w:rsid w:val="00834F0E"/>
    <w:rsid w:val="008372C0"/>
    <w:rsid w:val="008409FF"/>
    <w:rsid w:val="00841099"/>
    <w:rsid w:val="00841A11"/>
    <w:rsid w:val="00842473"/>
    <w:rsid w:val="008438EB"/>
    <w:rsid w:val="00844C76"/>
    <w:rsid w:val="00844C8C"/>
    <w:rsid w:val="008474D8"/>
    <w:rsid w:val="00864995"/>
    <w:rsid w:val="00877A2A"/>
    <w:rsid w:val="008826CF"/>
    <w:rsid w:val="00882C75"/>
    <w:rsid w:val="00883D6E"/>
    <w:rsid w:val="00885B1E"/>
    <w:rsid w:val="00886E33"/>
    <w:rsid w:val="00891E67"/>
    <w:rsid w:val="00893C81"/>
    <w:rsid w:val="00894877"/>
    <w:rsid w:val="008A1150"/>
    <w:rsid w:val="008A1571"/>
    <w:rsid w:val="008B28D8"/>
    <w:rsid w:val="008B52D0"/>
    <w:rsid w:val="008B5E0D"/>
    <w:rsid w:val="008C0366"/>
    <w:rsid w:val="008C1DED"/>
    <w:rsid w:val="008C4FDE"/>
    <w:rsid w:val="008D3393"/>
    <w:rsid w:val="008E01B8"/>
    <w:rsid w:val="008E4185"/>
    <w:rsid w:val="008F1ACA"/>
    <w:rsid w:val="0090104E"/>
    <w:rsid w:val="0090300B"/>
    <w:rsid w:val="00914D46"/>
    <w:rsid w:val="00914E1D"/>
    <w:rsid w:val="00916520"/>
    <w:rsid w:val="009214AB"/>
    <w:rsid w:val="00921F52"/>
    <w:rsid w:val="00924D32"/>
    <w:rsid w:val="00940339"/>
    <w:rsid w:val="00947BF3"/>
    <w:rsid w:val="00947D96"/>
    <w:rsid w:val="00953FFB"/>
    <w:rsid w:val="009544F3"/>
    <w:rsid w:val="00955138"/>
    <w:rsid w:val="009552CC"/>
    <w:rsid w:val="0095757C"/>
    <w:rsid w:val="00962998"/>
    <w:rsid w:val="0096666F"/>
    <w:rsid w:val="00975419"/>
    <w:rsid w:val="0098098B"/>
    <w:rsid w:val="00985FC2"/>
    <w:rsid w:val="0098741F"/>
    <w:rsid w:val="0099221F"/>
    <w:rsid w:val="00993F22"/>
    <w:rsid w:val="00995ED6"/>
    <w:rsid w:val="00996362"/>
    <w:rsid w:val="00996F66"/>
    <w:rsid w:val="009A1796"/>
    <w:rsid w:val="009A1801"/>
    <w:rsid w:val="009B4E9C"/>
    <w:rsid w:val="009B512A"/>
    <w:rsid w:val="009B6DF1"/>
    <w:rsid w:val="009C1C0C"/>
    <w:rsid w:val="009C5DF8"/>
    <w:rsid w:val="009C6F73"/>
    <w:rsid w:val="009D105A"/>
    <w:rsid w:val="009D4B20"/>
    <w:rsid w:val="009D7B8E"/>
    <w:rsid w:val="009E579A"/>
    <w:rsid w:val="009E68F6"/>
    <w:rsid w:val="009F2BA6"/>
    <w:rsid w:val="00A044D3"/>
    <w:rsid w:val="00A07D13"/>
    <w:rsid w:val="00A10B0B"/>
    <w:rsid w:val="00A212A0"/>
    <w:rsid w:val="00A21FAE"/>
    <w:rsid w:val="00A26034"/>
    <w:rsid w:val="00A311E9"/>
    <w:rsid w:val="00A31B09"/>
    <w:rsid w:val="00A33066"/>
    <w:rsid w:val="00A330AD"/>
    <w:rsid w:val="00A3614B"/>
    <w:rsid w:val="00A37C45"/>
    <w:rsid w:val="00A57DA0"/>
    <w:rsid w:val="00A60244"/>
    <w:rsid w:val="00A61A38"/>
    <w:rsid w:val="00A6568B"/>
    <w:rsid w:val="00A6737A"/>
    <w:rsid w:val="00A706B6"/>
    <w:rsid w:val="00A7601A"/>
    <w:rsid w:val="00A775EA"/>
    <w:rsid w:val="00A8253C"/>
    <w:rsid w:val="00A85254"/>
    <w:rsid w:val="00A86AC7"/>
    <w:rsid w:val="00A873B0"/>
    <w:rsid w:val="00A938DC"/>
    <w:rsid w:val="00AA6A0F"/>
    <w:rsid w:val="00AB0FF0"/>
    <w:rsid w:val="00AC16EF"/>
    <w:rsid w:val="00AC7359"/>
    <w:rsid w:val="00AD106E"/>
    <w:rsid w:val="00AD448E"/>
    <w:rsid w:val="00AD6721"/>
    <w:rsid w:val="00AD7050"/>
    <w:rsid w:val="00AE1528"/>
    <w:rsid w:val="00AE1790"/>
    <w:rsid w:val="00AE73DD"/>
    <w:rsid w:val="00AF3302"/>
    <w:rsid w:val="00AF4E3D"/>
    <w:rsid w:val="00AF7042"/>
    <w:rsid w:val="00AF76BF"/>
    <w:rsid w:val="00B018C5"/>
    <w:rsid w:val="00B06E68"/>
    <w:rsid w:val="00B132B6"/>
    <w:rsid w:val="00B13A40"/>
    <w:rsid w:val="00B14452"/>
    <w:rsid w:val="00B14796"/>
    <w:rsid w:val="00B16BBB"/>
    <w:rsid w:val="00B20EE3"/>
    <w:rsid w:val="00B22C03"/>
    <w:rsid w:val="00B30ED7"/>
    <w:rsid w:val="00B3446E"/>
    <w:rsid w:val="00B42EF2"/>
    <w:rsid w:val="00B43229"/>
    <w:rsid w:val="00B45107"/>
    <w:rsid w:val="00B45C06"/>
    <w:rsid w:val="00B53822"/>
    <w:rsid w:val="00B55546"/>
    <w:rsid w:val="00B56FA3"/>
    <w:rsid w:val="00B613C4"/>
    <w:rsid w:val="00B6188C"/>
    <w:rsid w:val="00B6208F"/>
    <w:rsid w:val="00B666BA"/>
    <w:rsid w:val="00B66AAE"/>
    <w:rsid w:val="00B7127B"/>
    <w:rsid w:val="00B717DE"/>
    <w:rsid w:val="00B73D85"/>
    <w:rsid w:val="00B800A3"/>
    <w:rsid w:val="00B8347B"/>
    <w:rsid w:val="00B842D4"/>
    <w:rsid w:val="00B867AD"/>
    <w:rsid w:val="00B93EAF"/>
    <w:rsid w:val="00B97FB4"/>
    <w:rsid w:val="00BA68F7"/>
    <w:rsid w:val="00BC150A"/>
    <w:rsid w:val="00BC21C8"/>
    <w:rsid w:val="00BC6555"/>
    <w:rsid w:val="00BC72D1"/>
    <w:rsid w:val="00BD1778"/>
    <w:rsid w:val="00BE0959"/>
    <w:rsid w:val="00BE0E05"/>
    <w:rsid w:val="00BE4D36"/>
    <w:rsid w:val="00BE4ED4"/>
    <w:rsid w:val="00BF2313"/>
    <w:rsid w:val="00BF6764"/>
    <w:rsid w:val="00C02E8B"/>
    <w:rsid w:val="00C07B1E"/>
    <w:rsid w:val="00C10F84"/>
    <w:rsid w:val="00C1319A"/>
    <w:rsid w:val="00C1359C"/>
    <w:rsid w:val="00C14E33"/>
    <w:rsid w:val="00C1518E"/>
    <w:rsid w:val="00C1535F"/>
    <w:rsid w:val="00C15ECF"/>
    <w:rsid w:val="00C23370"/>
    <w:rsid w:val="00C32CE0"/>
    <w:rsid w:val="00C402A7"/>
    <w:rsid w:val="00C40A97"/>
    <w:rsid w:val="00C429E2"/>
    <w:rsid w:val="00C451DB"/>
    <w:rsid w:val="00C45313"/>
    <w:rsid w:val="00C51A2E"/>
    <w:rsid w:val="00C51EF1"/>
    <w:rsid w:val="00C51FB0"/>
    <w:rsid w:val="00C60EF8"/>
    <w:rsid w:val="00C61560"/>
    <w:rsid w:val="00C64317"/>
    <w:rsid w:val="00C656B2"/>
    <w:rsid w:val="00C76196"/>
    <w:rsid w:val="00C7624F"/>
    <w:rsid w:val="00C76E1A"/>
    <w:rsid w:val="00C82ED4"/>
    <w:rsid w:val="00C8540A"/>
    <w:rsid w:val="00C93F6C"/>
    <w:rsid w:val="00CA2788"/>
    <w:rsid w:val="00CA3EA5"/>
    <w:rsid w:val="00CA77E1"/>
    <w:rsid w:val="00CB5C01"/>
    <w:rsid w:val="00CB778D"/>
    <w:rsid w:val="00CC050B"/>
    <w:rsid w:val="00CC1F1C"/>
    <w:rsid w:val="00CC5D98"/>
    <w:rsid w:val="00CD0632"/>
    <w:rsid w:val="00CE270F"/>
    <w:rsid w:val="00CF2DBA"/>
    <w:rsid w:val="00CF6204"/>
    <w:rsid w:val="00CF7C54"/>
    <w:rsid w:val="00CF7CB4"/>
    <w:rsid w:val="00D0179A"/>
    <w:rsid w:val="00D01E71"/>
    <w:rsid w:val="00D024DC"/>
    <w:rsid w:val="00D06CC4"/>
    <w:rsid w:val="00D11FFC"/>
    <w:rsid w:val="00D155F9"/>
    <w:rsid w:val="00D2393B"/>
    <w:rsid w:val="00D23D93"/>
    <w:rsid w:val="00D35007"/>
    <w:rsid w:val="00D3772D"/>
    <w:rsid w:val="00D40745"/>
    <w:rsid w:val="00D40D23"/>
    <w:rsid w:val="00D4211E"/>
    <w:rsid w:val="00D54891"/>
    <w:rsid w:val="00D62BE0"/>
    <w:rsid w:val="00D668B6"/>
    <w:rsid w:val="00D6754C"/>
    <w:rsid w:val="00D72AAB"/>
    <w:rsid w:val="00D81AD8"/>
    <w:rsid w:val="00D83B9C"/>
    <w:rsid w:val="00D84494"/>
    <w:rsid w:val="00D86E28"/>
    <w:rsid w:val="00D879E3"/>
    <w:rsid w:val="00D91D2B"/>
    <w:rsid w:val="00D92ACE"/>
    <w:rsid w:val="00D9646B"/>
    <w:rsid w:val="00DA4B0A"/>
    <w:rsid w:val="00DB1C2F"/>
    <w:rsid w:val="00DB5DC7"/>
    <w:rsid w:val="00DC4EE0"/>
    <w:rsid w:val="00DD6082"/>
    <w:rsid w:val="00DE1301"/>
    <w:rsid w:val="00DE195A"/>
    <w:rsid w:val="00DE654A"/>
    <w:rsid w:val="00DF12DD"/>
    <w:rsid w:val="00DF2CEF"/>
    <w:rsid w:val="00DF41BA"/>
    <w:rsid w:val="00DF738E"/>
    <w:rsid w:val="00E01614"/>
    <w:rsid w:val="00E0458F"/>
    <w:rsid w:val="00E0488A"/>
    <w:rsid w:val="00E0575A"/>
    <w:rsid w:val="00E0619A"/>
    <w:rsid w:val="00E06505"/>
    <w:rsid w:val="00E15A4E"/>
    <w:rsid w:val="00E225A9"/>
    <w:rsid w:val="00E25BA5"/>
    <w:rsid w:val="00E25CB9"/>
    <w:rsid w:val="00E3298D"/>
    <w:rsid w:val="00E36B47"/>
    <w:rsid w:val="00E4088E"/>
    <w:rsid w:val="00E45581"/>
    <w:rsid w:val="00E5523D"/>
    <w:rsid w:val="00E638BF"/>
    <w:rsid w:val="00E63DA4"/>
    <w:rsid w:val="00E66399"/>
    <w:rsid w:val="00E75A3F"/>
    <w:rsid w:val="00E8174C"/>
    <w:rsid w:val="00E82063"/>
    <w:rsid w:val="00E82360"/>
    <w:rsid w:val="00E83CB3"/>
    <w:rsid w:val="00E908EC"/>
    <w:rsid w:val="00E91135"/>
    <w:rsid w:val="00E92B5C"/>
    <w:rsid w:val="00E94A0F"/>
    <w:rsid w:val="00E973D1"/>
    <w:rsid w:val="00EA37C0"/>
    <w:rsid w:val="00EA5883"/>
    <w:rsid w:val="00EA71C9"/>
    <w:rsid w:val="00EB7523"/>
    <w:rsid w:val="00EC1777"/>
    <w:rsid w:val="00EC19C0"/>
    <w:rsid w:val="00EC2313"/>
    <w:rsid w:val="00EC57C5"/>
    <w:rsid w:val="00EC61F1"/>
    <w:rsid w:val="00EC759C"/>
    <w:rsid w:val="00ED1F6D"/>
    <w:rsid w:val="00EE4D17"/>
    <w:rsid w:val="00F000AB"/>
    <w:rsid w:val="00F030BA"/>
    <w:rsid w:val="00F04DA3"/>
    <w:rsid w:val="00F07C60"/>
    <w:rsid w:val="00F10DAA"/>
    <w:rsid w:val="00F11ADC"/>
    <w:rsid w:val="00F12AE8"/>
    <w:rsid w:val="00F15096"/>
    <w:rsid w:val="00F21F63"/>
    <w:rsid w:val="00F26CEF"/>
    <w:rsid w:val="00F314F0"/>
    <w:rsid w:val="00F340F4"/>
    <w:rsid w:val="00F34820"/>
    <w:rsid w:val="00F37267"/>
    <w:rsid w:val="00F41690"/>
    <w:rsid w:val="00F43006"/>
    <w:rsid w:val="00F43C7C"/>
    <w:rsid w:val="00F5482A"/>
    <w:rsid w:val="00F60E49"/>
    <w:rsid w:val="00F67787"/>
    <w:rsid w:val="00F81414"/>
    <w:rsid w:val="00F85AF3"/>
    <w:rsid w:val="00F867F5"/>
    <w:rsid w:val="00F96DA6"/>
    <w:rsid w:val="00FA3453"/>
    <w:rsid w:val="00FA5892"/>
    <w:rsid w:val="00FB2B0A"/>
    <w:rsid w:val="00FB32E8"/>
    <w:rsid w:val="00FB4FE2"/>
    <w:rsid w:val="00FC023D"/>
    <w:rsid w:val="00FC0996"/>
    <w:rsid w:val="00FC67AE"/>
    <w:rsid w:val="00FD5F20"/>
    <w:rsid w:val="00FE4149"/>
    <w:rsid w:val="00FE4BD2"/>
    <w:rsid w:val="00FE75B1"/>
    <w:rsid w:val="00FE7CA5"/>
    <w:rsid w:val="00FF0077"/>
    <w:rsid w:val="00FF30AB"/>
    <w:rsid w:val="03E0ECD4"/>
    <w:rsid w:val="03FE4B92"/>
    <w:rsid w:val="060FB3D3"/>
    <w:rsid w:val="07D92609"/>
    <w:rsid w:val="081AFF76"/>
    <w:rsid w:val="08FC59D4"/>
    <w:rsid w:val="0958619D"/>
    <w:rsid w:val="0B3EA24F"/>
    <w:rsid w:val="0CBEBF8D"/>
    <w:rsid w:val="0D58ACB5"/>
    <w:rsid w:val="0F71E4B2"/>
    <w:rsid w:val="0FB7E07D"/>
    <w:rsid w:val="1058505D"/>
    <w:rsid w:val="11769CD8"/>
    <w:rsid w:val="1405B2BB"/>
    <w:rsid w:val="1916FC3C"/>
    <w:rsid w:val="19A9BE5C"/>
    <w:rsid w:val="1AC0C8F9"/>
    <w:rsid w:val="1B447E1F"/>
    <w:rsid w:val="1B75A73A"/>
    <w:rsid w:val="1C30E316"/>
    <w:rsid w:val="21167A01"/>
    <w:rsid w:val="227FAE9B"/>
    <w:rsid w:val="22AAAEEA"/>
    <w:rsid w:val="26D7C578"/>
    <w:rsid w:val="2A07A5CB"/>
    <w:rsid w:val="2CAF090D"/>
    <w:rsid w:val="31FDB27F"/>
    <w:rsid w:val="321B01B2"/>
    <w:rsid w:val="340C423D"/>
    <w:rsid w:val="3594EFB0"/>
    <w:rsid w:val="3697B96B"/>
    <w:rsid w:val="38CCD8C5"/>
    <w:rsid w:val="3B95672E"/>
    <w:rsid w:val="3CC4F0D5"/>
    <w:rsid w:val="3F7A09E7"/>
    <w:rsid w:val="41677BCD"/>
    <w:rsid w:val="416A00CC"/>
    <w:rsid w:val="426AFCAC"/>
    <w:rsid w:val="435EC9B7"/>
    <w:rsid w:val="43FBDB90"/>
    <w:rsid w:val="452DAA03"/>
    <w:rsid w:val="457F1FA0"/>
    <w:rsid w:val="4A0099A5"/>
    <w:rsid w:val="4B06D8E2"/>
    <w:rsid w:val="4B92B8F5"/>
    <w:rsid w:val="508761EE"/>
    <w:rsid w:val="51162FF8"/>
    <w:rsid w:val="52CE17AF"/>
    <w:rsid w:val="52E80FE1"/>
    <w:rsid w:val="54C3A286"/>
    <w:rsid w:val="58691ED8"/>
    <w:rsid w:val="5A79D59E"/>
    <w:rsid w:val="5AB3B09A"/>
    <w:rsid w:val="5AF6C1EA"/>
    <w:rsid w:val="5B7BEA9C"/>
    <w:rsid w:val="5D72F59A"/>
    <w:rsid w:val="6153653C"/>
    <w:rsid w:val="642CF5CE"/>
    <w:rsid w:val="658DEA61"/>
    <w:rsid w:val="6829B4F5"/>
    <w:rsid w:val="6C494130"/>
    <w:rsid w:val="6D573BED"/>
    <w:rsid w:val="6EF7BADD"/>
    <w:rsid w:val="6FD80B53"/>
    <w:rsid w:val="70962F6D"/>
    <w:rsid w:val="71033108"/>
    <w:rsid w:val="7385F49B"/>
    <w:rsid w:val="764B8AB9"/>
    <w:rsid w:val="76788FF3"/>
    <w:rsid w:val="7979BB1B"/>
    <w:rsid w:val="7D332EE7"/>
    <w:rsid w:val="7D6FFD56"/>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29A8A7"/>
  <w15:chartTrackingRefBased/>
  <w15:docId w15:val="{66358A58-A123-4A21-87D0-97E582059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96F66"/>
    <w:pPr>
      <w:spacing w:after="0" w:line="240" w:lineRule="auto"/>
    </w:pPr>
    <w:rPr>
      <w:rFonts w:ascii="Calibri" w:hAnsi="Calibri" w:cs="Times New Roman"/>
      <w:lang w:eastAsia="sk-SK"/>
    </w:rPr>
  </w:style>
  <w:style w:type="paragraph" w:styleId="Nadpis1">
    <w:name w:val="heading 1"/>
    <w:basedOn w:val="Normlny"/>
    <w:next w:val="Normlny"/>
    <w:link w:val="Nadpis1Char"/>
    <w:uiPriority w:val="9"/>
    <w:qFormat/>
    <w:rsid w:val="00091BA7"/>
    <w:pPr>
      <w:keepNext/>
      <w:keepLines/>
      <w:spacing w:before="240" w:line="276" w:lineRule="auto"/>
      <w:jc w:val="center"/>
      <w:outlineLvl w:val="0"/>
    </w:pPr>
    <w:rPr>
      <w:rFonts w:ascii="Arial Narrow" w:eastAsiaTheme="majorEastAsia" w:hAnsi="Arial Narrow" w:cstheme="majorBidi"/>
      <w:b/>
      <w:color w:val="ED7D31" w:themeColor="accent2"/>
      <w:sz w:val="36"/>
      <w:szCs w:val="32"/>
      <w:lang w:eastAsia="en-US"/>
    </w:rPr>
  </w:style>
  <w:style w:type="paragraph" w:styleId="Nadpis2">
    <w:name w:val="heading 2"/>
    <w:basedOn w:val="Normlny"/>
    <w:next w:val="Normlny"/>
    <w:link w:val="Nadpis2Char"/>
    <w:uiPriority w:val="9"/>
    <w:unhideWhenUsed/>
    <w:qFormat/>
    <w:rsid w:val="00BD1778"/>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y"/>
    <w:next w:val="Normlny"/>
    <w:link w:val="Nadpis3Char"/>
    <w:uiPriority w:val="9"/>
    <w:semiHidden/>
    <w:unhideWhenUsed/>
    <w:qFormat/>
    <w:rsid w:val="007E670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y"/>
    <w:next w:val="Normlny"/>
    <w:link w:val="Nadpis4Char"/>
    <w:uiPriority w:val="9"/>
    <w:semiHidden/>
    <w:unhideWhenUsed/>
    <w:qFormat/>
    <w:rsid w:val="00502BFE"/>
    <w:pPr>
      <w:keepNext/>
      <w:keepLines/>
      <w:spacing w:before="40"/>
      <w:outlineLvl w:val="3"/>
    </w:pPr>
    <w:rPr>
      <w:rFonts w:asciiTheme="majorHAnsi" w:eastAsiaTheme="majorEastAsia" w:hAnsiTheme="majorHAnsi" w:cstheme="majorBidi"/>
      <w:i/>
      <w:iCs/>
      <w:color w:val="2E74B5" w:themeColor="accent1" w:themeShade="BF"/>
    </w:rPr>
  </w:style>
  <w:style w:type="paragraph" w:styleId="Nadpis5">
    <w:name w:val="heading 5"/>
    <w:basedOn w:val="Normlny"/>
    <w:next w:val="Normlny"/>
    <w:link w:val="Nadpis5Char"/>
    <w:uiPriority w:val="9"/>
    <w:semiHidden/>
    <w:unhideWhenUsed/>
    <w:qFormat/>
    <w:rsid w:val="005779C4"/>
    <w:pPr>
      <w:keepNext/>
      <w:keepLines/>
      <w:spacing w:before="40"/>
      <w:outlineLvl w:val="4"/>
    </w:pPr>
    <w:rPr>
      <w:rFonts w:asciiTheme="majorHAnsi" w:eastAsiaTheme="majorEastAsia" w:hAnsiTheme="majorHAnsi" w:cstheme="majorBidi"/>
      <w:color w:val="2E74B5" w:themeColor="accent1" w:themeShade="BF"/>
    </w:rPr>
  </w:style>
  <w:style w:type="paragraph" w:styleId="Nadpis6">
    <w:name w:val="heading 6"/>
    <w:basedOn w:val="Normlny"/>
    <w:next w:val="Normlny"/>
    <w:link w:val="Nadpis6Char"/>
    <w:uiPriority w:val="9"/>
    <w:semiHidden/>
    <w:unhideWhenUsed/>
    <w:qFormat/>
    <w:rsid w:val="005779C4"/>
    <w:pPr>
      <w:keepNext/>
      <w:keepLines/>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y"/>
    <w:next w:val="Normlny"/>
    <w:link w:val="Nadpis7Char"/>
    <w:uiPriority w:val="9"/>
    <w:semiHidden/>
    <w:unhideWhenUsed/>
    <w:qFormat/>
    <w:rsid w:val="005779C4"/>
    <w:pPr>
      <w:keepNext/>
      <w:keepLines/>
      <w:spacing w:before="40"/>
      <w:outlineLvl w:val="6"/>
    </w:pPr>
    <w:rPr>
      <w:rFonts w:asciiTheme="majorHAnsi" w:eastAsiaTheme="majorEastAsia" w:hAnsiTheme="majorHAnsi" w:cstheme="majorBidi"/>
      <w:i/>
      <w:iCs/>
      <w:color w:val="1F4D78" w:themeColor="accent1" w:themeShade="7F"/>
    </w:rPr>
  </w:style>
  <w:style w:type="paragraph" w:styleId="Nadpis8">
    <w:name w:val="heading 8"/>
    <w:basedOn w:val="Normlny"/>
    <w:next w:val="Normlny"/>
    <w:link w:val="Nadpis8Char"/>
    <w:uiPriority w:val="9"/>
    <w:semiHidden/>
    <w:unhideWhenUsed/>
    <w:qFormat/>
    <w:rsid w:val="005779C4"/>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5779C4"/>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091BA7"/>
    <w:rPr>
      <w:rFonts w:ascii="Arial Narrow" w:eastAsiaTheme="majorEastAsia" w:hAnsi="Arial Narrow" w:cstheme="majorBidi"/>
      <w:b/>
      <w:color w:val="ED7D31" w:themeColor="accent2"/>
      <w:sz w:val="36"/>
      <w:szCs w:val="32"/>
    </w:rPr>
  </w:style>
  <w:style w:type="paragraph" w:styleId="Hlavika">
    <w:name w:val="header"/>
    <w:basedOn w:val="Normlny"/>
    <w:link w:val="HlavikaChar"/>
    <w:uiPriority w:val="99"/>
    <w:unhideWhenUsed/>
    <w:rsid w:val="00091BA7"/>
    <w:pPr>
      <w:tabs>
        <w:tab w:val="center" w:pos="4536"/>
        <w:tab w:val="right" w:pos="9072"/>
      </w:tabs>
    </w:pPr>
  </w:style>
  <w:style w:type="character" w:customStyle="1" w:styleId="HlavikaChar">
    <w:name w:val="Hlavička Char"/>
    <w:basedOn w:val="Predvolenpsmoodseku"/>
    <w:link w:val="Hlavika"/>
    <w:uiPriority w:val="99"/>
    <w:rsid w:val="00091BA7"/>
    <w:rPr>
      <w:rFonts w:ascii="Calibri" w:hAnsi="Calibri" w:cs="Times New Roman"/>
      <w:lang w:eastAsia="sk-SK"/>
    </w:rPr>
  </w:style>
  <w:style w:type="paragraph" w:styleId="Pta">
    <w:name w:val="footer"/>
    <w:basedOn w:val="Normlny"/>
    <w:link w:val="PtaChar"/>
    <w:uiPriority w:val="99"/>
    <w:unhideWhenUsed/>
    <w:rsid w:val="00091BA7"/>
    <w:pPr>
      <w:tabs>
        <w:tab w:val="center" w:pos="4536"/>
        <w:tab w:val="right" w:pos="9072"/>
      </w:tabs>
    </w:pPr>
  </w:style>
  <w:style w:type="character" w:customStyle="1" w:styleId="PtaChar">
    <w:name w:val="Päta Char"/>
    <w:basedOn w:val="Predvolenpsmoodseku"/>
    <w:link w:val="Pta"/>
    <w:uiPriority w:val="99"/>
    <w:rsid w:val="00091BA7"/>
    <w:rPr>
      <w:rFonts w:ascii="Calibri" w:hAnsi="Calibri" w:cs="Times New Roman"/>
      <w:lang w:eastAsia="sk-SK"/>
    </w:rPr>
  </w:style>
  <w:style w:type="paragraph" w:styleId="Textpoznmkypodiarou">
    <w:name w:val="footnote text"/>
    <w:aliases w:val="Text poznámky pod čiarou 007,Footnote Text Char2,Footnote Text Char1 Char,Footnote Text Char2 Char Char,Footnote Text Char1 Char Char Char,Footnote Text Char2 Char Char Char Char,f,Schriftart: 9 pt,Schriftart: 10 pt"/>
    <w:basedOn w:val="Normlny"/>
    <w:link w:val="TextpoznmkypodiarouChar"/>
    <w:uiPriority w:val="99"/>
    <w:unhideWhenUsed/>
    <w:qFormat/>
    <w:rsid w:val="00091BA7"/>
    <w:rPr>
      <w:sz w:val="20"/>
      <w:szCs w:val="20"/>
    </w:rPr>
  </w:style>
  <w:style w:type="character" w:customStyle="1" w:styleId="TextpoznmkypodiarouChar">
    <w:name w:val="Text poznámky pod čiarou Char"/>
    <w:aliases w:val="Text poznámky pod čiarou 007 Char,Footnote Text Char2 Char,Footnote Text Char1 Char Char,Footnote Text Char2 Char Char Char,Footnote Text Char1 Char Char Char Char,Footnote Text Char2 Char Char Char Char Char,f Char"/>
    <w:basedOn w:val="Predvolenpsmoodseku"/>
    <w:link w:val="Textpoznmkypodiarou"/>
    <w:uiPriority w:val="99"/>
    <w:rsid w:val="00091BA7"/>
    <w:rPr>
      <w:rFonts w:ascii="Calibri" w:hAnsi="Calibri" w:cs="Times New Roman"/>
      <w:sz w:val="20"/>
      <w:szCs w:val="20"/>
      <w:lang w:eastAsia="sk-SK"/>
    </w:rPr>
  </w:style>
  <w:style w:type="character" w:styleId="Odkaznapoznmkupodiarou">
    <w:name w:val="footnote reference"/>
    <w:aliases w:val="Footnote Reference Superscript,Footnote symbol,Footnote Reference Number,Odwołanie przypisu,Footnote Reference/,Footnote Reference_LVL6,Footnote Reference_LVL61,Footnote Reference_LVL62,Footnote Reference_LVL63,footnote ref"/>
    <w:basedOn w:val="Predvolenpsmoodseku"/>
    <w:uiPriority w:val="99"/>
    <w:unhideWhenUsed/>
    <w:qFormat/>
    <w:rsid w:val="00091BA7"/>
    <w:rPr>
      <w:vertAlign w:val="superscript"/>
    </w:rPr>
  </w:style>
  <w:style w:type="character" w:styleId="Hypertextovprepojenie">
    <w:name w:val="Hyperlink"/>
    <w:basedOn w:val="Predvolenpsmoodseku"/>
    <w:uiPriority w:val="99"/>
    <w:unhideWhenUsed/>
    <w:rsid w:val="00091BA7"/>
    <w:rPr>
      <w:color w:val="0563C1" w:themeColor="hyperlink"/>
      <w:u w:val="single"/>
    </w:rPr>
  </w:style>
  <w:style w:type="paragraph" w:styleId="Hlavikaobsahu">
    <w:name w:val="TOC Heading"/>
    <w:basedOn w:val="Nadpis1"/>
    <w:next w:val="Normlny"/>
    <w:uiPriority w:val="39"/>
    <w:unhideWhenUsed/>
    <w:qFormat/>
    <w:rsid w:val="00091BA7"/>
    <w:pPr>
      <w:spacing w:line="259" w:lineRule="auto"/>
      <w:jc w:val="left"/>
      <w:outlineLvl w:val="9"/>
    </w:pPr>
    <w:rPr>
      <w:rFonts w:asciiTheme="majorHAnsi" w:hAnsiTheme="majorHAnsi"/>
      <w:b w:val="0"/>
      <w:color w:val="2E74B5" w:themeColor="accent1" w:themeShade="BF"/>
      <w:sz w:val="32"/>
      <w:lang w:eastAsia="sk-SK"/>
    </w:rPr>
  </w:style>
  <w:style w:type="paragraph" w:styleId="Obsah1">
    <w:name w:val="toc 1"/>
    <w:basedOn w:val="Normlny"/>
    <w:next w:val="Normlny"/>
    <w:autoRedefine/>
    <w:uiPriority w:val="39"/>
    <w:unhideWhenUsed/>
    <w:rsid w:val="005779C4"/>
    <w:pPr>
      <w:spacing w:before="360"/>
    </w:pPr>
    <w:rPr>
      <w:rFonts w:ascii="Arial Narrow" w:hAnsi="Arial Narrow" w:cstheme="majorHAnsi"/>
      <w:bCs/>
      <w:sz w:val="24"/>
      <w:szCs w:val="24"/>
    </w:rPr>
  </w:style>
  <w:style w:type="paragraph" w:styleId="Revzia">
    <w:name w:val="Revision"/>
    <w:hidden/>
    <w:uiPriority w:val="99"/>
    <w:semiHidden/>
    <w:rsid w:val="00672876"/>
    <w:pPr>
      <w:spacing w:after="0" w:line="240" w:lineRule="auto"/>
    </w:pPr>
    <w:rPr>
      <w:rFonts w:ascii="Calibri" w:hAnsi="Calibri" w:cs="Times New Roman"/>
      <w:lang w:eastAsia="sk-SK"/>
    </w:rPr>
  </w:style>
  <w:style w:type="paragraph" w:customStyle="1" w:styleId="pf0">
    <w:name w:val="pf0"/>
    <w:basedOn w:val="Normlny"/>
    <w:rsid w:val="007F6679"/>
    <w:pPr>
      <w:spacing w:before="100" w:beforeAutospacing="1" w:after="100" w:afterAutospacing="1"/>
    </w:pPr>
    <w:rPr>
      <w:rFonts w:ascii="Times New Roman" w:eastAsia="Times New Roman" w:hAnsi="Times New Roman"/>
      <w:sz w:val="24"/>
      <w:szCs w:val="24"/>
    </w:rPr>
  </w:style>
  <w:style w:type="character" w:customStyle="1" w:styleId="cf01">
    <w:name w:val="cf01"/>
    <w:basedOn w:val="Predvolenpsmoodseku"/>
    <w:rsid w:val="007F6679"/>
    <w:rPr>
      <w:rFonts w:ascii="Segoe UI" w:hAnsi="Segoe UI" w:cs="Segoe UI" w:hint="default"/>
      <w:sz w:val="18"/>
      <w:szCs w:val="18"/>
    </w:rPr>
  </w:style>
  <w:style w:type="character" w:styleId="Odkaznakomentr">
    <w:name w:val="annotation reference"/>
    <w:basedOn w:val="Predvolenpsmoodseku"/>
    <w:uiPriority w:val="99"/>
    <w:semiHidden/>
    <w:unhideWhenUsed/>
    <w:rsid w:val="001C2DE1"/>
    <w:rPr>
      <w:sz w:val="16"/>
      <w:szCs w:val="16"/>
    </w:rPr>
  </w:style>
  <w:style w:type="paragraph" w:styleId="Textkomentra">
    <w:name w:val="annotation text"/>
    <w:basedOn w:val="Normlny"/>
    <w:link w:val="TextkomentraChar"/>
    <w:uiPriority w:val="99"/>
    <w:unhideWhenUsed/>
    <w:rsid w:val="001C2DE1"/>
    <w:rPr>
      <w:sz w:val="20"/>
      <w:szCs w:val="20"/>
    </w:rPr>
  </w:style>
  <w:style w:type="character" w:customStyle="1" w:styleId="TextkomentraChar">
    <w:name w:val="Text komentára Char"/>
    <w:basedOn w:val="Predvolenpsmoodseku"/>
    <w:link w:val="Textkomentra"/>
    <w:uiPriority w:val="99"/>
    <w:rsid w:val="001C2DE1"/>
    <w:rPr>
      <w:rFonts w:ascii="Calibri" w:hAnsi="Calibri"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1C2DE1"/>
    <w:rPr>
      <w:b/>
      <w:bCs/>
    </w:rPr>
  </w:style>
  <w:style w:type="character" w:customStyle="1" w:styleId="PredmetkomentraChar">
    <w:name w:val="Predmet komentára Char"/>
    <w:basedOn w:val="TextkomentraChar"/>
    <w:link w:val="Predmetkomentra"/>
    <w:uiPriority w:val="99"/>
    <w:semiHidden/>
    <w:rsid w:val="001C2DE1"/>
    <w:rPr>
      <w:rFonts w:ascii="Calibri" w:hAnsi="Calibri" w:cs="Times New Roman"/>
      <w:b/>
      <w:bCs/>
      <w:sz w:val="20"/>
      <w:szCs w:val="20"/>
      <w:lang w:eastAsia="sk-SK"/>
    </w:rPr>
  </w:style>
  <w:style w:type="paragraph" w:styleId="Odsekzoznamu">
    <w:name w:val="List Paragraph"/>
    <w:basedOn w:val="Normlny"/>
    <w:uiPriority w:val="34"/>
    <w:qFormat/>
    <w:rsid w:val="00042C3F"/>
    <w:pPr>
      <w:ind w:left="720"/>
      <w:contextualSpacing/>
    </w:pPr>
  </w:style>
  <w:style w:type="character" w:customStyle="1" w:styleId="Nadpis4Char">
    <w:name w:val="Nadpis 4 Char"/>
    <w:basedOn w:val="Predvolenpsmoodseku"/>
    <w:link w:val="Nadpis4"/>
    <w:uiPriority w:val="9"/>
    <w:semiHidden/>
    <w:rsid w:val="00502BFE"/>
    <w:rPr>
      <w:rFonts w:asciiTheme="majorHAnsi" w:eastAsiaTheme="majorEastAsia" w:hAnsiTheme="majorHAnsi" w:cstheme="majorBidi"/>
      <w:i/>
      <w:iCs/>
      <w:color w:val="2E74B5" w:themeColor="accent1" w:themeShade="BF"/>
      <w:lang w:eastAsia="sk-SK"/>
    </w:rPr>
  </w:style>
  <w:style w:type="paragraph" w:styleId="Normlnywebov">
    <w:name w:val="Normal (Web)"/>
    <w:basedOn w:val="Normlny"/>
    <w:uiPriority w:val="99"/>
    <w:unhideWhenUsed/>
    <w:rsid w:val="00C1535F"/>
    <w:pPr>
      <w:spacing w:before="100" w:beforeAutospacing="1" w:after="100" w:afterAutospacing="1"/>
    </w:pPr>
    <w:rPr>
      <w:rFonts w:ascii="Times New Roman" w:eastAsia="Times New Roman" w:hAnsi="Times New Roman"/>
      <w:sz w:val="24"/>
      <w:szCs w:val="24"/>
    </w:rPr>
  </w:style>
  <w:style w:type="character" w:styleId="Vrazn">
    <w:name w:val="Strong"/>
    <w:basedOn w:val="Predvolenpsmoodseku"/>
    <w:uiPriority w:val="22"/>
    <w:qFormat/>
    <w:rsid w:val="00C1535F"/>
    <w:rPr>
      <w:b/>
      <w:bCs/>
    </w:rPr>
  </w:style>
  <w:style w:type="character" w:customStyle="1" w:styleId="Nadpis2Char">
    <w:name w:val="Nadpis 2 Char"/>
    <w:basedOn w:val="Predvolenpsmoodseku"/>
    <w:link w:val="Nadpis2"/>
    <w:uiPriority w:val="9"/>
    <w:rsid w:val="00BD1778"/>
    <w:rPr>
      <w:rFonts w:asciiTheme="majorHAnsi" w:eastAsiaTheme="majorEastAsia" w:hAnsiTheme="majorHAnsi" w:cstheme="majorBidi"/>
      <w:color w:val="2E74B5" w:themeColor="accent1" w:themeShade="BF"/>
      <w:sz w:val="26"/>
      <w:szCs w:val="26"/>
      <w:lang w:eastAsia="sk-SK"/>
    </w:rPr>
  </w:style>
  <w:style w:type="paragraph" w:styleId="Obsah2">
    <w:name w:val="toc 2"/>
    <w:basedOn w:val="Normlny"/>
    <w:next w:val="Normlny"/>
    <w:autoRedefine/>
    <w:uiPriority w:val="39"/>
    <w:unhideWhenUsed/>
    <w:rsid w:val="005779C4"/>
    <w:pPr>
      <w:spacing w:before="240"/>
    </w:pPr>
    <w:rPr>
      <w:rFonts w:ascii="Arial Narrow" w:hAnsi="Arial Narrow" w:cstheme="minorHAnsi"/>
      <w:bCs/>
      <w:sz w:val="24"/>
      <w:szCs w:val="20"/>
    </w:rPr>
  </w:style>
  <w:style w:type="paragraph" w:styleId="Obsah3">
    <w:name w:val="toc 3"/>
    <w:basedOn w:val="Normlny"/>
    <w:next w:val="Normlny"/>
    <w:autoRedefine/>
    <w:uiPriority w:val="39"/>
    <w:unhideWhenUsed/>
    <w:rsid w:val="005779C4"/>
    <w:pPr>
      <w:ind w:left="220"/>
    </w:pPr>
    <w:rPr>
      <w:rFonts w:ascii="Arial Narrow" w:hAnsi="Arial Narrow" w:cstheme="minorHAnsi"/>
      <w:sz w:val="24"/>
      <w:szCs w:val="20"/>
    </w:rPr>
  </w:style>
  <w:style w:type="character" w:customStyle="1" w:styleId="Nadpis3Char">
    <w:name w:val="Nadpis 3 Char"/>
    <w:basedOn w:val="Predvolenpsmoodseku"/>
    <w:link w:val="Nadpis3"/>
    <w:uiPriority w:val="9"/>
    <w:semiHidden/>
    <w:rsid w:val="007E6704"/>
    <w:rPr>
      <w:rFonts w:asciiTheme="majorHAnsi" w:eastAsiaTheme="majorEastAsia" w:hAnsiTheme="majorHAnsi" w:cstheme="majorBidi"/>
      <w:color w:val="1F4D78" w:themeColor="accent1" w:themeShade="7F"/>
      <w:sz w:val="24"/>
      <w:szCs w:val="24"/>
      <w:lang w:eastAsia="sk-SK"/>
    </w:rPr>
  </w:style>
  <w:style w:type="paragraph" w:styleId="Obsah4">
    <w:name w:val="toc 4"/>
    <w:basedOn w:val="Normlny"/>
    <w:next w:val="Normlny"/>
    <w:autoRedefine/>
    <w:uiPriority w:val="39"/>
    <w:unhideWhenUsed/>
    <w:rsid w:val="007E6704"/>
    <w:pPr>
      <w:ind w:left="440"/>
    </w:pPr>
    <w:rPr>
      <w:rFonts w:asciiTheme="minorHAnsi" w:hAnsiTheme="minorHAnsi" w:cstheme="minorHAnsi"/>
      <w:sz w:val="20"/>
      <w:szCs w:val="20"/>
    </w:rPr>
  </w:style>
  <w:style w:type="paragraph" w:styleId="Obsah5">
    <w:name w:val="toc 5"/>
    <w:basedOn w:val="Normlny"/>
    <w:next w:val="Normlny"/>
    <w:autoRedefine/>
    <w:uiPriority w:val="39"/>
    <w:unhideWhenUsed/>
    <w:rsid w:val="007E6704"/>
    <w:pPr>
      <w:ind w:left="660"/>
    </w:pPr>
    <w:rPr>
      <w:rFonts w:asciiTheme="minorHAnsi" w:hAnsiTheme="minorHAnsi" w:cstheme="minorHAnsi"/>
      <w:sz w:val="20"/>
      <w:szCs w:val="20"/>
    </w:rPr>
  </w:style>
  <w:style w:type="paragraph" w:styleId="Obsah6">
    <w:name w:val="toc 6"/>
    <w:basedOn w:val="Normlny"/>
    <w:next w:val="Normlny"/>
    <w:autoRedefine/>
    <w:uiPriority w:val="39"/>
    <w:unhideWhenUsed/>
    <w:rsid w:val="007E6704"/>
    <w:pPr>
      <w:ind w:left="880"/>
    </w:pPr>
    <w:rPr>
      <w:rFonts w:asciiTheme="minorHAnsi" w:hAnsiTheme="minorHAnsi" w:cstheme="minorHAnsi"/>
      <w:sz w:val="20"/>
      <w:szCs w:val="20"/>
    </w:rPr>
  </w:style>
  <w:style w:type="paragraph" w:styleId="Obsah7">
    <w:name w:val="toc 7"/>
    <w:basedOn w:val="Normlny"/>
    <w:next w:val="Normlny"/>
    <w:autoRedefine/>
    <w:uiPriority w:val="39"/>
    <w:unhideWhenUsed/>
    <w:rsid w:val="007E6704"/>
    <w:pPr>
      <w:ind w:left="1100"/>
    </w:pPr>
    <w:rPr>
      <w:rFonts w:asciiTheme="minorHAnsi" w:hAnsiTheme="minorHAnsi" w:cstheme="minorHAnsi"/>
      <w:sz w:val="20"/>
      <w:szCs w:val="20"/>
    </w:rPr>
  </w:style>
  <w:style w:type="paragraph" w:styleId="Obsah8">
    <w:name w:val="toc 8"/>
    <w:basedOn w:val="Normlny"/>
    <w:next w:val="Normlny"/>
    <w:autoRedefine/>
    <w:uiPriority w:val="39"/>
    <w:unhideWhenUsed/>
    <w:rsid w:val="007E6704"/>
    <w:pPr>
      <w:ind w:left="1320"/>
    </w:pPr>
    <w:rPr>
      <w:rFonts w:asciiTheme="minorHAnsi" w:hAnsiTheme="minorHAnsi" w:cstheme="minorHAnsi"/>
      <w:sz w:val="20"/>
      <w:szCs w:val="20"/>
    </w:rPr>
  </w:style>
  <w:style w:type="paragraph" w:styleId="Obsah9">
    <w:name w:val="toc 9"/>
    <w:basedOn w:val="Normlny"/>
    <w:next w:val="Normlny"/>
    <w:autoRedefine/>
    <w:uiPriority w:val="39"/>
    <w:unhideWhenUsed/>
    <w:rsid w:val="007E6704"/>
    <w:pPr>
      <w:ind w:left="1540"/>
    </w:pPr>
    <w:rPr>
      <w:rFonts w:asciiTheme="minorHAnsi" w:hAnsiTheme="minorHAnsi" w:cstheme="minorHAnsi"/>
      <w:sz w:val="20"/>
      <w:szCs w:val="20"/>
    </w:rPr>
  </w:style>
  <w:style w:type="table" w:styleId="Mriekatabuky">
    <w:name w:val="Table Grid"/>
    <w:basedOn w:val="Normlnatabuka"/>
    <w:uiPriority w:val="39"/>
    <w:rsid w:val="00323954"/>
    <w:pPr>
      <w:spacing w:after="0" w:line="240" w:lineRule="auto"/>
      <w:jc w:val="both"/>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Predvolenpsmoodseku"/>
    <w:link w:val="Nadpis5"/>
    <w:uiPriority w:val="9"/>
    <w:semiHidden/>
    <w:rsid w:val="005779C4"/>
    <w:rPr>
      <w:rFonts w:asciiTheme="majorHAnsi" w:eastAsiaTheme="majorEastAsia" w:hAnsiTheme="majorHAnsi" w:cstheme="majorBidi"/>
      <w:color w:val="2E74B5" w:themeColor="accent1" w:themeShade="BF"/>
      <w:lang w:eastAsia="sk-SK"/>
    </w:rPr>
  </w:style>
  <w:style w:type="character" w:customStyle="1" w:styleId="Nadpis6Char">
    <w:name w:val="Nadpis 6 Char"/>
    <w:basedOn w:val="Predvolenpsmoodseku"/>
    <w:link w:val="Nadpis6"/>
    <w:uiPriority w:val="9"/>
    <w:semiHidden/>
    <w:rsid w:val="005779C4"/>
    <w:rPr>
      <w:rFonts w:asciiTheme="majorHAnsi" w:eastAsiaTheme="majorEastAsia" w:hAnsiTheme="majorHAnsi" w:cstheme="majorBidi"/>
      <w:color w:val="1F4D78" w:themeColor="accent1" w:themeShade="7F"/>
      <w:lang w:eastAsia="sk-SK"/>
    </w:rPr>
  </w:style>
  <w:style w:type="character" w:customStyle="1" w:styleId="Nadpis7Char">
    <w:name w:val="Nadpis 7 Char"/>
    <w:basedOn w:val="Predvolenpsmoodseku"/>
    <w:link w:val="Nadpis7"/>
    <w:uiPriority w:val="9"/>
    <w:semiHidden/>
    <w:rsid w:val="005779C4"/>
    <w:rPr>
      <w:rFonts w:asciiTheme="majorHAnsi" w:eastAsiaTheme="majorEastAsia" w:hAnsiTheme="majorHAnsi" w:cstheme="majorBidi"/>
      <w:i/>
      <w:iCs/>
      <w:color w:val="1F4D78" w:themeColor="accent1" w:themeShade="7F"/>
      <w:lang w:eastAsia="sk-SK"/>
    </w:rPr>
  </w:style>
  <w:style w:type="character" w:customStyle="1" w:styleId="Nadpis8Char">
    <w:name w:val="Nadpis 8 Char"/>
    <w:basedOn w:val="Predvolenpsmoodseku"/>
    <w:link w:val="Nadpis8"/>
    <w:uiPriority w:val="9"/>
    <w:semiHidden/>
    <w:rsid w:val="005779C4"/>
    <w:rPr>
      <w:rFonts w:asciiTheme="majorHAnsi" w:eastAsiaTheme="majorEastAsia" w:hAnsiTheme="majorHAnsi" w:cstheme="majorBidi"/>
      <w:color w:val="272727" w:themeColor="text1" w:themeTint="D8"/>
      <w:sz w:val="21"/>
      <w:szCs w:val="21"/>
      <w:lang w:eastAsia="sk-SK"/>
    </w:rPr>
  </w:style>
  <w:style w:type="character" w:customStyle="1" w:styleId="Nadpis9Char">
    <w:name w:val="Nadpis 9 Char"/>
    <w:basedOn w:val="Predvolenpsmoodseku"/>
    <w:link w:val="Nadpis9"/>
    <w:uiPriority w:val="9"/>
    <w:semiHidden/>
    <w:rsid w:val="005779C4"/>
    <w:rPr>
      <w:rFonts w:asciiTheme="majorHAnsi" w:eastAsiaTheme="majorEastAsia" w:hAnsiTheme="majorHAnsi" w:cstheme="majorBidi"/>
      <w:i/>
      <w:iCs/>
      <w:color w:val="272727" w:themeColor="text1" w:themeTint="D8"/>
      <w:sz w:val="21"/>
      <w:szCs w:val="21"/>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312978">
      <w:bodyDiv w:val="1"/>
      <w:marLeft w:val="0"/>
      <w:marRight w:val="0"/>
      <w:marTop w:val="0"/>
      <w:marBottom w:val="0"/>
      <w:divBdr>
        <w:top w:val="none" w:sz="0" w:space="0" w:color="auto"/>
        <w:left w:val="none" w:sz="0" w:space="0" w:color="auto"/>
        <w:bottom w:val="none" w:sz="0" w:space="0" w:color="auto"/>
        <w:right w:val="none" w:sz="0" w:space="0" w:color="auto"/>
      </w:divBdr>
    </w:div>
    <w:div w:id="267199887">
      <w:bodyDiv w:val="1"/>
      <w:marLeft w:val="0"/>
      <w:marRight w:val="0"/>
      <w:marTop w:val="0"/>
      <w:marBottom w:val="0"/>
      <w:divBdr>
        <w:top w:val="none" w:sz="0" w:space="0" w:color="auto"/>
        <w:left w:val="none" w:sz="0" w:space="0" w:color="auto"/>
        <w:bottom w:val="none" w:sz="0" w:space="0" w:color="auto"/>
        <w:right w:val="none" w:sz="0" w:space="0" w:color="auto"/>
      </w:divBdr>
    </w:div>
    <w:div w:id="279728333">
      <w:bodyDiv w:val="1"/>
      <w:marLeft w:val="0"/>
      <w:marRight w:val="0"/>
      <w:marTop w:val="0"/>
      <w:marBottom w:val="0"/>
      <w:divBdr>
        <w:top w:val="none" w:sz="0" w:space="0" w:color="auto"/>
        <w:left w:val="none" w:sz="0" w:space="0" w:color="auto"/>
        <w:bottom w:val="none" w:sz="0" w:space="0" w:color="auto"/>
        <w:right w:val="none" w:sz="0" w:space="0" w:color="auto"/>
      </w:divBdr>
    </w:div>
    <w:div w:id="311177857">
      <w:bodyDiv w:val="1"/>
      <w:marLeft w:val="0"/>
      <w:marRight w:val="0"/>
      <w:marTop w:val="0"/>
      <w:marBottom w:val="0"/>
      <w:divBdr>
        <w:top w:val="none" w:sz="0" w:space="0" w:color="auto"/>
        <w:left w:val="none" w:sz="0" w:space="0" w:color="auto"/>
        <w:bottom w:val="none" w:sz="0" w:space="0" w:color="auto"/>
        <w:right w:val="none" w:sz="0" w:space="0" w:color="auto"/>
      </w:divBdr>
    </w:div>
    <w:div w:id="312150718">
      <w:bodyDiv w:val="1"/>
      <w:marLeft w:val="0"/>
      <w:marRight w:val="0"/>
      <w:marTop w:val="0"/>
      <w:marBottom w:val="0"/>
      <w:divBdr>
        <w:top w:val="none" w:sz="0" w:space="0" w:color="auto"/>
        <w:left w:val="none" w:sz="0" w:space="0" w:color="auto"/>
        <w:bottom w:val="none" w:sz="0" w:space="0" w:color="auto"/>
        <w:right w:val="none" w:sz="0" w:space="0" w:color="auto"/>
      </w:divBdr>
    </w:div>
    <w:div w:id="354695632">
      <w:bodyDiv w:val="1"/>
      <w:marLeft w:val="0"/>
      <w:marRight w:val="0"/>
      <w:marTop w:val="0"/>
      <w:marBottom w:val="0"/>
      <w:divBdr>
        <w:top w:val="none" w:sz="0" w:space="0" w:color="auto"/>
        <w:left w:val="none" w:sz="0" w:space="0" w:color="auto"/>
        <w:bottom w:val="none" w:sz="0" w:space="0" w:color="auto"/>
        <w:right w:val="none" w:sz="0" w:space="0" w:color="auto"/>
      </w:divBdr>
    </w:div>
    <w:div w:id="355278096">
      <w:bodyDiv w:val="1"/>
      <w:marLeft w:val="0"/>
      <w:marRight w:val="0"/>
      <w:marTop w:val="0"/>
      <w:marBottom w:val="0"/>
      <w:divBdr>
        <w:top w:val="none" w:sz="0" w:space="0" w:color="auto"/>
        <w:left w:val="none" w:sz="0" w:space="0" w:color="auto"/>
        <w:bottom w:val="none" w:sz="0" w:space="0" w:color="auto"/>
        <w:right w:val="none" w:sz="0" w:space="0" w:color="auto"/>
      </w:divBdr>
    </w:div>
    <w:div w:id="367069894">
      <w:bodyDiv w:val="1"/>
      <w:marLeft w:val="0"/>
      <w:marRight w:val="0"/>
      <w:marTop w:val="0"/>
      <w:marBottom w:val="0"/>
      <w:divBdr>
        <w:top w:val="none" w:sz="0" w:space="0" w:color="auto"/>
        <w:left w:val="none" w:sz="0" w:space="0" w:color="auto"/>
        <w:bottom w:val="none" w:sz="0" w:space="0" w:color="auto"/>
        <w:right w:val="none" w:sz="0" w:space="0" w:color="auto"/>
      </w:divBdr>
    </w:div>
    <w:div w:id="407921068">
      <w:bodyDiv w:val="1"/>
      <w:marLeft w:val="0"/>
      <w:marRight w:val="0"/>
      <w:marTop w:val="0"/>
      <w:marBottom w:val="0"/>
      <w:divBdr>
        <w:top w:val="none" w:sz="0" w:space="0" w:color="auto"/>
        <w:left w:val="none" w:sz="0" w:space="0" w:color="auto"/>
        <w:bottom w:val="none" w:sz="0" w:space="0" w:color="auto"/>
        <w:right w:val="none" w:sz="0" w:space="0" w:color="auto"/>
      </w:divBdr>
    </w:div>
    <w:div w:id="409624887">
      <w:bodyDiv w:val="1"/>
      <w:marLeft w:val="0"/>
      <w:marRight w:val="0"/>
      <w:marTop w:val="0"/>
      <w:marBottom w:val="0"/>
      <w:divBdr>
        <w:top w:val="none" w:sz="0" w:space="0" w:color="auto"/>
        <w:left w:val="none" w:sz="0" w:space="0" w:color="auto"/>
        <w:bottom w:val="none" w:sz="0" w:space="0" w:color="auto"/>
        <w:right w:val="none" w:sz="0" w:space="0" w:color="auto"/>
      </w:divBdr>
    </w:div>
    <w:div w:id="452360054">
      <w:bodyDiv w:val="1"/>
      <w:marLeft w:val="0"/>
      <w:marRight w:val="0"/>
      <w:marTop w:val="0"/>
      <w:marBottom w:val="0"/>
      <w:divBdr>
        <w:top w:val="none" w:sz="0" w:space="0" w:color="auto"/>
        <w:left w:val="none" w:sz="0" w:space="0" w:color="auto"/>
        <w:bottom w:val="none" w:sz="0" w:space="0" w:color="auto"/>
        <w:right w:val="none" w:sz="0" w:space="0" w:color="auto"/>
      </w:divBdr>
    </w:div>
    <w:div w:id="500513646">
      <w:bodyDiv w:val="1"/>
      <w:marLeft w:val="0"/>
      <w:marRight w:val="0"/>
      <w:marTop w:val="0"/>
      <w:marBottom w:val="0"/>
      <w:divBdr>
        <w:top w:val="none" w:sz="0" w:space="0" w:color="auto"/>
        <w:left w:val="none" w:sz="0" w:space="0" w:color="auto"/>
        <w:bottom w:val="none" w:sz="0" w:space="0" w:color="auto"/>
        <w:right w:val="none" w:sz="0" w:space="0" w:color="auto"/>
      </w:divBdr>
    </w:div>
    <w:div w:id="534931053">
      <w:bodyDiv w:val="1"/>
      <w:marLeft w:val="0"/>
      <w:marRight w:val="0"/>
      <w:marTop w:val="0"/>
      <w:marBottom w:val="0"/>
      <w:divBdr>
        <w:top w:val="none" w:sz="0" w:space="0" w:color="auto"/>
        <w:left w:val="none" w:sz="0" w:space="0" w:color="auto"/>
        <w:bottom w:val="none" w:sz="0" w:space="0" w:color="auto"/>
        <w:right w:val="none" w:sz="0" w:space="0" w:color="auto"/>
      </w:divBdr>
    </w:div>
    <w:div w:id="696082334">
      <w:bodyDiv w:val="1"/>
      <w:marLeft w:val="0"/>
      <w:marRight w:val="0"/>
      <w:marTop w:val="0"/>
      <w:marBottom w:val="0"/>
      <w:divBdr>
        <w:top w:val="none" w:sz="0" w:space="0" w:color="auto"/>
        <w:left w:val="none" w:sz="0" w:space="0" w:color="auto"/>
        <w:bottom w:val="none" w:sz="0" w:space="0" w:color="auto"/>
        <w:right w:val="none" w:sz="0" w:space="0" w:color="auto"/>
      </w:divBdr>
    </w:div>
    <w:div w:id="737168462">
      <w:bodyDiv w:val="1"/>
      <w:marLeft w:val="0"/>
      <w:marRight w:val="0"/>
      <w:marTop w:val="0"/>
      <w:marBottom w:val="0"/>
      <w:divBdr>
        <w:top w:val="none" w:sz="0" w:space="0" w:color="auto"/>
        <w:left w:val="none" w:sz="0" w:space="0" w:color="auto"/>
        <w:bottom w:val="none" w:sz="0" w:space="0" w:color="auto"/>
        <w:right w:val="none" w:sz="0" w:space="0" w:color="auto"/>
      </w:divBdr>
    </w:div>
    <w:div w:id="738096926">
      <w:bodyDiv w:val="1"/>
      <w:marLeft w:val="0"/>
      <w:marRight w:val="0"/>
      <w:marTop w:val="0"/>
      <w:marBottom w:val="0"/>
      <w:divBdr>
        <w:top w:val="none" w:sz="0" w:space="0" w:color="auto"/>
        <w:left w:val="none" w:sz="0" w:space="0" w:color="auto"/>
        <w:bottom w:val="none" w:sz="0" w:space="0" w:color="auto"/>
        <w:right w:val="none" w:sz="0" w:space="0" w:color="auto"/>
      </w:divBdr>
    </w:div>
    <w:div w:id="754013985">
      <w:bodyDiv w:val="1"/>
      <w:marLeft w:val="0"/>
      <w:marRight w:val="0"/>
      <w:marTop w:val="0"/>
      <w:marBottom w:val="0"/>
      <w:divBdr>
        <w:top w:val="none" w:sz="0" w:space="0" w:color="auto"/>
        <w:left w:val="none" w:sz="0" w:space="0" w:color="auto"/>
        <w:bottom w:val="none" w:sz="0" w:space="0" w:color="auto"/>
        <w:right w:val="none" w:sz="0" w:space="0" w:color="auto"/>
      </w:divBdr>
    </w:div>
    <w:div w:id="762722229">
      <w:bodyDiv w:val="1"/>
      <w:marLeft w:val="0"/>
      <w:marRight w:val="0"/>
      <w:marTop w:val="0"/>
      <w:marBottom w:val="0"/>
      <w:divBdr>
        <w:top w:val="none" w:sz="0" w:space="0" w:color="auto"/>
        <w:left w:val="none" w:sz="0" w:space="0" w:color="auto"/>
        <w:bottom w:val="none" w:sz="0" w:space="0" w:color="auto"/>
        <w:right w:val="none" w:sz="0" w:space="0" w:color="auto"/>
      </w:divBdr>
    </w:div>
    <w:div w:id="862789075">
      <w:bodyDiv w:val="1"/>
      <w:marLeft w:val="0"/>
      <w:marRight w:val="0"/>
      <w:marTop w:val="0"/>
      <w:marBottom w:val="0"/>
      <w:divBdr>
        <w:top w:val="none" w:sz="0" w:space="0" w:color="auto"/>
        <w:left w:val="none" w:sz="0" w:space="0" w:color="auto"/>
        <w:bottom w:val="none" w:sz="0" w:space="0" w:color="auto"/>
        <w:right w:val="none" w:sz="0" w:space="0" w:color="auto"/>
      </w:divBdr>
    </w:div>
    <w:div w:id="867985351">
      <w:bodyDiv w:val="1"/>
      <w:marLeft w:val="0"/>
      <w:marRight w:val="0"/>
      <w:marTop w:val="0"/>
      <w:marBottom w:val="0"/>
      <w:divBdr>
        <w:top w:val="none" w:sz="0" w:space="0" w:color="auto"/>
        <w:left w:val="none" w:sz="0" w:space="0" w:color="auto"/>
        <w:bottom w:val="none" w:sz="0" w:space="0" w:color="auto"/>
        <w:right w:val="none" w:sz="0" w:space="0" w:color="auto"/>
      </w:divBdr>
    </w:div>
    <w:div w:id="932905054">
      <w:bodyDiv w:val="1"/>
      <w:marLeft w:val="0"/>
      <w:marRight w:val="0"/>
      <w:marTop w:val="0"/>
      <w:marBottom w:val="0"/>
      <w:divBdr>
        <w:top w:val="none" w:sz="0" w:space="0" w:color="auto"/>
        <w:left w:val="none" w:sz="0" w:space="0" w:color="auto"/>
        <w:bottom w:val="none" w:sz="0" w:space="0" w:color="auto"/>
        <w:right w:val="none" w:sz="0" w:space="0" w:color="auto"/>
      </w:divBdr>
    </w:div>
    <w:div w:id="1002051530">
      <w:bodyDiv w:val="1"/>
      <w:marLeft w:val="0"/>
      <w:marRight w:val="0"/>
      <w:marTop w:val="0"/>
      <w:marBottom w:val="0"/>
      <w:divBdr>
        <w:top w:val="none" w:sz="0" w:space="0" w:color="auto"/>
        <w:left w:val="none" w:sz="0" w:space="0" w:color="auto"/>
        <w:bottom w:val="none" w:sz="0" w:space="0" w:color="auto"/>
        <w:right w:val="none" w:sz="0" w:space="0" w:color="auto"/>
      </w:divBdr>
    </w:div>
    <w:div w:id="1030380442">
      <w:bodyDiv w:val="1"/>
      <w:marLeft w:val="0"/>
      <w:marRight w:val="0"/>
      <w:marTop w:val="0"/>
      <w:marBottom w:val="0"/>
      <w:divBdr>
        <w:top w:val="none" w:sz="0" w:space="0" w:color="auto"/>
        <w:left w:val="none" w:sz="0" w:space="0" w:color="auto"/>
        <w:bottom w:val="none" w:sz="0" w:space="0" w:color="auto"/>
        <w:right w:val="none" w:sz="0" w:space="0" w:color="auto"/>
      </w:divBdr>
    </w:div>
    <w:div w:id="1061516820">
      <w:bodyDiv w:val="1"/>
      <w:marLeft w:val="0"/>
      <w:marRight w:val="0"/>
      <w:marTop w:val="0"/>
      <w:marBottom w:val="0"/>
      <w:divBdr>
        <w:top w:val="none" w:sz="0" w:space="0" w:color="auto"/>
        <w:left w:val="none" w:sz="0" w:space="0" w:color="auto"/>
        <w:bottom w:val="none" w:sz="0" w:space="0" w:color="auto"/>
        <w:right w:val="none" w:sz="0" w:space="0" w:color="auto"/>
      </w:divBdr>
    </w:div>
    <w:div w:id="1063871153">
      <w:bodyDiv w:val="1"/>
      <w:marLeft w:val="0"/>
      <w:marRight w:val="0"/>
      <w:marTop w:val="0"/>
      <w:marBottom w:val="0"/>
      <w:divBdr>
        <w:top w:val="none" w:sz="0" w:space="0" w:color="auto"/>
        <w:left w:val="none" w:sz="0" w:space="0" w:color="auto"/>
        <w:bottom w:val="none" w:sz="0" w:space="0" w:color="auto"/>
        <w:right w:val="none" w:sz="0" w:space="0" w:color="auto"/>
      </w:divBdr>
    </w:div>
    <w:div w:id="1135637802">
      <w:bodyDiv w:val="1"/>
      <w:marLeft w:val="0"/>
      <w:marRight w:val="0"/>
      <w:marTop w:val="0"/>
      <w:marBottom w:val="0"/>
      <w:divBdr>
        <w:top w:val="none" w:sz="0" w:space="0" w:color="auto"/>
        <w:left w:val="none" w:sz="0" w:space="0" w:color="auto"/>
        <w:bottom w:val="none" w:sz="0" w:space="0" w:color="auto"/>
        <w:right w:val="none" w:sz="0" w:space="0" w:color="auto"/>
      </w:divBdr>
    </w:div>
    <w:div w:id="1165517066">
      <w:bodyDiv w:val="1"/>
      <w:marLeft w:val="0"/>
      <w:marRight w:val="0"/>
      <w:marTop w:val="0"/>
      <w:marBottom w:val="0"/>
      <w:divBdr>
        <w:top w:val="none" w:sz="0" w:space="0" w:color="auto"/>
        <w:left w:val="none" w:sz="0" w:space="0" w:color="auto"/>
        <w:bottom w:val="none" w:sz="0" w:space="0" w:color="auto"/>
        <w:right w:val="none" w:sz="0" w:space="0" w:color="auto"/>
      </w:divBdr>
    </w:div>
    <w:div w:id="1173689150">
      <w:bodyDiv w:val="1"/>
      <w:marLeft w:val="0"/>
      <w:marRight w:val="0"/>
      <w:marTop w:val="0"/>
      <w:marBottom w:val="0"/>
      <w:divBdr>
        <w:top w:val="none" w:sz="0" w:space="0" w:color="auto"/>
        <w:left w:val="none" w:sz="0" w:space="0" w:color="auto"/>
        <w:bottom w:val="none" w:sz="0" w:space="0" w:color="auto"/>
        <w:right w:val="none" w:sz="0" w:space="0" w:color="auto"/>
      </w:divBdr>
    </w:div>
    <w:div w:id="1190606689">
      <w:bodyDiv w:val="1"/>
      <w:marLeft w:val="0"/>
      <w:marRight w:val="0"/>
      <w:marTop w:val="0"/>
      <w:marBottom w:val="0"/>
      <w:divBdr>
        <w:top w:val="none" w:sz="0" w:space="0" w:color="auto"/>
        <w:left w:val="none" w:sz="0" w:space="0" w:color="auto"/>
        <w:bottom w:val="none" w:sz="0" w:space="0" w:color="auto"/>
        <w:right w:val="none" w:sz="0" w:space="0" w:color="auto"/>
      </w:divBdr>
    </w:div>
    <w:div w:id="1202673077">
      <w:bodyDiv w:val="1"/>
      <w:marLeft w:val="0"/>
      <w:marRight w:val="0"/>
      <w:marTop w:val="0"/>
      <w:marBottom w:val="0"/>
      <w:divBdr>
        <w:top w:val="none" w:sz="0" w:space="0" w:color="auto"/>
        <w:left w:val="none" w:sz="0" w:space="0" w:color="auto"/>
        <w:bottom w:val="none" w:sz="0" w:space="0" w:color="auto"/>
        <w:right w:val="none" w:sz="0" w:space="0" w:color="auto"/>
      </w:divBdr>
    </w:div>
    <w:div w:id="1205632697">
      <w:bodyDiv w:val="1"/>
      <w:marLeft w:val="0"/>
      <w:marRight w:val="0"/>
      <w:marTop w:val="0"/>
      <w:marBottom w:val="0"/>
      <w:divBdr>
        <w:top w:val="none" w:sz="0" w:space="0" w:color="auto"/>
        <w:left w:val="none" w:sz="0" w:space="0" w:color="auto"/>
        <w:bottom w:val="none" w:sz="0" w:space="0" w:color="auto"/>
        <w:right w:val="none" w:sz="0" w:space="0" w:color="auto"/>
      </w:divBdr>
    </w:div>
    <w:div w:id="1247377939">
      <w:bodyDiv w:val="1"/>
      <w:marLeft w:val="0"/>
      <w:marRight w:val="0"/>
      <w:marTop w:val="0"/>
      <w:marBottom w:val="0"/>
      <w:divBdr>
        <w:top w:val="none" w:sz="0" w:space="0" w:color="auto"/>
        <w:left w:val="none" w:sz="0" w:space="0" w:color="auto"/>
        <w:bottom w:val="none" w:sz="0" w:space="0" w:color="auto"/>
        <w:right w:val="none" w:sz="0" w:space="0" w:color="auto"/>
      </w:divBdr>
    </w:div>
    <w:div w:id="1289510238">
      <w:bodyDiv w:val="1"/>
      <w:marLeft w:val="0"/>
      <w:marRight w:val="0"/>
      <w:marTop w:val="0"/>
      <w:marBottom w:val="0"/>
      <w:divBdr>
        <w:top w:val="none" w:sz="0" w:space="0" w:color="auto"/>
        <w:left w:val="none" w:sz="0" w:space="0" w:color="auto"/>
        <w:bottom w:val="none" w:sz="0" w:space="0" w:color="auto"/>
        <w:right w:val="none" w:sz="0" w:space="0" w:color="auto"/>
      </w:divBdr>
    </w:div>
    <w:div w:id="1296064173">
      <w:bodyDiv w:val="1"/>
      <w:marLeft w:val="0"/>
      <w:marRight w:val="0"/>
      <w:marTop w:val="0"/>
      <w:marBottom w:val="0"/>
      <w:divBdr>
        <w:top w:val="none" w:sz="0" w:space="0" w:color="auto"/>
        <w:left w:val="none" w:sz="0" w:space="0" w:color="auto"/>
        <w:bottom w:val="none" w:sz="0" w:space="0" w:color="auto"/>
        <w:right w:val="none" w:sz="0" w:space="0" w:color="auto"/>
      </w:divBdr>
    </w:div>
    <w:div w:id="1309359799">
      <w:bodyDiv w:val="1"/>
      <w:marLeft w:val="0"/>
      <w:marRight w:val="0"/>
      <w:marTop w:val="0"/>
      <w:marBottom w:val="0"/>
      <w:divBdr>
        <w:top w:val="none" w:sz="0" w:space="0" w:color="auto"/>
        <w:left w:val="none" w:sz="0" w:space="0" w:color="auto"/>
        <w:bottom w:val="none" w:sz="0" w:space="0" w:color="auto"/>
        <w:right w:val="none" w:sz="0" w:space="0" w:color="auto"/>
      </w:divBdr>
    </w:div>
    <w:div w:id="1331373466">
      <w:bodyDiv w:val="1"/>
      <w:marLeft w:val="0"/>
      <w:marRight w:val="0"/>
      <w:marTop w:val="0"/>
      <w:marBottom w:val="0"/>
      <w:divBdr>
        <w:top w:val="none" w:sz="0" w:space="0" w:color="auto"/>
        <w:left w:val="none" w:sz="0" w:space="0" w:color="auto"/>
        <w:bottom w:val="none" w:sz="0" w:space="0" w:color="auto"/>
        <w:right w:val="none" w:sz="0" w:space="0" w:color="auto"/>
      </w:divBdr>
    </w:div>
    <w:div w:id="1367632015">
      <w:bodyDiv w:val="1"/>
      <w:marLeft w:val="0"/>
      <w:marRight w:val="0"/>
      <w:marTop w:val="0"/>
      <w:marBottom w:val="0"/>
      <w:divBdr>
        <w:top w:val="none" w:sz="0" w:space="0" w:color="auto"/>
        <w:left w:val="none" w:sz="0" w:space="0" w:color="auto"/>
        <w:bottom w:val="none" w:sz="0" w:space="0" w:color="auto"/>
        <w:right w:val="none" w:sz="0" w:space="0" w:color="auto"/>
      </w:divBdr>
    </w:div>
    <w:div w:id="1458377429">
      <w:bodyDiv w:val="1"/>
      <w:marLeft w:val="0"/>
      <w:marRight w:val="0"/>
      <w:marTop w:val="0"/>
      <w:marBottom w:val="0"/>
      <w:divBdr>
        <w:top w:val="none" w:sz="0" w:space="0" w:color="auto"/>
        <w:left w:val="none" w:sz="0" w:space="0" w:color="auto"/>
        <w:bottom w:val="none" w:sz="0" w:space="0" w:color="auto"/>
        <w:right w:val="none" w:sz="0" w:space="0" w:color="auto"/>
      </w:divBdr>
    </w:div>
    <w:div w:id="1491098552">
      <w:bodyDiv w:val="1"/>
      <w:marLeft w:val="0"/>
      <w:marRight w:val="0"/>
      <w:marTop w:val="0"/>
      <w:marBottom w:val="0"/>
      <w:divBdr>
        <w:top w:val="none" w:sz="0" w:space="0" w:color="auto"/>
        <w:left w:val="none" w:sz="0" w:space="0" w:color="auto"/>
        <w:bottom w:val="none" w:sz="0" w:space="0" w:color="auto"/>
        <w:right w:val="none" w:sz="0" w:space="0" w:color="auto"/>
      </w:divBdr>
    </w:div>
    <w:div w:id="1493569645">
      <w:bodyDiv w:val="1"/>
      <w:marLeft w:val="0"/>
      <w:marRight w:val="0"/>
      <w:marTop w:val="0"/>
      <w:marBottom w:val="0"/>
      <w:divBdr>
        <w:top w:val="none" w:sz="0" w:space="0" w:color="auto"/>
        <w:left w:val="none" w:sz="0" w:space="0" w:color="auto"/>
        <w:bottom w:val="none" w:sz="0" w:space="0" w:color="auto"/>
        <w:right w:val="none" w:sz="0" w:space="0" w:color="auto"/>
      </w:divBdr>
    </w:div>
    <w:div w:id="1528520405">
      <w:bodyDiv w:val="1"/>
      <w:marLeft w:val="0"/>
      <w:marRight w:val="0"/>
      <w:marTop w:val="0"/>
      <w:marBottom w:val="0"/>
      <w:divBdr>
        <w:top w:val="none" w:sz="0" w:space="0" w:color="auto"/>
        <w:left w:val="none" w:sz="0" w:space="0" w:color="auto"/>
        <w:bottom w:val="none" w:sz="0" w:space="0" w:color="auto"/>
        <w:right w:val="none" w:sz="0" w:space="0" w:color="auto"/>
      </w:divBdr>
    </w:div>
    <w:div w:id="1542742338">
      <w:bodyDiv w:val="1"/>
      <w:marLeft w:val="0"/>
      <w:marRight w:val="0"/>
      <w:marTop w:val="0"/>
      <w:marBottom w:val="0"/>
      <w:divBdr>
        <w:top w:val="none" w:sz="0" w:space="0" w:color="auto"/>
        <w:left w:val="none" w:sz="0" w:space="0" w:color="auto"/>
        <w:bottom w:val="none" w:sz="0" w:space="0" w:color="auto"/>
        <w:right w:val="none" w:sz="0" w:space="0" w:color="auto"/>
      </w:divBdr>
    </w:div>
    <w:div w:id="1561286333">
      <w:bodyDiv w:val="1"/>
      <w:marLeft w:val="0"/>
      <w:marRight w:val="0"/>
      <w:marTop w:val="0"/>
      <w:marBottom w:val="0"/>
      <w:divBdr>
        <w:top w:val="none" w:sz="0" w:space="0" w:color="auto"/>
        <w:left w:val="none" w:sz="0" w:space="0" w:color="auto"/>
        <w:bottom w:val="none" w:sz="0" w:space="0" w:color="auto"/>
        <w:right w:val="none" w:sz="0" w:space="0" w:color="auto"/>
      </w:divBdr>
    </w:div>
    <w:div w:id="1638533088">
      <w:bodyDiv w:val="1"/>
      <w:marLeft w:val="0"/>
      <w:marRight w:val="0"/>
      <w:marTop w:val="0"/>
      <w:marBottom w:val="0"/>
      <w:divBdr>
        <w:top w:val="none" w:sz="0" w:space="0" w:color="auto"/>
        <w:left w:val="none" w:sz="0" w:space="0" w:color="auto"/>
        <w:bottom w:val="none" w:sz="0" w:space="0" w:color="auto"/>
        <w:right w:val="none" w:sz="0" w:space="0" w:color="auto"/>
      </w:divBdr>
    </w:div>
    <w:div w:id="1753358786">
      <w:bodyDiv w:val="1"/>
      <w:marLeft w:val="0"/>
      <w:marRight w:val="0"/>
      <w:marTop w:val="0"/>
      <w:marBottom w:val="0"/>
      <w:divBdr>
        <w:top w:val="none" w:sz="0" w:space="0" w:color="auto"/>
        <w:left w:val="none" w:sz="0" w:space="0" w:color="auto"/>
        <w:bottom w:val="none" w:sz="0" w:space="0" w:color="auto"/>
        <w:right w:val="none" w:sz="0" w:space="0" w:color="auto"/>
      </w:divBdr>
    </w:div>
    <w:div w:id="1793281839">
      <w:bodyDiv w:val="1"/>
      <w:marLeft w:val="0"/>
      <w:marRight w:val="0"/>
      <w:marTop w:val="0"/>
      <w:marBottom w:val="0"/>
      <w:divBdr>
        <w:top w:val="none" w:sz="0" w:space="0" w:color="auto"/>
        <w:left w:val="none" w:sz="0" w:space="0" w:color="auto"/>
        <w:bottom w:val="none" w:sz="0" w:space="0" w:color="auto"/>
        <w:right w:val="none" w:sz="0" w:space="0" w:color="auto"/>
      </w:divBdr>
    </w:div>
    <w:div w:id="1799299941">
      <w:bodyDiv w:val="1"/>
      <w:marLeft w:val="0"/>
      <w:marRight w:val="0"/>
      <w:marTop w:val="0"/>
      <w:marBottom w:val="0"/>
      <w:divBdr>
        <w:top w:val="none" w:sz="0" w:space="0" w:color="auto"/>
        <w:left w:val="none" w:sz="0" w:space="0" w:color="auto"/>
        <w:bottom w:val="none" w:sz="0" w:space="0" w:color="auto"/>
        <w:right w:val="none" w:sz="0" w:space="0" w:color="auto"/>
      </w:divBdr>
    </w:div>
    <w:div w:id="1815297561">
      <w:bodyDiv w:val="1"/>
      <w:marLeft w:val="0"/>
      <w:marRight w:val="0"/>
      <w:marTop w:val="0"/>
      <w:marBottom w:val="0"/>
      <w:divBdr>
        <w:top w:val="none" w:sz="0" w:space="0" w:color="auto"/>
        <w:left w:val="none" w:sz="0" w:space="0" w:color="auto"/>
        <w:bottom w:val="none" w:sz="0" w:space="0" w:color="auto"/>
        <w:right w:val="none" w:sz="0" w:space="0" w:color="auto"/>
      </w:divBdr>
    </w:div>
    <w:div w:id="1823813893">
      <w:bodyDiv w:val="1"/>
      <w:marLeft w:val="0"/>
      <w:marRight w:val="0"/>
      <w:marTop w:val="0"/>
      <w:marBottom w:val="0"/>
      <w:divBdr>
        <w:top w:val="none" w:sz="0" w:space="0" w:color="auto"/>
        <w:left w:val="none" w:sz="0" w:space="0" w:color="auto"/>
        <w:bottom w:val="none" w:sz="0" w:space="0" w:color="auto"/>
        <w:right w:val="none" w:sz="0" w:space="0" w:color="auto"/>
      </w:divBdr>
    </w:div>
    <w:div w:id="1831167037">
      <w:bodyDiv w:val="1"/>
      <w:marLeft w:val="0"/>
      <w:marRight w:val="0"/>
      <w:marTop w:val="0"/>
      <w:marBottom w:val="0"/>
      <w:divBdr>
        <w:top w:val="none" w:sz="0" w:space="0" w:color="auto"/>
        <w:left w:val="none" w:sz="0" w:space="0" w:color="auto"/>
        <w:bottom w:val="none" w:sz="0" w:space="0" w:color="auto"/>
        <w:right w:val="none" w:sz="0" w:space="0" w:color="auto"/>
      </w:divBdr>
    </w:div>
    <w:div w:id="1884826586">
      <w:bodyDiv w:val="1"/>
      <w:marLeft w:val="0"/>
      <w:marRight w:val="0"/>
      <w:marTop w:val="0"/>
      <w:marBottom w:val="0"/>
      <w:divBdr>
        <w:top w:val="none" w:sz="0" w:space="0" w:color="auto"/>
        <w:left w:val="none" w:sz="0" w:space="0" w:color="auto"/>
        <w:bottom w:val="none" w:sz="0" w:space="0" w:color="auto"/>
        <w:right w:val="none" w:sz="0" w:space="0" w:color="auto"/>
      </w:divBdr>
    </w:div>
    <w:div w:id="1888911300">
      <w:bodyDiv w:val="1"/>
      <w:marLeft w:val="0"/>
      <w:marRight w:val="0"/>
      <w:marTop w:val="0"/>
      <w:marBottom w:val="0"/>
      <w:divBdr>
        <w:top w:val="none" w:sz="0" w:space="0" w:color="auto"/>
        <w:left w:val="none" w:sz="0" w:space="0" w:color="auto"/>
        <w:bottom w:val="none" w:sz="0" w:space="0" w:color="auto"/>
        <w:right w:val="none" w:sz="0" w:space="0" w:color="auto"/>
      </w:divBdr>
    </w:div>
    <w:div w:id="1937665779">
      <w:bodyDiv w:val="1"/>
      <w:marLeft w:val="0"/>
      <w:marRight w:val="0"/>
      <w:marTop w:val="0"/>
      <w:marBottom w:val="0"/>
      <w:divBdr>
        <w:top w:val="none" w:sz="0" w:space="0" w:color="auto"/>
        <w:left w:val="none" w:sz="0" w:space="0" w:color="auto"/>
        <w:bottom w:val="none" w:sz="0" w:space="0" w:color="auto"/>
        <w:right w:val="none" w:sz="0" w:space="0" w:color="auto"/>
      </w:divBdr>
    </w:div>
    <w:div w:id="1965235895">
      <w:bodyDiv w:val="1"/>
      <w:marLeft w:val="0"/>
      <w:marRight w:val="0"/>
      <w:marTop w:val="0"/>
      <w:marBottom w:val="0"/>
      <w:divBdr>
        <w:top w:val="none" w:sz="0" w:space="0" w:color="auto"/>
        <w:left w:val="none" w:sz="0" w:space="0" w:color="auto"/>
        <w:bottom w:val="none" w:sz="0" w:space="0" w:color="auto"/>
        <w:right w:val="none" w:sz="0" w:space="0" w:color="auto"/>
      </w:divBdr>
    </w:div>
    <w:div w:id="2001689321">
      <w:bodyDiv w:val="1"/>
      <w:marLeft w:val="0"/>
      <w:marRight w:val="0"/>
      <w:marTop w:val="0"/>
      <w:marBottom w:val="0"/>
      <w:divBdr>
        <w:top w:val="none" w:sz="0" w:space="0" w:color="auto"/>
        <w:left w:val="none" w:sz="0" w:space="0" w:color="auto"/>
        <w:bottom w:val="none" w:sz="0" w:space="0" w:color="auto"/>
        <w:right w:val="none" w:sz="0" w:space="0" w:color="auto"/>
      </w:divBdr>
    </w:div>
    <w:div w:id="2017077664">
      <w:bodyDiv w:val="1"/>
      <w:marLeft w:val="0"/>
      <w:marRight w:val="0"/>
      <w:marTop w:val="0"/>
      <w:marBottom w:val="0"/>
      <w:divBdr>
        <w:top w:val="none" w:sz="0" w:space="0" w:color="auto"/>
        <w:left w:val="none" w:sz="0" w:space="0" w:color="auto"/>
        <w:bottom w:val="none" w:sz="0" w:space="0" w:color="auto"/>
        <w:right w:val="none" w:sz="0" w:space="0" w:color="auto"/>
      </w:divBdr>
    </w:div>
    <w:div w:id="2040469379">
      <w:bodyDiv w:val="1"/>
      <w:marLeft w:val="0"/>
      <w:marRight w:val="0"/>
      <w:marTop w:val="0"/>
      <w:marBottom w:val="0"/>
      <w:divBdr>
        <w:top w:val="none" w:sz="0" w:space="0" w:color="auto"/>
        <w:left w:val="none" w:sz="0" w:space="0" w:color="auto"/>
        <w:bottom w:val="none" w:sz="0" w:space="0" w:color="auto"/>
        <w:right w:val="none" w:sz="0" w:space="0" w:color="auto"/>
      </w:divBdr>
    </w:div>
    <w:div w:id="2117364885">
      <w:bodyDiv w:val="1"/>
      <w:marLeft w:val="0"/>
      <w:marRight w:val="0"/>
      <w:marTop w:val="0"/>
      <w:marBottom w:val="0"/>
      <w:divBdr>
        <w:top w:val="none" w:sz="0" w:space="0" w:color="auto"/>
        <w:left w:val="none" w:sz="0" w:space="0" w:color="auto"/>
        <w:bottom w:val="none" w:sz="0" w:space="0" w:color="auto"/>
        <w:right w:val="none" w:sz="0" w:space="0" w:color="auto"/>
      </w:divBdr>
    </w:div>
    <w:div w:id="2121950592">
      <w:bodyDiv w:val="1"/>
      <w:marLeft w:val="0"/>
      <w:marRight w:val="0"/>
      <w:marTop w:val="0"/>
      <w:marBottom w:val="0"/>
      <w:divBdr>
        <w:top w:val="none" w:sz="0" w:space="0" w:color="auto"/>
        <w:left w:val="none" w:sz="0" w:space="0" w:color="auto"/>
        <w:bottom w:val="none" w:sz="0" w:space="0" w:color="auto"/>
        <w:right w:val="none" w:sz="0" w:space="0" w:color="auto"/>
      </w:divBdr>
    </w:div>
    <w:div w:id="2133016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0.xml"/><Relationship Id="rId21" Type="http://schemas.openxmlformats.org/officeDocument/2006/relationships/chart" Target="charts/chart5.xml"/><Relationship Id="rId34" Type="http://schemas.openxmlformats.org/officeDocument/2006/relationships/chart" Target="charts/chart18.xml"/><Relationship Id="rId42" Type="http://schemas.openxmlformats.org/officeDocument/2006/relationships/image" Target="media/image4.png"/><Relationship Id="rId47" Type="http://schemas.openxmlformats.org/officeDocument/2006/relationships/image" Target="media/image9.png"/><Relationship Id="rId50" Type="http://schemas.openxmlformats.org/officeDocument/2006/relationships/chart" Target="charts/chart27.xml"/><Relationship Id="rId55" Type="http://schemas.openxmlformats.org/officeDocument/2006/relationships/chart" Target="charts/chart32.xml"/><Relationship Id="rId63" Type="http://schemas.openxmlformats.org/officeDocument/2006/relationships/header" Target="header4.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chart" Target="charts/chart1.xml"/><Relationship Id="rId29" Type="http://schemas.openxmlformats.org/officeDocument/2006/relationships/chart" Target="charts/chart13.xml"/><Relationship Id="rId11" Type="http://schemas.openxmlformats.org/officeDocument/2006/relationships/header" Target="header1.xml"/><Relationship Id="rId24" Type="http://schemas.openxmlformats.org/officeDocument/2006/relationships/chart" Target="charts/chart8.xml"/><Relationship Id="rId32" Type="http://schemas.openxmlformats.org/officeDocument/2006/relationships/chart" Target="charts/chart16.xml"/><Relationship Id="rId37" Type="http://schemas.openxmlformats.org/officeDocument/2006/relationships/chart" Target="charts/chart21.xml"/><Relationship Id="rId40" Type="http://schemas.openxmlformats.org/officeDocument/2006/relationships/chart" Target="charts/chart24.xml"/><Relationship Id="rId45" Type="http://schemas.openxmlformats.org/officeDocument/2006/relationships/image" Target="media/image7.png"/><Relationship Id="rId53" Type="http://schemas.openxmlformats.org/officeDocument/2006/relationships/chart" Target="charts/chart30.xml"/><Relationship Id="rId58" Type="http://schemas.openxmlformats.org/officeDocument/2006/relationships/chart" Target="charts/chart35.xml"/><Relationship Id="rId66"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chart" Target="charts/chart38.xml"/><Relationship Id="rId19" Type="http://schemas.openxmlformats.org/officeDocument/2006/relationships/chart" Target="charts/chart4.xml"/><Relationship Id="rId14" Type="http://schemas.openxmlformats.org/officeDocument/2006/relationships/footer" Target="footer2.xml"/><Relationship Id="rId22" Type="http://schemas.openxmlformats.org/officeDocument/2006/relationships/chart" Target="charts/chart6.xml"/><Relationship Id="rId27" Type="http://schemas.openxmlformats.org/officeDocument/2006/relationships/chart" Target="charts/chart11.xml"/><Relationship Id="rId30" Type="http://schemas.openxmlformats.org/officeDocument/2006/relationships/chart" Target="charts/chart14.xml"/><Relationship Id="rId35" Type="http://schemas.openxmlformats.org/officeDocument/2006/relationships/chart" Target="charts/chart19.xml"/><Relationship Id="rId43" Type="http://schemas.openxmlformats.org/officeDocument/2006/relationships/image" Target="media/image5.png"/><Relationship Id="rId48" Type="http://schemas.openxmlformats.org/officeDocument/2006/relationships/image" Target="media/image10.png"/><Relationship Id="rId56" Type="http://schemas.openxmlformats.org/officeDocument/2006/relationships/chart" Target="charts/chart33.xml"/><Relationship Id="rId64" Type="http://schemas.openxmlformats.org/officeDocument/2006/relationships/footer" Target="footer3.xml"/><Relationship Id="rId8" Type="http://schemas.openxmlformats.org/officeDocument/2006/relationships/webSettings" Target="webSettings.xml"/><Relationship Id="rId51" Type="http://schemas.openxmlformats.org/officeDocument/2006/relationships/chart" Target="charts/chart28.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chart" Target="charts/chart2.xml"/><Relationship Id="rId25" Type="http://schemas.openxmlformats.org/officeDocument/2006/relationships/chart" Target="charts/chart9.xml"/><Relationship Id="rId33" Type="http://schemas.openxmlformats.org/officeDocument/2006/relationships/chart" Target="charts/chart17.xml"/><Relationship Id="rId38" Type="http://schemas.openxmlformats.org/officeDocument/2006/relationships/chart" Target="charts/chart22.xml"/><Relationship Id="rId46" Type="http://schemas.openxmlformats.org/officeDocument/2006/relationships/image" Target="media/image8.png"/><Relationship Id="rId59" Type="http://schemas.openxmlformats.org/officeDocument/2006/relationships/chart" Target="charts/chart36.xml"/><Relationship Id="rId20" Type="http://schemas.openxmlformats.org/officeDocument/2006/relationships/image" Target="media/image3.emf"/><Relationship Id="rId41" Type="http://schemas.openxmlformats.org/officeDocument/2006/relationships/chart" Target="charts/chart25.xml"/><Relationship Id="rId54" Type="http://schemas.openxmlformats.org/officeDocument/2006/relationships/chart" Target="charts/chart31.xml"/><Relationship Id="rId62" Type="http://schemas.openxmlformats.org/officeDocument/2006/relationships/chart" Target="charts/chart39.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3.xml"/><Relationship Id="rId23" Type="http://schemas.openxmlformats.org/officeDocument/2006/relationships/chart" Target="charts/chart7.xml"/><Relationship Id="rId28" Type="http://schemas.openxmlformats.org/officeDocument/2006/relationships/chart" Target="charts/chart12.xml"/><Relationship Id="rId36" Type="http://schemas.openxmlformats.org/officeDocument/2006/relationships/chart" Target="charts/chart20.xml"/><Relationship Id="rId49" Type="http://schemas.openxmlformats.org/officeDocument/2006/relationships/chart" Target="charts/chart26.xml"/><Relationship Id="rId57" Type="http://schemas.openxmlformats.org/officeDocument/2006/relationships/chart" Target="charts/chart34.xml"/><Relationship Id="rId10" Type="http://schemas.openxmlformats.org/officeDocument/2006/relationships/endnotes" Target="endnotes.xml"/><Relationship Id="rId31" Type="http://schemas.openxmlformats.org/officeDocument/2006/relationships/chart" Target="charts/chart15.xml"/><Relationship Id="rId44" Type="http://schemas.openxmlformats.org/officeDocument/2006/relationships/image" Target="media/image6.png"/><Relationship Id="rId52" Type="http://schemas.openxmlformats.org/officeDocument/2006/relationships/chart" Target="charts/chart29.xml"/><Relationship Id="rId60" Type="http://schemas.openxmlformats.org/officeDocument/2006/relationships/chart" Target="charts/chart37.xml"/><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chart" Target="charts/chart3.xml"/><Relationship Id="rId39" Type="http://schemas.openxmlformats.org/officeDocument/2006/relationships/chart" Target="charts/chart23.xml"/></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Zo&#353;it1"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file:///\\VM-DFS.mf.mfsr.sk\FileShare\ADRESARE\SPRAVA_DANI\Peturova\Anal&#253;za%20vl&#225;da%208\Cenov&#225;%20anal&#253;za%20potrav&#237;n%2009.05.2025.xlsx" TargetMode="Externa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file:///\\VM-DFS.mf.mfsr.sk\FileShare\ADRESARE\SPRAVA_DANI\Peturova\Anal&#253;za%20vl&#225;da%208\Cenov&#225;%20anal&#253;za%20potrav&#237;n%2009.05.2025.xlsx" TargetMode="Externa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oleObject" Target="file:///\\VM-DFS.mf.mfsr.sk\FileShare\ADRESARE\SPRAVA_DANI\Peturova\Anal&#253;za%20vl&#225;da%208\Cenov&#225;%20anal&#253;za%20potrav&#237;n%2009.05.2025.xlsx" TargetMode="Externa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oleObject" Target="file:///\\VM-DFS.mf.mfsr.sk\FileShare\ADRESARE\SPRAVA_DANI\Peturova\Anal&#253;za%20vl&#225;da%208\Cenov&#225;%20anal&#253;za%20potrav&#237;n%2009.05.2025.xlsx" TargetMode="Externa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oleObject" Target="file:///\\VM-DFS.mf.mfsr.sk\FileShare\ADRESARE\SPRAVA_DANI\Peturova\Anal&#253;za%20vl&#225;da%208\Cenov&#225;%20anal&#253;za%20potrav&#237;n%2009.05.2025.xlsx" TargetMode="Externa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oleObject" Target="file:///\\VM-DFS.mf.mfsr.sk\FileShare\ADRESARE\SPRAVA_DANI\Peturova\Anal&#253;za%20vl&#225;da%208\Cenov&#225;%20anal&#253;za%20potrav&#237;n%2009.05.2025.xlsx" TargetMode="External"/></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oleObject" Target="file:///\\VM-DFS.mf.mfsr.sk\FileShare\ADRESARE\SPRAVA_DANI\Peturova\Anal&#253;za%20vl&#225;da%208\Cenov&#225;%20anal&#253;za%20potrav&#237;n%2009.05.2025.xlsx" TargetMode="External"/></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oleObject" Target="file:///\\VM-DFS.mf.mfsr.sk\FileShare\ADRESARE\SPRAVA_DANI\Peturova\Anal&#253;za%20vl&#225;da%208\Cenov&#225;%20anal&#253;za%20potrav&#237;n%2009.05.2025.xlsx" TargetMode="External"/></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oleObject" Target="file:///\\VM-DFS.mf.mfsr.sk\FileShare\ADRESARE\SPRAVA_DANI\Peturova\Anal&#253;za%20vl&#225;da%208\Cenov&#225;%20anal&#253;za%20potrav&#237;n%2009.05.2025.xlsx" TargetMode="External"/></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oleObject" Target="file:///\\VM-DFS.mf.mfsr.sk\FileShare\ADRESARE\SPRAVA_DANI\Peturova\Anal&#253;za%20vl&#225;da%208\Cenov&#225;%20anal&#253;za%20potrav&#237;n%2009.05.2025.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Zo&#353;it1"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oleObject" Target="file:///\\VM-DFS.mf.mfsr.sk\FileShare\ADRESARE\SPRAVA_DANI\Peturova\Anal&#253;za%20vl&#225;da%208\Cenov&#225;%20anal&#253;za%20potrav&#237;n%2009.05.2025.xlsx" TargetMode="External"/></Relationships>
</file>

<file path=word/charts/_rels/chart21.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21.xml"/><Relationship Id="rId1" Type="http://schemas.microsoft.com/office/2011/relationships/chartStyle" Target="style21.xml"/><Relationship Id="rId4" Type="http://schemas.openxmlformats.org/officeDocument/2006/relationships/package" Target="../embeddings/Microsoft_Excel_Worksheet.xlsx"/></Relationships>
</file>

<file path=word/charts/_rels/chart22.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22.xml"/><Relationship Id="rId1" Type="http://schemas.microsoft.com/office/2011/relationships/chartStyle" Target="style22.xml"/><Relationship Id="rId4" Type="http://schemas.openxmlformats.org/officeDocument/2006/relationships/oleObject" Target="file:///\\VM-DFS.mf.mfsr.sk\FileShare\ADRESARE\SPRAVA_DANI\Peturova\Anal&#253;za%20vl&#225;da%208\Cenov&#225;%20anal&#253;za%20potrav&#237;n%2009.05.2025.xlsx" TargetMode="External"/></Relationships>
</file>

<file path=word/charts/_rels/chart23.xml.rels><?xml version="1.0" encoding="UTF-8" standalone="yes"?>
<Relationships xmlns="http://schemas.openxmlformats.org/package/2006/relationships"><Relationship Id="rId3" Type="http://schemas.openxmlformats.org/officeDocument/2006/relationships/themeOverride" Target="../theme/themeOverride19.xml"/><Relationship Id="rId2" Type="http://schemas.microsoft.com/office/2011/relationships/chartColorStyle" Target="colors23.xml"/><Relationship Id="rId1" Type="http://schemas.microsoft.com/office/2011/relationships/chartStyle" Target="style23.xml"/><Relationship Id="rId4" Type="http://schemas.openxmlformats.org/officeDocument/2006/relationships/oleObject" Target="file:///\\VM-DFS.mf.mfsr.sk\FileShare\ADRESARE\SPRAVA_DANI\Peturova\Anal&#253;za%20vl&#225;da%208\Cenov&#225;%20anal&#253;za%20potrav&#237;n%2009.05.2025.xlsx" TargetMode="External"/></Relationships>
</file>

<file path=word/charts/_rels/chart24.xml.rels><?xml version="1.0" encoding="UTF-8" standalone="yes"?>
<Relationships xmlns="http://schemas.openxmlformats.org/package/2006/relationships"><Relationship Id="rId3" Type="http://schemas.openxmlformats.org/officeDocument/2006/relationships/themeOverride" Target="../theme/themeOverride20.xml"/><Relationship Id="rId2" Type="http://schemas.microsoft.com/office/2011/relationships/chartColorStyle" Target="colors24.xml"/><Relationship Id="rId1" Type="http://schemas.microsoft.com/office/2011/relationships/chartStyle" Target="style24.xml"/><Relationship Id="rId4" Type="http://schemas.openxmlformats.org/officeDocument/2006/relationships/oleObject" Target="file:///\\VM-DFS.mf.mfsr.sk\FileShare\ADRESARE\SPRAVA_DANI\Peturova\Anal&#253;za%20vl&#225;da%208\Cenov&#225;%20anal&#253;za%20potrav&#237;n%2009.05.2025.xlsx" TargetMode="External"/></Relationships>
</file>

<file path=word/charts/_rels/chart25.xml.rels><?xml version="1.0" encoding="UTF-8" standalone="yes"?>
<Relationships xmlns="http://schemas.openxmlformats.org/package/2006/relationships"><Relationship Id="rId3" Type="http://schemas.openxmlformats.org/officeDocument/2006/relationships/themeOverride" Target="../theme/themeOverride21.xml"/><Relationship Id="rId2" Type="http://schemas.microsoft.com/office/2011/relationships/chartColorStyle" Target="colors25.xml"/><Relationship Id="rId1" Type="http://schemas.microsoft.com/office/2011/relationships/chartStyle" Target="style25.xml"/><Relationship Id="rId4" Type="http://schemas.openxmlformats.org/officeDocument/2006/relationships/oleObject" Target="file:///C:\Marcela%20Pe&#357;urov&#225;\Anal&#253;za_vl&#225;da\K&#243;pia%20s&#250;boru%20Rozklad_inflacie_SDaC_nolink.xlsx" TargetMode="External"/></Relationships>
</file>

<file path=word/charts/_rels/chart26.xml.rels><?xml version="1.0" encoding="UTF-8" standalone="yes"?>
<Relationships xmlns="http://schemas.openxmlformats.org/package/2006/relationships"><Relationship Id="rId3" Type="http://schemas.openxmlformats.org/officeDocument/2006/relationships/themeOverride" Target="../theme/themeOverride22.xml"/><Relationship Id="rId2" Type="http://schemas.microsoft.com/office/2011/relationships/chartColorStyle" Target="colors26.xml"/><Relationship Id="rId1" Type="http://schemas.microsoft.com/office/2011/relationships/chartStyle" Target="style26.xml"/><Relationship Id="rId4" Type="http://schemas.openxmlformats.org/officeDocument/2006/relationships/package" Target="../embeddings/Microsoft_Excel_Worksheet1.xlsx"/></Relationships>
</file>

<file path=word/charts/_rels/chart27.xml.rels><?xml version="1.0" encoding="UTF-8" standalone="yes"?>
<Relationships xmlns="http://schemas.openxmlformats.org/package/2006/relationships"><Relationship Id="rId3" Type="http://schemas.openxmlformats.org/officeDocument/2006/relationships/themeOverride" Target="../theme/themeOverride23.xml"/><Relationship Id="rId2" Type="http://schemas.microsoft.com/office/2011/relationships/chartColorStyle" Target="colors27.xml"/><Relationship Id="rId1" Type="http://schemas.microsoft.com/office/2011/relationships/chartStyle" Target="style27.xml"/><Relationship Id="rId4" Type="http://schemas.openxmlformats.org/officeDocument/2006/relationships/package" Target="../embeddings/Microsoft_Excel_Worksheet2.xlsx"/></Relationships>
</file>

<file path=word/charts/_rels/chart28.xml.rels><?xml version="1.0" encoding="UTF-8" standalone="yes"?>
<Relationships xmlns="http://schemas.openxmlformats.org/package/2006/relationships"><Relationship Id="rId3" Type="http://schemas.openxmlformats.org/officeDocument/2006/relationships/oleObject" Target="file:///C:\Users\mzofaj\Documents\Work\Anal&#253;zy\Spr&#225;va\2024%20-%20Spr&#225;va%20pre%20Vl&#225;du%20SR%20-%20Pomocn&#233;%20grafy%20a%20prepo&#269;ty.xlsx" TargetMode="External"/><Relationship Id="rId2" Type="http://schemas.microsoft.com/office/2011/relationships/chartColorStyle" Target="colors28.xml"/><Relationship Id="rId1" Type="http://schemas.microsoft.com/office/2011/relationships/chartStyle" Target="style28.xml"/></Relationships>
</file>

<file path=word/charts/_rels/chart29.xml.rels><?xml version="1.0" encoding="UTF-8" standalone="yes"?>
<Relationships xmlns="http://schemas.openxmlformats.org/package/2006/relationships"><Relationship Id="rId3" Type="http://schemas.openxmlformats.org/officeDocument/2006/relationships/oleObject" Target="file:///C:\Users\mzofaj\Documents\Work\Anal&#253;zy\Spr&#225;va\2024%20-%20Spr&#225;va%20pre%20Vl&#225;du%20SR%20-%20Pomocn&#233;%20grafy%20a%20prepo&#269;ty.xlsx" TargetMode="External"/><Relationship Id="rId2" Type="http://schemas.microsoft.com/office/2011/relationships/chartColorStyle" Target="colors29.xml"/><Relationship Id="rId1" Type="http://schemas.microsoft.com/office/2011/relationships/chartStyle" Target="style29.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mzofaj\Documents\Work\Anal&#253;zy\Spr&#225;va\Heatmap%20mom%203MMA%20food_13.6.xlsx" TargetMode="External"/><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oleObject" Target="file:///C:\Users\mzofaj\Documents\Work\Anal&#253;zy\Spr&#225;va\2024%20-%20Spr&#225;va%20pre%20Vl&#225;du%20SR%20-%20Pomocn&#233;%20grafy%20a%20prepo&#269;ty.xlsx" TargetMode="External"/><Relationship Id="rId2" Type="http://schemas.microsoft.com/office/2011/relationships/chartColorStyle" Target="colors30.xml"/><Relationship Id="rId1" Type="http://schemas.microsoft.com/office/2011/relationships/chartStyle" Target="style30.xml"/></Relationships>
</file>

<file path=word/charts/_rels/chart31.xml.rels><?xml version="1.0" encoding="UTF-8" standalone="yes"?>
<Relationships xmlns="http://schemas.openxmlformats.org/package/2006/relationships"><Relationship Id="rId3" Type="http://schemas.openxmlformats.org/officeDocument/2006/relationships/oleObject" Target="file:///C:\Users\mzofaj\Documents\Work\Anal&#253;zy\Spr&#225;va\2024%20-%20Spr&#225;va%20pre%20Vl&#225;du%20SR%20-%20Pomocn&#233;%20grafy%20a%20prepo&#269;ty.xlsx" TargetMode="External"/><Relationship Id="rId2" Type="http://schemas.microsoft.com/office/2011/relationships/chartColorStyle" Target="colors31.xml"/><Relationship Id="rId1" Type="http://schemas.microsoft.com/office/2011/relationships/chartStyle" Target="style31.xml"/></Relationships>
</file>

<file path=word/charts/_rels/chart32.xml.rels><?xml version="1.0" encoding="UTF-8" standalone="yes"?>
<Relationships xmlns="http://schemas.openxmlformats.org/package/2006/relationships"><Relationship Id="rId3" Type="http://schemas.openxmlformats.org/officeDocument/2006/relationships/oleObject" Target="file:///C:\Users\mzofaj\Documents\Work\Anal&#253;zy\Spr&#225;va\2024%20-%20Spr&#225;va%20pre%20Vl&#225;du%20SR%20-%20Pomocn&#233;%20grafy%20a%20prepo&#269;ty.xlsx" TargetMode="External"/><Relationship Id="rId2" Type="http://schemas.microsoft.com/office/2011/relationships/chartColorStyle" Target="colors32.xml"/><Relationship Id="rId1" Type="http://schemas.microsoft.com/office/2011/relationships/chartStyle" Target="style32.xml"/></Relationships>
</file>

<file path=word/charts/_rels/chart33.xml.rels><?xml version="1.0" encoding="UTF-8" standalone="yes"?>
<Relationships xmlns="http://schemas.openxmlformats.org/package/2006/relationships"><Relationship Id="rId3" Type="http://schemas.openxmlformats.org/officeDocument/2006/relationships/oleObject" Target="file:///C:\Users\mzofaj\Documents\Work\Anal&#253;zy\Spr&#225;va\2024%20-%20Spr&#225;va%20pre%20Vl&#225;du%20SR%20-%20Pomocn&#233;%20grafy%20a%20prepo&#269;ty.xlsx" TargetMode="External"/><Relationship Id="rId2" Type="http://schemas.microsoft.com/office/2011/relationships/chartColorStyle" Target="colors33.xml"/><Relationship Id="rId1" Type="http://schemas.microsoft.com/office/2011/relationships/chartStyle" Target="style33.xml"/></Relationships>
</file>

<file path=word/charts/_rels/chart34.xml.rels><?xml version="1.0" encoding="UTF-8" standalone="yes"?>
<Relationships xmlns="http://schemas.openxmlformats.org/package/2006/relationships"><Relationship Id="rId3" Type="http://schemas.openxmlformats.org/officeDocument/2006/relationships/oleObject" Target="file:///C:\Users\mzofaj\Documents\Work\Anal&#253;zy\Spr&#225;va\2024%20-%20Spr&#225;va%20pre%20Vl&#225;du%20SR%20-%20Pomocn&#233;%20grafy%20a%20prepo&#269;ty.xlsx" TargetMode="External"/><Relationship Id="rId2" Type="http://schemas.microsoft.com/office/2011/relationships/chartColorStyle" Target="colors34.xml"/><Relationship Id="rId1" Type="http://schemas.microsoft.com/office/2011/relationships/chartStyle" Target="style34.xml"/></Relationships>
</file>

<file path=word/charts/_rels/chart35.xml.rels><?xml version="1.0" encoding="UTF-8" standalone="yes"?>
<Relationships xmlns="http://schemas.openxmlformats.org/package/2006/relationships"><Relationship Id="rId3" Type="http://schemas.openxmlformats.org/officeDocument/2006/relationships/oleObject" Target="file:///C:\Users\mzofaj\Documents\Work\Anal&#253;zy\Spr&#225;va\2024%20-%20Spr&#225;va%20pre%20Vl&#225;du%20SR%20-%20Pomocn&#233;%20grafy%20a%20prepo&#269;ty.xlsx" TargetMode="External"/><Relationship Id="rId2" Type="http://schemas.microsoft.com/office/2011/relationships/chartColorStyle" Target="colors35.xml"/><Relationship Id="rId1" Type="http://schemas.microsoft.com/office/2011/relationships/chartStyle" Target="style35.xml"/></Relationships>
</file>

<file path=word/charts/_rels/chart36.xml.rels><?xml version="1.0" encoding="UTF-8" standalone="yes"?>
<Relationships xmlns="http://schemas.openxmlformats.org/package/2006/relationships"><Relationship Id="rId3" Type="http://schemas.openxmlformats.org/officeDocument/2006/relationships/oleObject" Target="file:///C:\Users\mzofaj\Documents\Work\Anal&#253;zy\Spr&#225;va\2024%20-%20Spr&#225;va%20pre%20Vl&#225;du%20SR%20-%20Pomocn&#233;%20grafy%20a%20prepo&#269;ty.xlsx" TargetMode="External"/><Relationship Id="rId2" Type="http://schemas.microsoft.com/office/2011/relationships/chartColorStyle" Target="colors36.xml"/><Relationship Id="rId1" Type="http://schemas.microsoft.com/office/2011/relationships/chartStyle" Target="style36.xml"/></Relationships>
</file>

<file path=word/charts/_rels/chart37.xml.rels><?xml version="1.0" encoding="UTF-8" standalone="yes"?>
<Relationships xmlns="http://schemas.openxmlformats.org/package/2006/relationships"><Relationship Id="rId3" Type="http://schemas.openxmlformats.org/officeDocument/2006/relationships/oleObject" Target="file:///C:\Users\mzofaj\Documents\Work\Anal&#253;zy\Spr&#225;va\2024%20-%20Spr&#225;va%20pre%20Vl&#225;du%20SR%20-%20Pomocn&#233;%20grafy%20a%20prepo&#269;ty.xlsx" TargetMode="External"/><Relationship Id="rId2" Type="http://schemas.microsoft.com/office/2011/relationships/chartColorStyle" Target="colors37.xml"/><Relationship Id="rId1" Type="http://schemas.microsoft.com/office/2011/relationships/chartStyle" Target="style37.xml"/></Relationships>
</file>

<file path=word/charts/_rels/chart38.xml.rels><?xml version="1.0" encoding="UTF-8" standalone="yes"?>
<Relationships xmlns="http://schemas.openxmlformats.org/package/2006/relationships"><Relationship Id="rId3" Type="http://schemas.openxmlformats.org/officeDocument/2006/relationships/oleObject" Target="file:///C:\Users\mzofaj\Documents\Work\Anal&#253;zy\Spr&#225;va\2024%20-%20Spr&#225;va%20pre%20Vl&#225;du%20SR%20-%20Pomocn&#233;%20grafy%20a%20prepo&#269;ty.xlsx" TargetMode="External"/><Relationship Id="rId2" Type="http://schemas.microsoft.com/office/2011/relationships/chartColorStyle" Target="colors38.xml"/><Relationship Id="rId1" Type="http://schemas.microsoft.com/office/2011/relationships/chartStyle" Target="style38.xml"/></Relationships>
</file>

<file path=word/charts/_rels/chart39.xml.rels><?xml version="1.0" encoding="UTF-8" standalone="yes"?>
<Relationships xmlns="http://schemas.openxmlformats.org/package/2006/relationships"><Relationship Id="rId3" Type="http://schemas.openxmlformats.org/officeDocument/2006/relationships/oleObject" Target="file:///C:\Users\mzofaj\Documents\Work\Anal&#253;zy\Spr&#225;va\2024%20-%20Spr&#225;va%20pre%20Vl&#225;du%20SR%20-%20Pomocn&#233;%20grafy%20a%20prepo&#269;ty.xlsx" TargetMode="External"/><Relationship Id="rId2" Type="http://schemas.microsoft.com/office/2011/relationships/chartColorStyle" Target="colors39.xml"/><Relationship Id="rId1" Type="http://schemas.microsoft.com/office/2011/relationships/chartStyle" Target="style39.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mzofaj\Documents\Work\Anal&#253;zy\Spr&#225;va\Heatmap%20mom%203MMA%20food_13.6.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VM-DFS.mf.mfsr.sk\FileShare\ADRESARE\IFP_NEW\3_MAKRO\3_1_Analytika\Inflacia\potraviny\analyza%20cenoveho%20vyvoja\K&#243;pia%20-%20Cenov&#225;%20anal&#253;za%20potrav&#237;n.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VM-DFS.mf.mfsr.sk\FileShare\ADRESARE\IFP_NEW\3_MAKRO\3_3_Databaza\energie.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VM-DFS.mf.mfsr.sk\FileShare\ADRESARE\SPRAVA_DANI\Peturova\Anal&#253;za%20vl&#225;da%208\Cenov&#225;%20anal&#253;za%20potrav&#237;n%2009.05.2025.xlsx"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file:///\\VM-DFS.mf.mfsr.sk\FileShare\ADRESARE\SPRAVA_DANI\Peturova\Anal&#253;za%20vl&#225;da%208\Cenov&#225;%20anal&#253;za%20potrav&#237;n%2009.05.2025.xlsx" TargetMode="Externa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file:///\\VM-DFS.mf.mfsr.sk\FileShare\ADRESARE\SPRAVA_DANI\Peturova\Anal&#253;za%20vl&#225;da%208\Cenov&#225;%20anal&#253;za%20potrav&#237;n%2009.05.2025.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0"/>
          <c:tx>
            <c:v>2024</c:v>
          </c:tx>
          <c:spPr>
            <a:solidFill>
              <a:schemeClr val="accent2"/>
            </a:solidFill>
            <a:ln>
              <a:noFill/>
            </a:ln>
            <a:effectLst/>
          </c:spPr>
          <c:invertIfNegative val="0"/>
          <c:dPt>
            <c:idx val="0"/>
            <c:invertIfNegative val="0"/>
            <c:bubble3D val="0"/>
            <c:spPr>
              <a:solidFill>
                <a:srgbClr val="FF0000"/>
              </a:solidFill>
              <a:ln>
                <a:noFill/>
              </a:ln>
              <a:effectLst/>
            </c:spPr>
            <c:extLst>
              <c:ext xmlns:c16="http://schemas.microsoft.com/office/drawing/2014/chart" uri="{C3380CC4-5D6E-409C-BE32-E72D297353CC}">
                <c16:uniqueId val="{00000001-5024-4E19-BD81-4087D60EC3A1}"/>
              </c:ext>
            </c:extLst>
          </c:dPt>
          <c:dPt>
            <c:idx val="1"/>
            <c:invertIfNegative val="0"/>
            <c:bubble3D val="0"/>
            <c:spPr>
              <a:solidFill>
                <a:schemeClr val="accent1"/>
              </a:solidFill>
              <a:ln>
                <a:noFill/>
              </a:ln>
              <a:effectLst/>
            </c:spPr>
            <c:extLst>
              <c:ext xmlns:c16="http://schemas.microsoft.com/office/drawing/2014/chart" uri="{C3380CC4-5D6E-409C-BE32-E72D297353CC}">
                <c16:uniqueId val="{00000003-5024-4E19-BD81-4087D60EC3A1}"/>
              </c:ext>
            </c:extLst>
          </c:dPt>
          <c:dPt>
            <c:idx val="2"/>
            <c:invertIfNegative val="0"/>
            <c:bubble3D val="0"/>
            <c:spPr>
              <a:solidFill>
                <a:schemeClr val="accent1"/>
              </a:solidFill>
              <a:ln>
                <a:noFill/>
              </a:ln>
              <a:effectLst/>
            </c:spPr>
            <c:extLst>
              <c:ext xmlns:c16="http://schemas.microsoft.com/office/drawing/2014/chart" uri="{C3380CC4-5D6E-409C-BE32-E72D297353CC}">
                <c16:uniqueId val="{00000005-5024-4E19-BD81-4087D60EC3A1}"/>
              </c:ext>
            </c:extLst>
          </c:dPt>
          <c:dPt>
            <c:idx val="3"/>
            <c:invertIfNegative val="0"/>
            <c:bubble3D val="0"/>
            <c:spPr>
              <a:solidFill>
                <a:schemeClr val="accent1"/>
              </a:solidFill>
              <a:ln>
                <a:noFill/>
              </a:ln>
              <a:effectLst/>
            </c:spPr>
            <c:extLst>
              <c:ext xmlns:c16="http://schemas.microsoft.com/office/drawing/2014/chart" uri="{C3380CC4-5D6E-409C-BE32-E72D297353CC}">
                <c16:uniqueId val="{00000007-5024-4E19-BD81-4087D60EC3A1}"/>
              </c:ext>
            </c:extLst>
          </c:dPt>
          <c:dPt>
            <c:idx val="4"/>
            <c:invertIfNegative val="0"/>
            <c:bubble3D val="0"/>
            <c:spPr>
              <a:solidFill>
                <a:schemeClr val="accent1"/>
              </a:solidFill>
              <a:ln>
                <a:noFill/>
              </a:ln>
              <a:effectLst/>
            </c:spPr>
            <c:extLst>
              <c:ext xmlns:c16="http://schemas.microsoft.com/office/drawing/2014/chart" uri="{C3380CC4-5D6E-409C-BE32-E72D297353CC}">
                <c16:uniqueId val="{00000009-5024-4E19-BD81-4087D60EC3A1}"/>
              </c:ext>
            </c:extLst>
          </c:dPt>
          <c:dPt>
            <c:idx val="5"/>
            <c:invertIfNegative val="0"/>
            <c:bubble3D val="0"/>
            <c:spPr>
              <a:solidFill>
                <a:schemeClr val="accent1"/>
              </a:solidFill>
              <a:ln>
                <a:noFill/>
              </a:ln>
              <a:effectLst/>
            </c:spPr>
            <c:extLst>
              <c:ext xmlns:c16="http://schemas.microsoft.com/office/drawing/2014/chart" uri="{C3380CC4-5D6E-409C-BE32-E72D297353CC}">
                <c16:uniqueId val="{0000000B-5024-4E19-BD81-4087D60EC3A1}"/>
              </c:ext>
            </c:extLst>
          </c:dPt>
          <c:dPt>
            <c:idx val="6"/>
            <c:invertIfNegative val="0"/>
            <c:bubble3D val="0"/>
            <c:spPr>
              <a:solidFill>
                <a:schemeClr val="accent1"/>
              </a:solidFill>
              <a:ln>
                <a:noFill/>
              </a:ln>
              <a:effectLst/>
            </c:spPr>
            <c:extLst>
              <c:ext xmlns:c16="http://schemas.microsoft.com/office/drawing/2014/chart" uri="{C3380CC4-5D6E-409C-BE32-E72D297353CC}">
                <c16:uniqueId val="{0000000D-5024-4E19-BD81-4087D60EC3A1}"/>
              </c:ext>
            </c:extLst>
          </c:dPt>
          <c:dPt>
            <c:idx val="7"/>
            <c:invertIfNegative val="0"/>
            <c:bubble3D val="0"/>
            <c:spPr>
              <a:solidFill>
                <a:schemeClr val="accent1"/>
              </a:solidFill>
              <a:ln>
                <a:noFill/>
              </a:ln>
              <a:effectLst/>
            </c:spPr>
            <c:extLst>
              <c:ext xmlns:c16="http://schemas.microsoft.com/office/drawing/2014/chart" uri="{C3380CC4-5D6E-409C-BE32-E72D297353CC}">
                <c16:uniqueId val="{0000000F-5024-4E19-BD81-4087D60EC3A1}"/>
              </c:ext>
            </c:extLst>
          </c:dPt>
          <c:dPt>
            <c:idx val="8"/>
            <c:invertIfNegative val="0"/>
            <c:bubble3D val="0"/>
            <c:spPr>
              <a:solidFill>
                <a:schemeClr val="accent1"/>
              </a:solidFill>
              <a:ln>
                <a:noFill/>
              </a:ln>
              <a:effectLst/>
            </c:spPr>
            <c:extLst>
              <c:ext xmlns:c16="http://schemas.microsoft.com/office/drawing/2014/chart" uri="{C3380CC4-5D6E-409C-BE32-E72D297353CC}">
                <c16:uniqueId val="{00000011-5024-4E19-BD81-4087D60EC3A1}"/>
              </c:ext>
            </c:extLst>
          </c:dPt>
          <c:dPt>
            <c:idx val="9"/>
            <c:invertIfNegative val="0"/>
            <c:bubble3D val="0"/>
            <c:spPr>
              <a:solidFill>
                <a:schemeClr val="accent1"/>
              </a:solidFill>
              <a:ln>
                <a:noFill/>
              </a:ln>
              <a:effectLst/>
            </c:spPr>
            <c:extLst>
              <c:ext xmlns:c16="http://schemas.microsoft.com/office/drawing/2014/chart" uri="{C3380CC4-5D6E-409C-BE32-E72D297353CC}">
                <c16:uniqueId val="{00000013-5024-4E19-BD81-4087D60EC3A1}"/>
              </c:ext>
            </c:extLst>
          </c:dPt>
          <c:cat>
            <c:strRef>
              <c:f>PKS_2024_EU_Overview!$D$12:$D$21</c:f>
              <c:strCache>
                <c:ptCount val="10"/>
                <c:pt idx="0">
                  <c:v>SK</c:v>
                </c:pt>
                <c:pt idx="1">
                  <c:v>PL</c:v>
                </c:pt>
                <c:pt idx="2">
                  <c:v>CZ</c:v>
                </c:pt>
                <c:pt idx="3">
                  <c:v>HU</c:v>
                </c:pt>
                <c:pt idx="4">
                  <c:v>Sl</c:v>
                </c:pt>
                <c:pt idx="5">
                  <c:v>LT</c:v>
                </c:pt>
                <c:pt idx="6">
                  <c:v>DE</c:v>
                </c:pt>
                <c:pt idx="7">
                  <c:v>LV</c:v>
                </c:pt>
                <c:pt idx="8">
                  <c:v>EE</c:v>
                </c:pt>
                <c:pt idx="9">
                  <c:v>AT</c:v>
                </c:pt>
              </c:strCache>
            </c:strRef>
          </c:cat>
          <c:val>
            <c:numRef>
              <c:f>PKS_2024_EU_Overview!$C$12:$C$21</c:f>
              <c:numCache>
                <c:formatCode>General</c:formatCode>
                <c:ptCount val="10"/>
                <c:pt idx="0">
                  <c:v>83.4</c:v>
                </c:pt>
                <c:pt idx="1">
                  <c:v>86.8</c:v>
                </c:pt>
                <c:pt idx="2">
                  <c:v>89</c:v>
                </c:pt>
                <c:pt idx="3">
                  <c:v>94.8</c:v>
                </c:pt>
                <c:pt idx="4">
                  <c:v>100</c:v>
                </c:pt>
                <c:pt idx="5">
                  <c:v>101.2</c:v>
                </c:pt>
                <c:pt idx="6">
                  <c:v>102.7</c:v>
                </c:pt>
                <c:pt idx="7">
                  <c:v>105.4</c:v>
                </c:pt>
                <c:pt idx="8">
                  <c:v>106.2</c:v>
                </c:pt>
                <c:pt idx="9">
                  <c:v>110.5</c:v>
                </c:pt>
              </c:numCache>
            </c:numRef>
          </c:val>
          <c:extLst>
            <c:ext xmlns:c16="http://schemas.microsoft.com/office/drawing/2014/chart" uri="{C3380CC4-5D6E-409C-BE32-E72D297353CC}">
              <c16:uniqueId val="{00000014-5024-4E19-BD81-4087D60EC3A1}"/>
            </c:ext>
          </c:extLst>
        </c:ser>
        <c:dLbls>
          <c:showLegendKey val="0"/>
          <c:showVal val="0"/>
          <c:showCatName val="0"/>
          <c:showSerName val="0"/>
          <c:showPercent val="0"/>
          <c:showBubbleSize val="0"/>
        </c:dLbls>
        <c:gapWidth val="91"/>
        <c:overlap val="-19"/>
        <c:axId val="1285604144"/>
        <c:axId val="1285607984"/>
      </c:barChart>
      <c:catAx>
        <c:axId val="1285604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1285607984"/>
        <c:crosses val="autoZero"/>
        <c:auto val="1"/>
        <c:lblAlgn val="ctr"/>
        <c:lblOffset val="100"/>
        <c:noMultiLvlLbl val="0"/>
      </c:catAx>
      <c:valAx>
        <c:axId val="1285607984"/>
        <c:scaling>
          <c:orientation val="minMax"/>
        </c:scaling>
        <c:delete val="0"/>
        <c:axPos val="l"/>
        <c:majorGridlines>
          <c:spPr>
            <a:ln w="9525" cap="flat" cmpd="sng" algn="ctr">
              <a:solidFill>
                <a:schemeClr val="bg1">
                  <a:lumMod val="65000"/>
                  <a:alpha val="2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128560414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sk-SK"/>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4223893869063158E-2"/>
          <c:y val="2.9890340299379526E-2"/>
          <c:w val="0.82776867737988535"/>
          <c:h val="0.65953420260970053"/>
        </c:manualLayout>
      </c:layout>
      <c:lineChart>
        <c:grouping val="standard"/>
        <c:varyColors val="0"/>
        <c:ser>
          <c:idx val="0"/>
          <c:order val="0"/>
          <c:tx>
            <c:strRef>
              <c:f>Bravčové!$H$3</c:f>
              <c:strCache>
                <c:ptCount val="1"/>
                <c:pt idx="0">
                  <c:v>SK</c:v>
                </c:pt>
              </c:strCache>
            </c:strRef>
          </c:tx>
          <c:spPr>
            <a:ln w="19050" cap="rnd">
              <a:solidFill>
                <a:schemeClr val="accent1"/>
              </a:solidFill>
              <a:round/>
            </a:ln>
            <a:effectLst/>
          </c:spPr>
          <c:marker>
            <c:symbol val="none"/>
          </c:marker>
          <c:cat>
            <c:numRef>
              <c:f>Bravčové!$G$4:$G$55</c:f>
              <c:numCache>
                <c:formatCode>m/d/yyyy</c:formatCode>
                <c:ptCount val="14"/>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45717</c:v>
                </c:pt>
                <c:pt idx="13">
                  <c:v>45748</c:v>
                </c:pt>
              </c:numCache>
              <c:extLst/>
            </c:numRef>
          </c:cat>
          <c:val>
            <c:numRef>
              <c:f>Bravčové!$H$4:$H$55</c:f>
              <c:numCache>
                <c:formatCode>#,##0</c:formatCode>
                <c:ptCount val="14"/>
                <c:pt idx="0">
                  <c:v>218.05189999999999</c:v>
                </c:pt>
                <c:pt idx="1">
                  <c:v>211.87</c:v>
                </c:pt>
                <c:pt idx="2">
                  <c:v>224.4639</c:v>
                </c:pt>
                <c:pt idx="3">
                  <c:v>222.56899999999999</c:v>
                </c:pt>
                <c:pt idx="4">
                  <c:v>223.0813</c:v>
                </c:pt>
                <c:pt idx="5">
                  <c:v>223.98400000000001</c:v>
                </c:pt>
                <c:pt idx="6">
                  <c:v>218.04349999999999</c:v>
                </c:pt>
                <c:pt idx="7">
                  <c:v>211.5829</c:v>
                </c:pt>
                <c:pt idx="8">
                  <c:v>207</c:v>
                </c:pt>
                <c:pt idx="9">
                  <c:v>205</c:v>
                </c:pt>
                <c:pt idx="10">
                  <c:v>197</c:v>
                </c:pt>
                <c:pt idx="11">
                  <c:v>203</c:v>
                </c:pt>
                <c:pt idx="12">
                  <c:v>177</c:v>
                </c:pt>
                <c:pt idx="13">
                  <c:v>171</c:v>
                </c:pt>
              </c:numCache>
              <c:extLst/>
            </c:numRef>
          </c:val>
          <c:smooth val="0"/>
          <c:extLst>
            <c:ext xmlns:c16="http://schemas.microsoft.com/office/drawing/2014/chart" uri="{C3380CC4-5D6E-409C-BE32-E72D297353CC}">
              <c16:uniqueId val="{00000001-F246-448F-A4B1-4C7293B33B74}"/>
            </c:ext>
          </c:extLst>
        </c:ser>
        <c:ser>
          <c:idx val="1"/>
          <c:order val="1"/>
          <c:tx>
            <c:strRef>
              <c:f>Bravčové!$I$3</c:f>
              <c:strCache>
                <c:ptCount val="1"/>
                <c:pt idx="0">
                  <c:v>CZ</c:v>
                </c:pt>
              </c:strCache>
            </c:strRef>
          </c:tx>
          <c:spPr>
            <a:ln w="19050" cap="rnd">
              <a:solidFill>
                <a:srgbClr val="1AA380"/>
              </a:solidFill>
              <a:round/>
            </a:ln>
            <a:effectLst/>
          </c:spPr>
          <c:marker>
            <c:symbol val="none"/>
          </c:marker>
          <c:dPt>
            <c:idx val="0"/>
            <c:marker>
              <c:symbol val="none"/>
            </c:marker>
            <c:bubble3D val="0"/>
            <c:extLst>
              <c:ext xmlns:c16="http://schemas.microsoft.com/office/drawing/2014/chart" uri="{C3380CC4-5D6E-409C-BE32-E72D297353CC}">
                <c16:uniqueId val="{00000003-F246-448F-A4B1-4C7293B33B74}"/>
              </c:ext>
            </c:extLst>
          </c:dPt>
          <c:cat>
            <c:numRef>
              <c:f>Bravčové!$G$4:$G$55</c:f>
              <c:numCache>
                <c:formatCode>m/d/yyyy</c:formatCode>
                <c:ptCount val="14"/>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45717</c:v>
                </c:pt>
                <c:pt idx="13">
                  <c:v>45748</c:v>
                </c:pt>
              </c:numCache>
              <c:extLst/>
            </c:numRef>
          </c:cat>
          <c:val>
            <c:numRef>
              <c:f>Bravčové!$I$4:$I$55</c:f>
              <c:numCache>
                <c:formatCode>#,##0</c:formatCode>
                <c:ptCount val="14"/>
                <c:pt idx="0">
                  <c:v>215.06960000000001</c:v>
                </c:pt>
                <c:pt idx="1">
                  <c:v>209.66149999999999</c:v>
                </c:pt>
                <c:pt idx="2">
                  <c:v>219.0172</c:v>
                </c:pt>
                <c:pt idx="3">
                  <c:v>219.04130000000001</c:v>
                </c:pt>
                <c:pt idx="4">
                  <c:v>223.13149999999999</c:v>
                </c:pt>
                <c:pt idx="5">
                  <c:v>224.14670000000001</c:v>
                </c:pt>
                <c:pt idx="6">
                  <c:v>213.4657</c:v>
                </c:pt>
                <c:pt idx="7">
                  <c:v>209.45439999999999</c:v>
                </c:pt>
                <c:pt idx="8">
                  <c:v>209</c:v>
                </c:pt>
                <c:pt idx="9">
                  <c:v>206</c:v>
                </c:pt>
                <c:pt idx="10">
                  <c:v>198</c:v>
                </c:pt>
                <c:pt idx="11">
                  <c:v>200</c:v>
                </c:pt>
                <c:pt idx="12">
                  <c:v>183</c:v>
                </c:pt>
                <c:pt idx="13">
                  <c:v>195</c:v>
                </c:pt>
              </c:numCache>
              <c:extLst/>
            </c:numRef>
          </c:val>
          <c:smooth val="0"/>
          <c:extLst>
            <c:ext xmlns:c16="http://schemas.microsoft.com/office/drawing/2014/chart" uri="{C3380CC4-5D6E-409C-BE32-E72D297353CC}">
              <c16:uniqueId val="{00000004-F246-448F-A4B1-4C7293B33B74}"/>
            </c:ext>
          </c:extLst>
        </c:ser>
        <c:ser>
          <c:idx val="2"/>
          <c:order val="2"/>
          <c:tx>
            <c:strRef>
              <c:f>Bravčové!$J$3</c:f>
              <c:strCache>
                <c:ptCount val="1"/>
                <c:pt idx="0">
                  <c:v>HU</c:v>
                </c:pt>
              </c:strCache>
            </c:strRef>
          </c:tx>
          <c:spPr>
            <a:ln w="19050" cap="rnd">
              <a:solidFill>
                <a:srgbClr val="F2CA6D"/>
              </a:solidFill>
              <a:round/>
            </a:ln>
            <a:effectLst/>
          </c:spPr>
          <c:marker>
            <c:symbol val="none"/>
          </c:marker>
          <c:dPt>
            <c:idx val="0"/>
            <c:marker>
              <c:symbol val="none"/>
            </c:marker>
            <c:bubble3D val="0"/>
            <c:extLst>
              <c:ext xmlns:c16="http://schemas.microsoft.com/office/drawing/2014/chart" uri="{C3380CC4-5D6E-409C-BE32-E72D297353CC}">
                <c16:uniqueId val="{00000006-F246-448F-A4B1-4C7293B33B74}"/>
              </c:ext>
            </c:extLst>
          </c:dPt>
          <c:cat>
            <c:numRef>
              <c:f>Bravčové!$G$4:$G$55</c:f>
              <c:numCache>
                <c:formatCode>m/d/yyyy</c:formatCode>
                <c:ptCount val="14"/>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45717</c:v>
                </c:pt>
                <c:pt idx="13">
                  <c:v>45748</c:v>
                </c:pt>
              </c:numCache>
              <c:extLst/>
            </c:numRef>
          </c:cat>
          <c:val>
            <c:numRef>
              <c:f>Bravčové!$J$4:$J$55</c:f>
              <c:numCache>
                <c:formatCode>#,##0</c:formatCode>
                <c:ptCount val="14"/>
                <c:pt idx="0">
                  <c:v>220.3809</c:v>
                </c:pt>
                <c:pt idx="1">
                  <c:v>216.374</c:v>
                </c:pt>
                <c:pt idx="2">
                  <c:v>228.55199999999999</c:v>
                </c:pt>
                <c:pt idx="3">
                  <c:v>224.80250000000001</c:v>
                </c:pt>
                <c:pt idx="4">
                  <c:v>228.465</c:v>
                </c:pt>
                <c:pt idx="5">
                  <c:v>229.60720000000001</c:v>
                </c:pt>
                <c:pt idx="6">
                  <c:v>224.4691</c:v>
                </c:pt>
                <c:pt idx="7">
                  <c:v>212.90649999999999</c:v>
                </c:pt>
                <c:pt idx="8">
                  <c:v>212</c:v>
                </c:pt>
                <c:pt idx="9">
                  <c:v>207</c:v>
                </c:pt>
                <c:pt idx="10">
                  <c:v>198</c:v>
                </c:pt>
                <c:pt idx="11">
                  <c:v>198</c:v>
                </c:pt>
                <c:pt idx="12">
                  <c:v>179</c:v>
                </c:pt>
                <c:pt idx="13">
                  <c:v>199</c:v>
                </c:pt>
              </c:numCache>
              <c:extLst/>
            </c:numRef>
          </c:val>
          <c:smooth val="0"/>
          <c:extLst>
            <c:ext xmlns:c16="http://schemas.microsoft.com/office/drawing/2014/chart" uri="{C3380CC4-5D6E-409C-BE32-E72D297353CC}">
              <c16:uniqueId val="{00000007-F246-448F-A4B1-4C7293B33B74}"/>
            </c:ext>
          </c:extLst>
        </c:ser>
        <c:ser>
          <c:idx val="3"/>
          <c:order val="3"/>
          <c:tx>
            <c:strRef>
              <c:f>Bravčové!$K$3</c:f>
              <c:strCache>
                <c:ptCount val="1"/>
                <c:pt idx="0">
                  <c:v>PL</c:v>
                </c:pt>
              </c:strCache>
            </c:strRef>
          </c:tx>
          <c:spPr>
            <a:ln w="19050" cap="rnd">
              <a:solidFill>
                <a:srgbClr val="E85477"/>
              </a:solidFill>
              <a:round/>
            </a:ln>
            <a:effectLst/>
          </c:spPr>
          <c:marker>
            <c:symbol val="none"/>
          </c:marker>
          <c:dPt>
            <c:idx val="0"/>
            <c:marker>
              <c:symbol val="none"/>
            </c:marker>
            <c:bubble3D val="0"/>
            <c:extLst>
              <c:ext xmlns:c16="http://schemas.microsoft.com/office/drawing/2014/chart" uri="{C3380CC4-5D6E-409C-BE32-E72D297353CC}">
                <c16:uniqueId val="{00000009-F246-448F-A4B1-4C7293B33B74}"/>
              </c:ext>
            </c:extLst>
          </c:dPt>
          <c:cat>
            <c:numRef>
              <c:f>Bravčové!$G$4:$G$55</c:f>
              <c:numCache>
                <c:formatCode>m/d/yyyy</c:formatCode>
                <c:ptCount val="14"/>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45717</c:v>
                </c:pt>
                <c:pt idx="13">
                  <c:v>45748</c:v>
                </c:pt>
              </c:numCache>
              <c:extLst/>
            </c:numRef>
          </c:cat>
          <c:val>
            <c:numRef>
              <c:f>Bravčové!$K$4:$K$55</c:f>
              <c:numCache>
                <c:formatCode>#,##0</c:formatCode>
                <c:ptCount val="14"/>
                <c:pt idx="0">
                  <c:v>209.1456</c:v>
                </c:pt>
                <c:pt idx="1">
                  <c:v>215.1148</c:v>
                </c:pt>
                <c:pt idx="2">
                  <c:v>222.61580000000001</c:v>
                </c:pt>
                <c:pt idx="3">
                  <c:v>228.80600000000001</c:v>
                </c:pt>
                <c:pt idx="4">
                  <c:v>231.54069999999999</c:v>
                </c:pt>
                <c:pt idx="5">
                  <c:v>231.1875</c:v>
                </c:pt>
                <c:pt idx="6">
                  <c:v>221.3355</c:v>
                </c:pt>
                <c:pt idx="7">
                  <c:v>213.18799999999999</c:v>
                </c:pt>
                <c:pt idx="8">
                  <c:v>216</c:v>
                </c:pt>
                <c:pt idx="9">
                  <c:v>207</c:v>
                </c:pt>
                <c:pt idx="10">
                  <c:v>192</c:v>
                </c:pt>
                <c:pt idx="11">
                  <c:v>190</c:v>
                </c:pt>
                <c:pt idx="12">
                  <c:v>189</c:v>
                </c:pt>
                <c:pt idx="13">
                  <c:v>213</c:v>
                </c:pt>
              </c:numCache>
              <c:extLst/>
            </c:numRef>
          </c:val>
          <c:smooth val="0"/>
          <c:extLst>
            <c:ext xmlns:c16="http://schemas.microsoft.com/office/drawing/2014/chart" uri="{C3380CC4-5D6E-409C-BE32-E72D297353CC}">
              <c16:uniqueId val="{0000000A-F246-448F-A4B1-4C7293B33B74}"/>
            </c:ext>
          </c:extLst>
        </c:ser>
        <c:ser>
          <c:idx val="4"/>
          <c:order val="4"/>
          <c:tx>
            <c:strRef>
              <c:f>Bravčové!$L$3</c:f>
              <c:strCache>
                <c:ptCount val="1"/>
                <c:pt idx="0">
                  <c:v>AT</c:v>
                </c:pt>
              </c:strCache>
            </c:strRef>
          </c:tx>
          <c:spPr>
            <a:ln w="19050" cap="rnd">
              <a:solidFill>
                <a:sysClr val="windowText" lastClr="000000"/>
              </a:solidFill>
              <a:round/>
            </a:ln>
            <a:effectLst/>
          </c:spPr>
          <c:marker>
            <c:symbol val="none"/>
          </c:marker>
          <c:dPt>
            <c:idx val="0"/>
            <c:marker>
              <c:symbol val="none"/>
            </c:marker>
            <c:bubble3D val="0"/>
            <c:extLst>
              <c:ext xmlns:c16="http://schemas.microsoft.com/office/drawing/2014/chart" uri="{C3380CC4-5D6E-409C-BE32-E72D297353CC}">
                <c16:uniqueId val="{0000000B-F246-448F-A4B1-4C7293B33B74}"/>
              </c:ext>
            </c:extLst>
          </c:dPt>
          <c:cat>
            <c:numRef>
              <c:f>Bravčové!$G$4:$G$55</c:f>
              <c:numCache>
                <c:formatCode>m/d/yyyy</c:formatCode>
                <c:ptCount val="14"/>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45717</c:v>
                </c:pt>
                <c:pt idx="13">
                  <c:v>45748</c:v>
                </c:pt>
              </c:numCache>
              <c:extLst/>
            </c:numRef>
          </c:cat>
          <c:val>
            <c:numRef>
              <c:f>Bravčové!$L$4:$L$55</c:f>
              <c:numCache>
                <c:formatCode>#,##0</c:formatCode>
                <c:ptCount val="14"/>
                <c:pt idx="0">
                  <c:v>232.63939999999999</c:v>
                </c:pt>
                <c:pt idx="1">
                  <c:v>235.7997</c:v>
                </c:pt>
                <c:pt idx="2">
                  <c:v>246.86189999999999</c:v>
                </c:pt>
                <c:pt idx="3">
                  <c:v>247.70599999999999</c:v>
                </c:pt>
                <c:pt idx="4">
                  <c:v>248.12029999999999</c:v>
                </c:pt>
                <c:pt idx="5">
                  <c:v>247.79169999999999</c:v>
                </c:pt>
                <c:pt idx="6">
                  <c:v>242.83709999999999</c:v>
                </c:pt>
                <c:pt idx="7">
                  <c:v>234.4623</c:v>
                </c:pt>
                <c:pt idx="8">
                  <c:v>233</c:v>
                </c:pt>
                <c:pt idx="9">
                  <c:v>227</c:v>
                </c:pt>
                <c:pt idx="10">
                  <c:v>217</c:v>
                </c:pt>
                <c:pt idx="11">
                  <c:v>217</c:v>
                </c:pt>
                <c:pt idx="12">
                  <c:v>210</c:v>
                </c:pt>
                <c:pt idx="13">
                  <c:v>226</c:v>
                </c:pt>
              </c:numCache>
              <c:extLst/>
            </c:numRef>
          </c:val>
          <c:smooth val="0"/>
          <c:extLst>
            <c:ext xmlns:c16="http://schemas.microsoft.com/office/drawing/2014/chart" uri="{C3380CC4-5D6E-409C-BE32-E72D297353CC}">
              <c16:uniqueId val="{0000000C-F246-448F-A4B1-4C7293B33B74}"/>
            </c:ext>
          </c:extLst>
        </c:ser>
        <c:ser>
          <c:idx val="5"/>
          <c:order val="5"/>
          <c:tx>
            <c:strRef>
              <c:f>Bravčové!$M$3</c:f>
              <c:strCache>
                <c:ptCount val="1"/>
                <c:pt idx="0">
                  <c:v>DE</c:v>
                </c:pt>
              </c:strCache>
            </c:strRef>
          </c:tx>
          <c:spPr>
            <a:ln w="19050" cap="rnd">
              <a:solidFill>
                <a:srgbClr val="7030A0"/>
              </a:solidFill>
              <a:round/>
            </a:ln>
            <a:effectLst/>
          </c:spPr>
          <c:marker>
            <c:symbol val="none"/>
          </c:marker>
          <c:dPt>
            <c:idx val="0"/>
            <c:marker>
              <c:symbol val="none"/>
            </c:marker>
            <c:bubble3D val="0"/>
            <c:extLst>
              <c:ext xmlns:c16="http://schemas.microsoft.com/office/drawing/2014/chart" uri="{C3380CC4-5D6E-409C-BE32-E72D297353CC}">
                <c16:uniqueId val="{0000000E-F246-448F-A4B1-4C7293B33B74}"/>
              </c:ext>
            </c:extLst>
          </c:dPt>
          <c:cat>
            <c:numRef>
              <c:f>Bravčové!$G$4:$G$55</c:f>
              <c:numCache>
                <c:formatCode>m/d/yyyy</c:formatCode>
                <c:ptCount val="14"/>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45717</c:v>
                </c:pt>
                <c:pt idx="13">
                  <c:v>45748</c:v>
                </c:pt>
              </c:numCache>
              <c:extLst/>
            </c:numRef>
          </c:cat>
          <c:val>
            <c:numRef>
              <c:f>Bravčové!$M$4:$M$55</c:f>
              <c:numCache>
                <c:formatCode>#,##0</c:formatCode>
                <c:ptCount val="14"/>
                <c:pt idx="0">
                  <c:v>219.1113</c:v>
                </c:pt>
                <c:pt idx="1">
                  <c:v>224.69139999999999</c:v>
                </c:pt>
                <c:pt idx="2">
                  <c:v>234.21449999999999</c:v>
                </c:pt>
                <c:pt idx="3">
                  <c:v>234.18170000000001</c:v>
                </c:pt>
                <c:pt idx="4">
                  <c:v>234.55770000000001</c:v>
                </c:pt>
                <c:pt idx="5">
                  <c:v>234.54400000000001</c:v>
                </c:pt>
                <c:pt idx="6">
                  <c:v>225.19649999999999</c:v>
                </c:pt>
                <c:pt idx="7">
                  <c:v>216.1335</c:v>
                </c:pt>
                <c:pt idx="8">
                  <c:v>214</c:v>
                </c:pt>
                <c:pt idx="9">
                  <c:v>212</c:v>
                </c:pt>
                <c:pt idx="10">
                  <c:v>206</c:v>
                </c:pt>
                <c:pt idx="11">
                  <c:v>206</c:v>
                </c:pt>
                <c:pt idx="12">
                  <c:v>185</c:v>
                </c:pt>
                <c:pt idx="13">
                  <c:v>207</c:v>
                </c:pt>
              </c:numCache>
              <c:extLst/>
            </c:numRef>
          </c:val>
          <c:smooth val="0"/>
          <c:extLst>
            <c:ext xmlns:c16="http://schemas.microsoft.com/office/drawing/2014/chart" uri="{C3380CC4-5D6E-409C-BE32-E72D297353CC}">
              <c16:uniqueId val="{0000000F-F246-448F-A4B1-4C7293B33B74}"/>
            </c:ext>
          </c:extLst>
        </c:ser>
        <c:ser>
          <c:idx val="6"/>
          <c:order val="6"/>
          <c:tx>
            <c:strRef>
              <c:f>Bravčové!$N$3</c:f>
              <c:strCache>
                <c:ptCount val="1"/>
                <c:pt idx="0">
                  <c:v>SK</c:v>
                </c:pt>
              </c:strCache>
            </c:strRef>
          </c:tx>
          <c:spPr>
            <a:ln w="28575" cap="rnd">
              <a:noFill/>
              <a:round/>
            </a:ln>
            <a:effectLst/>
          </c:spPr>
          <c:marker>
            <c:symbol val="circle"/>
            <c:size val="3"/>
            <c:spPr>
              <a:solidFill>
                <a:srgbClr val="2EAAE1"/>
              </a:solidFill>
              <a:ln w="9525">
                <a:solidFill>
                  <a:srgbClr val="2EAAE1"/>
                </a:solidFill>
              </a:ln>
              <a:effectLst/>
            </c:spPr>
          </c:marker>
          <c:cat>
            <c:numRef>
              <c:f>Bravčové!$G$4:$G$55</c:f>
              <c:numCache>
                <c:formatCode>m/d/yyyy</c:formatCode>
                <c:ptCount val="16"/>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pt idx="15">
                  <c:v>45748</c:v>
                </c:pt>
              </c:numCache>
              <c:extLst/>
            </c:numRef>
          </c:cat>
          <c:val>
            <c:numRef>
              <c:f>Bravčové!$N$4:$N$49</c:f>
              <c:numCache>
                <c:formatCode>General</c:formatCode>
                <c:ptCount val="10"/>
              </c:numCache>
              <c:extLst/>
            </c:numRef>
          </c:val>
          <c:smooth val="0"/>
          <c:extLst>
            <c:ext xmlns:c16="http://schemas.microsoft.com/office/drawing/2014/chart" uri="{C3380CC4-5D6E-409C-BE32-E72D297353CC}">
              <c16:uniqueId val="{00000010-F246-448F-A4B1-4C7293B33B74}"/>
            </c:ext>
          </c:extLst>
        </c:ser>
        <c:ser>
          <c:idx val="7"/>
          <c:order val="7"/>
          <c:tx>
            <c:strRef>
              <c:f>Bravčové!$O$3</c:f>
              <c:strCache>
                <c:ptCount val="1"/>
                <c:pt idx="0">
                  <c:v>CZ</c:v>
                </c:pt>
              </c:strCache>
            </c:strRef>
          </c:tx>
          <c:spPr>
            <a:ln w="28575" cap="rnd">
              <a:noFill/>
              <a:round/>
            </a:ln>
            <a:effectLst/>
          </c:spPr>
          <c:marker>
            <c:symbol val="circle"/>
            <c:size val="3"/>
            <c:spPr>
              <a:noFill/>
              <a:ln w="9525">
                <a:noFill/>
              </a:ln>
              <a:effectLst/>
            </c:spPr>
          </c:marker>
          <c:cat>
            <c:numRef>
              <c:f>Bravčové!$G$4:$G$55</c:f>
              <c:numCache>
                <c:formatCode>m/d/yyyy</c:formatCode>
                <c:ptCount val="16"/>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pt idx="15">
                  <c:v>45748</c:v>
                </c:pt>
              </c:numCache>
              <c:extLst/>
            </c:numRef>
          </c:cat>
          <c:val>
            <c:numRef>
              <c:f>Bravčové!$O$4:$O$49</c:f>
              <c:numCache>
                <c:formatCode>General</c:formatCode>
                <c:ptCount val="10"/>
              </c:numCache>
              <c:extLst/>
            </c:numRef>
          </c:val>
          <c:smooth val="0"/>
          <c:extLst>
            <c:ext xmlns:c16="http://schemas.microsoft.com/office/drawing/2014/chart" uri="{C3380CC4-5D6E-409C-BE32-E72D297353CC}">
              <c16:uniqueId val="{00000011-F246-448F-A4B1-4C7293B33B74}"/>
            </c:ext>
          </c:extLst>
        </c:ser>
        <c:ser>
          <c:idx val="10"/>
          <c:order val="8"/>
          <c:tx>
            <c:strRef>
              <c:f>Bravčové!$R$3</c:f>
              <c:strCache>
                <c:ptCount val="1"/>
                <c:pt idx="0">
                  <c:v>AT</c:v>
                </c:pt>
              </c:strCache>
            </c:strRef>
          </c:tx>
          <c:spPr>
            <a:ln w="28575" cap="rnd">
              <a:noFill/>
              <a:round/>
            </a:ln>
            <a:effectLst/>
          </c:spPr>
          <c:marker>
            <c:symbol val="circle"/>
            <c:size val="3"/>
            <c:spPr>
              <a:noFill/>
              <a:ln w="9525">
                <a:noFill/>
              </a:ln>
              <a:effectLst/>
            </c:spPr>
          </c:marker>
          <c:cat>
            <c:numRef>
              <c:f>Bravčové!$G$4:$G$55</c:f>
              <c:numCache>
                <c:formatCode>m/d/yyyy</c:formatCode>
                <c:ptCount val="16"/>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pt idx="15">
                  <c:v>45748</c:v>
                </c:pt>
              </c:numCache>
              <c:extLst/>
            </c:numRef>
          </c:cat>
          <c:val>
            <c:numRef>
              <c:f>Bravčové!$R$4:$R$49</c:f>
              <c:numCache>
                <c:formatCode>General</c:formatCode>
                <c:ptCount val="10"/>
              </c:numCache>
              <c:extLst/>
            </c:numRef>
          </c:val>
          <c:smooth val="0"/>
          <c:extLst>
            <c:ext xmlns:c16="http://schemas.microsoft.com/office/drawing/2014/chart" uri="{C3380CC4-5D6E-409C-BE32-E72D297353CC}">
              <c16:uniqueId val="{00000012-F246-448F-A4B1-4C7293B33B74}"/>
            </c:ext>
          </c:extLst>
        </c:ser>
        <c:ser>
          <c:idx val="11"/>
          <c:order val="9"/>
          <c:tx>
            <c:strRef>
              <c:f>Bravčové!$S$3</c:f>
              <c:strCache>
                <c:ptCount val="1"/>
                <c:pt idx="0">
                  <c:v>DE</c:v>
                </c:pt>
              </c:strCache>
            </c:strRef>
          </c:tx>
          <c:spPr>
            <a:ln w="28575" cap="rnd">
              <a:noFill/>
              <a:round/>
            </a:ln>
            <a:effectLst/>
          </c:spPr>
          <c:marker>
            <c:symbol val="circle"/>
            <c:size val="3"/>
            <c:spPr>
              <a:noFill/>
              <a:ln w="9525">
                <a:noFill/>
              </a:ln>
              <a:effectLst/>
            </c:spPr>
          </c:marker>
          <c:cat>
            <c:numRef>
              <c:f>Bravčové!$G$4:$G$55</c:f>
              <c:numCache>
                <c:formatCode>m/d/yyyy</c:formatCode>
                <c:ptCount val="16"/>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pt idx="15">
                  <c:v>45748</c:v>
                </c:pt>
              </c:numCache>
              <c:extLst/>
            </c:numRef>
          </c:cat>
          <c:val>
            <c:numRef>
              <c:f>Bravčové!$S$4:$S$49</c:f>
              <c:numCache>
                <c:formatCode>General</c:formatCode>
                <c:ptCount val="10"/>
              </c:numCache>
              <c:extLst/>
            </c:numRef>
          </c:val>
          <c:smooth val="0"/>
          <c:extLst>
            <c:ext xmlns:c16="http://schemas.microsoft.com/office/drawing/2014/chart" uri="{C3380CC4-5D6E-409C-BE32-E72D297353CC}">
              <c16:uniqueId val="{00000013-F246-448F-A4B1-4C7293B33B74}"/>
            </c:ext>
          </c:extLst>
        </c:ser>
        <c:dLbls>
          <c:showLegendKey val="0"/>
          <c:showVal val="0"/>
          <c:showCatName val="0"/>
          <c:showSerName val="0"/>
          <c:showPercent val="0"/>
          <c:showBubbleSize val="0"/>
        </c:dLbls>
        <c:smooth val="0"/>
        <c:axId val="545542928"/>
        <c:axId val="545543256"/>
      </c:lineChart>
      <c:dateAx>
        <c:axId val="545542928"/>
        <c:scaling>
          <c:orientation val="minMax"/>
          <c:max val="45627"/>
        </c:scaling>
        <c:delete val="0"/>
        <c:axPos val="b"/>
        <c:numFmt formatCode="m/yy" sourceLinked="0"/>
        <c:majorTickMark val="none"/>
        <c:minorTickMark val="none"/>
        <c:tickLblPos val="nextTo"/>
        <c:spPr>
          <a:noFill/>
          <a:ln w="12700" cap="flat" cmpd="sng" algn="ctr">
            <a:solidFill>
              <a:srgbClr val="7F7F7F"/>
            </a:solidFill>
            <a:round/>
          </a:ln>
          <a:effectLst/>
        </c:spPr>
        <c:txPr>
          <a:bodyPr rot="-2700000" spcFirstLastPara="1" vertOverflow="ellipsis" wrap="square" anchor="ctr" anchorCtr="1"/>
          <a:lstStyle/>
          <a:p>
            <a:pPr>
              <a:defRPr sz="900" b="0" i="0" u="none" strike="noStrike" kern="1200" baseline="0">
                <a:solidFill>
                  <a:schemeClr val="tx1">
                    <a:lumMod val="85000"/>
                    <a:lumOff val="15000"/>
                  </a:schemeClr>
                </a:solidFill>
                <a:latin typeface="+mn-lt"/>
                <a:ea typeface="+mn-ea"/>
                <a:cs typeface="+mn-cs"/>
              </a:defRPr>
            </a:pPr>
            <a:endParaRPr lang="sk-SK"/>
          </a:p>
        </c:txPr>
        <c:crossAx val="545543256"/>
        <c:crosses val="autoZero"/>
        <c:auto val="1"/>
        <c:lblOffset val="100"/>
        <c:baseTimeUnit val="months"/>
        <c:majorUnit val="1"/>
        <c:majorTimeUnit val="months"/>
      </c:dateAx>
      <c:valAx>
        <c:axId val="545543256"/>
        <c:scaling>
          <c:orientation val="minMax"/>
          <c:max val="280"/>
          <c:min val="100"/>
        </c:scaling>
        <c:delete val="0"/>
        <c:axPos val="l"/>
        <c:majorGridlines>
          <c:spPr>
            <a:ln w="9525" cap="flat" cmpd="sng" algn="ctr">
              <a:solidFill>
                <a:srgbClr val="7F7F7F">
                  <a:alpha val="25098"/>
                </a:srgbClr>
              </a:solidFill>
              <a:prstDash val="sysDot"/>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85000"/>
                    <a:lumOff val="15000"/>
                  </a:schemeClr>
                </a:solidFill>
                <a:latin typeface="+mn-lt"/>
                <a:ea typeface="+mn-ea"/>
                <a:cs typeface="+mn-cs"/>
              </a:defRPr>
            </a:pPr>
            <a:endParaRPr lang="sk-SK"/>
          </a:p>
        </c:txPr>
        <c:crossAx val="545542928"/>
        <c:crosses val="autoZero"/>
        <c:crossBetween val="midCat"/>
        <c:majorUnit val="50"/>
      </c:valAx>
      <c:spPr>
        <a:noFill/>
        <a:ln>
          <a:noFill/>
        </a:ln>
        <a:effectLst/>
      </c:spPr>
    </c:plotArea>
    <c:legend>
      <c:legendPos val="b"/>
      <c:legendEntry>
        <c:idx val="6"/>
        <c:delete val="1"/>
      </c:legendEntry>
      <c:legendEntry>
        <c:idx val="7"/>
        <c:delete val="1"/>
      </c:legendEntry>
      <c:legendEntry>
        <c:idx val="8"/>
        <c:delete val="1"/>
      </c:legendEntry>
      <c:legendEntry>
        <c:idx val="9"/>
        <c:delete val="1"/>
      </c:legendEntry>
      <c:layout>
        <c:manualLayout>
          <c:xMode val="edge"/>
          <c:yMode val="edge"/>
          <c:x val="0"/>
          <c:y val="0.85591065822654511"/>
          <c:w val="0.99348989249814101"/>
          <c:h val="0.1084387178875367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85000"/>
                  <a:lumOff val="15000"/>
                </a:schemeClr>
              </a:solidFill>
              <a:latin typeface="+mn-lt"/>
              <a:ea typeface="+mn-ea"/>
              <a:cs typeface="+mn-cs"/>
            </a:defRPr>
          </a:pPr>
          <a:endParaRPr lang="sk-SK"/>
        </a:p>
      </c:txPr>
    </c:legend>
    <c:plotVisOnly val="1"/>
    <c:dispBlanksAs val="gap"/>
    <c:showDLblsOverMax val="0"/>
  </c:chart>
  <c:spPr>
    <a:solidFill>
      <a:sysClr val="window" lastClr="FFFFFF"/>
    </a:solidFill>
    <a:ln w="9525" cap="flat" cmpd="sng" algn="ctr">
      <a:noFill/>
      <a:round/>
    </a:ln>
    <a:effectLst/>
  </c:spPr>
  <c:txPr>
    <a:bodyPr/>
    <a:lstStyle/>
    <a:p>
      <a:pPr>
        <a:defRPr>
          <a:solidFill>
            <a:schemeClr val="tx1">
              <a:lumMod val="85000"/>
              <a:lumOff val="15000"/>
            </a:schemeClr>
          </a:solidFill>
        </a:defRPr>
      </a:pPr>
      <a:endParaRPr lang="sk-SK"/>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592799805400146"/>
          <c:y val="4.3539593222666428E-2"/>
          <c:w val="0.7679967515614915"/>
          <c:h val="0.54828478210869147"/>
        </c:manualLayout>
      </c:layout>
      <c:lineChart>
        <c:grouping val="standard"/>
        <c:varyColors val="0"/>
        <c:ser>
          <c:idx val="0"/>
          <c:order val="0"/>
          <c:tx>
            <c:strRef>
              <c:f>Hovädzie!$X$3</c:f>
              <c:strCache>
                <c:ptCount val="1"/>
                <c:pt idx="0">
                  <c:v>SK - skenery</c:v>
                </c:pt>
              </c:strCache>
            </c:strRef>
          </c:tx>
          <c:spPr>
            <a:ln w="28575" cap="rnd">
              <a:solidFill>
                <a:schemeClr val="accent1"/>
              </a:solidFill>
              <a:round/>
            </a:ln>
            <a:effectLst/>
          </c:spPr>
          <c:marker>
            <c:symbol val="none"/>
          </c:marker>
          <c:dPt>
            <c:idx val="0"/>
            <c:marker>
              <c:symbol val="none"/>
            </c:marker>
            <c:bubble3D val="0"/>
            <c:extLst>
              <c:ext xmlns:c16="http://schemas.microsoft.com/office/drawing/2014/chart" uri="{C3380CC4-5D6E-409C-BE32-E72D297353CC}">
                <c16:uniqueId val="{00000002-8BB3-4A31-96EF-330A1C6DC74B}"/>
              </c:ext>
            </c:extLst>
          </c:dPt>
          <c:cat>
            <c:numRef>
              <c:f>Hovädzie!$W$4:$W$55</c:f>
              <c:numCache>
                <c:formatCode>m/d/yyyy</c:formatCode>
                <c:ptCount val="14"/>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45717</c:v>
                </c:pt>
                <c:pt idx="13">
                  <c:v>45748</c:v>
                </c:pt>
              </c:numCache>
            </c:numRef>
          </c:cat>
          <c:val>
            <c:numRef>
              <c:f>Hovädzie!$X$4:$X$55</c:f>
              <c:numCache>
                <c:formatCode>0.00</c:formatCode>
                <c:ptCount val="14"/>
                <c:pt idx="0">
                  <c:v>8.3545454545454536</c:v>
                </c:pt>
                <c:pt idx="1">
                  <c:v>8.3545454545454536</c:v>
                </c:pt>
                <c:pt idx="2">
                  <c:v>8.0727272727272723</c:v>
                </c:pt>
                <c:pt idx="3">
                  <c:v>7.8909090909090898</c:v>
                </c:pt>
                <c:pt idx="4">
                  <c:v>8.4454545454545435</c:v>
                </c:pt>
                <c:pt idx="5">
                  <c:v>8.4454545454545435</c:v>
                </c:pt>
                <c:pt idx="6">
                  <c:v>8.4</c:v>
                </c:pt>
                <c:pt idx="7">
                  <c:v>8.0909090909090899</c:v>
                </c:pt>
                <c:pt idx="8">
                  <c:v>8.3272727272727263</c:v>
                </c:pt>
                <c:pt idx="9">
                  <c:v>8.536363636363637</c:v>
                </c:pt>
                <c:pt idx="10">
                  <c:v>9.2181818181818187</c:v>
                </c:pt>
                <c:pt idx="11">
                  <c:v>8.8818181818181809</c:v>
                </c:pt>
                <c:pt idx="12">
                  <c:v>9.6666666666666661</c:v>
                </c:pt>
                <c:pt idx="13">
                  <c:v>10.161904761904761</c:v>
                </c:pt>
              </c:numCache>
            </c:numRef>
          </c:val>
          <c:smooth val="0"/>
          <c:extLst>
            <c:ext xmlns:c16="http://schemas.microsoft.com/office/drawing/2014/chart" uri="{C3380CC4-5D6E-409C-BE32-E72D297353CC}">
              <c16:uniqueId val="{00000003-8BB3-4A31-96EF-330A1C6DC74B}"/>
            </c:ext>
          </c:extLst>
        </c:ser>
        <c:ser>
          <c:idx val="1"/>
          <c:order val="1"/>
          <c:tx>
            <c:strRef>
              <c:f>Hovädzie!$Y$3</c:f>
              <c:strCache>
                <c:ptCount val="1"/>
                <c:pt idx="0">
                  <c:v>SK - pôvodné</c:v>
                </c:pt>
              </c:strCache>
            </c:strRef>
          </c:tx>
          <c:spPr>
            <a:ln w="28575" cap="rnd">
              <a:solidFill>
                <a:schemeClr val="accent2"/>
              </a:solidFill>
              <a:round/>
            </a:ln>
            <a:effectLst/>
          </c:spPr>
          <c:marker>
            <c:symbol val="none"/>
          </c:marker>
          <c:dPt>
            <c:idx val="0"/>
            <c:marker>
              <c:symbol val="none"/>
            </c:marker>
            <c:bubble3D val="0"/>
            <c:extLst>
              <c:ext xmlns:c16="http://schemas.microsoft.com/office/drawing/2014/chart" uri="{C3380CC4-5D6E-409C-BE32-E72D297353CC}">
                <c16:uniqueId val="{00000006-8BB3-4A31-96EF-330A1C6DC74B}"/>
              </c:ext>
            </c:extLst>
          </c:dPt>
          <c:cat>
            <c:numRef>
              <c:f>Hovädzie!$W$4:$W$55</c:f>
              <c:numCache>
                <c:formatCode>m/d/yyyy</c:formatCode>
                <c:ptCount val="15"/>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45689</c:v>
                </c:pt>
                <c:pt idx="13">
                  <c:v>45717</c:v>
                </c:pt>
                <c:pt idx="14">
                  <c:v>45748</c:v>
                </c:pt>
              </c:numCache>
            </c:numRef>
          </c:cat>
          <c:val>
            <c:numRef>
              <c:f>Hovädzie!$Y$4:$Y$52</c:f>
              <c:numCache>
                <c:formatCode>General</c:formatCode>
                <c:ptCount val="12"/>
              </c:numCache>
            </c:numRef>
          </c:val>
          <c:smooth val="0"/>
          <c:extLst>
            <c:ext xmlns:c16="http://schemas.microsoft.com/office/drawing/2014/chart" uri="{C3380CC4-5D6E-409C-BE32-E72D297353CC}">
              <c16:uniqueId val="{00000007-8BB3-4A31-96EF-330A1C6DC74B}"/>
            </c:ext>
          </c:extLst>
        </c:ser>
        <c:ser>
          <c:idx val="2"/>
          <c:order val="2"/>
          <c:tx>
            <c:strRef>
              <c:f>Hovädzie!$Z$3</c:f>
              <c:strCache>
                <c:ptCount val="1"/>
                <c:pt idx="0">
                  <c:v>CZ</c:v>
                </c:pt>
              </c:strCache>
            </c:strRef>
          </c:tx>
          <c:spPr>
            <a:ln w="28575" cap="rnd">
              <a:solidFill>
                <a:schemeClr val="accent3"/>
              </a:solidFill>
              <a:round/>
            </a:ln>
            <a:effectLst/>
          </c:spPr>
          <c:marker>
            <c:symbol val="none"/>
          </c:marker>
          <c:dPt>
            <c:idx val="0"/>
            <c:marker>
              <c:symbol val="none"/>
            </c:marker>
            <c:bubble3D val="0"/>
            <c:extLst>
              <c:ext xmlns:c16="http://schemas.microsoft.com/office/drawing/2014/chart" uri="{C3380CC4-5D6E-409C-BE32-E72D297353CC}">
                <c16:uniqueId val="{00000009-8BB3-4A31-96EF-330A1C6DC74B}"/>
              </c:ext>
            </c:extLst>
          </c:dPt>
          <c:cat>
            <c:numRef>
              <c:f>Hovädzie!$W$4:$W$55</c:f>
              <c:numCache>
                <c:formatCode>m/d/yyyy</c:formatCode>
                <c:ptCount val="16"/>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pt idx="15">
                  <c:v>45748</c:v>
                </c:pt>
              </c:numCache>
            </c:numRef>
          </c:cat>
          <c:val>
            <c:numRef>
              <c:f>Hovädzie!$Z$4:$Z$49</c:f>
              <c:numCache>
                <c:formatCode>General</c:formatCode>
                <c:ptCount val="10"/>
              </c:numCache>
            </c:numRef>
          </c:val>
          <c:smooth val="0"/>
          <c:extLst>
            <c:ext xmlns:c16="http://schemas.microsoft.com/office/drawing/2014/chart" uri="{C3380CC4-5D6E-409C-BE32-E72D297353CC}">
              <c16:uniqueId val="{0000000A-8BB3-4A31-96EF-330A1C6DC74B}"/>
            </c:ext>
          </c:extLst>
        </c:ser>
        <c:ser>
          <c:idx val="3"/>
          <c:order val="3"/>
          <c:tx>
            <c:strRef>
              <c:f>Hovädzie!$AA$3</c:f>
              <c:strCache>
                <c:ptCount val="1"/>
                <c:pt idx="0">
                  <c:v>HU</c:v>
                </c:pt>
              </c:strCache>
            </c:strRef>
          </c:tx>
          <c:spPr>
            <a:ln w="28575" cap="rnd">
              <a:solidFill>
                <a:schemeClr val="accent4"/>
              </a:solidFill>
              <a:round/>
            </a:ln>
            <a:effectLst/>
          </c:spPr>
          <c:marker>
            <c:symbol val="none"/>
          </c:marker>
          <c:dPt>
            <c:idx val="0"/>
            <c:marker>
              <c:symbol val="none"/>
            </c:marker>
            <c:bubble3D val="0"/>
            <c:extLst>
              <c:ext xmlns:c16="http://schemas.microsoft.com/office/drawing/2014/chart" uri="{C3380CC4-5D6E-409C-BE32-E72D297353CC}">
                <c16:uniqueId val="{0000000B-8BB3-4A31-96EF-330A1C6DC74B}"/>
              </c:ext>
            </c:extLst>
          </c:dPt>
          <c:cat>
            <c:numRef>
              <c:f>Hovädzie!$W$4:$W$55</c:f>
              <c:numCache>
                <c:formatCode>m/d/yyyy</c:formatCode>
                <c:ptCount val="14"/>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45717</c:v>
                </c:pt>
                <c:pt idx="13">
                  <c:v>45748</c:v>
                </c:pt>
              </c:numCache>
            </c:numRef>
          </c:cat>
          <c:val>
            <c:numRef>
              <c:f>Hovädzie!$AA$4:$AA$55</c:f>
              <c:numCache>
                <c:formatCode>0.00</c:formatCode>
                <c:ptCount val="14"/>
                <c:pt idx="0">
                  <c:v>9.3982147800691394</c:v>
                </c:pt>
                <c:pt idx="1">
                  <c:v>9.290982322094882</c:v>
                </c:pt>
                <c:pt idx="2">
                  <c:v>9.2483060551490048</c:v>
                </c:pt>
                <c:pt idx="3">
                  <c:v>9.4046449576081823</c:v>
                </c:pt>
                <c:pt idx="4">
                  <c:v>9.4726676066037019</c:v>
                </c:pt>
                <c:pt idx="5">
                  <c:v>9.3393095069321532</c:v>
                </c:pt>
                <c:pt idx="6">
                  <c:v>9.4429507222235962</c:v>
                </c:pt>
                <c:pt idx="7">
                  <c:v>9.3962596850393698</c:v>
                </c:pt>
                <c:pt idx="8">
                  <c:v>9.3723228346456704</c:v>
                </c:pt>
                <c:pt idx="9">
                  <c:v>9.2473903598425196</c:v>
                </c:pt>
                <c:pt idx="10">
                  <c:v>8.9273811023622045</c:v>
                </c:pt>
                <c:pt idx="11">
                  <c:v>8.5623307086614169</c:v>
                </c:pt>
                <c:pt idx="12">
                  <c:v>9.5715748031496073</c:v>
                </c:pt>
                <c:pt idx="13">
                  <c:v>9.4512677165354333</c:v>
                </c:pt>
              </c:numCache>
            </c:numRef>
          </c:val>
          <c:smooth val="0"/>
          <c:extLst>
            <c:ext xmlns:c16="http://schemas.microsoft.com/office/drawing/2014/chart" uri="{C3380CC4-5D6E-409C-BE32-E72D297353CC}">
              <c16:uniqueId val="{0000000C-8BB3-4A31-96EF-330A1C6DC74B}"/>
            </c:ext>
          </c:extLst>
        </c:ser>
        <c:ser>
          <c:idx val="4"/>
          <c:order val="4"/>
          <c:tx>
            <c:strRef>
              <c:f>Hovädzie!$AB$3</c:f>
              <c:strCache>
                <c:ptCount val="1"/>
                <c:pt idx="0">
                  <c:v>PL</c:v>
                </c:pt>
              </c:strCache>
            </c:strRef>
          </c:tx>
          <c:spPr>
            <a:ln w="28575" cap="rnd">
              <a:solidFill>
                <a:schemeClr val="accent5"/>
              </a:solidFill>
              <a:round/>
            </a:ln>
            <a:effectLst/>
          </c:spPr>
          <c:marker>
            <c:symbol val="none"/>
          </c:marker>
          <c:cat>
            <c:numRef>
              <c:f>Hovädzie!$W$4:$W$55</c:f>
              <c:numCache>
                <c:formatCode>m/d/yyyy</c:formatCode>
                <c:ptCount val="14"/>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45717</c:v>
                </c:pt>
                <c:pt idx="13">
                  <c:v>45748</c:v>
                </c:pt>
              </c:numCache>
            </c:numRef>
          </c:cat>
          <c:val>
            <c:numRef>
              <c:f>Hovädzie!$AB$4:$AB$55</c:f>
              <c:numCache>
                <c:formatCode>0.00</c:formatCode>
                <c:ptCount val="14"/>
                <c:pt idx="0">
                  <c:v>10.743849435782925</c:v>
                </c:pt>
                <c:pt idx="1">
                  <c:v>10.73545648586736</c:v>
                </c:pt>
                <c:pt idx="2">
                  <c:v>10.860443150674325</c:v>
                </c:pt>
                <c:pt idx="3">
                  <c:v>10.592739375904046</c:v>
                </c:pt>
                <c:pt idx="4">
                  <c:v>10.639696661918364</c:v>
                </c:pt>
                <c:pt idx="5">
                  <c:v>10.668977286256661</c:v>
                </c:pt>
                <c:pt idx="6">
                  <c:v>10.760065356803686</c:v>
                </c:pt>
                <c:pt idx="7">
                  <c:v>10.738335428571428</c:v>
                </c:pt>
                <c:pt idx="8">
                  <c:v>10.78642</c:v>
                </c:pt>
                <c:pt idx="9">
                  <c:v>10.717319142857143</c:v>
                </c:pt>
                <c:pt idx="10">
                  <c:v>10.619387619047618</c:v>
                </c:pt>
                <c:pt idx="11">
                  <c:v>10.981462857142857</c:v>
                </c:pt>
                <c:pt idx="12">
                  <c:v>11.644</c:v>
                </c:pt>
                <c:pt idx="13">
                  <c:v>11.740457142857142</c:v>
                </c:pt>
              </c:numCache>
            </c:numRef>
          </c:val>
          <c:smooth val="0"/>
          <c:extLst>
            <c:ext xmlns:c16="http://schemas.microsoft.com/office/drawing/2014/chart" uri="{C3380CC4-5D6E-409C-BE32-E72D297353CC}">
              <c16:uniqueId val="{0000000D-8BB3-4A31-96EF-330A1C6DC74B}"/>
            </c:ext>
          </c:extLst>
        </c:ser>
        <c:ser>
          <c:idx val="5"/>
          <c:order val="5"/>
          <c:tx>
            <c:strRef>
              <c:f>Hovädzie!$AC$3</c:f>
              <c:strCache>
                <c:ptCount val="1"/>
                <c:pt idx="0">
                  <c:v>SK - skenery</c:v>
                </c:pt>
              </c:strCache>
            </c:strRef>
          </c:tx>
          <c:spPr>
            <a:ln w="28575" cap="rnd">
              <a:noFill/>
              <a:round/>
            </a:ln>
            <a:effectLst/>
          </c:spPr>
          <c:marker>
            <c:symbol val="circle"/>
            <c:size val="6"/>
            <c:spPr>
              <a:solidFill>
                <a:srgbClr val="2EAAE1"/>
              </a:solidFill>
              <a:ln w="9525">
                <a:solidFill>
                  <a:srgbClr val="2EAAE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2EAAE1"/>
                    </a:solidFill>
                    <a:latin typeface="+mn-lt"/>
                    <a:ea typeface="+mn-ea"/>
                    <a:cs typeface="+mn-cs"/>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Hovädzie!$W$4:$W$55</c:f>
              <c:numCache>
                <c:formatCode>m/d/yyyy</c:formatCode>
                <c:ptCount val="16"/>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pt idx="15">
                  <c:v>45748</c:v>
                </c:pt>
              </c:numCache>
            </c:numRef>
          </c:cat>
          <c:val>
            <c:numRef>
              <c:f>Hovädzie!$AC$4:$AC$49</c:f>
              <c:numCache>
                <c:formatCode>General</c:formatCode>
                <c:ptCount val="10"/>
              </c:numCache>
            </c:numRef>
          </c:val>
          <c:smooth val="0"/>
          <c:extLst>
            <c:ext xmlns:c16="http://schemas.microsoft.com/office/drawing/2014/chart" uri="{C3380CC4-5D6E-409C-BE32-E72D297353CC}">
              <c16:uniqueId val="{0000000E-8BB3-4A31-96EF-330A1C6DC74B}"/>
            </c:ext>
          </c:extLst>
        </c:ser>
        <c:ser>
          <c:idx val="6"/>
          <c:order val="6"/>
          <c:tx>
            <c:strRef>
              <c:f>Hovädzie!$AD$3</c:f>
              <c:strCache>
                <c:ptCount val="1"/>
                <c:pt idx="0">
                  <c:v>CZ</c:v>
                </c:pt>
              </c:strCache>
            </c:strRef>
          </c:tx>
          <c:spPr>
            <a:ln w="28575" cap="rnd">
              <a:noFill/>
              <a:round/>
            </a:ln>
            <a:effectLst/>
          </c:spPr>
          <c:marker>
            <c:symbol val="circle"/>
            <c:size val="6"/>
            <c:spPr>
              <a:solidFill>
                <a:srgbClr val="1AA380"/>
              </a:solidFill>
              <a:ln w="9525">
                <a:solidFill>
                  <a:srgbClr val="1AA380"/>
                </a:solidFill>
              </a:ln>
              <a:effectLst/>
            </c:spPr>
          </c:marker>
          <c:cat>
            <c:numRef>
              <c:f>Hovädzie!$W$4:$W$55</c:f>
              <c:numCache>
                <c:formatCode>m/d/yyyy</c:formatCode>
                <c:ptCount val="16"/>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pt idx="15">
                  <c:v>45748</c:v>
                </c:pt>
              </c:numCache>
            </c:numRef>
          </c:cat>
          <c:val>
            <c:numRef>
              <c:f>Hovädzie!$AD$4:$AD$49</c:f>
              <c:numCache>
                <c:formatCode>General</c:formatCode>
                <c:ptCount val="10"/>
              </c:numCache>
            </c:numRef>
          </c:val>
          <c:smooth val="0"/>
          <c:extLst>
            <c:ext xmlns:c16="http://schemas.microsoft.com/office/drawing/2014/chart" uri="{C3380CC4-5D6E-409C-BE32-E72D297353CC}">
              <c16:uniqueId val="{0000000F-8BB3-4A31-96EF-330A1C6DC74B}"/>
            </c:ext>
          </c:extLst>
        </c:ser>
        <c:ser>
          <c:idx val="7"/>
          <c:order val="7"/>
          <c:tx>
            <c:strRef>
              <c:f>Hovädzie!$AE$3</c:f>
              <c:strCache>
                <c:ptCount val="1"/>
                <c:pt idx="0">
                  <c:v>HU</c:v>
                </c:pt>
              </c:strCache>
            </c:strRef>
          </c:tx>
          <c:spPr>
            <a:ln w="28575" cap="rnd">
              <a:noFill/>
              <a:round/>
            </a:ln>
            <a:effectLst/>
          </c:spPr>
          <c:marker>
            <c:symbol val="circle"/>
            <c:size val="6"/>
            <c:spPr>
              <a:solidFill>
                <a:srgbClr val="F2CA6D"/>
              </a:solidFill>
              <a:ln w="9525">
                <a:solidFill>
                  <a:srgbClr val="F2CA6D"/>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F2CA6D"/>
                    </a:solidFill>
                    <a:latin typeface="+mn-lt"/>
                    <a:ea typeface="+mn-ea"/>
                    <a:cs typeface="+mn-cs"/>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Hovädzie!$W$4:$W$55</c:f>
              <c:numCache>
                <c:formatCode>m/d/yyyy</c:formatCode>
                <c:ptCount val="16"/>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pt idx="15">
                  <c:v>45748</c:v>
                </c:pt>
              </c:numCache>
            </c:numRef>
          </c:cat>
          <c:val>
            <c:numRef>
              <c:f>Hovädzie!$AE$4:$AE$49</c:f>
              <c:numCache>
                <c:formatCode>General</c:formatCode>
                <c:ptCount val="10"/>
              </c:numCache>
            </c:numRef>
          </c:val>
          <c:smooth val="0"/>
          <c:extLst>
            <c:ext xmlns:c16="http://schemas.microsoft.com/office/drawing/2014/chart" uri="{C3380CC4-5D6E-409C-BE32-E72D297353CC}">
              <c16:uniqueId val="{00000010-8BB3-4A31-96EF-330A1C6DC74B}"/>
            </c:ext>
          </c:extLst>
        </c:ser>
        <c:ser>
          <c:idx val="8"/>
          <c:order val="8"/>
          <c:tx>
            <c:strRef>
              <c:f>Hovädzie!$AF$3</c:f>
              <c:strCache>
                <c:ptCount val="1"/>
                <c:pt idx="0">
                  <c:v>PL</c:v>
                </c:pt>
              </c:strCache>
            </c:strRef>
          </c:tx>
          <c:spPr>
            <a:ln w="28575" cap="rnd">
              <a:noFill/>
              <a:round/>
            </a:ln>
            <a:effectLst/>
          </c:spPr>
          <c:marker>
            <c:symbol val="circle"/>
            <c:size val="6"/>
            <c:spPr>
              <a:solidFill>
                <a:srgbClr val="E85477"/>
              </a:solidFill>
              <a:ln w="9525">
                <a:solidFill>
                  <a:srgbClr val="E85477"/>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E85477"/>
                    </a:solidFill>
                    <a:latin typeface="+mn-lt"/>
                    <a:ea typeface="+mn-ea"/>
                    <a:cs typeface="+mn-cs"/>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Hovädzie!$W$4:$W$55</c:f>
              <c:numCache>
                <c:formatCode>m/d/yyyy</c:formatCode>
                <c:ptCount val="16"/>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pt idx="15">
                  <c:v>45748</c:v>
                </c:pt>
              </c:numCache>
            </c:numRef>
          </c:cat>
          <c:val>
            <c:numRef>
              <c:f>Hovädzie!$AF$4:$AF$49</c:f>
              <c:numCache>
                <c:formatCode>General</c:formatCode>
                <c:ptCount val="10"/>
              </c:numCache>
            </c:numRef>
          </c:val>
          <c:smooth val="0"/>
          <c:extLst>
            <c:ext xmlns:c16="http://schemas.microsoft.com/office/drawing/2014/chart" uri="{C3380CC4-5D6E-409C-BE32-E72D297353CC}">
              <c16:uniqueId val="{00000011-8BB3-4A31-96EF-330A1C6DC74B}"/>
            </c:ext>
          </c:extLst>
        </c:ser>
        <c:dLbls>
          <c:showLegendKey val="0"/>
          <c:showVal val="0"/>
          <c:showCatName val="0"/>
          <c:showSerName val="0"/>
          <c:showPercent val="0"/>
          <c:showBubbleSize val="0"/>
        </c:dLbls>
        <c:smooth val="0"/>
        <c:axId val="545542928"/>
        <c:axId val="545543256"/>
      </c:lineChart>
      <c:dateAx>
        <c:axId val="545542928"/>
        <c:scaling>
          <c:orientation val="minMax"/>
          <c:max val="45627"/>
        </c:scaling>
        <c:delete val="0"/>
        <c:axPos val="b"/>
        <c:numFmt formatCode="m/yy" sourceLinked="0"/>
        <c:majorTickMark val="none"/>
        <c:minorTickMark val="none"/>
        <c:tickLblPos val="nextTo"/>
        <c:spPr>
          <a:noFill/>
          <a:ln w="12700" cap="flat" cmpd="sng" algn="ctr">
            <a:solidFill>
              <a:srgbClr val="7F7F7F"/>
            </a:solidFill>
            <a:round/>
          </a:ln>
          <a:effectLst/>
        </c:spPr>
        <c:txPr>
          <a:bodyPr rot="-5400000" spcFirstLastPara="1" vertOverflow="ellipsis" wrap="square" anchor="ctr" anchorCtr="1"/>
          <a:lstStyle/>
          <a:p>
            <a:pPr>
              <a:defRPr sz="900" b="0" i="0" u="none" strike="noStrike" kern="1200" baseline="0">
                <a:solidFill>
                  <a:schemeClr val="tx1">
                    <a:lumMod val="85000"/>
                    <a:lumOff val="15000"/>
                  </a:schemeClr>
                </a:solidFill>
                <a:latin typeface="+mn-lt"/>
                <a:ea typeface="+mn-ea"/>
                <a:cs typeface="+mn-cs"/>
              </a:defRPr>
            </a:pPr>
            <a:endParaRPr lang="sk-SK"/>
          </a:p>
        </c:txPr>
        <c:crossAx val="545543256"/>
        <c:crosses val="autoZero"/>
        <c:auto val="1"/>
        <c:lblOffset val="100"/>
        <c:baseTimeUnit val="months"/>
        <c:majorUnit val="1"/>
        <c:majorTimeUnit val="months"/>
      </c:dateAx>
      <c:valAx>
        <c:axId val="545543256"/>
        <c:scaling>
          <c:orientation val="minMax"/>
          <c:max val="12"/>
          <c:min val="4"/>
        </c:scaling>
        <c:delete val="0"/>
        <c:axPos val="l"/>
        <c:majorGridlines>
          <c:spPr>
            <a:ln w="9525" cap="flat" cmpd="sng" algn="ctr">
              <a:solidFill>
                <a:srgbClr val="7F7F7F">
                  <a:alpha val="25098"/>
                </a:srgbClr>
              </a:solidFill>
              <a:prstDash val="sysDot"/>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85000"/>
                    <a:lumOff val="15000"/>
                  </a:schemeClr>
                </a:solidFill>
                <a:latin typeface="+mn-lt"/>
                <a:ea typeface="+mn-ea"/>
                <a:cs typeface="+mn-cs"/>
              </a:defRPr>
            </a:pPr>
            <a:endParaRPr lang="sk-SK"/>
          </a:p>
        </c:txPr>
        <c:crossAx val="545542928"/>
        <c:crosses val="autoZero"/>
        <c:crossBetween val="midCat"/>
      </c:valAx>
      <c:spPr>
        <a:noFill/>
        <a:ln>
          <a:noFill/>
        </a:ln>
        <a:effectLst/>
      </c:spPr>
    </c:plotArea>
    <c:legend>
      <c:legendPos val="b"/>
      <c:legendEntry>
        <c:idx val="5"/>
        <c:delete val="1"/>
      </c:legendEntry>
      <c:legendEntry>
        <c:idx val="6"/>
        <c:delete val="1"/>
      </c:legendEntry>
      <c:legendEntry>
        <c:idx val="7"/>
        <c:delete val="1"/>
      </c:legendEntry>
      <c:legendEntry>
        <c:idx val="8"/>
        <c:delete val="1"/>
      </c:legendEntry>
      <c:layout>
        <c:manualLayout>
          <c:xMode val="edge"/>
          <c:yMode val="edge"/>
          <c:x val="0"/>
          <c:y val="0.77620506391924893"/>
          <c:w val="0.99110012124183822"/>
          <c:h val="0.223794936080751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85000"/>
                  <a:lumOff val="15000"/>
                </a:schemeClr>
              </a:solidFill>
              <a:latin typeface="+mn-lt"/>
              <a:ea typeface="+mn-ea"/>
              <a:cs typeface="+mn-cs"/>
            </a:defRPr>
          </a:pPr>
          <a:endParaRPr lang="sk-SK"/>
        </a:p>
      </c:txPr>
    </c:legend>
    <c:plotVisOnly val="1"/>
    <c:dispBlanksAs val="gap"/>
    <c:showDLblsOverMax val="0"/>
  </c:chart>
  <c:spPr>
    <a:solidFill>
      <a:sysClr val="window" lastClr="FFFFFF"/>
    </a:solidFill>
    <a:ln w="9525" cap="flat" cmpd="sng" algn="ctr">
      <a:noFill/>
      <a:round/>
    </a:ln>
    <a:effectLst/>
  </c:spPr>
  <c:txPr>
    <a:bodyPr/>
    <a:lstStyle/>
    <a:p>
      <a:pPr>
        <a:defRPr>
          <a:solidFill>
            <a:schemeClr val="tx1">
              <a:lumMod val="85000"/>
              <a:lumOff val="15000"/>
            </a:schemeClr>
          </a:solidFill>
        </a:defRPr>
      </a:pPr>
      <a:endParaRPr lang="sk-SK"/>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551239525777141"/>
          <c:y val="3.5424183715184583E-2"/>
          <c:w val="0.82950123456790126"/>
          <c:h val="0.67933889753622778"/>
        </c:manualLayout>
      </c:layout>
      <c:lineChart>
        <c:grouping val="standard"/>
        <c:varyColors val="0"/>
        <c:ser>
          <c:idx val="0"/>
          <c:order val="0"/>
          <c:tx>
            <c:strRef>
              <c:f>Hovädzie!$H$3</c:f>
              <c:strCache>
                <c:ptCount val="1"/>
                <c:pt idx="0">
                  <c:v>SK</c:v>
                </c:pt>
              </c:strCache>
            </c:strRef>
          </c:tx>
          <c:spPr>
            <a:ln w="19050" cap="rnd">
              <a:solidFill>
                <a:schemeClr val="accent1"/>
              </a:solidFill>
              <a:round/>
            </a:ln>
            <a:effectLst/>
          </c:spPr>
          <c:marker>
            <c:symbol val="none"/>
          </c:marker>
          <c:cat>
            <c:numRef>
              <c:f>Hovädzie!$G$4:$G$55</c:f>
              <c:numCache>
                <c:formatCode>m/d/yyyy</c:formatCode>
                <c:ptCount val="14"/>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45717</c:v>
                </c:pt>
                <c:pt idx="13">
                  <c:v>45748</c:v>
                </c:pt>
              </c:numCache>
            </c:numRef>
          </c:cat>
          <c:val>
            <c:numRef>
              <c:f>Hovädzie!$H$4:$H$55</c:f>
              <c:numCache>
                <c:formatCode>General</c:formatCode>
                <c:ptCount val="14"/>
                <c:pt idx="2" formatCode="#,##0">
                  <c:v>303.33</c:v>
                </c:pt>
                <c:pt idx="5" formatCode="#,##0">
                  <c:v>291.38400000000001</c:v>
                </c:pt>
                <c:pt idx="6" formatCode="#,##0">
                  <c:v>268.28739999999999</c:v>
                </c:pt>
                <c:pt idx="7" formatCode="#,##0">
                  <c:v>309</c:v>
                </c:pt>
                <c:pt idx="13">
                  <c:v>353</c:v>
                </c:pt>
              </c:numCache>
            </c:numRef>
          </c:val>
          <c:smooth val="0"/>
          <c:extLst>
            <c:ext xmlns:c16="http://schemas.microsoft.com/office/drawing/2014/chart" uri="{C3380CC4-5D6E-409C-BE32-E72D297353CC}">
              <c16:uniqueId val="{00000001-5E46-4A18-A02B-528996CC2521}"/>
            </c:ext>
          </c:extLst>
        </c:ser>
        <c:ser>
          <c:idx val="1"/>
          <c:order val="1"/>
          <c:tx>
            <c:strRef>
              <c:f>Hovädzie!$I$3</c:f>
              <c:strCache>
                <c:ptCount val="1"/>
                <c:pt idx="0">
                  <c:v>CZ</c:v>
                </c:pt>
              </c:strCache>
            </c:strRef>
          </c:tx>
          <c:spPr>
            <a:ln w="19050" cap="rnd">
              <a:solidFill>
                <a:srgbClr val="1AA380"/>
              </a:solidFill>
              <a:round/>
            </a:ln>
            <a:effectLst/>
          </c:spPr>
          <c:marker>
            <c:symbol val="none"/>
          </c:marker>
          <c:dPt>
            <c:idx val="0"/>
            <c:marker>
              <c:symbol val="none"/>
            </c:marker>
            <c:bubble3D val="0"/>
            <c:extLst>
              <c:ext xmlns:c16="http://schemas.microsoft.com/office/drawing/2014/chart" uri="{C3380CC4-5D6E-409C-BE32-E72D297353CC}">
                <c16:uniqueId val="{00000003-5E46-4A18-A02B-528996CC2521}"/>
              </c:ext>
            </c:extLst>
          </c:dPt>
          <c:cat>
            <c:numRef>
              <c:f>Hovädzie!$G$4:$G$55</c:f>
              <c:numCache>
                <c:formatCode>m/d/yyyy</c:formatCode>
                <c:ptCount val="14"/>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45717</c:v>
                </c:pt>
                <c:pt idx="13">
                  <c:v>45748</c:v>
                </c:pt>
              </c:numCache>
            </c:numRef>
          </c:cat>
          <c:val>
            <c:numRef>
              <c:f>Hovädzie!$I$4:$I$55</c:f>
              <c:numCache>
                <c:formatCode>#,##0</c:formatCode>
                <c:ptCount val="14"/>
                <c:pt idx="0">
                  <c:v>321.83139999999997</c:v>
                </c:pt>
                <c:pt idx="1">
                  <c:v>324.5831</c:v>
                </c:pt>
                <c:pt idx="2">
                  <c:v>337.87180000000001</c:v>
                </c:pt>
                <c:pt idx="3">
                  <c:v>342.17950000000002</c:v>
                </c:pt>
                <c:pt idx="4">
                  <c:v>355.59769999999997</c:v>
                </c:pt>
                <c:pt idx="5">
                  <c:v>367.9726</c:v>
                </c:pt>
                <c:pt idx="6">
                  <c:v>363.51409999999998</c:v>
                </c:pt>
                <c:pt idx="7">
                  <c:v>367</c:v>
                </c:pt>
                <c:pt idx="8">
                  <c:v>373</c:v>
                </c:pt>
                <c:pt idx="9">
                  <c:v>370</c:v>
                </c:pt>
                <c:pt idx="10">
                  <c:v>375</c:v>
                </c:pt>
                <c:pt idx="11">
                  <c:v>378</c:v>
                </c:pt>
                <c:pt idx="12">
                  <c:v>450</c:v>
                </c:pt>
                <c:pt idx="13">
                  <c:v>461</c:v>
                </c:pt>
              </c:numCache>
            </c:numRef>
          </c:val>
          <c:smooth val="0"/>
          <c:extLst>
            <c:ext xmlns:c16="http://schemas.microsoft.com/office/drawing/2014/chart" uri="{C3380CC4-5D6E-409C-BE32-E72D297353CC}">
              <c16:uniqueId val="{00000004-5E46-4A18-A02B-528996CC2521}"/>
            </c:ext>
          </c:extLst>
        </c:ser>
        <c:ser>
          <c:idx val="2"/>
          <c:order val="2"/>
          <c:tx>
            <c:strRef>
              <c:f>Hovädzie!$J$3</c:f>
              <c:strCache>
                <c:ptCount val="1"/>
                <c:pt idx="0">
                  <c:v>HU</c:v>
                </c:pt>
              </c:strCache>
            </c:strRef>
          </c:tx>
          <c:spPr>
            <a:ln w="19050" cap="rnd">
              <a:solidFill>
                <a:srgbClr val="F2CA6D"/>
              </a:solidFill>
              <a:round/>
            </a:ln>
            <a:effectLst/>
          </c:spPr>
          <c:marker>
            <c:symbol val="none"/>
          </c:marker>
          <c:dPt>
            <c:idx val="0"/>
            <c:marker>
              <c:symbol val="none"/>
            </c:marker>
            <c:bubble3D val="0"/>
            <c:extLst>
              <c:ext xmlns:c16="http://schemas.microsoft.com/office/drawing/2014/chart" uri="{C3380CC4-5D6E-409C-BE32-E72D297353CC}">
                <c16:uniqueId val="{00000006-5E46-4A18-A02B-528996CC2521}"/>
              </c:ext>
            </c:extLst>
          </c:dPt>
          <c:cat>
            <c:numRef>
              <c:f>Hovädzie!$G$4:$G$55</c:f>
              <c:numCache>
                <c:formatCode>m/d/yyyy</c:formatCode>
                <c:ptCount val="14"/>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45717</c:v>
                </c:pt>
                <c:pt idx="13">
                  <c:v>45748</c:v>
                </c:pt>
              </c:numCache>
            </c:numRef>
          </c:cat>
          <c:val>
            <c:numRef>
              <c:f>Hovädzie!$J$4:$J$55</c:f>
              <c:numCache>
                <c:formatCode>#,##0</c:formatCode>
                <c:ptCount val="14"/>
                <c:pt idx="0">
                  <c:v>209.14359999999999</c:v>
                </c:pt>
                <c:pt idx="1">
                  <c:v>245.0497</c:v>
                </c:pt>
                <c:pt idx="2">
                  <c:v>249.64150000000001</c:v>
                </c:pt>
                <c:pt idx="3">
                  <c:v>197.7002</c:v>
                </c:pt>
                <c:pt idx="4">
                  <c:v>266.67509999999999</c:v>
                </c:pt>
                <c:pt idx="5">
                  <c:v>273.8442</c:v>
                </c:pt>
                <c:pt idx="6">
                  <c:v>361.22770000000003</c:v>
                </c:pt>
                <c:pt idx="7">
                  <c:v>367</c:v>
                </c:pt>
                <c:pt idx="8">
                  <c:v>363</c:v>
                </c:pt>
                <c:pt idx="9">
                  <c:v>341</c:v>
                </c:pt>
                <c:pt idx="10">
                  <c:v>345</c:v>
                </c:pt>
                <c:pt idx="11">
                  <c:v>345</c:v>
                </c:pt>
                <c:pt idx="12">
                  <c:v>410</c:v>
                </c:pt>
                <c:pt idx="13">
                  <c:v>406</c:v>
                </c:pt>
              </c:numCache>
            </c:numRef>
          </c:val>
          <c:smooth val="0"/>
          <c:extLst>
            <c:ext xmlns:c16="http://schemas.microsoft.com/office/drawing/2014/chart" uri="{C3380CC4-5D6E-409C-BE32-E72D297353CC}">
              <c16:uniqueId val="{00000007-5E46-4A18-A02B-528996CC2521}"/>
            </c:ext>
          </c:extLst>
        </c:ser>
        <c:ser>
          <c:idx val="3"/>
          <c:order val="3"/>
          <c:tx>
            <c:strRef>
              <c:f>Hovädzie!$K$3</c:f>
              <c:strCache>
                <c:ptCount val="1"/>
                <c:pt idx="0">
                  <c:v>PL</c:v>
                </c:pt>
              </c:strCache>
            </c:strRef>
          </c:tx>
          <c:spPr>
            <a:ln w="19050" cap="rnd">
              <a:solidFill>
                <a:srgbClr val="E85477"/>
              </a:solidFill>
              <a:round/>
            </a:ln>
            <a:effectLst/>
          </c:spPr>
          <c:marker>
            <c:symbol val="none"/>
          </c:marker>
          <c:dPt>
            <c:idx val="0"/>
            <c:marker>
              <c:symbol val="none"/>
            </c:marker>
            <c:bubble3D val="0"/>
            <c:extLst>
              <c:ext xmlns:c16="http://schemas.microsoft.com/office/drawing/2014/chart" uri="{C3380CC4-5D6E-409C-BE32-E72D297353CC}">
                <c16:uniqueId val="{00000009-5E46-4A18-A02B-528996CC2521}"/>
              </c:ext>
            </c:extLst>
          </c:dPt>
          <c:cat>
            <c:numRef>
              <c:f>Hovädzie!$G$4:$G$55</c:f>
              <c:numCache>
                <c:formatCode>m/d/yyyy</c:formatCode>
                <c:ptCount val="14"/>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45717</c:v>
                </c:pt>
                <c:pt idx="13">
                  <c:v>45748</c:v>
                </c:pt>
              </c:numCache>
            </c:numRef>
          </c:cat>
          <c:val>
            <c:numRef>
              <c:f>Hovädzie!$K$4:$K$55</c:f>
              <c:numCache>
                <c:formatCode>#,##0</c:formatCode>
                <c:ptCount val="14"/>
                <c:pt idx="0">
                  <c:v>392.50349999999997</c:v>
                </c:pt>
                <c:pt idx="1">
                  <c:v>404.52789999999999</c:v>
                </c:pt>
                <c:pt idx="2">
                  <c:v>412.56169999999997</c:v>
                </c:pt>
                <c:pt idx="3">
                  <c:v>413.77289999999999</c:v>
                </c:pt>
                <c:pt idx="4">
                  <c:v>424.39</c:v>
                </c:pt>
                <c:pt idx="5">
                  <c:v>425.98480000000001</c:v>
                </c:pt>
                <c:pt idx="6">
                  <c:v>431.6053</c:v>
                </c:pt>
                <c:pt idx="7">
                  <c:v>430</c:v>
                </c:pt>
                <c:pt idx="8">
                  <c:v>431</c:v>
                </c:pt>
                <c:pt idx="9">
                  <c:v>437</c:v>
                </c:pt>
                <c:pt idx="10">
                  <c:v>438</c:v>
                </c:pt>
                <c:pt idx="11">
                  <c:v>451</c:v>
                </c:pt>
                <c:pt idx="12">
                  <c:v>526</c:v>
                </c:pt>
                <c:pt idx="13">
                  <c:v>532</c:v>
                </c:pt>
              </c:numCache>
            </c:numRef>
          </c:val>
          <c:smooth val="0"/>
          <c:extLst>
            <c:ext xmlns:c16="http://schemas.microsoft.com/office/drawing/2014/chart" uri="{C3380CC4-5D6E-409C-BE32-E72D297353CC}">
              <c16:uniqueId val="{0000000A-5E46-4A18-A02B-528996CC2521}"/>
            </c:ext>
          </c:extLst>
        </c:ser>
        <c:ser>
          <c:idx val="4"/>
          <c:order val="4"/>
          <c:tx>
            <c:strRef>
              <c:f>Hovädzie!$L$3</c:f>
              <c:strCache>
                <c:ptCount val="1"/>
                <c:pt idx="0">
                  <c:v>AT</c:v>
                </c:pt>
              </c:strCache>
            </c:strRef>
          </c:tx>
          <c:spPr>
            <a:ln w="19050" cap="rnd">
              <a:solidFill>
                <a:sysClr val="windowText" lastClr="000000"/>
              </a:solidFill>
              <a:round/>
            </a:ln>
            <a:effectLst/>
          </c:spPr>
          <c:marker>
            <c:symbol val="none"/>
          </c:marker>
          <c:dPt>
            <c:idx val="0"/>
            <c:marker>
              <c:symbol val="none"/>
            </c:marker>
            <c:bubble3D val="0"/>
            <c:extLst>
              <c:ext xmlns:c16="http://schemas.microsoft.com/office/drawing/2014/chart" uri="{C3380CC4-5D6E-409C-BE32-E72D297353CC}">
                <c16:uniqueId val="{0000000B-5E46-4A18-A02B-528996CC2521}"/>
              </c:ext>
            </c:extLst>
          </c:dPt>
          <c:cat>
            <c:numRef>
              <c:f>Hovädzie!$G$4:$G$55</c:f>
              <c:numCache>
                <c:formatCode>m/d/yyyy</c:formatCode>
                <c:ptCount val="14"/>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45717</c:v>
                </c:pt>
                <c:pt idx="13">
                  <c:v>45748</c:v>
                </c:pt>
              </c:numCache>
            </c:numRef>
          </c:cat>
          <c:val>
            <c:numRef>
              <c:f>Hovädzie!$L$4:$L$55</c:f>
              <c:numCache>
                <c:formatCode>#,##0</c:formatCode>
                <c:ptCount val="14"/>
                <c:pt idx="0">
                  <c:v>330.49520000000001</c:v>
                </c:pt>
                <c:pt idx="1">
                  <c:v>344.63069999999999</c:v>
                </c:pt>
                <c:pt idx="2">
                  <c:v>351.53390000000002</c:v>
                </c:pt>
                <c:pt idx="3">
                  <c:v>372.86829999999998</c:v>
                </c:pt>
                <c:pt idx="4">
                  <c:v>386.68740000000003</c:v>
                </c:pt>
                <c:pt idx="5">
                  <c:v>398.30930000000001</c:v>
                </c:pt>
                <c:pt idx="6">
                  <c:v>407.9187</c:v>
                </c:pt>
                <c:pt idx="7">
                  <c:v>409</c:v>
                </c:pt>
                <c:pt idx="8">
                  <c:v>410</c:v>
                </c:pt>
                <c:pt idx="9">
                  <c:v>406</c:v>
                </c:pt>
                <c:pt idx="10">
                  <c:v>409</c:v>
                </c:pt>
                <c:pt idx="11">
                  <c:v>412</c:v>
                </c:pt>
                <c:pt idx="12">
                  <c:v>493</c:v>
                </c:pt>
                <c:pt idx="13">
                  <c:v>513</c:v>
                </c:pt>
              </c:numCache>
            </c:numRef>
          </c:val>
          <c:smooth val="0"/>
          <c:extLst>
            <c:ext xmlns:c16="http://schemas.microsoft.com/office/drawing/2014/chart" uri="{C3380CC4-5D6E-409C-BE32-E72D297353CC}">
              <c16:uniqueId val="{0000000C-5E46-4A18-A02B-528996CC2521}"/>
            </c:ext>
          </c:extLst>
        </c:ser>
        <c:ser>
          <c:idx val="5"/>
          <c:order val="5"/>
          <c:tx>
            <c:strRef>
              <c:f>Hovädzie!$M$3</c:f>
              <c:strCache>
                <c:ptCount val="1"/>
                <c:pt idx="0">
                  <c:v>DE</c:v>
                </c:pt>
              </c:strCache>
            </c:strRef>
          </c:tx>
          <c:spPr>
            <a:ln w="19050" cap="rnd">
              <a:solidFill>
                <a:srgbClr val="7030A0"/>
              </a:solidFill>
              <a:round/>
            </a:ln>
            <a:effectLst/>
          </c:spPr>
          <c:marker>
            <c:symbol val="none"/>
          </c:marker>
          <c:dPt>
            <c:idx val="0"/>
            <c:marker>
              <c:symbol val="none"/>
            </c:marker>
            <c:bubble3D val="0"/>
            <c:extLst>
              <c:ext xmlns:c16="http://schemas.microsoft.com/office/drawing/2014/chart" uri="{C3380CC4-5D6E-409C-BE32-E72D297353CC}">
                <c16:uniqueId val="{0000000E-5E46-4A18-A02B-528996CC2521}"/>
              </c:ext>
            </c:extLst>
          </c:dPt>
          <c:cat>
            <c:numRef>
              <c:f>Hovädzie!$G$4:$G$55</c:f>
              <c:numCache>
                <c:formatCode>m/d/yyyy</c:formatCode>
                <c:ptCount val="14"/>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45717</c:v>
                </c:pt>
                <c:pt idx="13">
                  <c:v>45748</c:v>
                </c:pt>
              </c:numCache>
            </c:numRef>
          </c:cat>
          <c:val>
            <c:numRef>
              <c:f>Hovädzie!$M$4:$M$55</c:f>
              <c:numCache>
                <c:formatCode>#,##0</c:formatCode>
                <c:ptCount val="14"/>
                <c:pt idx="0">
                  <c:v>367.79969999999997</c:v>
                </c:pt>
                <c:pt idx="1">
                  <c:v>385.90969999999999</c:v>
                </c:pt>
                <c:pt idx="2">
                  <c:v>394.92290000000003</c:v>
                </c:pt>
                <c:pt idx="3">
                  <c:v>411.49799999999999</c:v>
                </c:pt>
                <c:pt idx="4">
                  <c:v>425.83679999999998</c:v>
                </c:pt>
                <c:pt idx="5">
                  <c:v>431.72</c:v>
                </c:pt>
                <c:pt idx="6">
                  <c:v>433.63290000000001</c:v>
                </c:pt>
                <c:pt idx="7">
                  <c:v>442</c:v>
                </c:pt>
                <c:pt idx="8">
                  <c:v>445</c:v>
                </c:pt>
                <c:pt idx="9">
                  <c:v>445</c:v>
                </c:pt>
                <c:pt idx="10">
                  <c:v>449</c:v>
                </c:pt>
                <c:pt idx="11">
                  <c:v>462</c:v>
                </c:pt>
                <c:pt idx="12">
                  <c:v>553</c:v>
                </c:pt>
                <c:pt idx="13">
                  <c:v>588</c:v>
                </c:pt>
              </c:numCache>
            </c:numRef>
          </c:val>
          <c:smooth val="0"/>
          <c:extLst>
            <c:ext xmlns:c16="http://schemas.microsoft.com/office/drawing/2014/chart" uri="{C3380CC4-5D6E-409C-BE32-E72D297353CC}">
              <c16:uniqueId val="{0000000F-5E46-4A18-A02B-528996CC2521}"/>
            </c:ext>
          </c:extLst>
        </c:ser>
        <c:ser>
          <c:idx val="6"/>
          <c:order val="6"/>
          <c:tx>
            <c:strRef>
              <c:f>Hovädzie!$N$3</c:f>
              <c:strCache>
                <c:ptCount val="1"/>
                <c:pt idx="0">
                  <c:v>SK</c:v>
                </c:pt>
              </c:strCache>
            </c:strRef>
          </c:tx>
          <c:spPr>
            <a:ln w="28575" cap="rnd">
              <a:noFill/>
              <a:round/>
            </a:ln>
            <a:effectLst/>
          </c:spPr>
          <c:marker>
            <c:symbol val="circle"/>
            <c:size val="3"/>
            <c:spPr>
              <a:solidFill>
                <a:srgbClr val="2EAAE1"/>
              </a:solidFill>
              <a:ln w="9525">
                <a:solidFill>
                  <a:srgbClr val="2EAAE1"/>
                </a:solidFill>
              </a:ln>
              <a:effectLst/>
            </c:spPr>
          </c:marker>
          <c:cat>
            <c:numRef>
              <c:f>Hovädzie!$G$4:$G$55</c:f>
              <c:numCache>
                <c:formatCode>m/d/yyyy</c:formatCode>
                <c:ptCount val="16"/>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pt idx="15">
                  <c:v>45748</c:v>
                </c:pt>
              </c:numCache>
            </c:numRef>
          </c:cat>
          <c:val>
            <c:numRef>
              <c:f>Hovädzie!$N$4:$N$49</c:f>
              <c:numCache>
                <c:formatCode>General</c:formatCode>
                <c:ptCount val="10"/>
              </c:numCache>
            </c:numRef>
          </c:val>
          <c:smooth val="0"/>
          <c:extLst>
            <c:ext xmlns:c16="http://schemas.microsoft.com/office/drawing/2014/chart" uri="{C3380CC4-5D6E-409C-BE32-E72D297353CC}">
              <c16:uniqueId val="{00000010-5E46-4A18-A02B-528996CC2521}"/>
            </c:ext>
          </c:extLst>
        </c:ser>
        <c:ser>
          <c:idx val="7"/>
          <c:order val="7"/>
          <c:tx>
            <c:strRef>
              <c:f>Hovädzie!$O$3</c:f>
              <c:strCache>
                <c:ptCount val="1"/>
                <c:pt idx="0">
                  <c:v>CZ</c:v>
                </c:pt>
              </c:strCache>
            </c:strRef>
          </c:tx>
          <c:spPr>
            <a:ln w="28575" cap="rnd">
              <a:noFill/>
              <a:round/>
            </a:ln>
            <a:effectLst/>
          </c:spPr>
          <c:marker>
            <c:symbol val="circle"/>
            <c:size val="3"/>
            <c:spPr>
              <a:solidFill>
                <a:srgbClr val="1AA380"/>
              </a:solidFill>
              <a:ln w="9525">
                <a:solidFill>
                  <a:srgbClr val="1AA380"/>
                </a:solidFill>
              </a:ln>
              <a:effectLst/>
            </c:spPr>
          </c:marker>
          <c:cat>
            <c:numRef>
              <c:f>Hovädzie!$G$4:$G$55</c:f>
              <c:numCache>
                <c:formatCode>m/d/yyyy</c:formatCode>
                <c:ptCount val="16"/>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pt idx="15">
                  <c:v>45748</c:v>
                </c:pt>
              </c:numCache>
            </c:numRef>
          </c:cat>
          <c:val>
            <c:numRef>
              <c:f>Hovädzie!$O$4:$O$49</c:f>
              <c:numCache>
                <c:formatCode>General</c:formatCode>
                <c:ptCount val="10"/>
              </c:numCache>
            </c:numRef>
          </c:val>
          <c:smooth val="0"/>
          <c:extLst>
            <c:ext xmlns:c16="http://schemas.microsoft.com/office/drawing/2014/chart" uri="{C3380CC4-5D6E-409C-BE32-E72D297353CC}">
              <c16:uniqueId val="{00000011-5E46-4A18-A02B-528996CC2521}"/>
            </c:ext>
          </c:extLst>
        </c:ser>
        <c:ser>
          <c:idx val="8"/>
          <c:order val="8"/>
          <c:tx>
            <c:strRef>
              <c:f>Hovädzie!$P$3</c:f>
              <c:strCache>
                <c:ptCount val="1"/>
                <c:pt idx="0">
                  <c:v>HU</c:v>
                </c:pt>
              </c:strCache>
            </c:strRef>
          </c:tx>
          <c:spPr>
            <a:ln w="28575" cap="rnd">
              <a:noFill/>
              <a:round/>
            </a:ln>
            <a:effectLst/>
          </c:spPr>
          <c:marker>
            <c:symbol val="circle"/>
            <c:size val="3"/>
            <c:spPr>
              <a:solidFill>
                <a:srgbClr val="F2CA6D"/>
              </a:solidFill>
              <a:ln w="9525">
                <a:solidFill>
                  <a:srgbClr val="F2CA6D"/>
                </a:solidFill>
              </a:ln>
              <a:effectLst/>
            </c:spPr>
          </c:marker>
          <c:cat>
            <c:numRef>
              <c:f>Hovädzie!$G$4:$G$55</c:f>
              <c:numCache>
                <c:formatCode>m/d/yyyy</c:formatCode>
                <c:ptCount val="16"/>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pt idx="15">
                  <c:v>45748</c:v>
                </c:pt>
              </c:numCache>
            </c:numRef>
          </c:cat>
          <c:val>
            <c:numRef>
              <c:f>Hovädzie!$P$4:$P$49</c:f>
              <c:numCache>
                <c:formatCode>General</c:formatCode>
                <c:ptCount val="10"/>
              </c:numCache>
            </c:numRef>
          </c:val>
          <c:smooth val="0"/>
          <c:extLst>
            <c:ext xmlns:c16="http://schemas.microsoft.com/office/drawing/2014/chart" uri="{C3380CC4-5D6E-409C-BE32-E72D297353CC}">
              <c16:uniqueId val="{00000012-5E46-4A18-A02B-528996CC2521}"/>
            </c:ext>
          </c:extLst>
        </c:ser>
        <c:ser>
          <c:idx val="9"/>
          <c:order val="9"/>
          <c:tx>
            <c:strRef>
              <c:f>Hovädzie!$Q$3</c:f>
              <c:strCache>
                <c:ptCount val="1"/>
                <c:pt idx="0">
                  <c:v>PL</c:v>
                </c:pt>
              </c:strCache>
            </c:strRef>
          </c:tx>
          <c:spPr>
            <a:ln w="28575" cap="rnd">
              <a:noFill/>
              <a:round/>
            </a:ln>
            <a:effectLst/>
          </c:spPr>
          <c:marker>
            <c:symbol val="circle"/>
            <c:size val="3"/>
            <c:spPr>
              <a:solidFill>
                <a:srgbClr val="E85477"/>
              </a:solidFill>
              <a:ln w="9525">
                <a:solidFill>
                  <a:srgbClr val="E85477"/>
                </a:solidFill>
              </a:ln>
              <a:effectLst/>
            </c:spPr>
          </c:marker>
          <c:cat>
            <c:numRef>
              <c:f>Hovädzie!$G$4:$G$55</c:f>
              <c:numCache>
                <c:formatCode>m/d/yyyy</c:formatCode>
                <c:ptCount val="16"/>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pt idx="15">
                  <c:v>45748</c:v>
                </c:pt>
              </c:numCache>
            </c:numRef>
          </c:cat>
          <c:val>
            <c:numRef>
              <c:f>Hovädzie!$Q$4:$Q$49</c:f>
              <c:numCache>
                <c:formatCode>General</c:formatCode>
                <c:ptCount val="10"/>
              </c:numCache>
            </c:numRef>
          </c:val>
          <c:smooth val="0"/>
          <c:extLst>
            <c:ext xmlns:c16="http://schemas.microsoft.com/office/drawing/2014/chart" uri="{C3380CC4-5D6E-409C-BE32-E72D297353CC}">
              <c16:uniqueId val="{00000013-5E46-4A18-A02B-528996CC2521}"/>
            </c:ext>
          </c:extLst>
        </c:ser>
        <c:ser>
          <c:idx val="10"/>
          <c:order val="10"/>
          <c:tx>
            <c:strRef>
              <c:f>Hovädzie!$R$3</c:f>
              <c:strCache>
                <c:ptCount val="1"/>
                <c:pt idx="0">
                  <c:v>AT</c:v>
                </c:pt>
              </c:strCache>
            </c:strRef>
          </c:tx>
          <c:spPr>
            <a:ln w="28575" cap="rnd">
              <a:noFill/>
              <a:round/>
            </a:ln>
            <a:effectLst/>
          </c:spPr>
          <c:marker>
            <c:symbol val="circle"/>
            <c:size val="3"/>
            <c:spPr>
              <a:solidFill>
                <a:sysClr val="windowText" lastClr="000000"/>
              </a:solidFill>
              <a:ln w="9525">
                <a:solidFill>
                  <a:sysClr val="windowText" lastClr="000000"/>
                </a:solidFill>
              </a:ln>
              <a:effectLst/>
            </c:spPr>
          </c:marker>
          <c:cat>
            <c:numRef>
              <c:f>Hovädzie!$G$4:$G$55</c:f>
              <c:numCache>
                <c:formatCode>m/d/yyyy</c:formatCode>
                <c:ptCount val="16"/>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pt idx="15">
                  <c:v>45748</c:v>
                </c:pt>
              </c:numCache>
            </c:numRef>
          </c:cat>
          <c:val>
            <c:numRef>
              <c:f>Hovädzie!$R$4:$R$49</c:f>
              <c:numCache>
                <c:formatCode>General</c:formatCode>
                <c:ptCount val="10"/>
              </c:numCache>
            </c:numRef>
          </c:val>
          <c:smooth val="0"/>
          <c:extLst>
            <c:ext xmlns:c16="http://schemas.microsoft.com/office/drawing/2014/chart" uri="{C3380CC4-5D6E-409C-BE32-E72D297353CC}">
              <c16:uniqueId val="{00000014-5E46-4A18-A02B-528996CC2521}"/>
            </c:ext>
          </c:extLst>
        </c:ser>
        <c:ser>
          <c:idx val="11"/>
          <c:order val="11"/>
          <c:tx>
            <c:strRef>
              <c:f>Hovädzie!$S$3</c:f>
              <c:strCache>
                <c:ptCount val="1"/>
                <c:pt idx="0">
                  <c:v>DE</c:v>
                </c:pt>
              </c:strCache>
            </c:strRef>
          </c:tx>
          <c:spPr>
            <a:ln w="28575" cap="rnd">
              <a:noFill/>
              <a:round/>
            </a:ln>
            <a:effectLst/>
          </c:spPr>
          <c:marker>
            <c:symbol val="circle"/>
            <c:size val="3"/>
            <c:spPr>
              <a:solidFill>
                <a:srgbClr val="7F7F7F"/>
              </a:solidFill>
              <a:ln w="9525">
                <a:solidFill>
                  <a:srgbClr val="7F7F7F"/>
                </a:solidFill>
              </a:ln>
              <a:effectLst/>
            </c:spPr>
          </c:marker>
          <c:cat>
            <c:numRef>
              <c:f>Hovädzie!$G$4:$G$55</c:f>
              <c:numCache>
                <c:formatCode>m/d/yyyy</c:formatCode>
                <c:ptCount val="16"/>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pt idx="15">
                  <c:v>45748</c:v>
                </c:pt>
              </c:numCache>
            </c:numRef>
          </c:cat>
          <c:val>
            <c:numRef>
              <c:f>Hovädzie!$S$4:$S$49</c:f>
              <c:numCache>
                <c:formatCode>General</c:formatCode>
                <c:ptCount val="10"/>
              </c:numCache>
            </c:numRef>
          </c:val>
          <c:smooth val="0"/>
          <c:extLst>
            <c:ext xmlns:c16="http://schemas.microsoft.com/office/drawing/2014/chart" uri="{C3380CC4-5D6E-409C-BE32-E72D297353CC}">
              <c16:uniqueId val="{00000015-5E46-4A18-A02B-528996CC2521}"/>
            </c:ext>
          </c:extLst>
        </c:ser>
        <c:dLbls>
          <c:showLegendKey val="0"/>
          <c:showVal val="0"/>
          <c:showCatName val="0"/>
          <c:showSerName val="0"/>
          <c:showPercent val="0"/>
          <c:showBubbleSize val="0"/>
        </c:dLbls>
        <c:smooth val="0"/>
        <c:axId val="545542928"/>
        <c:axId val="545543256"/>
      </c:lineChart>
      <c:dateAx>
        <c:axId val="545542928"/>
        <c:scaling>
          <c:orientation val="minMax"/>
          <c:max val="45627"/>
        </c:scaling>
        <c:delete val="0"/>
        <c:axPos val="b"/>
        <c:numFmt formatCode="m/yy" sourceLinked="0"/>
        <c:majorTickMark val="none"/>
        <c:minorTickMark val="none"/>
        <c:tickLblPos val="nextTo"/>
        <c:spPr>
          <a:noFill/>
          <a:ln w="12700" cap="flat" cmpd="sng" algn="ctr">
            <a:solidFill>
              <a:srgbClr val="7F7F7F"/>
            </a:solidFill>
            <a:round/>
          </a:ln>
          <a:effectLst/>
        </c:spPr>
        <c:txPr>
          <a:bodyPr rot="-2700000" spcFirstLastPara="1" vertOverflow="ellipsis" wrap="square" anchor="ctr" anchorCtr="1"/>
          <a:lstStyle/>
          <a:p>
            <a:pPr>
              <a:defRPr sz="900" b="0" i="0" u="none" strike="noStrike" kern="1200" baseline="0">
                <a:solidFill>
                  <a:schemeClr val="tx1">
                    <a:lumMod val="85000"/>
                    <a:lumOff val="15000"/>
                  </a:schemeClr>
                </a:solidFill>
                <a:latin typeface="+mn-lt"/>
                <a:ea typeface="+mn-ea"/>
                <a:cs typeface="+mn-cs"/>
              </a:defRPr>
            </a:pPr>
            <a:endParaRPr lang="sk-SK"/>
          </a:p>
        </c:txPr>
        <c:crossAx val="545543256"/>
        <c:crosses val="autoZero"/>
        <c:auto val="1"/>
        <c:lblOffset val="100"/>
        <c:baseTimeUnit val="months"/>
        <c:majorUnit val="1"/>
        <c:majorTimeUnit val="months"/>
      </c:dateAx>
      <c:valAx>
        <c:axId val="545543256"/>
        <c:scaling>
          <c:orientation val="minMax"/>
          <c:max val="600"/>
          <c:min val="100"/>
        </c:scaling>
        <c:delete val="0"/>
        <c:axPos val="l"/>
        <c:majorGridlines>
          <c:spPr>
            <a:ln w="9525" cap="flat" cmpd="sng" algn="ctr">
              <a:solidFill>
                <a:srgbClr val="7F7F7F">
                  <a:alpha val="25098"/>
                </a:srgbClr>
              </a:solidFill>
              <a:prstDash val="sysDot"/>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85000"/>
                    <a:lumOff val="15000"/>
                  </a:schemeClr>
                </a:solidFill>
                <a:latin typeface="+mn-lt"/>
                <a:ea typeface="+mn-ea"/>
                <a:cs typeface="+mn-cs"/>
              </a:defRPr>
            </a:pPr>
            <a:endParaRPr lang="sk-SK"/>
          </a:p>
        </c:txPr>
        <c:crossAx val="545542928"/>
        <c:crosses val="autoZero"/>
        <c:crossBetween val="midCat"/>
      </c:valAx>
      <c:spPr>
        <a:noFill/>
        <a:ln>
          <a:noFill/>
        </a:ln>
        <a:effectLst/>
      </c:spPr>
    </c:plotArea>
    <c:legend>
      <c:legendPos val="b"/>
      <c:legendEntry>
        <c:idx val="6"/>
        <c:delete val="1"/>
      </c:legendEntry>
      <c:legendEntry>
        <c:idx val="7"/>
        <c:delete val="1"/>
      </c:legendEntry>
      <c:legendEntry>
        <c:idx val="8"/>
        <c:delete val="1"/>
      </c:legendEntry>
      <c:legendEntry>
        <c:idx val="9"/>
        <c:delete val="1"/>
      </c:legendEntry>
      <c:legendEntry>
        <c:idx val="10"/>
        <c:delete val="1"/>
      </c:legendEntry>
      <c:legendEntry>
        <c:idx val="11"/>
        <c:delete val="1"/>
      </c:legendEntry>
      <c:layout>
        <c:manualLayout>
          <c:xMode val="edge"/>
          <c:yMode val="edge"/>
          <c:x val="1.1575584915196613E-2"/>
          <c:y val="0.88142306139497784"/>
          <c:w val="0.98215829116950315"/>
          <c:h val="0.1074969466288497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85000"/>
                  <a:lumOff val="15000"/>
                </a:schemeClr>
              </a:solidFill>
              <a:latin typeface="+mn-lt"/>
              <a:ea typeface="+mn-ea"/>
              <a:cs typeface="+mn-cs"/>
            </a:defRPr>
          </a:pPr>
          <a:endParaRPr lang="sk-SK"/>
        </a:p>
      </c:txPr>
    </c:legend>
    <c:plotVisOnly val="1"/>
    <c:dispBlanksAs val="gap"/>
    <c:showDLblsOverMax val="0"/>
  </c:chart>
  <c:spPr>
    <a:solidFill>
      <a:sysClr val="window" lastClr="FFFFFF"/>
    </a:solidFill>
    <a:ln w="9525" cap="flat" cmpd="sng" algn="ctr">
      <a:noFill/>
      <a:round/>
    </a:ln>
    <a:effectLst/>
  </c:spPr>
  <c:txPr>
    <a:bodyPr/>
    <a:lstStyle/>
    <a:p>
      <a:pPr>
        <a:defRPr>
          <a:solidFill>
            <a:schemeClr val="tx1">
              <a:lumMod val="85000"/>
              <a:lumOff val="15000"/>
            </a:schemeClr>
          </a:solidFill>
        </a:defRPr>
      </a:pPr>
      <a:endParaRPr lang="sk-SK"/>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7145664358980933"/>
          <c:y val="3.1031184661239379E-2"/>
          <c:w val="0.73394152591362061"/>
          <c:h val="0.62144459476026304"/>
        </c:manualLayout>
      </c:layout>
      <c:lineChart>
        <c:grouping val="standard"/>
        <c:varyColors val="0"/>
        <c:ser>
          <c:idx val="0"/>
          <c:order val="0"/>
          <c:tx>
            <c:strRef>
              <c:f>Hydina!$X$3</c:f>
              <c:strCache>
                <c:ptCount val="1"/>
                <c:pt idx="0">
                  <c:v>SK - skenery</c:v>
                </c:pt>
              </c:strCache>
            </c:strRef>
          </c:tx>
          <c:spPr>
            <a:ln w="28575" cap="rnd">
              <a:solidFill>
                <a:schemeClr val="accent1"/>
              </a:solidFill>
              <a:round/>
            </a:ln>
            <a:effectLst/>
          </c:spPr>
          <c:marker>
            <c:symbol val="none"/>
          </c:marker>
          <c:dPt>
            <c:idx val="0"/>
            <c:marker>
              <c:symbol val="none"/>
            </c:marker>
            <c:bubble3D val="0"/>
            <c:extLst>
              <c:ext xmlns:c16="http://schemas.microsoft.com/office/drawing/2014/chart" uri="{C3380CC4-5D6E-409C-BE32-E72D297353CC}">
                <c16:uniqueId val="{00000002-2102-4974-AC01-E2F448FE4F45}"/>
              </c:ext>
            </c:extLst>
          </c:dPt>
          <c:cat>
            <c:numRef>
              <c:f>Hydina!$W$4:$W$55</c:f>
              <c:numCache>
                <c:formatCode>m/d/yyyy</c:formatCode>
                <c:ptCount val="14"/>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45717</c:v>
                </c:pt>
                <c:pt idx="13">
                  <c:v>45748</c:v>
                </c:pt>
              </c:numCache>
            </c:numRef>
          </c:cat>
          <c:val>
            <c:numRef>
              <c:f>Hydina!$X$4:$X$55</c:f>
              <c:numCache>
                <c:formatCode>0.00</c:formatCode>
                <c:ptCount val="14"/>
                <c:pt idx="0">
                  <c:v>2.5545454545454542</c:v>
                </c:pt>
                <c:pt idx="1">
                  <c:v>2.4</c:v>
                </c:pt>
                <c:pt idx="2">
                  <c:v>2.4363636363636365</c:v>
                </c:pt>
                <c:pt idx="3">
                  <c:v>2.4272727272727268</c:v>
                </c:pt>
                <c:pt idx="4">
                  <c:v>2.4090909090909087</c:v>
                </c:pt>
                <c:pt idx="5">
                  <c:v>2.2454545454545456</c:v>
                </c:pt>
                <c:pt idx="6">
                  <c:v>2.2181818181818178</c:v>
                </c:pt>
                <c:pt idx="7">
                  <c:v>2.6090909090909089</c:v>
                </c:pt>
                <c:pt idx="8">
                  <c:v>2.3909090909090907</c:v>
                </c:pt>
                <c:pt idx="9">
                  <c:v>2.4090909090909087</c:v>
                </c:pt>
                <c:pt idx="10">
                  <c:v>2.4272727272727268</c:v>
                </c:pt>
                <c:pt idx="11">
                  <c:v>2.3818181818181818</c:v>
                </c:pt>
                <c:pt idx="12">
                  <c:v>2.5714285714285716</c:v>
                </c:pt>
                <c:pt idx="13">
                  <c:v>2.695238095238095</c:v>
                </c:pt>
              </c:numCache>
            </c:numRef>
          </c:val>
          <c:smooth val="0"/>
          <c:extLst>
            <c:ext xmlns:c16="http://schemas.microsoft.com/office/drawing/2014/chart" uri="{C3380CC4-5D6E-409C-BE32-E72D297353CC}">
              <c16:uniqueId val="{00000003-2102-4974-AC01-E2F448FE4F45}"/>
            </c:ext>
          </c:extLst>
        </c:ser>
        <c:ser>
          <c:idx val="1"/>
          <c:order val="1"/>
          <c:tx>
            <c:strRef>
              <c:f>Hydina!$Y$3</c:f>
              <c:strCache>
                <c:ptCount val="1"/>
                <c:pt idx="0">
                  <c:v>SK - pôvodné</c:v>
                </c:pt>
              </c:strCache>
            </c:strRef>
          </c:tx>
          <c:spPr>
            <a:ln w="28575" cap="rnd">
              <a:solidFill>
                <a:schemeClr val="accent2"/>
              </a:solidFill>
              <a:round/>
            </a:ln>
            <a:effectLst/>
          </c:spPr>
          <c:marker>
            <c:symbol val="none"/>
          </c:marker>
          <c:dPt>
            <c:idx val="0"/>
            <c:marker>
              <c:symbol val="none"/>
            </c:marker>
            <c:bubble3D val="0"/>
            <c:extLst>
              <c:ext xmlns:c16="http://schemas.microsoft.com/office/drawing/2014/chart" uri="{C3380CC4-5D6E-409C-BE32-E72D297353CC}">
                <c16:uniqueId val="{00000006-2102-4974-AC01-E2F448FE4F45}"/>
              </c:ext>
            </c:extLst>
          </c:dPt>
          <c:cat>
            <c:numRef>
              <c:f>Hydina!$W$4:$W$55</c:f>
              <c:numCache>
                <c:formatCode>m/d/yyyy</c:formatCode>
                <c:ptCount val="15"/>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45689</c:v>
                </c:pt>
                <c:pt idx="13">
                  <c:v>45717</c:v>
                </c:pt>
                <c:pt idx="14">
                  <c:v>45748</c:v>
                </c:pt>
              </c:numCache>
            </c:numRef>
          </c:cat>
          <c:val>
            <c:numRef>
              <c:f>Hydina!$Y$4:$Y$52</c:f>
              <c:numCache>
                <c:formatCode>General</c:formatCode>
                <c:ptCount val="12"/>
              </c:numCache>
            </c:numRef>
          </c:val>
          <c:smooth val="0"/>
          <c:extLst>
            <c:ext xmlns:c16="http://schemas.microsoft.com/office/drawing/2014/chart" uri="{C3380CC4-5D6E-409C-BE32-E72D297353CC}">
              <c16:uniqueId val="{00000007-2102-4974-AC01-E2F448FE4F45}"/>
            </c:ext>
          </c:extLst>
        </c:ser>
        <c:ser>
          <c:idx val="2"/>
          <c:order val="2"/>
          <c:tx>
            <c:strRef>
              <c:f>Hydina!$Z$3</c:f>
              <c:strCache>
                <c:ptCount val="1"/>
                <c:pt idx="0">
                  <c:v>CZ</c:v>
                </c:pt>
              </c:strCache>
            </c:strRef>
          </c:tx>
          <c:spPr>
            <a:ln w="28575" cap="rnd">
              <a:solidFill>
                <a:schemeClr val="accent3"/>
              </a:solidFill>
              <a:round/>
            </a:ln>
            <a:effectLst/>
          </c:spPr>
          <c:marker>
            <c:symbol val="none"/>
          </c:marker>
          <c:dPt>
            <c:idx val="0"/>
            <c:marker>
              <c:symbol val="none"/>
            </c:marker>
            <c:bubble3D val="0"/>
            <c:extLst>
              <c:ext xmlns:c16="http://schemas.microsoft.com/office/drawing/2014/chart" uri="{C3380CC4-5D6E-409C-BE32-E72D297353CC}">
                <c16:uniqueId val="{00000009-2102-4974-AC01-E2F448FE4F45}"/>
              </c:ext>
            </c:extLst>
          </c:dPt>
          <c:cat>
            <c:numRef>
              <c:f>Hydina!$W$4:$W$55</c:f>
              <c:numCache>
                <c:formatCode>m/d/yyyy</c:formatCode>
                <c:ptCount val="16"/>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pt idx="15">
                  <c:v>45748</c:v>
                </c:pt>
              </c:numCache>
            </c:numRef>
          </c:cat>
          <c:val>
            <c:numRef>
              <c:f>Hydina!$Z$4:$Z$49</c:f>
              <c:numCache>
                <c:formatCode>General</c:formatCode>
                <c:ptCount val="10"/>
              </c:numCache>
            </c:numRef>
          </c:val>
          <c:smooth val="0"/>
          <c:extLst>
            <c:ext xmlns:c16="http://schemas.microsoft.com/office/drawing/2014/chart" uri="{C3380CC4-5D6E-409C-BE32-E72D297353CC}">
              <c16:uniqueId val="{0000000A-2102-4974-AC01-E2F448FE4F45}"/>
            </c:ext>
          </c:extLst>
        </c:ser>
        <c:ser>
          <c:idx val="3"/>
          <c:order val="3"/>
          <c:tx>
            <c:strRef>
              <c:f>Hydina!$AA$3</c:f>
              <c:strCache>
                <c:ptCount val="1"/>
                <c:pt idx="0">
                  <c:v>HU</c:v>
                </c:pt>
              </c:strCache>
            </c:strRef>
          </c:tx>
          <c:spPr>
            <a:ln w="28575" cap="rnd">
              <a:solidFill>
                <a:schemeClr val="accent4"/>
              </a:solidFill>
              <a:round/>
            </a:ln>
            <a:effectLst/>
          </c:spPr>
          <c:marker>
            <c:symbol val="none"/>
          </c:marker>
          <c:dPt>
            <c:idx val="0"/>
            <c:marker>
              <c:symbol val="none"/>
            </c:marker>
            <c:bubble3D val="0"/>
            <c:extLst>
              <c:ext xmlns:c16="http://schemas.microsoft.com/office/drawing/2014/chart" uri="{C3380CC4-5D6E-409C-BE32-E72D297353CC}">
                <c16:uniqueId val="{0000000B-2102-4974-AC01-E2F448FE4F45}"/>
              </c:ext>
            </c:extLst>
          </c:dPt>
          <c:cat>
            <c:numRef>
              <c:f>Hydina!$W$4:$W$55</c:f>
              <c:numCache>
                <c:formatCode>m/d/yyyy</c:formatCode>
                <c:ptCount val="14"/>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45717</c:v>
                </c:pt>
                <c:pt idx="13">
                  <c:v>45748</c:v>
                </c:pt>
              </c:numCache>
            </c:numRef>
          </c:cat>
          <c:val>
            <c:numRef>
              <c:f>Hydina!$AA$4:$AA$55</c:f>
              <c:numCache>
                <c:formatCode>0.00</c:formatCode>
                <c:ptCount val="14"/>
                <c:pt idx="0">
                  <c:v>3.4151950492569538</c:v>
                </c:pt>
                <c:pt idx="1">
                  <c:v>3.3369483607241173</c:v>
                </c:pt>
                <c:pt idx="2">
                  <c:v>3.2304530469319741</c:v>
                </c:pt>
                <c:pt idx="3">
                  <c:v>3.2742946044916699</c:v>
                </c:pt>
                <c:pt idx="4">
                  <c:v>3.368382253981153</c:v>
                </c:pt>
                <c:pt idx="5">
                  <c:v>3.2826323525383017</c:v>
                </c:pt>
                <c:pt idx="6">
                  <c:v>3.2979202279697897</c:v>
                </c:pt>
                <c:pt idx="7">
                  <c:v>3.2574839999999998</c:v>
                </c:pt>
                <c:pt idx="8">
                  <c:v>3.280218952380952</c:v>
                </c:pt>
                <c:pt idx="9">
                  <c:v>3.1990820952380949</c:v>
                </c:pt>
                <c:pt idx="10">
                  <c:v>3.1416247619047617</c:v>
                </c:pt>
                <c:pt idx="11">
                  <c:v>3.1438885714285716</c:v>
                </c:pt>
                <c:pt idx="12">
                  <c:v>3.3111333333333333</c:v>
                </c:pt>
                <c:pt idx="13">
                  <c:v>2.9750095238095238</c:v>
                </c:pt>
              </c:numCache>
            </c:numRef>
          </c:val>
          <c:smooth val="0"/>
          <c:extLst>
            <c:ext xmlns:c16="http://schemas.microsoft.com/office/drawing/2014/chart" uri="{C3380CC4-5D6E-409C-BE32-E72D297353CC}">
              <c16:uniqueId val="{0000000C-2102-4974-AC01-E2F448FE4F45}"/>
            </c:ext>
          </c:extLst>
        </c:ser>
        <c:ser>
          <c:idx val="4"/>
          <c:order val="4"/>
          <c:tx>
            <c:strRef>
              <c:f>Hydina!$AB$3</c:f>
              <c:strCache>
                <c:ptCount val="1"/>
                <c:pt idx="0">
                  <c:v>PL</c:v>
                </c:pt>
              </c:strCache>
            </c:strRef>
          </c:tx>
          <c:spPr>
            <a:ln w="28575" cap="rnd">
              <a:solidFill>
                <a:schemeClr val="accent5"/>
              </a:solidFill>
              <a:round/>
            </a:ln>
            <a:effectLst/>
          </c:spPr>
          <c:marker>
            <c:symbol val="none"/>
          </c:marker>
          <c:cat>
            <c:numRef>
              <c:f>Hydina!$W$4:$W$55</c:f>
              <c:numCache>
                <c:formatCode>m/d/yyyy</c:formatCode>
                <c:ptCount val="14"/>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45717</c:v>
                </c:pt>
                <c:pt idx="13">
                  <c:v>45748</c:v>
                </c:pt>
              </c:numCache>
            </c:numRef>
          </c:cat>
          <c:val>
            <c:numRef>
              <c:f>Hydina!$AB$4:$AB$55</c:f>
              <c:numCache>
                <c:formatCode>0.00</c:formatCode>
                <c:ptCount val="14"/>
                <c:pt idx="0">
                  <c:v>2.5747637465608677</c:v>
                </c:pt>
                <c:pt idx="1">
                  <c:v>2.5613449152327812</c:v>
                </c:pt>
                <c:pt idx="2">
                  <c:v>2.6407878234210238</c:v>
                </c:pt>
                <c:pt idx="3">
                  <c:v>2.577928007714271</c:v>
                </c:pt>
                <c:pt idx="4">
                  <c:v>2.6627047677851312</c:v>
                </c:pt>
                <c:pt idx="5">
                  <c:v>2.6854338364663386</c:v>
                </c:pt>
                <c:pt idx="6">
                  <c:v>2.7089209600220938</c:v>
                </c:pt>
                <c:pt idx="7">
                  <c:v>2.7339590476190474</c:v>
                </c:pt>
                <c:pt idx="8">
                  <c:v>2.7305704761904761</c:v>
                </c:pt>
                <c:pt idx="9">
                  <c:v>2.7267613047619048</c:v>
                </c:pt>
                <c:pt idx="10">
                  <c:v>2.7328952380952383</c:v>
                </c:pt>
                <c:pt idx="11">
                  <c:v>2.6940714285714282</c:v>
                </c:pt>
                <c:pt idx="12">
                  <c:v>2.8922095238095236</c:v>
                </c:pt>
                <c:pt idx="13">
                  <c:v>2.8927057142857144</c:v>
                </c:pt>
              </c:numCache>
            </c:numRef>
          </c:val>
          <c:smooth val="0"/>
          <c:extLst>
            <c:ext xmlns:c16="http://schemas.microsoft.com/office/drawing/2014/chart" uri="{C3380CC4-5D6E-409C-BE32-E72D297353CC}">
              <c16:uniqueId val="{0000000D-2102-4974-AC01-E2F448FE4F45}"/>
            </c:ext>
          </c:extLst>
        </c:ser>
        <c:ser>
          <c:idx val="5"/>
          <c:order val="5"/>
          <c:tx>
            <c:strRef>
              <c:f>Hydina!$AC$3</c:f>
              <c:strCache>
                <c:ptCount val="1"/>
                <c:pt idx="0">
                  <c:v>SK - skenery</c:v>
                </c:pt>
              </c:strCache>
            </c:strRef>
          </c:tx>
          <c:spPr>
            <a:ln w="28575" cap="rnd">
              <a:noFill/>
              <a:round/>
            </a:ln>
            <a:effectLst/>
          </c:spPr>
          <c:marker>
            <c:symbol val="circle"/>
            <c:size val="6"/>
            <c:spPr>
              <a:solidFill>
                <a:srgbClr val="2EAAE1"/>
              </a:solidFill>
              <a:ln w="9525">
                <a:solidFill>
                  <a:srgbClr val="2EAAE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2EAAE1"/>
                    </a:solidFill>
                    <a:latin typeface="+mn-lt"/>
                    <a:ea typeface="+mn-ea"/>
                    <a:cs typeface="+mn-cs"/>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Hydina!$W$4:$W$55</c:f>
              <c:numCache>
                <c:formatCode>m/d/yyyy</c:formatCode>
                <c:ptCount val="16"/>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pt idx="15">
                  <c:v>45748</c:v>
                </c:pt>
              </c:numCache>
            </c:numRef>
          </c:cat>
          <c:val>
            <c:numRef>
              <c:f>Hydina!$AC$4:$AC$49</c:f>
              <c:numCache>
                <c:formatCode>General</c:formatCode>
                <c:ptCount val="10"/>
              </c:numCache>
            </c:numRef>
          </c:val>
          <c:smooth val="0"/>
          <c:extLst>
            <c:ext xmlns:c16="http://schemas.microsoft.com/office/drawing/2014/chart" uri="{C3380CC4-5D6E-409C-BE32-E72D297353CC}">
              <c16:uniqueId val="{0000000E-2102-4974-AC01-E2F448FE4F45}"/>
            </c:ext>
          </c:extLst>
        </c:ser>
        <c:ser>
          <c:idx val="6"/>
          <c:order val="6"/>
          <c:tx>
            <c:strRef>
              <c:f>Hydina!$AD$3</c:f>
              <c:strCache>
                <c:ptCount val="1"/>
                <c:pt idx="0">
                  <c:v>CZ</c:v>
                </c:pt>
              </c:strCache>
            </c:strRef>
          </c:tx>
          <c:spPr>
            <a:ln w="28575" cap="rnd">
              <a:noFill/>
              <a:round/>
            </a:ln>
            <a:effectLst/>
          </c:spPr>
          <c:marker>
            <c:symbol val="circle"/>
            <c:size val="6"/>
            <c:spPr>
              <a:solidFill>
                <a:srgbClr val="1AA380"/>
              </a:solidFill>
              <a:ln w="9525">
                <a:solidFill>
                  <a:srgbClr val="1AA380"/>
                </a:solidFill>
              </a:ln>
              <a:effectLst/>
            </c:spPr>
          </c:marker>
          <c:cat>
            <c:numRef>
              <c:f>Hydina!$W$4:$W$55</c:f>
              <c:numCache>
                <c:formatCode>m/d/yyyy</c:formatCode>
                <c:ptCount val="16"/>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pt idx="15">
                  <c:v>45748</c:v>
                </c:pt>
              </c:numCache>
            </c:numRef>
          </c:cat>
          <c:val>
            <c:numRef>
              <c:f>Hydina!$AD$4:$AD$49</c:f>
              <c:numCache>
                <c:formatCode>General</c:formatCode>
                <c:ptCount val="10"/>
              </c:numCache>
            </c:numRef>
          </c:val>
          <c:smooth val="0"/>
          <c:extLst>
            <c:ext xmlns:c16="http://schemas.microsoft.com/office/drawing/2014/chart" uri="{C3380CC4-5D6E-409C-BE32-E72D297353CC}">
              <c16:uniqueId val="{0000000F-2102-4974-AC01-E2F448FE4F45}"/>
            </c:ext>
          </c:extLst>
        </c:ser>
        <c:ser>
          <c:idx val="7"/>
          <c:order val="7"/>
          <c:tx>
            <c:strRef>
              <c:f>Hydina!$AE$3</c:f>
              <c:strCache>
                <c:ptCount val="1"/>
                <c:pt idx="0">
                  <c:v>HU</c:v>
                </c:pt>
              </c:strCache>
            </c:strRef>
          </c:tx>
          <c:spPr>
            <a:ln w="28575" cap="rnd">
              <a:noFill/>
              <a:round/>
            </a:ln>
            <a:effectLst/>
          </c:spPr>
          <c:marker>
            <c:symbol val="circle"/>
            <c:size val="6"/>
            <c:spPr>
              <a:solidFill>
                <a:srgbClr val="F2CA6D"/>
              </a:solidFill>
              <a:ln w="9525">
                <a:solidFill>
                  <a:srgbClr val="F2CA6D"/>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F2CA6D"/>
                    </a:solidFill>
                    <a:latin typeface="+mn-lt"/>
                    <a:ea typeface="+mn-ea"/>
                    <a:cs typeface="+mn-cs"/>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Hydina!$W$4:$W$55</c:f>
              <c:numCache>
                <c:formatCode>m/d/yyyy</c:formatCode>
                <c:ptCount val="16"/>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pt idx="15">
                  <c:v>45748</c:v>
                </c:pt>
              </c:numCache>
            </c:numRef>
          </c:cat>
          <c:val>
            <c:numRef>
              <c:f>Hydina!$AE$4:$AE$49</c:f>
              <c:numCache>
                <c:formatCode>General</c:formatCode>
                <c:ptCount val="10"/>
              </c:numCache>
            </c:numRef>
          </c:val>
          <c:smooth val="0"/>
          <c:extLst>
            <c:ext xmlns:c16="http://schemas.microsoft.com/office/drawing/2014/chart" uri="{C3380CC4-5D6E-409C-BE32-E72D297353CC}">
              <c16:uniqueId val="{00000010-2102-4974-AC01-E2F448FE4F45}"/>
            </c:ext>
          </c:extLst>
        </c:ser>
        <c:ser>
          <c:idx val="8"/>
          <c:order val="8"/>
          <c:tx>
            <c:strRef>
              <c:f>Hydina!$AF$3</c:f>
              <c:strCache>
                <c:ptCount val="1"/>
                <c:pt idx="0">
                  <c:v>PL</c:v>
                </c:pt>
              </c:strCache>
            </c:strRef>
          </c:tx>
          <c:spPr>
            <a:ln w="28575" cap="rnd">
              <a:noFill/>
              <a:round/>
            </a:ln>
            <a:effectLst/>
          </c:spPr>
          <c:marker>
            <c:symbol val="circle"/>
            <c:size val="6"/>
            <c:spPr>
              <a:solidFill>
                <a:srgbClr val="E85477"/>
              </a:solidFill>
              <a:ln w="9525">
                <a:solidFill>
                  <a:srgbClr val="E85477"/>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E85477"/>
                    </a:solidFill>
                    <a:latin typeface="+mn-lt"/>
                    <a:ea typeface="+mn-ea"/>
                    <a:cs typeface="+mn-cs"/>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Hydina!$W$4:$W$55</c:f>
              <c:numCache>
                <c:formatCode>m/d/yyyy</c:formatCode>
                <c:ptCount val="16"/>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pt idx="15">
                  <c:v>45748</c:v>
                </c:pt>
              </c:numCache>
            </c:numRef>
          </c:cat>
          <c:val>
            <c:numRef>
              <c:f>Hydina!$AF$4:$AF$49</c:f>
              <c:numCache>
                <c:formatCode>General</c:formatCode>
                <c:ptCount val="10"/>
              </c:numCache>
            </c:numRef>
          </c:val>
          <c:smooth val="0"/>
          <c:extLst>
            <c:ext xmlns:c16="http://schemas.microsoft.com/office/drawing/2014/chart" uri="{C3380CC4-5D6E-409C-BE32-E72D297353CC}">
              <c16:uniqueId val="{00000011-2102-4974-AC01-E2F448FE4F45}"/>
            </c:ext>
          </c:extLst>
        </c:ser>
        <c:dLbls>
          <c:showLegendKey val="0"/>
          <c:showVal val="0"/>
          <c:showCatName val="0"/>
          <c:showSerName val="0"/>
          <c:showPercent val="0"/>
          <c:showBubbleSize val="0"/>
        </c:dLbls>
        <c:smooth val="0"/>
        <c:axId val="545542928"/>
        <c:axId val="545543256"/>
      </c:lineChart>
      <c:dateAx>
        <c:axId val="545542928"/>
        <c:scaling>
          <c:orientation val="minMax"/>
          <c:max val="45627"/>
        </c:scaling>
        <c:delete val="0"/>
        <c:axPos val="b"/>
        <c:numFmt formatCode="m/yy" sourceLinked="0"/>
        <c:majorTickMark val="none"/>
        <c:minorTickMark val="none"/>
        <c:tickLblPos val="nextTo"/>
        <c:spPr>
          <a:noFill/>
          <a:ln w="12700" cap="flat" cmpd="sng" algn="ctr">
            <a:solidFill>
              <a:srgbClr val="7F7F7F"/>
            </a:solidFill>
            <a:round/>
          </a:ln>
          <a:effectLst/>
        </c:spPr>
        <c:txPr>
          <a:bodyPr rot="-5400000" spcFirstLastPara="1" vertOverflow="ellipsis" wrap="square" anchor="ctr" anchorCtr="1"/>
          <a:lstStyle/>
          <a:p>
            <a:pPr>
              <a:defRPr sz="900" b="0" i="0" u="none" strike="noStrike" kern="1200" baseline="0">
                <a:solidFill>
                  <a:schemeClr val="tx1">
                    <a:lumMod val="85000"/>
                    <a:lumOff val="15000"/>
                  </a:schemeClr>
                </a:solidFill>
                <a:latin typeface="+mn-lt"/>
                <a:ea typeface="+mn-ea"/>
                <a:cs typeface="+mn-cs"/>
              </a:defRPr>
            </a:pPr>
            <a:endParaRPr lang="sk-SK"/>
          </a:p>
        </c:txPr>
        <c:crossAx val="545543256"/>
        <c:crosses val="autoZero"/>
        <c:auto val="1"/>
        <c:lblOffset val="100"/>
        <c:baseTimeUnit val="months"/>
        <c:majorUnit val="1"/>
        <c:majorTimeUnit val="months"/>
      </c:dateAx>
      <c:valAx>
        <c:axId val="545543256"/>
        <c:scaling>
          <c:orientation val="minMax"/>
          <c:min val="1.5"/>
        </c:scaling>
        <c:delete val="0"/>
        <c:axPos val="l"/>
        <c:majorGridlines>
          <c:spPr>
            <a:ln w="9525" cap="flat" cmpd="sng" algn="ctr">
              <a:solidFill>
                <a:srgbClr val="7F7F7F">
                  <a:alpha val="25098"/>
                </a:srgbClr>
              </a:solidFill>
              <a:prstDash val="sysDot"/>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85000"/>
                    <a:lumOff val="15000"/>
                  </a:schemeClr>
                </a:solidFill>
                <a:latin typeface="+mn-lt"/>
                <a:ea typeface="+mn-ea"/>
                <a:cs typeface="+mn-cs"/>
              </a:defRPr>
            </a:pPr>
            <a:endParaRPr lang="sk-SK"/>
          </a:p>
        </c:txPr>
        <c:crossAx val="545542928"/>
        <c:crosses val="autoZero"/>
        <c:crossBetween val="midCat"/>
      </c:valAx>
      <c:spPr>
        <a:noFill/>
        <a:ln>
          <a:noFill/>
        </a:ln>
        <a:effectLst/>
      </c:spPr>
    </c:plotArea>
    <c:legend>
      <c:legendPos val="b"/>
      <c:legendEntry>
        <c:idx val="5"/>
        <c:delete val="1"/>
      </c:legendEntry>
      <c:legendEntry>
        <c:idx val="6"/>
        <c:delete val="1"/>
      </c:legendEntry>
      <c:legendEntry>
        <c:idx val="7"/>
        <c:delete val="1"/>
      </c:legendEntry>
      <c:legendEntry>
        <c:idx val="8"/>
        <c:delete val="1"/>
      </c:legendEntry>
      <c:layout>
        <c:manualLayout>
          <c:xMode val="edge"/>
          <c:yMode val="edge"/>
          <c:x val="4.4497478437914807E-3"/>
          <c:y val="0.81600621451049704"/>
          <c:w val="0.99110012124183822"/>
          <c:h val="0.1839938745706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85000"/>
                  <a:lumOff val="15000"/>
                </a:schemeClr>
              </a:solidFill>
              <a:latin typeface="+mn-lt"/>
              <a:ea typeface="+mn-ea"/>
              <a:cs typeface="+mn-cs"/>
            </a:defRPr>
          </a:pPr>
          <a:endParaRPr lang="sk-SK"/>
        </a:p>
      </c:txPr>
    </c:legend>
    <c:plotVisOnly val="1"/>
    <c:dispBlanksAs val="gap"/>
    <c:showDLblsOverMax val="0"/>
  </c:chart>
  <c:spPr>
    <a:solidFill>
      <a:sysClr val="window" lastClr="FFFFFF"/>
    </a:solidFill>
    <a:ln w="9525" cap="flat" cmpd="sng" algn="ctr">
      <a:noFill/>
      <a:round/>
    </a:ln>
    <a:effectLst/>
  </c:spPr>
  <c:txPr>
    <a:bodyPr/>
    <a:lstStyle/>
    <a:p>
      <a:pPr>
        <a:defRPr>
          <a:solidFill>
            <a:schemeClr val="tx1">
              <a:lumMod val="85000"/>
              <a:lumOff val="15000"/>
            </a:schemeClr>
          </a:solidFill>
        </a:defRPr>
      </a:pPr>
      <a:endParaRPr lang="sk-SK"/>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551239525777141"/>
          <c:y val="5.3349798212137596E-2"/>
          <c:w val="0.82950123456790126"/>
          <c:h val="0.63757389368882078"/>
        </c:manualLayout>
      </c:layout>
      <c:lineChart>
        <c:grouping val="standard"/>
        <c:varyColors val="0"/>
        <c:ser>
          <c:idx val="0"/>
          <c:order val="0"/>
          <c:tx>
            <c:strRef>
              <c:f>Hydina!$H$3</c:f>
              <c:strCache>
                <c:ptCount val="1"/>
                <c:pt idx="0">
                  <c:v>SK</c:v>
                </c:pt>
              </c:strCache>
            </c:strRef>
          </c:tx>
          <c:spPr>
            <a:ln w="19050" cap="rnd">
              <a:solidFill>
                <a:schemeClr val="accent1"/>
              </a:solidFill>
              <a:round/>
            </a:ln>
            <a:effectLst/>
          </c:spPr>
          <c:marker>
            <c:symbol val="none"/>
          </c:marker>
          <c:cat>
            <c:numRef>
              <c:f>Hydina!$G$4:$G$55</c:f>
              <c:numCache>
                <c:formatCode>m/d/yyyy</c:formatCode>
                <c:ptCount val="14"/>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45717</c:v>
                </c:pt>
                <c:pt idx="13">
                  <c:v>45748</c:v>
                </c:pt>
              </c:numCache>
            </c:numRef>
          </c:cat>
          <c:val>
            <c:numRef>
              <c:f>Hydina!$H$4:$H$55</c:f>
              <c:numCache>
                <c:formatCode>#,##0</c:formatCode>
                <c:ptCount val="14"/>
                <c:pt idx="0">
                  <c:v>236.2877</c:v>
                </c:pt>
                <c:pt idx="1">
                  <c:v>235.881</c:v>
                </c:pt>
                <c:pt idx="2">
                  <c:v>237.0565</c:v>
                </c:pt>
                <c:pt idx="3">
                  <c:v>228.5787</c:v>
                </c:pt>
                <c:pt idx="4">
                  <c:v>224.87870000000001</c:v>
                </c:pt>
                <c:pt idx="5">
                  <c:v>228.94329999999999</c:v>
                </c:pt>
                <c:pt idx="6">
                  <c:v>232.38579999999999</c:v>
                </c:pt>
                <c:pt idx="7">
                  <c:v>235.14869999999999</c:v>
                </c:pt>
                <c:pt idx="8">
                  <c:v>237</c:v>
                </c:pt>
                <c:pt idx="9">
                  <c:v>235</c:v>
                </c:pt>
                <c:pt idx="10">
                  <c:v>239</c:v>
                </c:pt>
                <c:pt idx="11">
                  <c:v>236</c:v>
                </c:pt>
                <c:pt idx="12">
                  <c:v>246</c:v>
                </c:pt>
                <c:pt idx="13">
                  <c:v>246</c:v>
                </c:pt>
              </c:numCache>
            </c:numRef>
          </c:val>
          <c:smooth val="0"/>
          <c:extLst>
            <c:ext xmlns:c16="http://schemas.microsoft.com/office/drawing/2014/chart" uri="{C3380CC4-5D6E-409C-BE32-E72D297353CC}">
              <c16:uniqueId val="{00000001-3025-4874-A189-BAAAB579686A}"/>
            </c:ext>
          </c:extLst>
        </c:ser>
        <c:ser>
          <c:idx val="1"/>
          <c:order val="1"/>
          <c:tx>
            <c:strRef>
              <c:f>Hydina!$I$3</c:f>
              <c:strCache>
                <c:ptCount val="1"/>
                <c:pt idx="0">
                  <c:v>CZ</c:v>
                </c:pt>
              </c:strCache>
            </c:strRef>
          </c:tx>
          <c:spPr>
            <a:ln w="19050" cap="rnd">
              <a:solidFill>
                <a:srgbClr val="1AA380"/>
              </a:solidFill>
              <a:round/>
            </a:ln>
            <a:effectLst/>
          </c:spPr>
          <c:marker>
            <c:symbol val="none"/>
          </c:marker>
          <c:dPt>
            <c:idx val="0"/>
            <c:marker>
              <c:symbol val="none"/>
            </c:marker>
            <c:bubble3D val="0"/>
            <c:extLst>
              <c:ext xmlns:c16="http://schemas.microsoft.com/office/drawing/2014/chart" uri="{C3380CC4-5D6E-409C-BE32-E72D297353CC}">
                <c16:uniqueId val="{00000003-3025-4874-A189-BAAAB579686A}"/>
              </c:ext>
            </c:extLst>
          </c:dPt>
          <c:cat>
            <c:numRef>
              <c:f>Hydina!$G$4:$G$55</c:f>
              <c:numCache>
                <c:formatCode>m/d/yyyy</c:formatCode>
                <c:ptCount val="14"/>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45717</c:v>
                </c:pt>
                <c:pt idx="13">
                  <c:v>45748</c:v>
                </c:pt>
              </c:numCache>
            </c:numRef>
          </c:cat>
          <c:val>
            <c:numRef>
              <c:f>Hydina!$I$4:$I$55</c:f>
              <c:numCache>
                <c:formatCode>#,##0</c:formatCode>
                <c:ptCount val="14"/>
                <c:pt idx="0">
                  <c:v>233.0635</c:v>
                </c:pt>
                <c:pt idx="1">
                  <c:v>229.00540000000001</c:v>
                </c:pt>
                <c:pt idx="2">
                  <c:v>231.15799999999999</c:v>
                </c:pt>
                <c:pt idx="3">
                  <c:v>231.0829</c:v>
                </c:pt>
                <c:pt idx="4">
                  <c:v>235.4974</c:v>
                </c:pt>
                <c:pt idx="5">
                  <c:v>237.8158</c:v>
                </c:pt>
                <c:pt idx="6">
                  <c:v>234.87119999999999</c:v>
                </c:pt>
                <c:pt idx="7">
                  <c:v>235.2311</c:v>
                </c:pt>
                <c:pt idx="8">
                  <c:v>236</c:v>
                </c:pt>
                <c:pt idx="9">
                  <c:v>236</c:v>
                </c:pt>
                <c:pt idx="10">
                  <c:v>237</c:v>
                </c:pt>
                <c:pt idx="11">
                  <c:v>242</c:v>
                </c:pt>
                <c:pt idx="12">
                  <c:v>246</c:v>
                </c:pt>
                <c:pt idx="13">
                  <c:v>252</c:v>
                </c:pt>
              </c:numCache>
            </c:numRef>
          </c:val>
          <c:smooth val="0"/>
          <c:extLst>
            <c:ext xmlns:c16="http://schemas.microsoft.com/office/drawing/2014/chart" uri="{C3380CC4-5D6E-409C-BE32-E72D297353CC}">
              <c16:uniqueId val="{00000004-3025-4874-A189-BAAAB579686A}"/>
            </c:ext>
          </c:extLst>
        </c:ser>
        <c:ser>
          <c:idx val="2"/>
          <c:order val="2"/>
          <c:tx>
            <c:strRef>
              <c:f>Hydina!$J$3</c:f>
              <c:strCache>
                <c:ptCount val="1"/>
                <c:pt idx="0">
                  <c:v>HU</c:v>
                </c:pt>
              </c:strCache>
            </c:strRef>
          </c:tx>
          <c:spPr>
            <a:ln w="19050" cap="rnd">
              <a:solidFill>
                <a:srgbClr val="F2CA6D"/>
              </a:solidFill>
              <a:round/>
            </a:ln>
            <a:effectLst/>
          </c:spPr>
          <c:marker>
            <c:symbol val="none"/>
          </c:marker>
          <c:dPt>
            <c:idx val="0"/>
            <c:marker>
              <c:symbol val="none"/>
            </c:marker>
            <c:bubble3D val="0"/>
            <c:extLst>
              <c:ext xmlns:c16="http://schemas.microsoft.com/office/drawing/2014/chart" uri="{C3380CC4-5D6E-409C-BE32-E72D297353CC}">
                <c16:uniqueId val="{00000006-3025-4874-A189-BAAAB579686A}"/>
              </c:ext>
            </c:extLst>
          </c:dPt>
          <c:cat>
            <c:numRef>
              <c:f>Hydina!$G$4:$G$55</c:f>
              <c:numCache>
                <c:formatCode>m/d/yyyy</c:formatCode>
                <c:ptCount val="14"/>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45717</c:v>
                </c:pt>
                <c:pt idx="13">
                  <c:v>45748</c:v>
                </c:pt>
              </c:numCache>
            </c:numRef>
          </c:cat>
          <c:val>
            <c:numRef>
              <c:f>Hydina!$J$4:$J$55</c:f>
              <c:numCache>
                <c:formatCode>#,##0</c:formatCode>
                <c:ptCount val="14"/>
                <c:pt idx="0">
                  <c:v>238.8597</c:v>
                </c:pt>
                <c:pt idx="1">
                  <c:v>230.99629999999999</c:v>
                </c:pt>
                <c:pt idx="2">
                  <c:v>228.3442</c:v>
                </c:pt>
                <c:pt idx="3">
                  <c:v>230.67429999999999</c:v>
                </c:pt>
                <c:pt idx="4">
                  <c:v>234.6883</c:v>
                </c:pt>
                <c:pt idx="5">
                  <c:v>233.11699999999999</c:v>
                </c:pt>
                <c:pt idx="6">
                  <c:v>233.90819999999999</c:v>
                </c:pt>
                <c:pt idx="7">
                  <c:v>232.09039999999999</c:v>
                </c:pt>
                <c:pt idx="8">
                  <c:v>234</c:v>
                </c:pt>
                <c:pt idx="9">
                  <c:v>226</c:v>
                </c:pt>
                <c:pt idx="10">
                  <c:v>221</c:v>
                </c:pt>
                <c:pt idx="11">
                  <c:v>221</c:v>
                </c:pt>
                <c:pt idx="12">
                  <c:v>233</c:v>
                </c:pt>
                <c:pt idx="13">
                  <c:v>229</c:v>
                </c:pt>
              </c:numCache>
            </c:numRef>
          </c:val>
          <c:smooth val="0"/>
          <c:extLst>
            <c:ext xmlns:c16="http://schemas.microsoft.com/office/drawing/2014/chart" uri="{C3380CC4-5D6E-409C-BE32-E72D297353CC}">
              <c16:uniqueId val="{00000007-3025-4874-A189-BAAAB579686A}"/>
            </c:ext>
          </c:extLst>
        </c:ser>
        <c:ser>
          <c:idx val="3"/>
          <c:order val="3"/>
          <c:tx>
            <c:strRef>
              <c:f>Hydina!$K$3</c:f>
              <c:strCache>
                <c:ptCount val="1"/>
                <c:pt idx="0">
                  <c:v>PL</c:v>
                </c:pt>
              </c:strCache>
            </c:strRef>
          </c:tx>
          <c:spPr>
            <a:ln w="19050" cap="rnd">
              <a:solidFill>
                <a:srgbClr val="E85477"/>
              </a:solidFill>
              <a:round/>
            </a:ln>
            <a:effectLst/>
          </c:spPr>
          <c:marker>
            <c:symbol val="none"/>
          </c:marker>
          <c:dPt>
            <c:idx val="0"/>
            <c:marker>
              <c:symbol val="none"/>
            </c:marker>
            <c:bubble3D val="0"/>
            <c:extLst>
              <c:ext xmlns:c16="http://schemas.microsoft.com/office/drawing/2014/chart" uri="{C3380CC4-5D6E-409C-BE32-E72D297353CC}">
                <c16:uniqueId val="{00000009-3025-4874-A189-BAAAB579686A}"/>
              </c:ext>
            </c:extLst>
          </c:dPt>
          <c:cat>
            <c:numRef>
              <c:f>Hydina!$G$4:$G$55</c:f>
              <c:numCache>
                <c:formatCode>m/d/yyyy</c:formatCode>
                <c:ptCount val="14"/>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45717</c:v>
                </c:pt>
                <c:pt idx="13">
                  <c:v>45748</c:v>
                </c:pt>
              </c:numCache>
            </c:numRef>
          </c:cat>
          <c:val>
            <c:numRef>
              <c:f>Hydina!$K$4:$K$55</c:f>
              <c:numCache>
                <c:formatCode>#,##0</c:formatCode>
                <c:ptCount val="14"/>
                <c:pt idx="0">
                  <c:v>176.82390000000001</c:v>
                </c:pt>
                <c:pt idx="1">
                  <c:v>186.11070000000001</c:v>
                </c:pt>
                <c:pt idx="2">
                  <c:v>193.4906</c:v>
                </c:pt>
                <c:pt idx="3">
                  <c:v>190.31800000000001</c:v>
                </c:pt>
                <c:pt idx="4">
                  <c:v>202.68289999999999</c:v>
                </c:pt>
                <c:pt idx="5">
                  <c:v>200.8254</c:v>
                </c:pt>
                <c:pt idx="6">
                  <c:v>210.0059</c:v>
                </c:pt>
                <c:pt idx="7">
                  <c:v>201</c:v>
                </c:pt>
                <c:pt idx="8">
                  <c:v>207</c:v>
                </c:pt>
                <c:pt idx="9">
                  <c:v>199</c:v>
                </c:pt>
                <c:pt idx="10">
                  <c:v>191</c:v>
                </c:pt>
                <c:pt idx="11">
                  <c:v>188</c:v>
                </c:pt>
                <c:pt idx="12">
                  <c:v>230</c:v>
                </c:pt>
                <c:pt idx="13">
                  <c:v>246</c:v>
                </c:pt>
              </c:numCache>
            </c:numRef>
          </c:val>
          <c:smooth val="0"/>
          <c:extLst>
            <c:ext xmlns:c16="http://schemas.microsoft.com/office/drawing/2014/chart" uri="{C3380CC4-5D6E-409C-BE32-E72D297353CC}">
              <c16:uniqueId val="{0000000A-3025-4874-A189-BAAAB579686A}"/>
            </c:ext>
          </c:extLst>
        </c:ser>
        <c:ser>
          <c:idx val="4"/>
          <c:order val="4"/>
          <c:tx>
            <c:strRef>
              <c:f>Hydina!$L$3</c:f>
              <c:strCache>
                <c:ptCount val="1"/>
                <c:pt idx="0">
                  <c:v>AT</c:v>
                </c:pt>
              </c:strCache>
            </c:strRef>
          </c:tx>
          <c:spPr>
            <a:ln w="19050" cap="rnd">
              <a:solidFill>
                <a:sysClr val="windowText" lastClr="000000"/>
              </a:solidFill>
              <a:round/>
            </a:ln>
            <a:effectLst/>
          </c:spPr>
          <c:marker>
            <c:symbol val="none"/>
          </c:marker>
          <c:dPt>
            <c:idx val="0"/>
            <c:marker>
              <c:symbol val="none"/>
            </c:marker>
            <c:bubble3D val="0"/>
            <c:extLst>
              <c:ext xmlns:c16="http://schemas.microsoft.com/office/drawing/2014/chart" uri="{C3380CC4-5D6E-409C-BE32-E72D297353CC}">
                <c16:uniqueId val="{0000000B-3025-4874-A189-BAAAB579686A}"/>
              </c:ext>
            </c:extLst>
          </c:dPt>
          <c:cat>
            <c:numRef>
              <c:f>Hydina!$G$4:$G$55</c:f>
              <c:numCache>
                <c:formatCode>m/d/yyyy</c:formatCode>
                <c:ptCount val="14"/>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45717</c:v>
                </c:pt>
                <c:pt idx="13">
                  <c:v>45748</c:v>
                </c:pt>
              </c:numCache>
            </c:numRef>
          </c:cat>
          <c:val>
            <c:numRef>
              <c:f>Hydina!$L$4:$L$55</c:f>
              <c:numCache>
                <c:formatCode>#,##0</c:formatCode>
                <c:ptCount val="14"/>
                <c:pt idx="0">
                  <c:v>344.92450000000002</c:v>
                </c:pt>
                <c:pt idx="1">
                  <c:v>342.48829999999998</c:v>
                </c:pt>
                <c:pt idx="2">
                  <c:v>340.9468</c:v>
                </c:pt>
                <c:pt idx="3">
                  <c:v>337.46800000000002</c:v>
                </c:pt>
                <c:pt idx="4">
                  <c:v>335.2894</c:v>
                </c:pt>
                <c:pt idx="5">
                  <c:v>340.39269999999999</c:v>
                </c:pt>
                <c:pt idx="6">
                  <c:v>343.70100000000002</c:v>
                </c:pt>
                <c:pt idx="7">
                  <c:v>333.63260000000002</c:v>
                </c:pt>
                <c:pt idx="8">
                  <c:v>338</c:v>
                </c:pt>
                <c:pt idx="9">
                  <c:v>341</c:v>
                </c:pt>
                <c:pt idx="10">
                  <c:v>353</c:v>
                </c:pt>
                <c:pt idx="11">
                  <c:v>344</c:v>
                </c:pt>
                <c:pt idx="12">
                  <c:v>346</c:v>
                </c:pt>
                <c:pt idx="13">
                  <c:v>350</c:v>
                </c:pt>
              </c:numCache>
            </c:numRef>
          </c:val>
          <c:smooth val="0"/>
          <c:extLst>
            <c:ext xmlns:c16="http://schemas.microsoft.com/office/drawing/2014/chart" uri="{C3380CC4-5D6E-409C-BE32-E72D297353CC}">
              <c16:uniqueId val="{0000000C-3025-4874-A189-BAAAB579686A}"/>
            </c:ext>
          </c:extLst>
        </c:ser>
        <c:ser>
          <c:idx val="5"/>
          <c:order val="5"/>
          <c:tx>
            <c:strRef>
              <c:f>Hydina!$M$3</c:f>
              <c:strCache>
                <c:ptCount val="1"/>
                <c:pt idx="0">
                  <c:v>DE</c:v>
                </c:pt>
              </c:strCache>
            </c:strRef>
          </c:tx>
          <c:spPr>
            <a:ln w="19050" cap="rnd">
              <a:solidFill>
                <a:srgbClr val="7030A0"/>
              </a:solidFill>
              <a:round/>
            </a:ln>
            <a:effectLst/>
          </c:spPr>
          <c:marker>
            <c:symbol val="none"/>
          </c:marker>
          <c:dPt>
            <c:idx val="0"/>
            <c:marker>
              <c:symbol val="none"/>
            </c:marker>
            <c:bubble3D val="0"/>
            <c:extLst>
              <c:ext xmlns:c16="http://schemas.microsoft.com/office/drawing/2014/chart" uri="{C3380CC4-5D6E-409C-BE32-E72D297353CC}">
                <c16:uniqueId val="{0000000E-3025-4874-A189-BAAAB579686A}"/>
              </c:ext>
            </c:extLst>
          </c:dPt>
          <c:cat>
            <c:numRef>
              <c:f>Hydina!$G$4:$G$55</c:f>
              <c:numCache>
                <c:formatCode>m/d/yyyy</c:formatCode>
                <c:ptCount val="14"/>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45717</c:v>
                </c:pt>
                <c:pt idx="13">
                  <c:v>45748</c:v>
                </c:pt>
              </c:numCache>
            </c:numRef>
          </c:cat>
          <c:val>
            <c:numRef>
              <c:f>Hydina!$M$4:$M$55</c:f>
              <c:numCache>
                <c:formatCode>#,##0</c:formatCode>
                <c:ptCount val="14"/>
                <c:pt idx="0">
                  <c:v>421.32260000000002</c:v>
                </c:pt>
                <c:pt idx="1">
                  <c:v>422</c:v>
                </c:pt>
                <c:pt idx="2">
                  <c:v>422.90320000000003</c:v>
                </c:pt>
                <c:pt idx="3">
                  <c:v>424.5333</c:v>
                </c:pt>
                <c:pt idx="4">
                  <c:v>424.16129999999998</c:v>
                </c:pt>
                <c:pt idx="5">
                  <c:v>424</c:v>
                </c:pt>
                <c:pt idx="6">
                  <c:v>424.54840000000002</c:v>
                </c:pt>
                <c:pt idx="7">
                  <c:v>425</c:v>
                </c:pt>
                <c:pt idx="8">
                  <c:v>426</c:v>
                </c:pt>
                <c:pt idx="9">
                  <c:v>426</c:v>
                </c:pt>
                <c:pt idx="10">
                  <c:v>427</c:v>
                </c:pt>
                <c:pt idx="11">
                  <c:v>430</c:v>
                </c:pt>
                <c:pt idx="12">
                  <c:v>432</c:v>
                </c:pt>
                <c:pt idx="13">
                  <c:v>438</c:v>
                </c:pt>
              </c:numCache>
            </c:numRef>
          </c:val>
          <c:smooth val="0"/>
          <c:extLst>
            <c:ext xmlns:c16="http://schemas.microsoft.com/office/drawing/2014/chart" uri="{C3380CC4-5D6E-409C-BE32-E72D297353CC}">
              <c16:uniqueId val="{0000000F-3025-4874-A189-BAAAB579686A}"/>
            </c:ext>
          </c:extLst>
        </c:ser>
        <c:ser>
          <c:idx val="6"/>
          <c:order val="6"/>
          <c:tx>
            <c:strRef>
              <c:f>Hydina!$N$3</c:f>
              <c:strCache>
                <c:ptCount val="1"/>
                <c:pt idx="0">
                  <c:v>SK</c:v>
                </c:pt>
              </c:strCache>
            </c:strRef>
          </c:tx>
          <c:spPr>
            <a:ln w="28575" cap="rnd">
              <a:noFill/>
              <a:round/>
            </a:ln>
            <a:effectLst/>
          </c:spPr>
          <c:marker>
            <c:symbol val="circle"/>
            <c:size val="3"/>
            <c:spPr>
              <a:solidFill>
                <a:srgbClr val="2EAAE1"/>
              </a:solidFill>
              <a:ln w="9525">
                <a:solidFill>
                  <a:srgbClr val="2EAAE1"/>
                </a:solidFill>
              </a:ln>
              <a:effectLst/>
            </c:spPr>
          </c:marker>
          <c:cat>
            <c:numRef>
              <c:f>Hydina!$G$4:$G$55</c:f>
              <c:numCache>
                <c:formatCode>m/d/yyyy</c:formatCode>
                <c:ptCount val="16"/>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pt idx="15">
                  <c:v>45748</c:v>
                </c:pt>
              </c:numCache>
            </c:numRef>
          </c:cat>
          <c:val>
            <c:numRef>
              <c:f>Hydina!$N$4:$N$47</c:f>
              <c:numCache>
                <c:formatCode>General</c:formatCode>
                <c:ptCount val="8"/>
              </c:numCache>
            </c:numRef>
          </c:val>
          <c:smooth val="0"/>
          <c:extLst>
            <c:ext xmlns:c16="http://schemas.microsoft.com/office/drawing/2014/chart" uri="{C3380CC4-5D6E-409C-BE32-E72D297353CC}">
              <c16:uniqueId val="{00000010-3025-4874-A189-BAAAB579686A}"/>
            </c:ext>
          </c:extLst>
        </c:ser>
        <c:ser>
          <c:idx val="7"/>
          <c:order val="7"/>
          <c:tx>
            <c:strRef>
              <c:f>Hydina!$O$3</c:f>
              <c:strCache>
                <c:ptCount val="1"/>
                <c:pt idx="0">
                  <c:v>CZ</c:v>
                </c:pt>
              </c:strCache>
            </c:strRef>
          </c:tx>
          <c:spPr>
            <a:ln w="28575" cap="rnd">
              <a:noFill/>
              <a:round/>
            </a:ln>
            <a:effectLst/>
          </c:spPr>
          <c:marker>
            <c:symbol val="circle"/>
            <c:size val="3"/>
            <c:spPr>
              <a:solidFill>
                <a:srgbClr val="1AA380"/>
              </a:solidFill>
              <a:ln w="9525">
                <a:solidFill>
                  <a:srgbClr val="1AA380"/>
                </a:solidFill>
              </a:ln>
              <a:effectLst/>
            </c:spPr>
          </c:marker>
          <c:cat>
            <c:numRef>
              <c:f>Hydina!$G$4:$G$55</c:f>
              <c:numCache>
                <c:formatCode>m/d/yyyy</c:formatCode>
                <c:ptCount val="16"/>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pt idx="15">
                  <c:v>45748</c:v>
                </c:pt>
              </c:numCache>
            </c:numRef>
          </c:cat>
          <c:val>
            <c:numRef>
              <c:f>Hydina!$O$4:$O$47</c:f>
              <c:numCache>
                <c:formatCode>General</c:formatCode>
                <c:ptCount val="8"/>
              </c:numCache>
            </c:numRef>
          </c:val>
          <c:smooth val="0"/>
          <c:extLst>
            <c:ext xmlns:c16="http://schemas.microsoft.com/office/drawing/2014/chart" uri="{C3380CC4-5D6E-409C-BE32-E72D297353CC}">
              <c16:uniqueId val="{00000011-3025-4874-A189-BAAAB579686A}"/>
            </c:ext>
          </c:extLst>
        </c:ser>
        <c:ser>
          <c:idx val="8"/>
          <c:order val="8"/>
          <c:tx>
            <c:strRef>
              <c:f>Hydina!$P$3</c:f>
              <c:strCache>
                <c:ptCount val="1"/>
                <c:pt idx="0">
                  <c:v>HU</c:v>
                </c:pt>
              </c:strCache>
            </c:strRef>
          </c:tx>
          <c:spPr>
            <a:ln w="28575" cap="rnd">
              <a:noFill/>
              <a:round/>
            </a:ln>
            <a:effectLst/>
          </c:spPr>
          <c:marker>
            <c:symbol val="circle"/>
            <c:size val="3"/>
            <c:spPr>
              <a:solidFill>
                <a:srgbClr val="F2CA6D"/>
              </a:solidFill>
              <a:ln w="9525">
                <a:solidFill>
                  <a:srgbClr val="F2CA6D"/>
                </a:solidFill>
              </a:ln>
              <a:effectLst/>
            </c:spPr>
          </c:marker>
          <c:cat>
            <c:numRef>
              <c:f>Hydina!$G$4:$G$55</c:f>
              <c:numCache>
                <c:formatCode>m/d/yyyy</c:formatCode>
                <c:ptCount val="16"/>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pt idx="15">
                  <c:v>45748</c:v>
                </c:pt>
              </c:numCache>
            </c:numRef>
          </c:cat>
          <c:val>
            <c:numRef>
              <c:f>Hydina!$P$4:$P$47</c:f>
              <c:numCache>
                <c:formatCode>General</c:formatCode>
                <c:ptCount val="8"/>
              </c:numCache>
            </c:numRef>
          </c:val>
          <c:smooth val="0"/>
          <c:extLst>
            <c:ext xmlns:c16="http://schemas.microsoft.com/office/drawing/2014/chart" uri="{C3380CC4-5D6E-409C-BE32-E72D297353CC}">
              <c16:uniqueId val="{00000012-3025-4874-A189-BAAAB579686A}"/>
            </c:ext>
          </c:extLst>
        </c:ser>
        <c:ser>
          <c:idx val="9"/>
          <c:order val="9"/>
          <c:tx>
            <c:strRef>
              <c:f>Hydina!$Q$3</c:f>
              <c:strCache>
                <c:ptCount val="1"/>
                <c:pt idx="0">
                  <c:v>PL</c:v>
                </c:pt>
              </c:strCache>
            </c:strRef>
          </c:tx>
          <c:spPr>
            <a:ln w="28575" cap="rnd">
              <a:noFill/>
              <a:round/>
            </a:ln>
            <a:effectLst/>
          </c:spPr>
          <c:marker>
            <c:symbol val="circle"/>
            <c:size val="3"/>
            <c:spPr>
              <a:solidFill>
                <a:srgbClr val="E85477"/>
              </a:solidFill>
              <a:ln w="9525">
                <a:solidFill>
                  <a:srgbClr val="E85477"/>
                </a:solidFill>
              </a:ln>
              <a:effectLst/>
            </c:spPr>
          </c:marker>
          <c:cat>
            <c:numRef>
              <c:f>Hydina!$G$4:$G$55</c:f>
              <c:numCache>
                <c:formatCode>m/d/yyyy</c:formatCode>
                <c:ptCount val="16"/>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pt idx="15">
                  <c:v>45748</c:v>
                </c:pt>
              </c:numCache>
            </c:numRef>
          </c:cat>
          <c:val>
            <c:numRef>
              <c:f>Hydina!$Q$4:$Q$47</c:f>
              <c:numCache>
                <c:formatCode>General</c:formatCode>
                <c:ptCount val="8"/>
              </c:numCache>
            </c:numRef>
          </c:val>
          <c:smooth val="0"/>
          <c:extLst>
            <c:ext xmlns:c16="http://schemas.microsoft.com/office/drawing/2014/chart" uri="{C3380CC4-5D6E-409C-BE32-E72D297353CC}">
              <c16:uniqueId val="{00000013-3025-4874-A189-BAAAB579686A}"/>
            </c:ext>
          </c:extLst>
        </c:ser>
        <c:ser>
          <c:idx val="10"/>
          <c:order val="10"/>
          <c:tx>
            <c:strRef>
              <c:f>Hydina!$R$3</c:f>
              <c:strCache>
                <c:ptCount val="1"/>
                <c:pt idx="0">
                  <c:v>AT</c:v>
                </c:pt>
              </c:strCache>
            </c:strRef>
          </c:tx>
          <c:spPr>
            <a:ln w="28575" cap="rnd">
              <a:noFill/>
              <a:round/>
            </a:ln>
            <a:effectLst/>
          </c:spPr>
          <c:marker>
            <c:symbol val="circle"/>
            <c:size val="3"/>
            <c:spPr>
              <a:solidFill>
                <a:sysClr val="windowText" lastClr="000000"/>
              </a:solidFill>
              <a:ln w="9525">
                <a:solidFill>
                  <a:sysClr val="windowText" lastClr="000000"/>
                </a:solidFill>
              </a:ln>
              <a:effectLst/>
            </c:spPr>
          </c:marker>
          <c:cat>
            <c:numRef>
              <c:f>Hydina!$G$4:$G$55</c:f>
              <c:numCache>
                <c:formatCode>m/d/yyyy</c:formatCode>
                <c:ptCount val="16"/>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pt idx="15">
                  <c:v>45748</c:v>
                </c:pt>
              </c:numCache>
            </c:numRef>
          </c:cat>
          <c:val>
            <c:numRef>
              <c:f>Hydina!$R$4:$R$47</c:f>
              <c:numCache>
                <c:formatCode>General</c:formatCode>
                <c:ptCount val="8"/>
              </c:numCache>
            </c:numRef>
          </c:val>
          <c:smooth val="0"/>
          <c:extLst>
            <c:ext xmlns:c16="http://schemas.microsoft.com/office/drawing/2014/chart" uri="{C3380CC4-5D6E-409C-BE32-E72D297353CC}">
              <c16:uniqueId val="{00000014-3025-4874-A189-BAAAB579686A}"/>
            </c:ext>
          </c:extLst>
        </c:ser>
        <c:ser>
          <c:idx val="11"/>
          <c:order val="11"/>
          <c:tx>
            <c:strRef>
              <c:f>Hydina!$S$3</c:f>
              <c:strCache>
                <c:ptCount val="1"/>
                <c:pt idx="0">
                  <c:v>DE</c:v>
                </c:pt>
              </c:strCache>
            </c:strRef>
          </c:tx>
          <c:spPr>
            <a:ln w="28575" cap="rnd">
              <a:noFill/>
              <a:round/>
            </a:ln>
            <a:effectLst/>
          </c:spPr>
          <c:marker>
            <c:symbol val="circle"/>
            <c:size val="3"/>
            <c:spPr>
              <a:solidFill>
                <a:srgbClr val="7F7F7F"/>
              </a:solidFill>
              <a:ln w="9525">
                <a:solidFill>
                  <a:srgbClr val="7F7F7F"/>
                </a:solidFill>
              </a:ln>
              <a:effectLst/>
            </c:spPr>
          </c:marker>
          <c:cat>
            <c:numRef>
              <c:f>Hydina!$G$4:$G$55</c:f>
              <c:numCache>
                <c:formatCode>m/d/yyyy</c:formatCode>
                <c:ptCount val="16"/>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pt idx="15">
                  <c:v>45748</c:v>
                </c:pt>
              </c:numCache>
            </c:numRef>
          </c:cat>
          <c:val>
            <c:numRef>
              <c:f>Hydina!$S$4:$S$47</c:f>
              <c:numCache>
                <c:formatCode>General</c:formatCode>
                <c:ptCount val="8"/>
              </c:numCache>
            </c:numRef>
          </c:val>
          <c:smooth val="0"/>
          <c:extLst>
            <c:ext xmlns:c16="http://schemas.microsoft.com/office/drawing/2014/chart" uri="{C3380CC4-5D6E-409C-BE32-E72D297353CC}">
              <c16:uniqueId val="{00000015-3025-4874-A189-BAAAB579686A}"/>
            </c:ext>
          </c:extLst>
        </c:ser>
        <c:dLbls>
          <c:showLegendKey val="0"/>
          <c:showVal val="0"/>
          <c:showCatName val="0"/>
          <c:showSerName val="0"/>
          <c:showPercent val="0"/>
          <c:showBubbleSize val="0"/>
        </c:dLbls>
        <c:smooth val="0"/>
        <c:axId val="545542928"/>
        <c:axId val="545543256"/>
      </c:lineChart>
      <c:dateAx>
        <c:axId val="545542928"/>
        <c:scaling>
          <c:orientation val="minMax"/>
          <c:max val="45627"/>
        </c:scaling>
        <c:delete val="0"/>
        <c:axPos val="b"/>
        <c:numFmt formatCode="m/yy" sourceLinked="0"/>
        <c:majorTickMark val="none"/>
        <c:minorTickMark val="none"/>
        <c:tickLblPos val="nextTo"/>
        <c:spPr>
          <a:noFill/>
          <a:ln w="12700" cap="flat" cmpd="sng" algn="ctr">
            <a:solidFill>
              <a:srgbClr val="7F7F7F"/>
            </a:solidFill>
            <a:round/>
          </a:ln>
          <a:effectLst/>
        </c:spPr>
        <c:txPr>
          <a:bodyPr rot="-2700000" spcFirstLastPara="1" vertOverflow="ellipsis" wrap="square" anchor="ctr" anchorCtr="1"/>
          <a:lstStyle/>
          <a:p>
            <a:pPr>
              <a:defRPr sz="900" b="0" i="0" u="none" strike="noStrike" kern="1200" baseline="0">
                <a:solidFill>
                  <a:schemeClr val="tx1">
                    <a:lumMod val="85000"/>
                    <a:lumOff val="15000"/>
                  </a:schemeClr>
                </a:solidFill>
                <a:latin typeface="+mn-lt"/>
                <a:ea typeface="+mn-ea"/>
                <a:cs typeface="+mn-cs"/>
              </a:defRPr>
            </a:pPr>
            <a:endParaRPr lang="sk-SK"/>
          </a:p>
        </c:txPr>
        <c:crossAx val="545543256"/>
        <c:crosses val="autoZero"/>
        <c:auto val="1"/>
        <c:lblOffset val="100"/>
        <c:baseTimeUnit val="months"/>
        <c:majorUnit val="1"/>
        <c:majorTimeUnit val="months"/>
      </c:dateAx>
      <c:valAx>
        <c:axId val="545543256"/>
        <c:scaling>
          <c:orientation val="minMax"/>
          <c:max val="450"/>
          <c:min val="100"/>
        </c:scaling>
        <c:delete val="0"/>
        <c:axPos val="l"/>
        <c:majorGridlines>
          <c:spPr>
            <a:ln w="9525" cap="flat" cmpd="sng" algn="ctr">
              <a:solidFill>
                <a:srgbClr val="7F7F7F">
                  <a:alpha val="25098"/>
                </a:srgbClr>
              </a:solidFill>
              <a:prstDash val="sysDot"/>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85000"/>
                    <a:lumOff val="15000"/>
                  </a:schemeClr>
                </a:solidFill>
                <a:latin typeface="+mn-lt"/>
                <a:ea typeface="+mn-ea"/>
                <a:cs typeface="+mn-cs"/>
              </a:defRPr>
            </a:pPr>
            <a:endParaRPr lang="sk-SK"/>
          </a:p>
        </c:txPr>
        <c:crossAx val="545542928"/>
        <c:crosses val="autoZero"/>
        <c:crossBetween val="midCat"/>
      </c:valAx>
      <c:spPr>
        <a:noFill/>
        <a:ln>
          <a:noFill/>
        </a:ln>
        <a:effectLst/>
      </c:spPr>
    </c:plotArea>
    <c:legend>
      <c:legendPos val="b"/>
      <c:legendEntry>
        <c:idx val="6"/>
        <c:delete val="1"/>
      </c:legendEntry>
      <c:legendEntry>
        <c:idx val="7"/>
        <c:delete val="1"/>
      </c:legendEntry>
      <c:legendEntry>
        <c:idx val="8"/>
        <c:delete val="1"/>
      </c:legendEntry>
      <c:legendEntry>
        <c:idx val="9"/>
        <c:delete val="1"/>
      </c:legendEntry>
      <c:legendEntry>
        <c:idx val="10"/>
        <c:delete val="1"/>
      </c:legendEntry>
      <c:legendEntry>
        <c:idx val="11"/>
        <c:delete val="1"/>
      </c:legendEntry>
      <c:layout>
        <c:manualLayout>
          <c:xMode val="edge"/>
          <c:yMode val="edge"/>
          <c:x val="0"/>
          <c:y val="0.88378630576486406"/>
          <c:w val="0.99348989249814101"/>
          <c:h val="9.325817056225217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85000"/>
                  <a:lumOff val="15000"/>
                </a:schemeClr>
              </a:solidFill>
              <a:latin typeface="+mn-lt"/>
              <a:ea typeface="+mn-ea"/>
              <a:cs typeface="+mn-cs"/>
            </a:defRPr>
          </a:pPr>
          <a:endParaRPr lang="sk-SK"/>
        </a:p>
      </c:txPr>
    </c:legend>
    <c:plotVisOnly val="1"/>
    <c:dispBlanksAs val="gap"/>
    <c:showDLblsOverMax val="0"/>
  </c:chart>
  <c:spPr>
    <a:solidFill>
      <a:sysClr val="window" lastClr="FFFFFF"/>
    </a:solidFill>
    <a:ln w="9525" cap="flat" cmpd="sng" algn="ctr">
      <a:noFill/>
      <a:round/>
    </a:ln>
    <a:effectLst/>
  </c:spPr>
  <c:txPr>
    <a:bodyPr/>
    <a:lstStyle/>
    <a:p>
      <a:pPr>
        <a:defRPr>
          <a:solidFill>
            <a:schemeClr val="tx1">
              <a:lumMod val="85000"/>
              <a:lumOff val="15000"/>
            </a:schemeClr>
          </a:solidFill>
        </a:defRPr>
      </a:pPr>
      <a:endParaRPr lang="sk-SK"/>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6143409285064622"/>
          <c:y val="5.7021707094872733E-2"/>
          <c:w val="0.73909958824678357"/>
          <c:h val="0.53547386887519899"/>
        </c:manualLayout>
      </c:layout>
      <c:lineChart>
        <c:grouping val="standard"/>
        <c:varyColors val="0"/>
        <c:ser>
          <c:idx val="0"/>
          <c:order val="0"/>
          <c:tx>
            <c:strRef>
              <c:f>Mlieko!$X$3</c:f>
              <c:strCache>
                <c:ptCount val="1"/>
                <c:pt idx="0">
                  <c:v>SK - skenery</c:v>
                </c:pt>
              </c:strCache>
            </c:strRef>
          </c:tx>
          <c:spPr>
            <a:ln w="28575" cap="rnd">
              <a:solidFill>
                <a:schemeClr val="accent1"/>
              </a:solidFill>
              <a:round/>
            </a:ln>
            <a:effectLst/>
          </c:spPr>
          <c:marker>
            <c:symbol val="none"/>
          </c:marker>
          <c:dPt>
            <c:idx val="0"/>
            <c:marker>
              <c:symbol val="none"/>
            </c:marker>
            <c:bubble3D val="0"/>
            <c:extLst>
              <c:ext xmlns:c16="http://schemas.microsoft.com/office/drawing/2014/chart" uri="{C3380CC4-5D6E-409C-BE32-E72D297353CC}">
                <c16:uniqueId val="{00000002-590F-4D48-B9B1-2845680950DB}"/>
              </c:ext>
            </c:extLst>
          </c:dPt>
          <c:cat>
            <c:numRef>
              <c:f>Mlieko!$W$4:$W$55</c:f>
              <c:numCache>
                <c:formatCode>m/d/yyyy</c:formatCode>
                <c:ptCount val="14"/>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45717</c:v>
                </c:pt>
                <c:pt idx="13">
                  <c:v>45748</c:v>
                </c:pt>
              </c:numCache>
              <c:extLst/>
            </c:numRef>
          </c:cat>
          <c:val>
            <c:numRef>
              <c:f>Mlieko!$X$4:$X$55</c:f>
              <c:numCache>
                <c:formatCode>0.00</c:formatCode>
                <c:ptCount val="14"/>
                <c:pt idx="0">
                  <c:v>0.81818181818181812</c:v>
                </c:pt>
                <c:pt idx="1">
                  <c:v>0.83636363636363631</c:v>
                </c:pt>
                <c:pt idx="2">
                  <c:v>0.81818181818181812</c:v>
                </c:pt>
                <c:pt idx="3">
                  <c:v>0.76363636363636356</c:v>
                </c:pt>
                <c:pt idx="4">
                  <c:v>0.86363636363636354</c:v>
                </c:pt>
                <c:pt idx="5">
                  <c:v>0.83636363636363631</c:v>
                </c:pt>
                <c:pt idx="6">
                  <c:v>0.84545454545454546</c:v>
                </c:pt>
                <c:pt idx="7">
                  <c:v>0.67272727272727262</c:v>
                </c:pt>
                <c:pt idx="8">
                  <c:v>0.81818181818181812</c:v>
                </c:pt>
                <c:pt idx="9">
                  <c:v>0.87272727272727257</c:v>
                </c:pt>
                <c:pt idx="10">
                  <c:v>0.85454545454545439</c:v>
                </c:pt>
                <c:pt idx="11">
                  <c:v>0.85454545454545439</c:v>
                </c:pt>
                <c:pt idx="12">
                  <c:v>0.8666666666666667</c:v>
                </c:pt>
                <c:pt idx="13">
                  <c:v>0.8571428571428571</c:v>
                </c:pt>
              </c:numCache>
              <c:extLst/>
            </c:numRef>
          </c:val>
          <c:smooth val="0"/>
          <c:extLst>
            <c:ext xmlns:c16="http://schemas.microsoft.com/office/drawing/2014/chart" uri="{C3380CC4-5D6E-409C-BE32-E72D297353CC}">
              <c16:uniqueId val="{00000003-590F-4D48-B9B1-2845680950DB}"/>
            </c:ext>
          </c:extLst>
        </c:ser>
        <c:ser>
          <c:idx val="1"/>
          <c:order val="1"/>
          <c:tx>
            <c:strRef>
              <c:f>Mlieko!$Y$3</c:f>
              <c:strCache>
                <c:ptCount val="1"/>
                <c:pt idx="0">
                  <c:v>SK - pôvodné</c:v>
                </c:pt>
              </c:strCache>
            </c:strRef>
          </c:tx>
          <c:spPr>
            <a:ln w="28575" cap="rnd">
              <a:solidFill>
                <a:schemeClr val="accent2"/>
              </a:solidFill>
              <a:round/>
            </a:ln>
            <a:effectLst/>
          </c:spPr>
          <c:marker>
            <c:symbol val="none"/>
          </c:marker>
          <c:dPt>
            <c:idx val="0"/>
            <c:marker>
              <c:symbol val="none"/>
            </c:marker>
            <c:bubble3D val="0"/>
            <c:extLst>
              <c:ext xmlns:c16="http://schemas.microsoft.com/office/drawing/2014/chart" uri="{C3380CC4-5D6E-409C-BE32-E72D297353CC}">
                <c16:uniqueId val="{00000006-590F-4D48-B9B1-2845680950DB}"/>
              </c:ext>
            </c:extLst>
          </c:dPt>
          <c:cat>
            <c:numRef>
              <c:f>Mlieko!$W$4:$W$55</c:f>
              <c:numCache>
                <c:formatCode>m/d/yyyy</c:formatCode>
                <c:ptCount val="16"/>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pt idx="15">
                  <c:v>45748</c:v>
                </c:pt>
              </c:numCache>
              <c:extLst/>
            </c:numRef>
          </c:cat>
          <c:val>
            <c:numRef>
              <c:f>Mlieko!$Y$4:$Y$51</c:f>
              <c:numCache>
                <c:formatCode>General</c:formatCode>
                <c:ptCount val="12"/>
              </c:numCache>
              <c:extLst/>
            </c:numRef>
          </c:val>
          <c:smooth val="0"/>
          <c:extLst>
            <c:ext xmlns:c16="http://schemas.microsoft.com/office/drawing/2014/chart" uri="{C3380CC4-5D6E-409C-BE32-E72D297353CC}">
              <c16:uniqueId val="{00000007-590F-4D48-B9B1-2845680950DB}"/>
            </c:ext>
          </c:extLst>
        </c:ser>
        <c:ser>
          <c:idx val="2"/>
          <c:order val="2"/>
          <c:tx>
            <c:strRef>
              <c:f>Mlieko!$Z$3</c:f>
              <c:strCache>
                <c:ptCount val="1"/>
                <c:pt idx="0">
                  <c:v>CZ</c:v>
                </c:pt>
              </c:strCache>
            </c:strRef>
          </c:tx>
          <c:spPr>
            <a:ln w="28575" cap="rnd">
              <a:solidFill>
                <a:schemeClr val="accent3"/>
              </a:solidFill>
              <a:round/>
            </a:ln>
            <a:effectLst/>
          </c:spPr>
          <c:marker>
            <c:symbol val="none"/>
          </c:marker>
          <c:dPt>
            <c:idx val="0"/>
            <c:marker>
              <c:symbol val="none"/>
            </c:marker>
            <c:bubble3D val="0"/>
            <c:extLst>
              <c:ext xmlns:c16="http://schemas.microsoft.com/office/drawing/2014/chart" uri="{C3380CC4-5D6E-409C-BE32-E72D297353CC}">
                <c16:uniqueId val="{00000009-590F-4D48-B9B1-2845680950DB}"/>
              </c:ext>
            </c:extLst>
          </c:dPt>
          <c:cat>
            <c:numRef>
              <c:f>Mlieko!$W$4:$W$55</c:f>
              <c:numCache>
                <c:formatCode>m/d/yyyy</c:formatCode>
                <c:ptCount val="14"/>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45717</c:v>
                </c:pt>
                <c:pt idx="13">
                  <c:v>45748</c:v>
                </c:pt>
              </c:numCache>
              <c:extLst/>
            </c:numRef>
          </c:cat>
          <c:val>
            <c:numRef>
              <c:f>Mlieko!$Z$4:$Z$55</c:f>
              <c:numCache>
                <c:formatCode>0.00</c:formatCode>
                <c:ptCount val="14"/>
                <c:pt idx="0">
                  <c:v>0.84754796878743643</c:v>
                </c:pt>
                <c:pt idx="1">
                  <c:v>0.85777894185437409</c:v>
                </c:pt>
                <c:pt idx="2">
                  <c:v>0.84990262391963622</c:v>
                </c:pt>
                <c:pt idx="3">
                  <c:v>0.82044190342521617</c:v>
                </c:pt>
                <c:pt idx="4">
                  <c:v>0.83914221796324939</c:v>
                </c:pt>
                <c:pt idx="5">
                  <c:v>0.85464230667116559</c:v>
                </c:pt>
                <c:pt idx="6">
                  <c:v>0.86455826744585784</c:v>
                </c:pt>
                <c:pt idx="7">
                  <c:v>0.86135954352032496</c:v>
                </c:pt>
                <c:pt idx="8">
                  <c:v>0.86923913043478263</c:v>
                </c:pt>
                <c:pt idx="9">
                  <c:v>0.87788345478260876</c:v>
                </c:pt>
                <c:pt idx="10">
                  <c:v>0.88476252173913039</c:v>
                </c:pt>
                <c:pt idx="11">
                  <c:v>0.8921860869565218</c:v>
                </c:pt>
                <c:pt idx="12">
                  <c:v>0.92100695652173925</c:v>
                </c:pt>
                <c:pt idx="13">
                  <c:v>0.92286086956521751</c:v>
                </c:pt>
              </c:numCache>
              <c:extLst/>
            </c:numRef>
          </c:val>
          <c:smooth val="0"/>
          <c:extLst>
            <c:ext xmlns:c16="http://schemas.microsoft.com/office/drawing/2014/chart" uri="{C3380CC4-5D6E-409C-BE32-E72D297353CC}">
              <c16:uniqueId val="{0000000A-590F-4D48-B9B1-2845680950DB}"/>
            </c:ext>
          </c:extLst>
        </c:ser>
        <c:ser>
          <c:idx val="3"/>
          <c:order val="3"/>
          <c:tx>
            <c:strRef>
              <c:f>Mlieko!$AA$3</c:f>
              <c:strCache>
                <c:ptCount val="1"/>
                <c:pt idx="0">
                  <c:v>HU</c:v>
                </c:pt>
              </c:strCache>
            </c:strRef>
          </c:tx>
          <c:spPr>
            <a:ln w="28575" cap="rnd">
              <a:solidFill>
                <a:schemeClr val="accent4"/>
              </a:solidFill>
              <a:round/>
            </a:ln>
            <a:effectLst/>
          </c:spPr>
          <c:marker>
            <c:symbol val="none"/>
          </c:marker>
          <c:dPt>
            <c:idx val="0"/>
            <c:marker>
              <c:symbol val="none"/>
            </c:marker>
            <c:bubble3D val="0"/>
            <c:extLst>
              <c:ext xmlns:c16="http://schemas.microsoft.com/office/drawing/2014/chart" uri="{C3380CC4-5D6E-409C-BE32-E72D297353CC}">
                <c16:uniqueId val="{0000000B-590F-4D48-B9B1-2845680950DB}"/>
              </c:ext>
            </c:extLst>
          </c:dPt>
          <c:cat>
            <c:numRef>
              <c:f>Mlieko!$W$4:$W$55</c:f>
              <c:numCache>
                <c:formatCode>m/d/yyyy</c:formatCode>
                <c:ptCount val="14"/>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45717</c:v>
                </c:pt>
                <c:pt idx="13">
                  <c:v>45748</c:v>
                </c:pt>
              </c:numCache>
              <c:extLst/>
            </c:numRef>
          </c:cat>
          <c:val>
            <c:numRef>
              <c:f>Mlieko!$AA$4:$AA$55</c:f>
              <c:numCache>
                <c:formatCode>0.00</c:formatCode>
                <c:ptCount val="14"/>
                <c:pt idx="0">
                  <c:v>0.9538293732150902</c:v>
                </c:pt>
                <c:pt idx="1">
                  <c:v>0.91917872810200418</c:v>
                </c:pt>
                <c:pt idx="2">
                  <c:v>0.89025418365836573</c:v>
                </c:pt>
                <c:pt idx="3">
                  <c:v>0.9021267431961042</c:v>
                </c:pt>
                <c:pt idx="4">
                  <c:v>0.90356239294749918</c:v>
                </c:pt>
                <c:pt idx="5">
                  <c:v>0.89133041352104003</c:v>
                </c:pt>
                <c:pt idx="6">
                  <c:v>0.88469258358735958</c:v>
                </c:pt>
                <c:pt idx="7">
                  <c:v>0.88675932203389829</c:v>
                </c:pt>
                <c:pt idx="8">
                  <c:v>0.93145338983050863</c:v>
                </c:pt>
                <c:pt idx="9">
                  <c:v>0.9552061457627119</c:v>
                </c:pt>
                <c:pt idx="10">
                  <c:v>0.9214838983050847</c:v>
                </c:pt>
                <c:pt idx="11">
                  <c:v>1.0099898305084747</c:v>
                </c:pt>
                <c:pt idx="12">
                  <c:v>0.97886101694915262</c:v>
                </c:pt>
                <c:pt idx="13">
                  <c:v>0.84628813559322036</c:v>
                </c:pt>
              </c:numCache>
              <c:extLst/>
            </c:numRef>
          </c:val>
          <c:smooth val="0"/>
          <c:extLst>
            <c:ext xmlns:c16="http://schemas.microsoft.com/office/drawing/2014/chart" uri="{C3380CC4-5D6E-409C-BE32-E72D297353CC}">
              <c16:uniqueId val="{0000000C-590F-4D48-B9B1-2845680950DB}"/>
            </c:ext>
          </c:extLst>
        </c:ser>
        <c:ser>
          <c:idx val="4"/>
          <c:order val="4"/>
          <c:tx>
            <c:strRef>
              <c:f>Mlieko!$AB$3</c:f>
              <c:strCache>
                <c:ptCount val="1"/>
                <c:pt idx="0">
                  <c:v>PL</c:v>
                </c:pt>
              </c:strCache>
            </c:strRef>
          </c:tx>
          <c:spPr>
            <a:ln w="28575" cap="rnd">
              <a:solidFill>
                <a:schemeClr val="accent5"/>
              </a:solidFill>
              <a:round/>
            </a:ln>
            <a:effectLst/>
          </c:spPr>
          <c:marker>
            <c:symbol val="none"/>
          </c:marker>
          <c:cat>
            <c:numRef>
              <c:f>Mlieko!$W$4:$W$55</c:f>
              <c:numCache>
                <c:formatCode>m/d/yyyy</c:formatCode>
                <c:ptCount val="14"/>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45717</c:v>
                </c:pt>
                <c:pt idx="13">
                  <c:v>45748</c:v>
                </c:pt>
              </c:numCache>
              <c:extLst/>
            </c:numRef>
          </c:cat>
          <c:val>
            <c:numRef>
              <c:f>Mlieko!$AB$4:$AB$55</c:f>
              <c:numCache>
                <c:formatCode>0.00</c:formatCode>
                <c:ptCount val="14"/>
                <c:pt idx="0">
                  <c:v>0.98359184975477487</c:v>
                </c:pt>
                <c:pt idx="1">
                  <c:v>0.98708869928194709</c:v>
                </c:pt>
                <c:pt idx="2">
                  <c:v>0.97548890574919089</c:v>
                </c:pt>
                <c:pt idx="3">
                  <c:v>0.95814834964830831</c:v>
                </c:pt>
                <c:pt idx="4">
                  <c:v>0.96987408417236198</c:v>
                </c:pt>
                <c:pt idx="5">
                  <c:v>0.95687872333858037</c:v>
                </c:pt>
                <c:pt idx="6">
                  <c:v>0.96524769839867708</c:v>
                </c:pt>
                <c:pt idx="7">
                  <c:v>0.96309933333333331</c:v>
                </c:pt>
                <c:pt idx="8">
                  <c:v>0.95770380952380951</c:v>
                </c:pt>
                <c:pt idx="9">
                  <c:v>0.96627949333333318</c:v>
                </c:pt>
                <c:pt idx="10">
                  <c:v>0.96519999999999995</c:v>
                </c:pt>
                <c:pt idx="11">
                  <c:v>0.98128380952380956</c:v>
                </c:pt>
                <c:pt idx="12">
                  <c:v>0.99519428571428559</c:v>
                </c:pt>
                <c:pt idx="13">
                  <c:v>0.98482857142857139</c:v>
                </c:pt>
              </c:numCache>
              <c:extLst/>
            </c:numRef>
          </c:val>
          <c:smooth val="0"/>
          <c:extLst>
            <c:ext xmlns:c16="http://schemas.microsoft.com/office/drawing/2014/chart" uri="{C3380CC4-5D6E-409C-BE32-E72D297353CC}">
              <c16:uniqueId val="{0000000D-590F-4D48-B9B1-2845680950DB}"/>
            </c:ext>
          </c:extLst>
        </c:ser>
        <c:ser>
          <c:idx val="5"/>
          <c:order val="5"/>
          <c:tx>
            <c:strRef>
              <c:f>Mlieko!$AC$3</c:f>
              <c:strCache>
                <c:ptCount val="1"/>
                <c:pt idx="0">
                  <c:v>SK - skenery</c:v>
                </c:pt>
              </c:strCache>
            </c:strRef>
          </c:tx>
          <c:spPr>
            <a:ln w="28575" cap="rnd">
              <a:noFill/>
              <a:round/>
            </a:ln>
            <a:effectLst/>
          </c:spPr>
          <c:marker>
            <c:symbol val="circle"/>
            <c:size val="6"/>
            <c:spPr>
              <a:solidFill>
                <a:srgbClr val="2EAAE1"/>
              </a:solidFill>
              <a:ln w="9525">
                <a:solidFill>
                  <a:srgbClr val="2EAAE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2EAAE1"/>
                    </a:solidFill>
                    <a:latin typeface="+mn-lt"/>
                    <a:ea typeface="+mn-ea"/>
                    <a:cs typeface="+mn-cs"/>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Mlieko!$W$4:$W$55</c:f>
              <c:numCache>
                <c:formatCode>m/d/yyyy</c:formatCode>
                <c:ptCount val="16"/>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pt idx="15">
                  <c:v>45748</c:v>
                </c:pt>
              </c:numCache>
              <c:extLst/>
            </c:numRef>
          </c:cat>
          <c:val>
            <c:numRef>
              <c:f>Mlieko!$AC$4:$AC$49</c:f>
              <c:numCache>
                <c:formatCode>General</c:formatCode>
                <c:ptCount val="10"/>
              </c:numCache>
              <c:extLst/>
            </c:numRef>
          </c:val>
          <c:smooth val="0"/>
          <c:extLst>
            <c:ext xmlns:c16="http://schemas.microsoft.com/office/drawing/2014/chart" uri="{C3380CC4-5D6E-409C-BE32-E72D297353CC}">
              <c16:uniqueId val="{0000000E-590F-4D48-B9B1-2845680950DB}"/>
            </c:ext>
          </c:extLst>
        </c:ser>
        <c:ser>
          <c:idx val="6"/>
          <c:order val="6"/>
          <c:tx>
            <c:strRef>
              <c:f>Mlieko!$AD$3</c:f>
              <c:strCache>
                <c:ptCount val="1"/>
                <c:pt idx="0">
                  <c:v>CZ</c:v>
                </c:pt>
              </c:strCache>
            </c:strRef>
          </c:tx>
          <c:spPr>
            <a:ln w="28575" cap="rnd">
              <a:noFill/>
              <a:round/>
            </a:ln>
            <a:effectLst/>
          </c:spPr>
          <c:marker>
            <c:symbol val="circle"/>
            <c:size val="6"/>
            <c:spPr>
              <a:solidFill>
                <a:srgbClr val="1AA380"/>
              </a:solidFill>
              <a:ln w="9525">
                <a:solidFill>
                  <a:srgbClr val="1AA380"/>
                </a:solidFill>
              </a:ln>
              <a:effectLst/>
            </c:spPr>
          </c:marker>
          <c:cat>
            <c:numRef>
              <c:f>Mlieko!$W$4:$W$55</c:f>
              <c:numCache>
                <c:formatCode>m/d/yyyy</c:formatCode>
                <c:ptCount val="16"/>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pt idx="15">
                  <c:v>45748</c:v>
                </c:pt>
              </c:numCache>
              <c:extLst/>
            </c:numRef>
          </c:cat>
          <c:val>
            <c:numRef>
              <c:f>Mlieko!$AD$4:$AD$49</c:f>
              <c:numCache>
                <c:formatCode>General</c:formatCode>
                <c:ptCount val="10"/>
              </c:numCache>
              <c:extLst/>
            </c:numRef>
          </c:val>
          <c:smooth val="0"/>
          <c:extLst>
            <c:ext xmlns:c16="http://schemas.microsoft.com/office/drawing/2014/chart" uri="{C3380CC4-5D6E-409C-BE32-E72D297353CC}">
              <c16:uniqueId val="{0000000F-590F-4D48-B9B1-2845680950DB}"/>
            </c:ext>
          </c:extLst>
        </c:ser>
        <c:ser>
          <c:idx val="7"/>
          <c:order val="7"/>
          <c:tx>
            <c:strRef>
              <c:f>Mlieko!$AE$3</c:f>
              <c:strCache>
                <c:ptCount val="1"/>
                <c:pt idx="0">
                  <c:v>HU</c:v>
                </c:pt>
              </c:strCache>
            </c:strRef>
          </c:tx>
          <c:spPr>
            <a:ln w="28575" cap="rnd">
              <a:noFill/>
              <a:round/>
            </a:ln>
            <a:effectLst/>
          </c:spPr>
          <c:marker>
            <c:symbol val="circle"/>
            <c:size val="6"/>
            <c:spPr>
              <a:solidFill>
                <a:srgbClr val="F2CA6D"/>
              </a:solidFill>
              <a:ln w="9525">
                <a:solidFill>
                  <a:srgbClr val="F2CA6D"/>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F2CA6D"/>
                    </a:solidFill>
                    <a:latin typeface="+mn-lt"/>
                    <a:ea typeface="+mn-ea"/>
                    <a:cs typeface="+mn-cs"/>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Mlieko!$W$4:$W$55</c:f>
              <c:numCache>
                <c:formatCode>m/d/yyyy</c:formatCode>
                <c:ptCount val="16"/>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pt idx="15">
                  <c:v>45748</c:v>
                </c:pt>
              </c:numCache>
              <c:extLst/>
            </c:numRef>
          </c:cat>
          <c:val>
            <c:numRef>
              <c:f>Mlieko!$AE$4:$AE$49</c:f>
              <c:numCache>
                <c:formatCode>General</c:formatCode>
                <c:ptCount val="10"/>
              </c:numCache>
              <c:extLst/>
            </c:numRef>
          </c:val>
          <c:smooth val="0"/>
          <c:extLst>
            <c:ext xmlns:c16="http://schemas.microsoft.com/office/drawing/2014/chart" uri="{C3380CC4-5D6E-409C-BE32-E72D297353CC}">
              <c16:uniqueId val="{00000010-590F-4D48-B9B1-2845680950DB}"/>
            </c:ext>
          </c:extLst>
        </c:ser>
        <c:ser>
          <c:idx val="8"/>
          <c:order val="8"/>
          <c:tx>
            <c:strRef>
              <c:f>Mlieko!$AF$3</c:f>
              <c:strCache>
                <c:ptCount val="1"/>
                <c:pt idx="0">
                  <c:v>PL</c:v>
                </c:pt>
              </c:strCache>
            </c:strRef>
          </c:tx>
          <c:spPr>
            <a:ln w="28575" cap="rnd">
              <a:noFill/>
              <a:round/>
            </a:ln>
            <a:effectLst/>
          </c:spPr>
          <c:marker>
            <c:symbol val="circle"/>
            <c:size val="6"/>
            <c:spPr>
              <a:solidFill>
                <a:srgbClr val="E85477"/>
              </a:solidFill>
              <a:ln w="9525">
                <a:solidFill>
                  <a:srgbClr val="E85477"/>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E85477"/>
                    </a:solidFill>
                    <a:latin typeface="+mn-lt"/>
                    <a:ea typeface="+mn-ea"/>
                    <a:cs typeface="+mn-cs"/>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Mlieko!$W$4:$W$55</c:f>
              <c:numCache>
                <c:formatCode>m/d/yyyy</c:formatCode>
                <c:ptCount val="16"/>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pt idx="15">
                  <c:v>45748</c:v>
                </c:pt>
              </c:numCache>
              <c:extLst/>
            </c:numRef>
          </c:cat>
          <c:val>
            <c:numRef>
              <c:f>Mlieko!$AF$4:$AF$49</c:f>
              <c:numCache>
                <c:formatCode>General</c:formatCode>
                <c:ptCount val="10"/>
              </c:numCache>
              <c:extLst/>
            </c:numRef>
          </c:val>
          <c:smooth val="0"/>
          <c:extLst>
            <c:ext xmlns:c16="http://schemas.microsoft.com/office/drawing/2014/chart" uri="{C3380CC4-5D6E-409C-BE32-E72D297353CC}">
              <c16:uniqueId val="{00000011-590F-4D48-B9B1-2845680950DB}"/>
            </c:ext>
          </c:extLst>
        </c:ser>
        <c:dLbls>
          <c:showLegendKey val="0"/>
          <c:showVal val="0"/>
          <c:showCatName val="0"/>
          <c:showSerName val="0"/>
          <c:showPercent val="0"/>
          <c:showBubbleSize val="0"/>
        </c:dLbls>
        <c:smooth val="0"/>
        <c:axId val="545542928"/>
        <c:axId val="545543256"/>
      </c:lineChart>
      <c:dateAx>
        <c:axId val="545542928"/>
        <c:scaling>
          <c:orientation val="minMax"/>
          <c:max val="45627"/>
        </c:scaling>
        <c:delete val="0"/>
        <c:axPos val="b"/>
        <c:numFmt formatCode="m/yy" sourceLinked="0"/>
        <c:majorTickMark val="none"/>
        <c:minorTickMark val="none"/>
        <c:tickLblPos val="nextTo"/>
        <c:spPr>
          <a:noFill/>
          <a:ln w="12700" cap="flat" cmpd="sng" algn="ctr">
            <a:solidFill>
              <a:srgbClr val="7F7F7F"/>
            </a:solidFill>
            <a:round/>
          </a:ln>
          <a:effectLst/>
        </c:spPr>
        <c:txPr>
          <a:bodyPr rot="-5400000" spcFirstLastPara="1" vertOverflow="ellipsis" wrap="square" anchor="ctr" anchorCtr="1"/>
          <a:lstStyle/>
          <a:p>
            <a:pPr>
              <a:defRPr sz="900" b="0" i="0" u="none" strike="noStrike" kern="1200" baseline="0">
                <a:solidFill>
                  <a:schemeClr val="tx1">
                    <a:lumMod val="85000"/>
                    <a:lumOff val="15000"/>
                  </a:schemeClr>
                </a:solidFill>
                <a:latin typeface="+mn-lt"/>
                <a:ea typeface="+mn-ea"/>
                <a:cs typeface="+mn-cs"/>
              </a:defRPr>
            </a:pPr>
            <a:endParaRPr lang="sk-SK"/>
          </a:p>
        </c:txPr>
        <c:crossAx val="545543256"/>
        <c:crosses val="autoZero"/>
        <c:auto val="1"/>
        <c:lblOffset val="100"/>
        <c:baseTimeUnit val="months"/>
        <c:majorUnit val="1"/>
        <c:majorTimeUnit val="months"/>
      </c:dateAx>
      <c:valAx>
        <c:axId val="545543256"/>
        <c:scaling>
          <c:orientation val="minMax"/>
          <c:max val="1.2"/>
          <c:min val="0.5"/>
        </c:scaling>
        <c:delete val="0"/>
        <c:axPos val="l"/>
        <c:majorGridlines>
          <c:spPr>
            <a:ln w="9525" cap="flat" cmpd="sng" algn="ctr">
              <a:solidFill>
                <a:srgbClr val="7F7F7F">
                  <a:alpha val="25098"/>
                </a:srgbClr>
              </a:solidFill>
              <a:prstDash val="sysDot"/>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85000"/>
                    <a:lumOff val="15000"/>
                  </a:schemeClr>
                </a:solidFill>
                <a:latin typeface="+mn-lt"/>
                <a:ea typeface="+mn-ea"/>
                <a:cs typeface="+mn-cs"/>
              </a:defRPr>
            </a:pPr>
            <a:endParaRPr lang="sk-SK"/>
          </a:p>
        </c:txPr>
        <c:crossAx val="545542928"/>
        <c:crosses val="autoZero"/>
        <c:crossBetween val="midCat"/>
        <c:majorUnit val="0.1"/>
      </c:valAx>
      <c:spPr>
        <a:noFill/>
        <a:ln>
          <a:noFill/>
        </a:ln>
        <a:effectLst/>
      </c:spPr>
    </c:plotArea>
    <c:legend>
      <c:legendPos val="b"/>
      <c:legendEntry>
        <c:idx val="5"/>
        <c:delete val="1"/>
      </c:legendEntry>
      <c:legendEntry>
        <c:idx val="6"/>
        <c:delete val="1"/>
      </c:legendEntry>
      <c:legendEntry>
        <c:idx val="7"/>
        <c:delete val="1"/>
      </c:legendEntry>
      <c:legendEntry>
        <c:idx val="8"/>
        <c:delete val="1"/>
      </c:legendEntry>
      <c:layout>
        <c:manualLayout>
          <c:xMode val="edge"/>
          <c:yMode val="edge"/>
          <c:x val="0"/>
          <c:y val="0.77333634118655004"/>
          <c:w val="0.99596511759309092"/>
          <c:h val="0.1961045100999071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85000"/>
                  <a:lumOff val="15000"/>
                </a:schemeClr>
              </a:solidFill>
              <a:latin typeface="+mn-lt"/>
              <a:ea typeface="+mn-ea"/>
              <a:cs typeface="+mn-cs"/>
            </a:defRPr>
          </a:pPr>
          <a:endParaRPr lang="sk-SK"/>
        </a:p>
      </c:txPr>
    </c:legend>
    <c:plotVisOnly val="1"/>
    <c:dispBlanksAs val="gap"/>
    <c:showDLblsOverMax val="0"/>
  </c:chart>
  <c:spPr>
    <a:solidFill>
      <a:sysClr val="window" lastClr="FFFFFF"/>
    </a:solidFill>
    <a:ln w="9525" cap="flat" cmpd="sng" algn="ctr">
      <a:noFill/>
      <a:round/>
    </a:ln>
    <a:effectLst/>
  </c:spPr>
  <c:txPr>
    <a:bodyPr/>
    <a:lstStyle/>
    <a:p>
      <a:pPr>
        <a:defRPr>
          <a:solidFill>
            <a:schemeClr val="tx1">
              <a:lumMod val="85000"/>
              <a:lumOff val="15000"/>
            </a:schemeClr>
          </a:solidFill>
        </a:defRPr>
      </a:pPr>
      <a:endParaRPr lang="sk-SK"/>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150555284823926"/>
          <c:y val="4.4676788819119136E-2"/>
          <c:w val="0.82950123456790126"/>
          <c:h val="0.6291501724990044"/>
        </c:manualLayout>
      </c:layout>
      <c:lineChart>
        <c:grouping val="standard"/>
        <c:varyColors val="0"/>
        <c:ser>
          <c:idx val="0"/>
          <c:order val="0"/>
          <c:tx>
            <c:strRef>
              <c:f>Mlieko!$H$3</c:f>
              <c:strCache>
                <c:ptCount val="1"/>
                <c:pt idx="0">
                  <c:v>SK</c:v>
                </c:pt>
              </c:strCache>
            </c:strRef>
          </c:tx>
          <c:spPr>
            <a:ln w="19050" cap="rnd">
              <a:solidFill>
                <a:schemeClr val="accent1"/>
              </a:solidFill>
              <a:round/>
            </a:ln>
            <a:effectLst/>
          </c:spPr>
          <c:marker>
            <c:symbol val="none"/>
          </c:marker>
          <c:cat>
            <c:numRef>
              <c:f>Mlieko!$G$4:$G$55</c:f>
              <c:numCache>
                <c:formatCode>m/d/yyyy</c:formatCode>
                <c:ptCount val="14"/>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45717</c:v>
                </c:pt>
                <c:pt idx="13">
                  <c:v>45748</c:v>
                </c:pt>
              </c:numCache>
            </c:numRef>
          </c:cat>
          <c:val>
            <c:numRef>
              <c:f>Mlieko!$H$4:$H$55</c:f>
              <c:numCache>
                <c:formatCode>#,##0</c:formatCode>
                <c:ptCount val="14"/>
                <c:pt idx="0">
                  <c:v>44</c:v>
                </c:pt>
                <c:pt idx="1">
                  <c:v>44.11</c:v>
                </c:pt>
                <c:pt idx="2">
                  <c:v>42.82</c:v>
                </c:pt>
                <c:pt idx="3">
                  <c:v>42.07</c:v>
                </c:pt>
                <c:pt idx="4">
                  <c:v>41.82</c:v>
                </c:pt>
                <c:pt idx="5">
                  <c:v>41.58</c:v>
                </c:pt>
                <c:pt idx="6">
                  <c:v>41.7</c:v>
                </c:pt>
                <c:pt idx="7">
                  <c:v>42</c:v>
                </c:pt>
                <c:pt idx="8">
                  <c:v>43</c:v>
                </c:pt>
                <c:pt idx="9">
                  <c:v>44</c:v>
                </c:pt>
                <c:pt idx="10">
                  <c:v>46</c:v>
                </c:pt>
                <c:pt idx="11">
                  <c:v>47</c:v>
                </c:pt>
                <c:pt idx="12">
                  <c:v>48</c:v>
                </c:pt>
                <c:pt idx="13">
                  <c:v>48</c:v>
                </c:pt>
              </c:numCache>
            </c:numRef>
          </c:val>
          <c:smooth val="0"/>
          <c:extLst>
            <c:ext xmlns:c16="http://schemas.microsoft.com/office/drawing/2014/chart" uri="{C3380CC4-5D6E-409C-BE32-E72D297353CC}">
              <c16:uniqueId val="{00000001-ABBF-4DDC-91F9-811007D33664}"/>
            </c:ext>
          </c:extLst>
        </c:ser>
        <c:ser>
          <c:idx val="1"/>
          <c:order val="1"/>
          <c:tx>
            <c:strRef>
              <c:f>Mlieko!$I$3</c:f>
              <c:strCache>
                <c:ptCount val="1"/>
                <c:pt idx="0">
                  <c:v>CZ</c:v>
                </c:pt>
              </c:strCache>
            </c:strRef>
          </c:tx>
          <c:spPr>
            <a:ln w="19050" cap="rnd">
              <a:solidFill>
                <a:srgbClr val="1AA380"/>
              </a:solidFill>
              <a:round/>
            </a:ln>
            <a:effectLst/>
          </c:spPr>
          <c:marker>
            <c:symbol val="none"/>
          </c:marker>
          <c:dPt>
            <c:idx val="0"/>
            <c:marker>
              <c:symbol val="none"/>
            </c:marker>
            <c:bubble3D val="0"/>
            <c:extLst>
              <c:ext xmlns:c16="http://schemas.microsoft.com/office/drawing/2014/chart" uri="{C3380CC4-5D6E-409C-BE32-E72D297353CC}">
                <c16:uniqueId val="{00000003-ABBF-4DDC-91F9-811007D33664}"/>
              </c:ext>
            </c:extLst>
          </c:dPt>
          <c:cat>
            <c:numRef>
              <c:f>Mlieko!$G$4:$G$55</c:f>
              <c:numCache>
                <c:formatCode>m/d/yyyy</c:formatCode>
                <c:ptCount val="14"/>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45717</c:v>
                </c:pt>
                <c:pt idx="13">
                  <c:v>45748</c:v>
                </c:pt>
              </c:numCache>
            </c:numRef>
          </c:cat>
          <c:val>
            <c:numRef>
              <c:f>Mlieko!$I$4:$I$55</c:f>
              <c:numCache>
                <c:formatCode>#,##0</c:formatCode>
                <c:ptCount val="14"/>
                <c:pt idx="0">
                  <c:v>43.34</c:v>
                </c:pt>
                <c:pt idx="1">
                  <c:v>42.5</c:v>
                </c:pt>
                <c:pt idx="2">
                  <c:v>42.46</c:v>
                </c:pt>
                <c:pt idx="3">
                  <c:v>42.84</c:v>
                </c:pt>
                <c:pt idx="4">
                  <c:v>43.63</c:v>
                </c:pt>
                <c:pt idx="5">
                  <c:v>43.9</c:v>
                </c:pt>
                <c:pt idx="6">
                  <c:v>43.23</c:v>
                </c:pt>
                <c:pt idx="7">
                  <c:v>44</c:v>
                </c:pt>
                <c:pt idx="8">
                  <c:v>45</c:v>
                </c:pt>
                <c:pt idx="9">
                  <c:v>46</c:v>
                </c:pt>
                <c:pt idx="10">
                  <c:v>49</c:v>
                </c:pt>
                <c:pt idx="11">
                  <c:v>50</c:v>
                </c:pt>
                <c:pt idx="12">
                  <c:v>51</c:v>
                </c:pt>
                <c:pt idx="13">
                  <c:v>52</c:v>
                </c:pt>
              </c:numCache>
            </c:numRef>
          </c:val>
          <c:smooth val="0"/>
          <c:extLst>
            <c:ext xmlns:c16="http://schemas.microsoft.com/office/drawing/2014/chart" uri="{C3380CC4-5D6E-409C-BE32-E72D297353CC}">
              <c16:uniqueId val="{00000004-ABBF-4DDC-91F9-811007D33664}"/>
            </c:ext>
          </c:extLst>
        </c:ser>
        <c:ser>
          <c:idx val="2"/>
          <c:order val="2"/>
          <c:tx>
            <c:strRef>
              <c:f>Mlieko!$J$3</c:f>
              <c:strCache>
                <c:ptCount val="1"/>
                <c:pt idx="0">
                  <c:v>HU</c:v>
                </c:pt>
              </c:strCache>
            </c:strRef>
          </c:tx>
          <c:spPr>
            <a:ln w="19050" cap="rnd">
              <a:solidFill>
                <a:srgbClr val="F2CA6D"/>
              </a:solidFill>
              <a:round/>
            </a:ln>
            <a:effectLst/>
          </c:spPr>
          <c:marker>
            <c:symbol val="none"/>
          </c:marker>
          <c:dPt>
            <c:idx val="0"/>
            <c:marker>
              <c:symbol val="none"/>
            </c:marker>
            <c:bubble3D val="0"/>
            <c:extLst>
              <c:ext xmlns:c16="http://schemas.microsoft.com/office/drawing/2014/chart" uri="{C3380CC4-5D6E-409C-BE32-E72D297353CC}">
                <c16:uniqueId val="{00000006-ABBF-4DDC-91F9-811007D33664}"/>
              </c:ext>
            </c:extLst>
          </c:dPt>
          <c:cat>
            <c:numRef>
              <c:f>Mlieko!$G$4:$G$55</c:f>
              <c:numCache>
                <c:formatCode>m/d/yyyy</c:formatCode>
                <c:ptCount val="14"/>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45717</c:v>
                </c:pt>
                <c:pt idx="13">
                  <c:v>45748</c:v>
                </c:pt>
              </c:numCache>
            </c:numRef>
          </c:cat>
          <c:val>
            <c:numRef>
              <c:f>Mlieko!$J$4:$J$55</c:f>
              <c:numCache>
                <c:formatCode>#,##0</c:formatCode>
                <c:ptCount val="14"/>
                <c:pt idx="0">
                  <c:v>43.11</c:v>
                </c:pt>
                <c:pt idx="1">
                  <c:v>42.4</c:v>
                </c:pt>
                <c:pt idx="2">
                  <c:v>42.06</c:v>
                </c:pt>
                <c:pt idx="3">
                  <c:v>42.32</c:v>
                </c:pt>
                <c:pt idx="4">
                  <c:v>42.52</c:v>
                </c:pt>
                <c:pt idx="5">
                  <c:v>41.61</c:v>
                </c:pt>
                <c:pt idx="6">
                  <c:v>41.85</c:v>
                </c:pt>
                <c:pt idx="7">
                  <c:v>42</c:v>
                </c:pt>
                <c:pt idx="8">
                  <c:v>44</c:v>
                </c:pt>
                <c:pt idx="9">
                  <c:v>46</c:v>
                </c:pt>
                <c:pt idx="10">
                  <c:v>47</c:v>
                </c:pt>
                <c:pt idx="11">
                  <c:v>49</c:v>
                </c:pt>
                <c:pt idx="12">
                  <c:v>51</c:v>
                </c:pt>
                <c:pt idx="13">
                  <c:v>50</c:v>
                </c:pt>
              </c:numCache>
            </c:numRef>
          </c:val>
          <c:smooth val="0"/>
          <c:extLst>
            <c:ext xmlns:c16="http://schemas.microsoft.com/office/drawing/2014/chart" uri="{C3380CC4-5D6E-409C-BE32-E72D297353CC}">
              <c16:uniqueId val="{00000007-ABBF-4DDC-91F9-811007D33664}"/>
            </c:ext>
          </c:extLst>
        </c:ser>
        <c:ser>
          <c:idx val="3"/>
          <c:order val="3"/>
          <c:tx>
            <c:strRef>
              <c:f>Mlieko!$K$3</c:f>
              <c:strCache>
                <c:ptCount val="1"/>
                <c:pt idx="0">
                  <c:v>PL</c:v>
                </c:pt>
              </c:strCache>
            </c:strRef>
          </c:tx>
          <c:spPr>
            <a:ln w="19050" cap="rnd">
              <a:solidFill>
                <a:srgbClr val="E85477"/>
              </a:solidFill>
              <a:round/>
            </a:ln>
            <a:effectLst/>
          </c:spPr>
          <c:marker>
            <c:symbol val="none"/>
          </c:marker>
          <c:dPt>
            <c:idx val="0"/>
            <c:marker>
              <c:symbol val="none"/>
            </c:marker>
            <c:bubble3D val="0"/>
            <c:extLst>
              <c:ext xmlns:c16="http://schemas.microsoft.com/office/drawing/2014/chart" uri="{C3380CC4-5D6E-409C-BE32-E72D297353CC}">
                <c16:uniqueId val="{00000009-ABBF-4DDC-91F9-811007D33664}"/>
              </c:ext>
            </c:extLst>
          </c:dPt>
          <c:cat>
            <c:numRef>
              <c:f>Mlieko!$G$4:$G$55</c:f>
              <c:numCache>
                <c:formatCode>m/d/yyyy</c:formatCode>
                <c:ptCount val="14"/>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45717</c:v>
                </c:pt>
                <c:pt idx="13">
                  <c:v>45748</c:v>
                </c:pt>
              </c:numCache>
            </c:numRef>
          </c:cat>
          <c:val>
            <c:numRef>
              <c:f>Mlieko!$K$4:$K$55</c:f>
              <c:numCache>
                <c:formatCode>#,##0</c:formatCode>
                <c:ptCount val="14"/>
                <c:pt idx="0">
                  <c:v>47.64</c:v>
                </c:pt>
                <c:pt idx="1">
                  <c:v>47.65</c:v>
                </c:pt>
                <c:pt idx="2">
                  <c:v>47.83</c:v>
                </c:pt>
                <c:pt idx="3">
                  <c:v>47.58</c:v>
                </c:pt>
                <c:pt idx="4">
                  <c:v>46.28</c:v>
                </c:pt>
                <c:pt idx="5">
                  <c:v>45.52</c:v>
                </c:pt>
                <c:pt idx="6">
                  <c:v>45.86</c:v>
                </c:pt>
                <c:pt idx="7">
                  <c:v>47</c:v>
                </c:pt>
                <c:pt idx="8">
                  <c:v>49</c:v>
                </c:pt>
                <c:pt idx="9">
                  <c:v>52</c:v>
                </c:pt>
                <c:pt idx="10">
                  <c:v>56</c:v>
                </c:pt>
                <c:pt idx="11">
                  <c:v>62</c:v>
                </c:pt>
                <c:pt idx="12">
                  <c:v>55</c:v>
                </c:pt>
                <c:pt idx="13">
                  <c:v>54</c:v>
                </c:pt>
              </c:numCache>
            </c:numRef>
          </c:val>
          <c:smooth val="0"/>
          <c:extLst>
            <c:ext xmlns:c16="http://schemas.microsoft.com/office/drawing/2014/chart" uri="{C3380CC4-5D6E-409C-BE32-E72D297353CC}">
              <c16:uniqueId val="{0000000A-ABBF-4DDC-91F9-811007D33664}"/>
            </c:ext>
          </c:extLst>
        </c:ser>
        <c:ser>
          <c:idx val="4"/>
          <c:order val="4"/>
          <c:tx>
            <c:strRef>
              <c:f>Mlieko!$L$3</c:f>
              <c:strCache>
                <c:ptCount val="1"/>
                <c:pt idx="0">
                  <c:v>AT</c:v>
                </c:pt>
              </c:strCache>
            </c:strRef>
          </c:tx>
          <c:spPr>
            <a:ln w="19050" cap="rnd">
              <a:solidFill>
                <a:sysClr val="windowText" lastClr="000000"/>
              </a:solidFill>
              <a:round/>
            </a:ln>
            <a:effectLst/>
          </c:spPr>
          <c:marker>
            <c:symbol val="none"/>
          </c:marker>
          <c:dPt>
            <c:idx val="0"/>
            <c:marker>
              <c:symbol val="none"/>
            </c:marker>
            <c:bubble3D val="0"/>
            <c:extLst>
              <c:ext xmlns:c16="http://schemas.microsoft.com/office/drawing/2014/chart" uri="{C3380CC4-5D6E-409C-BE32-E72D297353CC}">
                <c16:uniqueId val="{0000000B-ABBF-4DDC-91F9-811007D33664}"/>
              </c:ext>
            </c:extLst>
          </c:dPt>
          <c:cat>
            <c:numRef>
              <c:f>Mlieko!$G$4:$G$55</c:f>
              <c:numCache>
                <c:formatCode>m/d/yyyy</c:formatCode>
                <c:ptCount val="14"/>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45717</c:v>
                </c:pt>
                <c:pt idx="13">
                  <c:v>45748</c:v>
                </c:pt>
              </c:numCache>
            </c:numRef>
          </c:cat>
          <c:val>
            <c:numRef>
              <c:f>Mlieko!$L$4:$L$55</c:f>
              <c:numCache>
                <c:formatCode>#,##0</c:formatCode>
                <c:ptCount val="14"/>
                <c:pt idx="0">
                  <c:v>48.52</c:v>
                </c:pt>
                <c:pt idx="1">
                  <c:v>48.45</c:v>
                </c:pt>
                <c:pt idx="2">
                  <c:v>48.93</c:v>
                </c:pt>
                <c:pt idx="3">
                  <c:v>49.4</c:v>
                </c:pt>
                <c:pt idx="4">
                  <c:v>48.95</c:v>
                </c:pt>
                <c:pt idx="5">
                  <c:v>49.2</c:v>
                </c:pt>
                <c:pt idx="6">
                  <c:v>48.99</c:v>
                </c:pt>
                <c:pt idx="7">
                  <c:v>49</c:v>
                </c:pt>
                <c:pt idx="8">
                  <c:v>51</c:v>
                </c:pt>
                <c:pt idx="9">
                  <c:v>53</c:v>
                </c:pt>
                <c:pt idx="10">
                  <c:v>53</c:v>
                </c:pt>
                <c:pt idx="11">
                  <c:v>56</c:v>
                </c:pt>
                <c:pt idx="12">
                  <c:v>56</c:v>
                </c:pt>
                <c:pt idx="13">
                  <c:v>55</c:v>
                </c:pt>
              </c:numCache>
            </c:numRef>
          </c:val>
          <c:smooth val="0"/>
          <c:extLst>
            <c:ext xmlns:c16="http://schemas.microsoft.com/office/drawing/2014/chart" uri="{C3380CC4-5D6E-409C-BE32-E72D297353CC}">
              <c16:uniqueId val="{0000000C-ABBF-4DDC-91F9-811007D33664}"/>
            </c:ext>
          </c:extLst>
        </c:ser>
        <c:ser>
          <c:idx val="5"/>
          <c:order val="5"/>
          <c:tx>
            <c:strRef>
              <c:f>Mlieko!$M$3</c:f>
              <c:strCache>
                <c:ptCount val="1"/>
                <c:pt idx="0">
                  <c:v>DE</c:v>
                </c:pt>
              </c:strCache>
            </c:strRef>
          </c:tx>
          <c:spPr>
            <a:ln w="19050" cap="rnd">
              <a:solidFill>
                <a:srgbClr val="7030A0"/>
              </a:solidFill>
              <a:round/>
            </a:ln>
            <a:effectLst/>
          </c:spPr>
          <c:marker>
            <c:symbol val="none"/>
          </c:marker>
          <c:dPt>
            <c:idx val="0"/>
            <c:marker>
              <c:symbol val="none"/>
            </c:marker>
            <c:bubble3D val="0"/>
            <c:extLst>
              <c:ext xmlns:c16="http://schemas.microsoft.com/office/drawing/2014/chart" uri="{C3380CC4-5D6E-409C-BE32-E72D297353CC}">
                <c16:uniqueId val="{0000000E-ABBF-4DDC-91F9-811007D33664}"/>
              </c:ext>
            </c:extLst>
          </c:dPt>
          <c:cat>
            <c:numRef>
              <c:f>Mlieko!$G$4:$G$55</c:f>
              <c:numCache>
                <c:formatCode>m/d/yyyy</c:formatCode>
                <c:ptCount val="14"/>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45717</c:v>
                </c:pt>
                <c:pt idx="13">
                  <c:v>45748</c:v>
                </c:pt>
              </c:numCache>
            </c:numRef>
          </c:cat>
          <c:val>
            <c:numRef>
              <c:f>Mlieko!$M$4:$M$55</c:f>
              <c:numCache>
                <c:formatCode>#,##0</c:formatCode>
                <c:ptCount val="14"/>
                <c:pt idx="0">
                  <c:v>45.89</c:v>
                </c:pt>
                <c:pt idx="1">
                  <c:v>45.66</c:v>
                </c:pt>
                <c:pt idx="2">
                  <c:v>45.99</c:v>
                </c:pt>
                <c:pt idx="3">
                  <c:v>45.88</c:v>
                </c:pt>
                <c:pt idx="4">
                  <c:v>45.7</c:v>
                </c:pt>
                <c:pt idx="5">
                  <c:v>45.85</c:v>
                </c:pt>
                <c:pt idx="6">
                  <c:v>46.33</c:v>
                </c:pt>
                <c:pt idx="7">
                  <c:v>47</c:v>
                </c:pt>
                <c:pt idx="8">
                  <c:v>50</c:v>
                </c:pt>
                <c:pt idx="9">
                  <c:v>53</c:v>
                </c:pt>
                <c:pt idx="10">
                  <c:v>55</c:v>
                </c:pt>
                <c:pt idx="11">
                  <c:v>56</c:v>
                </c:pt>
                <c:pt idx="12">
                  <c:v>54</c:v>
                </c:pt>
                <c:pt idx="13">
                  <c:v>54</c:v>
                </c:pt>
              </c:numCache>
            </c:numRef>
          </c:val>
          <c:smooth val="0"/>
          <c:extLst>
            <c:ext xmlns:c16="http://schemas.microsoft.com/office/drawing/2014/chart" uri="{C3380CC4-5D6E-409C-BE32-E72D297353CC}">
              <c16:uniqueId val="{0000000F-ABBF-4DDC-91F9-811007D33664}"/>
            </c:ext>
          </c:extLst>
        </c:ser>
        <c:ser>
          <c:idx val="6"/>
          <c:order val="6"/>
          <c:tx>
            <c:strRef>
              <c:f>Mlieko!$N$3</c:f>
              <c:strCache>
                <c:ptCount val="1"/>
                <c:pt idx="0">
                  <c:v>SK</c:v>
                </c:pt>
              </c:strCache>
            </c:strRef>
          </c:tx>
          <c:spPr>
            <a:ln w="28575" cap="rnd">
              <a:noFill/>
              <a:round/>
            </a:ln>
            <a:effectLst/>
          </c:spPr>
          <c:marker>
            <c:symbol val="circle"/>
            <c:size val="3"/>
            <c:spPr>
              <a:solidFill>
                <a:srgbClr val="2EAAE1"/>
              </a:solidFill>
              <a:ln w="9525">
                <a:solidFill>
                  <a:srgbClr val="2EAAE1"/>
                </a:solidFill>
              </a:ln>
              <a:effectLst/>
            </c:spPr>
          </c:marker>
          <c:cat>
            <c:numRef>
              <c:f>Mlieko!$G$4:$G$55</c:f>
              <c:numCache>
                <c:formatCode>m/d/yyyy</c:formatCode>
                <c:ptCount val="16"/>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pt idx="15">
                  <c:v>45748</c:v>
                </c:pt>
              </c:numCache>
            </c:numRef>
          </c:cat>
          <c:val>
            <c:numRef>
              <c:f>Mlieko!$N$4:$N$49</c:f>
              <c:numCache>
                <c:formatCode>General</c:formatCode>
                <c:ptCount val="10"/>
              </c:numCache>
            </c:numRef>
          </c:val>
          <c:smooth val="0"/>
          <c:extLst>
            <c:ext xmlns:c16="http://schemas.microsoft.com/office/drawing/2014/chart" uri="{C3380CC4-5D6E-409C-BE32-E72D297353CC}">
              <c16:uniqueId val="{00000010-ABBF-4DDC-91F9-811007D33664}"/>
            </c:ext>
          </c:extLst>
        </c:ser>
        <c:ser>
          <c:idx val="7"/>
          <c:order val="7"/>
          <c:tx>
            <c:strRef>
              <c:f>Mlieko!$O$3</c:f>
              <c:strCache>
                <c:ptCount val="1"/>
                <c:pt idx="0">
                  <c:v>CZ</c:v>
                </c:pt>
              </c:strCache>
            </c:strRef>
          </c:tx>
          <c:spPr>
            <a:ln w="28575" cap="rnd">
              <a:noFill/>
              <a:round/>
            </a:ln>
            <a:effectLst/>
          </c:spPr>
          <c:marker>
            <c:symbol val="circle"/>
            <c:size val="3"/>
            <c:spPr>
              <a:solidFill>
                <a:srgbClr val="1AA380"/>
              </a:solidFill>
              <a:ln w="9525">
                <a:solidFill>
                  <a:srgbClr val="1AA380"/>
                </a:solidFill>
              </a:ln>
              <a:effectLst/>
            </c:spPr>
          </c:marker>
          <c:cat>
            <c:numRef>
              <c:f>Mlieko!$G$4:$G$55</c:f>
              <c:numCache>
                <c:formatCode>m/d/yyyy</c:formatCode>
                <c:ptCount val="16"/>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pt idx="15">
                  <c:v>45748</c:v>
                </c:pt>
              </c:numCache>
            </c:numRef>
          </c:cat>
          <c:val>
            <c:numRef>
              <c:f>Mlieko!$O$4:$O$49</c:f>
              <c:numCache>
                <c:formatCode>General</c:formatCode>
                <c:ptCount val="10"/>
              </c:numCache>
            </c:numRef>
          </c:val>
          <c:smooth val="0"/>
          <c:extLst>
            <c:ext xmlns:c16="http://schemas.microsoft.com/office/drawing/2014/chart" uri="{C3380CC4-5D6E-409C-BE32-E72D297353CC}">
              <c16:uniqueId val="{00000011-ABBF-4DDC-91F9-811007D33664}"/>
            </c:ext>
          </c:extLst>
        </c:ser>
        <c:ser>
          <c:idx val="8"/>
          <c:order val="8"/>
          <c:tx>
            <c:strRef>
              <c:f>Mlieko!$P$3</c:f>
              <c:strCache>
                <c:ptCount val="1"/>
                <c:pt idx="0">
                  <c:v>HU</c:v>
                </c:pt>
              </c:strCache>
            </c:strRef>
          </c:tx>
          <c:spPr>
            <a:ln w="28575" cap="rnd">
              <a:noFill/>
              <a:round/>
            </a:ln>
            <a:effectLst/>
          </c:spPr>
          <c:marker>
            <c:symbol val="circle"/>
            <c:size val="3"/>
            <c:spPr>
              <a:solidFill>
                <a:srgbClr val="F2CA6D"/>
              </a:solidFill>
              <a:ln w="9525">
                <a:solidFill>
                  <a:srgbClr val="F2CA6D"/>
                </a:solidFill>
              </a:ln>
              <a:effectLst/>
            </c:spPr>
          </c:marker>
          <c:cat>
            <c:numRef>
              <c:f>Mlieko!$G$4:$G$55</c:f>
              <c:numCache>
                <c:formatCode>m/d/yyyy</c:formatCode>
                <c:ptCount val="16"/>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pt idx="15">
                  <c:v>45748</c:v>
                </c:pt>
              </c:numCache>
            </c:numRef>
          </c:cat>
          <c:val>
            <c:numRef>
              <c:f>Mlieko!$P$4:$P$49</c:f>
              <c:numCache>
                <c:formatCode>General</c:formatCode>
                <c:ptCount val="10"/>
              </c:numCache>
            </c:numRef>
          </c:val>
          <c:smooth val="0"/>
          <c:extLst>
            <c:ext xmlns:c16="http://schemas.microsoft.com/office/drawing/2014/chart" uri="{C3380CC4-5D6E-409C-BE32-E72D297353CC}">
              <c16:uniqueId val="{00000012-ABBF-4DDC-91F9-811007D33664}"/>
            </c:ext>
          </c:extLst>
        </c:ser>
        <c:ser>
          <c:idx val="9"/>
          <c:order val="9"/>
          <c:tx>
            <c:strRef>
              <c:f>Mlieko!$Q$3</c:f>
              <c:strCache>
                <c:ptCount val="1"/>
                <c:pt idx="0">
                  <c:v>PL</c:v>
                </c:pt>
              </c:strCache>
            </c:strRef>
          </c:tx>
          <c:spPr>
            <a:ln w="28575" cap="rnd">
              <a:noFill/>
              <a:round/>
            </a:ln>
            <a:effectLst/>
          </c:spPr>
          <c:marker>
            <c:symbol val="circle"/>
            <c:size val="3"/>
            <c:spPr>
              <a:solidFill>
                <a:srgbClr val="E85477"/>
              </a:solidFill>
              <a:ln w="9525">
                <a:solidFill>
                  <a:srgbClr val="E85477"/>
                </a:solidFill>
              </a:ln>
              <a:effectLst/>
            </c:spPr>
          </c:marker>
          <c:cat>
            <c:numRef>
              <c:f>Mlieko!$G$4:$G$55</c:f>
              <c:numCache>
                <c:formatCode>m/d/yyyy</c:formatCode>
                <c:ptCount val="16"/>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pt idx="15">
                  <c:v>45748</c:v>
                </c:pt>
              </c:numCache>
            </c:numRef>
          </c:cat>
          <c:val>
            <c:numRef>
              <c:f>Mlieko!$Q$4:$Q$49</c:f>
              <c:numCache>
                <c:formatCode>General</c:formatCode>
                <c:ptCount val="10"/>
              </c:numCache>
            </c:numRef>
          </c:val>
          <c:smooth val="0"/>
          <c:extLst>
            <c:ext xmlns:c16="http://schemas.microsoft.com/office/drawing/2014/chart" uri="{C3380CC4-5D6E-409C-BE32-E72D297353CC}">
              <c16:uniqueId val="{00000013-ABBF-4DDC-91F9-811007D33664}"/>
            </c:ext>
          </c:extLst>
        </c:ser>
        <c:ser>
          <c:idx val="10"/>
          <c:order val="10"/>
          <c:tx>
            <c:strRef>
              <c:f>Mlieko!$R$3</c:f>
              <c:strCache>
                <c:ptCount val="1"/>
                <c:pt idx="0">
                  <c:v>AT</c:v>
                </c:pt>
              </c:strCache>
            </c:strRef>
          </c:tx>
          <c:spPr>
            <a:ln w="28575" cap="rnd">
              <a:noFill/>
              <a:round/>
            </a:ln>
            <a:effectLst/>
          </c:spPr>
          <c:marker>
            <c:symbol val="circle"/>
            <c:size val="3"/>
            <c:spPr>
              <a:solidFill>
                <a:sysClr val="windowText" lastClr="000000"/>
              </a:solidFill>
              <a:ln w="9525">
                <a:solidFill>
                  <a:sysClr val="windowText" lastClr="000000"/>
                </a:solidFill>
              </a:ln>
              <a:effectLst/>
            </c:spPr>
          </c:marker>
          <c:cat>
            <c:numRef>
              <c:f>Mlieko!$G$4:$G$55</c:f>
              <c:numCache>
                <c:formatCode>m/d/yyyy</c:formatCode>
                <c:ptCount val="16"/>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pt idx="15">
                  <c:v>45748</c:v>
                </c:pt>
              </c:numCache>
            </c:numRef>
          </c:cat>
          <c:val>
            <c:numRef>
              <c:f>Mlieko!$R$4:$R$49</c:f>
              <c:numCache>
                <c:formatCode>General</c:formatCode>
                <c:ptCount val="10"/>
              </c:numCache>
            </c:numRef>
          </c:val>
          <c:smooth val="0"/>
          <c:extLst>
            <c:ext xmlns:c16="http://schemas.microsoft.com/office/drawing/2014/chart" uri="{C3380CC4-5D6E-409C-BE32-E72D297353CC}">
              <c16:uniqueId val="{00000014-ABBF-4DDC-91F9-811007D33664}"/>
            </c:ext>
          </c:extLst>
        </c:ser>
        <c:ser>
          <c:idx val="11"/>
          <c:order val="11"/>
          <c:tx>
            <c:strRef>
              <c:f>Mlieko!$S$3</c:f>
              <c:strCache>
                <c:ptCount val="1"/>
                <c:pt idx="0">
                  <c:v>DE</c:v>
                </c:pt>
              </c:strCache>
            </c:strRef>
          </c:tx>
          <c:spPr>
            <a:ln w="28575" cap="rnd">
              <a:noFill/>
              <a:round/>
            </a:ln>
            <a:effectLst/>
          </c:spPr>
          <c:marker>
            <c:symbol val="circle"/>
            <c:size val="3"/>
            <c:spPr>
              <a:solidFill>
                <a:srgbClr val="7F7F7F"/>
              </a:solidFill>
              <a:ln w="9525">
                <a:solidFill>
                  <a:srgbClr val="7F7F7F"/>
                </a:solidFill>
              </a:ln>
              <a:effectLst/>
            </c:spPr>
          </c:marker>
          <c:cat>
            <c:numRef>
              <c:f>Mlieko!$G$4:$G$55</c:f>
              <c:numCache>
                <c:formatCode>m/d/yyyy</c:formatCode>
                <c:ptCount val="16"/>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pt idx="15">
                  <c:v>45748</c:v>
                </c:pt>
              </c:numCache>
            </c:numRef>
          </c:cat>
          <c:val>
            <c:numRef>
              <c:f>Mlieko!$S$4:$S$49</c:f>
              <c:numCache>
                <c:formatCode>General</c:formatCode>
                <c:ptCount val="10"/>
              </c:numCache>
            </c:numRef>
          </c:val>
          <c:smooth val="0"/>
          <c:extLst>
            <c:ext xmlns:c16="http://schemas.microsoft.com/office/drawing/2014/chart" uri="{C3380CC4-5D6E-409C-BE32-E72D297353CC}">
              <c16:uniqueId val="{00000015-ABBF-4DDC-91F9-811007D33664}"/>
            </c:ext>
          </c:extLst>
        </c:ser>
        <c:dLbls>
          <c:showLegendKey val="0"/>
          <c:showVal val="0"/>
          <c:showCatName val="0"/>
          <c:showSerName val="0"/>
          <c:showPercent val="0"/>
          <c:showBubbleSize val="0"/>
        </c:dLbls>
        <c:smooth val="0"/>
        <c:axId val="545542928"/>
        <c:axId val="545543256"/>
      </c:lineChart>
      <c:dateAx>
        <c:axId val="545542928"/>
        <c:scaling>
          <c:orientation val="minMax"/>
          <c:max val="45627"/>
        </c:scaling>
        <c:delete val="0"/>
        <c:axPos val="b"/>
        <c:numFmt formatCode="m/yy" sourceLinked="0"/>
        <c:majorTickMark val="none"/>
        <c:minorTickMark val="none"/>
        <c:tickLblPos val="nextTo"/>
        <c:spPr>
          <a:noFill/>
          <a:ln w="12700" cap="flat" cmpd="sng" algn="ctr">
            <a:solidFill>
              <a:srgbClr val="7F7F7F"/>
            </a:solidFill>
            <a:round/>
          </a:ln>
          <a:effectLst/>
        </c:spPr>
        <c:txPr>
          <a:bodyPr rot="-2700000" spcFirstLastPara="1" vertOverflow="ellipsis" wrap="square" anchor="ctr" anchorCtr="1"/>
          <a:lstStyle/>
          <a:p>
            <a:pPr>
              <a:defRPr sz="900" b="0" i="0" u="none" strike="noStrike" kern="1200" baseline="0">
                <a:solidFill>
                  <a:schemeClr val="tx1">
                    <a:lumMod val="85000"/>
                    <a:lumOff val="15000"/>
                  </a:schemeClr>
                </a:solidFill>
                <a:latin typeface="+mn-lt"/>
                <a:ea typeface="+mn-ea"/>
                <a:cs typeface="+mn-cs"/>
              </a:defRPr>
            </a:pPr>
            <a:endParaRPr lang="sk-SK"/>
          </a:p>
        </c:txPr>
        <c:crossAx val="545543256"/>
        <c:crosses val="autoZero"/>
        <c:auto val="1"/>
        <c:lblOffset val="100"/>
        <c:baseTimeUnit val="months"/>
        <c:majorUnit val="1"/>
        <c:majorTimeUnit val="months"/>
      </c:dateAx>
      <c:valAx>
        <c:axId val="545543256"/>
        <c:scaling>
          <c:orientation val="minMax"/>
          <c:min val="30"/>
        </c:scaling>
        <c:delete val="0"/>
        <c:axPos val="l"/>
        <c:majorGridlines>
          <c:spPr>
            <a:ln w="9525" cap="flat" cmpd="sng" algn="ctr">
              <a:solidFill>
                <a:srgbClr val="7F7F7F">
                  <a:alpha val="25098"/>
                </a:srgbClr>
              </a:solidFill>
              <a:prstDash val="sysDot"/>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85000"/>
                    <a:lumOff val="15000"/>
                  </a:schemeClr>
                </a:solidFill>
                <a:latin typeface="+mn-lt"/>
                <a:ea typeface="+mn-ea"/>
                <a:cs typeface="+mn-cs"/>
              </a:defRPr>
            </a:pPr>
            <a:endParaRPr lang="sk-SK"/>
          </a:p>
        </c:txPr>
        <c:crossAx val="545542928"/>
        <c:crosses val="autoZero"/>
        <c:crossBetween val="midCat"/>
      </c:valAx>
      <c:spPr>
        <a:noFill/>
        <a:ln>
          <a:noFill/>
        </a:ln>
        <a:effectLst/>
      </c:spPr>
    </c:plotArea>
    <c:legend>
      <c:legendPos val="b"/>
      <c:legendEntry>
        <c:idx val="6"/>
        <c:delete val="1"/>
      </c:legendEntry>
      <c:legendEntry>
        <c:idx val="7"/>
        <c:delete val="1"/>
      </c:legendEntry>
      <c:legendEntry>
        <c:idx val="8"/>
        <c:delete val="1"/>
      </c:legendEntry>
      <c:legendEntry>
        <c:idx val="9"/>
        <c:delete val="1"/>
      </c:legendEntry>
      <c:legendEntry>
        <c:idx val="10"/>
        <c:delete val="1"/>
      </c:legendEntry>
      <c:legendEntry>
        <c:idx val="11"/>
        <c:delete val="1"/>
      </c:legendEntry>
      <c:layout>
        <c:manualLayout>
          <c:xMode val="edge"/>
          <c:yMode val="edge"/>
          <c:x val="0"/>
          <c:y val="0.86441050444562817"/>
          <c:w val="0.99810776365953569"/>
          <c:h val="9.902642425638291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85000"/>
                  <a:lumOff val="15000"/>
                </a:schemeClr>
              </a:solidFill>
              <a:latin typeface="+mn-lt"/>
              <a:ea typeface="+mn-ea"/>
              <a:cs typeface="+mn-cs"/>
            </a:defRPr>
          </a:pPr>
          <a:endParaRPr lang="sk-SK"/>
        </a:p>
      </c:txPr>
    </c:legend>
    <c:plotVisOnly val="1"/>
    <c:dispBlanksAs val="gap"/>
    <c:showDLblsOverMax val="0"/>
  </c:chart>
  <c:spPr>
    <a:solidFill>
      <a:sysClr val="window" lastClr="FFFFFF"/>
    </a:solidFill>
    <a:ln w="9525" cap="flat" cmpd="sng" algn="ctr">
      <a:noFill/>
      <a:round/>
    </a:ln>
    <a:effectLst/>
  </c:spPr>
  <c:txPr>
    <a:bodyPr/>
    <a:lstStyle/>
    <a:p>
      <a:pPr>
        <a:defRPr>
          <a:solidFill>
            <a:schemeClr val="tx1">
              <a:lumMod val="85000"/>
              <a:lumOff val="15000"/>
            </a:schemeClr>
          </a:solidFill>
        </a:defRPr>
      </a:pPr>
      <a:endParaRPr lang="sk-SK"/>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147204326731886"/>
          <c:y val="4.9237765057006923E-2"/>
          <c:w val="0.79422345679012341"/>
          <c:h val="0.5275985833096164"/>
        </c:manualLayout>
      </c:layout>
      <c:lineChart>
        <c:grouping val="standard"/>
        <c:varyColors val="0"/>
        <c:ser>
          <c:idx val="0"/>
          <c:order val="0"/>
          <c:tx>
            <c:strRef>
              <c:f>Vajcia!$X$3</c:f>
              <c:strCache>
                <c:ptCount val="1"/>
                <c:pt idx="0">
                  <c:v>SK - skenery</c:v>
                </c:pt>
              </c:strCache>
            </c:strRef>
          </c:tx>
          <c:spPr>
            <a:ln w="28575" cap="rnd">
              <a:solidFill>
                <a:schemeClr val="accent1"/>
              </a:solidFill>
              <a:round/>
            </a:ln>
            <a:effectLst/>
          </c:spPr>
          <c:marker>
            <c:symbol val="none"/>
          </c:marker>
          <c:dPt>
            <c:idx val="0"/>
            <c:marker>
              <c:symbol val="none"/>
            </c:marker>
            <c:bubble3D val="0"/>
            <c:extLst>
              <c:ext xmlns:c16="http://schemas.microsoft.com/office/drawing/2014/chart" uri="{C3380CC4-5D6E-409C-BE32-E72D297353CC}">
                <c16:uniqueId val="{00000002-1B82-434D-9D1D-7131C7300CD5}"/>
              </c:ext>
            </c:extLst>
          </c:dPt>
          <c:cat>
            <c:numRef>
              <c:f>Vajcia!$W$4:$W$55</c:f>
              <c:numCache>
                <c:formatCode>m/d/yyyy</c:formatCode>
                <c:ptCount val="14"/>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45717</c:v>
                </c:pt>
                <c:pt idx="13">
                  <c:v>45748</c:v>
                </c:pt>
              </c:numCache>
            </c:numRef>
          </c:cat>
          <c:val>
            <c:numRef>
              <c:f>Vajcia!$X$4:$X$55</c:f>
              <c:numCache>
                <c:formatCode>0.00</c:formatCode>
                <c:ptCount val="14"/>
                <c:pt idx="0">
                  <c:v>1.875</c:v>
                </c:pt>
                <c:pt idx="1">
                  <c:v>1.8166666666666669</c:v>
                </c:pt>
                <c:pt idx="2">
                  <c:v>1.8500000000000003</c:v>
                </c:pt>
                <c:pt idx="3">
                  <c:v>1.7333333333333334</c:v>
                </c:pt>
                <c:pt idx="4">
                  <c:v>1.7833333333333334</c:v>
                </c:pt>
                <c:pt idx="5">
                  <c:v>1.7500000000000002</c:v>
                </c:pt>
                <c:pt idx="6">
                  <c:v>1.5333333333333334</c:v>
                </c:pt>
                <c:pt idx="7">
                  <c:v>1.6749999999999998</c:v>
                </c:pt>
                <c:pt idx="8">
                  <c:v>1.825</c:v>
                </c:pt>
                <c:pt idx="9">
                  <c:v>1.8083333333333333</c:v>
                </c:pt>
                <c:pt idx="10">
                  <c:v>2.3833333333333333</c:v>
                </c:pt>
                <c:pt idx="11">
                  <c:v>2.2666666666666671</c:v>
                </c:pt>
                <c:pt idx="12">
                  <c:v>2.3613445378151261</c:v>
                </c:pt>
                <c:pt idx="13">
                  <c:v>2.3361344537815127</c:v>
                </c:pt>
              </c:numCache>
            </c:numRef>
          </c:val>
          <c:smooth val="0"/>
          <c:extLst>
            <c:ext xmlns:c16="http://schemas.microsoft.com/office/drawing/2014/chart" uri="{C3380CC4-5D6E-409C-BE32-E72D297353CC}">
              <c16:uniqueId val="{00000003-1B82-434D-9D1D-7131C7300CD5}"/>
            </c:ext>
          </c:extLst>
        </c:ser>
        <c:ser>
          <c:idx val="1"/>
          <c:order val="1"/>
          <c:tx>
            <c:strRef>
              <c:f>Vajcia!$Y$3</c:f>
              <c:strCache>
                <c:ptCount val="1"/>
                <c:pt idx="0">
                  <c:v>SK - pôvodné</c:v>
                </c:pt>
              </c:strCache>
            </c:strRef>
          </c:tx>
          <c:spPr>
            <a:ln w="28575" cap="rnd">
              <a:solidFill>
                <a:schemeClr val="accent2"/>
              </a:solidFill>
              <a:round/>
            </a:ln>
            <a:effectLst/>
          </c:spPr>
          <c:marker>
            <c:symbol val="none"/>
          </c:marker>
          <c:dPt>
            <c:idx val="0"/>
            <c:marker>
              <c:symbol val="none"/>
            </c:marker>
            <c:bubble3D val="0"/>
            <c:extLst>
              <c:ext xmlns:c16="http://schemas.microsoft.com/office/drawing/2014/chart" uri="{C3380CC4-5D6E-409C-BE32-E72D297353CC}">
                <c16:uniqueId val="{00000006-1B82-434D-9D1D-7131C7300CD5}"/>
              </c:ext>
            </c:extLst>
          </c:dPt>
          <c:cat>
            <c:numRef>
              <c:f>Vajcia!$W$4:$W$55</c:f>
              <c:numCache>
                <c:formatCode>m/d/yyyy</c:formatCode>
                <c:ptCount val="16"/>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pt idx="15">
                  <c:v>45748</c:v>
                </c:pt>
              </c:numCache>
            </c:numRef>
          </c:cat>
          <c:val>
            <c:numRef>
              <c:f>Vajcia!$Y$4:$Y$49</c:f>
              <c:numCache>
                <c:formatCode>General</c:formatCode>
                <c:ptCount val="10"/>
              </c:numCache>
            </c:numRef>
          </c:val>
          <c:smooth val="0"/>
          <c:extLst>
            <c:ext xmlns:c16="http://schemas.microsoft.com/office/drawing/2014/chart" uri="{C3380CC4-5D6E-409C-BE32-E72D297353CC}">
              <c16:uniqueId val="{00000007-1B82-434D-9D1D-7131C7300CD5}"/>
            </c:ext>
          </c:extLst>
        </c:ser>
        <c:ser>
          <c:idx val="2"/>
          <c:order val="2"/>
          <c:tx>
            <c:strRef>
              <c:f>Vajcia!$Z$3</c:f>
              <c:strCache>
                <c:ptCount val="1"/>
                <c:pt idx="0">
                  <c:v>CZ</c:v>
                </c:pt>
              </c:strCache>
            </c:strRef>
          </c:tx>
          <c:spPr>
            <a:ln w="28575" cap="rnd">
              <a:solidFill>
                <a:schemeClr val="accent3"/>
              </a:solidFill>
              <a:round/>
            </a:ln>
            <a:effectLst/>
          </c:spPr>
          <c:marker>
            <c:symbol val="none"/>
          </c:marker>
          <c:dPt>
            <c:idx val="0"/>
            <c:marker>
              <c:symbol val="none"/>
            </c:marker>
            <c:bubble3D val="0"/>
            <c:extLst>
              <c:ext xmlns:c16="http://schemas.microsoft.com/office/drawing/2014/chart" uri="{C3380CC4-5D6E-409C-BE32-E72D297353CC}">
                <c16:uniqueId val="{00000009-1B82-434D-9D1D-7131C7300CD5}"/>
              </c:ext>
            </c:extLst>
          </c:dPt>
          <c:cat>
            <c:numRef>
              <c:f>Vajcia!$W$4:$W$55</c:f>
              <c:numCache>
                <c:formatCode>m/d/yyyy</c:formatCode>
                <c:ptCount val="14"/>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45717</c:v>
                </c:pt>
                <c:pt idx="13">
                  <c:v>45748</c:v>
                </c:pt>
              </c:numCache>
            </c:numRef>
          </c:cat>
          <c:val>
            <c:numRef>
              <c:f>Vajcia!$Z$4:$Z$55</c:f>
              <c:numCache>
                <c:formatCode>0.00</c:formatCode>
                <c:ptCount val="14"/>
                <c:pt idx="0">
                  <c:v>1.6388038350402154</c:v>
                </c:pt>
                <c:pt idx="1">
                  <c:v>1.5970058724600924</c:v>
                </c:pt>
                <c:pt idx="2">
                  <c:v>1.5705320331977743</c:v>
                </c:pt>
                <c:pt idx="3">
                  <c:v>1.4902114572905811</c:v>
                </c:pt>
                <c:pt idx="4">
                  <c:v>1.5668659702428607</c:v>
                </c:pt>
                <c:pt idx="5">
                  <c:v>1.5650900369704721</c:v>
                </c:pt>
                <c:pt idx="6">
                  <c:v>1.5733929185287043</c:v>
                </c:pt>
                <c:pt idx="7">
                  <c:v>1.4675909497013633</c:v>
                </c:pt>
                <c:pt idx="8">
                  <c:v>1.4599344260869567</c:v>
                </c:pt>
                <c:pt idx="9">
                  <c:v>1.6959582608695654</c:v>
                </c:pt>
                <c:pt idx="10">
                  <c:v>2.2268527826086957</c:v>
                </c:pt>
                <c:pt idx="11">
                  <c:v>2.2123043478260871</c:v>
                </c:pt>
                <c:pt idx="12">
                  <c:v>2.3696434782608695</c:v>
                </c:pt>
                <c:pt idx="13">
                  <c:v>2.3946434782608694</c:v>
                </c:pt>
              </c:numCache>
            </c:numRef>
          </c:val>
          <c:smooth val="0"/>
          <c:extLst>
            <c:ext xmlns:c16="http://schemas.microsoft.com/office/drawing/2014/chart" uri="{C3380CC4-5D6E-409C-BE32-E72D297353CC}">
              <c16:uniqueId val="{0000000A-1B82-434D-9D1D-7131C7300CD5}"/>
            </c:ext>
          </c:extLst>
        </c:ser>
        <c:ser>
          <c:idx val="3"/>
          <c:order val="3"/>
          <c:tx>
            <c:strRef>
              <c:f>Vajcia!$AA$3</c:f>
              <c:strCache>
                <c:ptCount val="1"/>
                <c:pt idx="0">
                  <c:v>HU</c:v>
                </c:pt>
              </c:strCache>
            </c:strRef>
          </c:tx>
          <c:spPr>
            <a:ln w="28575" cap="rnd">
              <a:solidFill>
                <a:schemeClr val="accent4"/>
              </a:solidFill>
              <a:round/>
            </a:ln>
            <a:effectLst/>
          </c:spPr>
          <c:marker>
            <c:symbol val="none"/>
          </c:marker>
          <c:dPt>
            <c:idx val="0"/>
            <c:marker>
              <c:symbol val="none"/>
            </c:marker>
            <c:bubble3D val="0"/>
            <c:extLst>
              <c:ext xmlns:c16="http://schemas.microsoft.com/office/drawing/2014/chart" uri="{C3380CC4-5D6E-409C-BE32-E72D297353CC}">
                <c16:uniqueId val="{0000000B-1B82-434D-9D1D-7131C7300CD5}"/>
              </c:ext>
            </c:extLst>
          </c:dPt>
          <c:cat>
            <c:numRef>
              <c:f>Vajcia!$W$4:$W$55</c:f>
              <c:numCache>
                <c:formatCode>m/d/yyyy</c:formatCode>
                <c:ptCount val="14"/>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45717</c:v>
                </c:pt>
                <c:pt idx="13">
                  <c:v>45748</c:v>
                </c:pt>
              </c:numCache>
            </c:numRef>
          </c:cat>
          <c:val>
            <c:numRef>
              <c:f>Vajcia!$AA$4:$AA$55</c:f>
              <c:numCache>
                <c:formatCode>0.00</c:formatCode>
                <c:ptCount val="14"/>
                <c:pt idx="0">
                  <c:v>1.8696323262355588</c:v>
                </c:pt>
                <c:pt idx="1">
                  <c:v>1.8132388518934726</c:v>
                </c:pt>
                <c:pt idx="2">
                  <c:v>1.7598736748211501</c:v>
                </c:pt>
                <c:pt idx="3">
                  <c:v>1.7487158591396252</c:v>
                </c:pt>
                <c:pt idx="4">
                  <c:v>1.7407406100866105</c:v>
                </c:pt>
                <c:pt idx="5">
                  <c:v>1.6823490806758794</c:v>
                </c:pt>
                <c:pt idx="6">
                  <c:v>1.7629323571573801</c:v>
                </c:pt>
                <c:pt idx="7">
                  <c:v>1.7180211428571428</c:v>
                </c:pt>
                <c:pt idx="8">
                  <c:v>1.7582939047619046</c:v>
                </c:pt>
                <c:pt idx="9">
                  <c:v>1.753570916190476</c:v>
                </c:pt>
                <c:pt idx="10">
                  <c:v>1.9198857142857144</c:v>
                </c:pt>
                <c:pt idx="11">
                  <c:v>2.1198133333333335</c:v>
                </c:pt>
                <c:pt idx="12">
                  <c:v>2.2058380952380952</c:v>
                </c:pt>
                <c:pt idx="13">
                  <c:v>2.1527809523809522</c:v>
                </c:pt>
              </c:numCache>
            </c:numRef>
          </c:val>
          <c:smooth val="0"/>
          <c:extLst>
            <c:ext xmlns:c16="http://schemas.microsoft.com/office/drawing/2014/chart" uri="{C3380CC4-5D6E-409C-BE32-E72D297353CC}">
              <c16:uniqueId val="{0000000C-1B82-434D-9D1D-7131C7300CD5}"/>
            </c:ext>
          </c:extLst>
        </c:ser>
        <c:ser>
          <c:idx val="4"/>
          <c:order val="4"/>
          <c:tx>
            <c:strRef>
              <c:f>Vajcia!$AB$3</c:f>
              <c:strCache>
                <c:ptCount val="1"/>
                <c:pt idx="0">
                  <c:v>PL</c:v>
                </c:pt>
              </c:strCache>
            </c:strRef>
          </c:tx>
          <c:spPr>
            <a:ln w="28575" cap="rnd">
              <a:solidFill>
                <a:schemeClr val="accent5"/>
              </a:solidFill>
              <a:round/>
            </a:ln>
            <a:effectLst/>
          </c:spPr>
          <c:marker>
            <c:symbol val="none"/>
          </c:marker>
          <c:cat>
            <c:numRef>
              <c:f>Vajcia!$W$4:$W$55</c:f>
              <c:numCache>
                <c:formatCode>m/d/yyyy</c:formatCode>
                <c:ptCount val="14"/>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45717</c:v>
                </c:pt>
                <c:pt idx="13">
                  <c:v>45748</c:v>
                </c:pt>
              </c:numCache>
            </c:numRef>
          </c:cat>
          <c:val>
            <c:numRef>
              <c:f>Vajcia!$AB$4:$AB$55</c:f>
              <c:numCache>
                <c:formatCode>0.00</c:formatCode>
                <c:ptCount val="14"/>
                <c:pt idx="0">
                  <c:v>2.2010446987519434</c:v>
                </c:pt>
                <c:pt idx="1">
                  <c:v>2.1498653169372623</c:v>
                </c:pt>
                <c:pt idx="2">
                  <c:v>2.1367852221172754</c:v>
                </c:pt>
                <c:pt idx="3">
                  <c:v>2.0800449160956345</c:v>
                </c:pt>
                <c:pt idx="4">
                  <c:v>2.091012933766101</c:v>
                </c:pt>
                <c:pt idx="5">
                  <c:v>2.0504544071541013</c:v>
                </c:pt>
                <c:pt idx="6">
                  <c:v>2.0683879251400228</c:v>
                </c:pt>
                <c:pt idx="7">
                  <c:v>2.0415933333333336</c:v>
                </c:pt>
                <c:pt idx="8">
                  <c:v>2.0713133333333329</c:v>
                </c:pt>
                <c:pt idx="9">
                  <c:v>2.0516893345714284</c:v>
                </c:pt>
                <c:pt idx="10">
                  <c:v>2.1106857142857143</c:v>
                </c:pt>
                <c:pt idx="11">
                  <c:v>2.2747952380952379</c:v>
                </c:pt>
                <c:pt idx="12">
                  <c:v>2.4822952380952379</c:v>
                </c:pt>
                <c:pt idx="13">
                  <c:v>2.5458228571428569</c:v>
                </c:pt>
              </c:numCache>
            </c:numRef>
          </c:val>
          <c:smooth val="0"/>
          <c:extLst>
            <c:ext xmlns:c16="http://schemas.microsoft.com/office/drawing/2014/chart" uri="{C3380CC4-5D6E-409C-BE32-E72D297353CC}">
              <c16:uniqueId val="{0000000D-1B82-434D-9D1D-7131C7300CD5}"/>
            </c:ext>
          </c:extLst>
        </c:ser>
        <c:ser>
          <c:idx val="5"/>
          <c:order val="5"/>
          <c:tx>
            <c:strRef>
              <c:f>Vajcia!$AC$3</c:f>
              <c:strCache>
                <c:ptCount val="1"/>
                <c:pt idx="0">
                  <c:v>SK - skenery</c:v>
                </c:pt>
              </c:strCache>
            </c:strRef>
          </c:tx>
          <c:spPr>
            <a:ln w="28575" cap="rnd">
              <a:noFill/>
              <a:round/>
            </a:ln>
            <a:effectLst/>
          </c:spPr>
          <c:marker>
            <c:symbol val="circle"/>
            <c:size val="6"/>
            <c:spPr>
              <a:solidFill>
                <a:srgbClr val="2EAAE1"/>
              </a:solidFill>
              <a:ln w="9525">
                <a:solidFill>
                  <a:srgbClr val="2EAAE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2EAAE1"/>
                    </a:solidFill>
                    <a:latin typeface="+mn-lt"/>
                    <a:ea typeface="+mn-ea"/>
                    <a:cs typeface="+mn-cs"/>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Vajcia!$W$4:$W$55</c:f>
              <c:numCache>
                <c:formatCode>m/d/yyyy</c:formatCode>
                <c:ptCount val="16"/>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pt idx="15">
                  <c:v>45748</c:v>
                </c:pt>
              </c:numCache>
            </c:numRef>
          </c:cat>
          <c:val>
            <c:numRef>
              <c:f>Vajcia!$AC$4:$AC$51</c:f>
              <c:numCache>
                <c:formatCode>General</c:formatCode>
                <c:ptCount val="12"/>
              </c:numCache>
            </c:numRef>
          </c:val>
          <c:smooth val="0"/>
          <c:extLst>
            <c:ext xmlns:c16="http://schemas.microsoft.com/office/drawing/2014/chart" uri="{C3380CC4-5D6E-409C-BE32-E72D297353CC}">
              <c16:uniqueId val="{0000000E-1B82-434D-9D1D-7131C7300CD5}"/>
            </c:ext>
          </c:extLst>
        </c:ser>
        <c:ser>
          <c:idx val="6"/>
          <c:order val="6"/>
          <c:tx>
            <c:strRef>
              <c:f>Vajcia!$AD$3</c:f>
              <c:strCache>
                <c:ptCount val="1"/>
                <c:pt idx="0">
                  <c:v>CZ</c:v>
                </c:pt>
              </c:strCache>
            </c:strRef>
          </c:tx>
          <c:spPr>
            <a:ln w="28575" cap="rnd">
              <a:noFill/>
              <a:round/>
            </a:ln>
            <a:effectLst/>
          </c:spPr>
          <c:marker>
            <c:symbol val="circle"/>
            <c:size val="6"/>
            <c:spPr>
              <a:solidFill>
                <a:srgbClr val="1AA380"/>
              </a:solidFill>
              <a:ln w="9525">
                <a:solidFill>
                  <a:srgbClr val="1AA380"/>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1AA380"/>
                    </a:solidFill>
                    <a:latin typeface="+mn-lt"/>
                    <a:ea typeface="+mn-ea"/>
                    <a:cs typeface="+mn-cs"/>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Vajcia!$W$4:$W$55</c:f>
              <c:numCache>
                <c:formatCode>m/d/yyyy</c:formatCode>
                <c:ptCount val="16"/>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pt idx="15">
                  <c:v>45748</c:v>
                </c:pt>
              </c:numCache>
            </c:numRef>
          </c:cat>
          <c:val>
            <c:numRef>
              <c:f>Vajcia!$AD$4:$AD$51</c:f>
              <c:numCache>
                <c:formatCode>General</c:formatCode>
                <c:ptCount val="12"/>
              </c:numCache>
            </c:numRef>
          </c:val>
          <c:smooth val="0"/>
          <c:extLst>
            <c:ext xmlns:c16="http://schemas.microsoft.com/office/drawing/2014/chart" uri="{C3380CC4-5D6E-409C-BE32-E72D297353CC}">
              <c16:uniqueId val="{0000000F-1B82-434D-9D1D-7131C7300CD5}"/>
            </c:ext>
          </c:extLst>
        </c:ser>
        <c:ser>
          <c:idx val="7"/>
          <c:order val="7"/>
          <c:tx>
            <c:strRef>
              <c:f>Vajcia!$AE$3</c:f>
              <c:strCache>
                <c:ptCount val="1"/>
                <c:pt idx="0">
                  <c:v>HU</c:v>
                </c:pt>
              </c:strCache>
            </c:strRef>
          </c:tx>
          <c:spPr>
            <a:ln w="28575" cap="rnd">
              <a:noFill/>
              <a:round/>
            </a:ln>
            <a:effectLst/>
          </c:spPr>
          <c:marker>
            <c:symbol val="circle"/>
            <c:size val="6"/>
            <c:spPr>
              <a:solidFill>
                <a:srgbClr val="F2CA6D"/>
              </a:solidFill>
              <a:ln w="9525">
                <a:solidFill>
                  <a:srgbClr val="F2CA6D"/>
                </a:solidFill>
              </a:ln>
              <a:effectLst/>
            </c:spPr>
          </c:marker>
          <c:cat>
            <c:numRef>
              <c:f>Vajcia!$W$4:$W$55</c:f>
              <c:numCache>
                <c:formatCode>m/d/yyyy</c:formatCode>
                <c:ptCount val="16"/>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pt idx="15">
                  <c:v>45748</c:v>
                </c:pt>
              </c:numCache>
            </c:numRef>
          </c:cat>
          <c:val>
            <c:numRef>
              <c:f>Vajcia!$AE$4:$AE$51</c:f>
              <c:numCache>
                <c:formatCode>General</c:formatCode>
                <c:ptCount val="12"/>
              </c:numCache>
            </c:numRef>
          </c:val>
          <c:smooth val="0"/>
          <c:extLst>
            <c:ext xmlns:c16="http://schemas.microsoft.com/office/drawing/2014/chart" uri="{C3380CC4-5D6E-409C-BE32-E72D297353CC}">
              <c16:uniqueId val="{00000010-1B82-434D-9D1D-7131C7300CD5}"/>
            </c:ext>
          </c:extLst>
        </c:ser>
        <c:ser>
          <c:idx val="8"/>
          <c:order val="8"/>
          <c:tx>
            <c:strRef>
              <c:f>Vajcia!$AF$3</c:f>
              <c:strCache>
                <c:ptCount val="1"/>
                <c:pt idx="0">
                  <c:v>PL</c:v>
                </c:pt>
              </c:strCache>
            </c:strRef>
          </c:tx>
          <c:spPr>
            <a:ln w="28575" cap="rnd">
              <a:noFill/>
              <a:round/>
            </a:ln>
            <a:effectLst/>
          </c:spPr>
          <c:marker>
            <c:symbol val="circle"/>
            <c:size val="6"/>
            <c:spPr>
              <a:solidFill>
                <a:srgbClr val="E85477"/>
              </a:solidFill>
              <a:ln w="9525">
                <a:solidFill>
                  <a:srgbClr val="E85477"/>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E85477"/>
                    </a:solidFill>
                    <a:latin typeface="+mn-lt"/>
                    <a:ea typeface="+mn-ea"/>
                    <a:cs typeface="+mn-cs"/>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Vajcia!$W$4:$W$55</c:f>
              <c:numCache>
                <c:formatCode>m/d/yyyy</c:formatCode>
                <c:ptCount val="16"/>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pt idx="15">
                  <c:v>45748</c:v>
                </c:pt>
              </c:numCache>
            </c:numRef>
          </c:cat>
          <c:val>
            <c:numRef>
              <c:f>Vajcia!$AF$4:$AF$51</c:f>
              <c:numCache>
                <c:formatCode>General</c:formatCode>
                <c:ptCount val="12"/>
              </c:numCache>
            </c:numRef>
          </c:val>
          <c:smooth val="0"/>
          <c:extLst>
            <c:ext xmlns:c16="http://schemas.microsoft.com/office/drawing/2014/chart" uri="{C3380CC4-5D6E-409C-BE32-E72D297353CC}">
              <c16:uniqueId val="{00000011-1B82-434D-9D1D-7131C7300CD5}"/>
            </c:ext>
          </c:extLst>
        </c:ser>
        <c:dLbls>
          <c:showLegendKey val="0"/>
          <c:showVal val="0"/>
          <c:showCatName val="0"/>
          <c:showSerName val="0"/>
          <c:showPercent val="0"/>
          <c:showBubbleSize val="0"/>
        </c:dLbls>
        <c:smooth val="0"/>
        <c:axId val="545542928"/>
        <c:axId val="545543256"/>
      </c:lineChart>
      <c:dateAx>
        <c:axId val="545542928"/>
        <c:scaling>
          <c:orientation val="minMax"/>
          <c:max val="45627"/>
        </c:scaling>
        <c:delete val="0"/>
        <c:axPos val="b"/>
        <c:numFmt formatCode="m/yy" sourceLinked="0"/>
        <c:majorTickMark val="none"/>
        <c:minorTickMark val="none"/>
        <c:tickLblPos val="nextTo"/>
        <c:spPr>
          <a:noFill/>
          <a:ln w="12700" cap="flat" cmpd="sng" algn="ctr">
            <a:solidFill>
              <a:srgbClr val="7F7F7F"/>
            </a:solidFill>
            <a:round/>
          </a:ln>
          <a:effectLst/>
        </c:spPr>
        <c:txPr>
          <a:bodyPr rot="-5400000" spcFirstLastPara="1" vertOverflow="ellipsis" wrap="square" anchor="ctr" anchorCtr="1"/>
          <a:lstStyle/>
          <a:p>
            <a:pPr>
              <a:defRPr sz="900" b="0" i="0" u="none" strike="noStrike" kern="1200" baseline="0">
                <a:solidFill>
                  <a:schemeClr val="tx1">
                    <a:lumMod val="85000"/>
                    <a:lumOff val="15000"/>
                  </a:schemeClr>
                </a:solidFill>
                <a:latin typeface="+mn-lt"/>
                <a:ea typeface="+mn-ea"/>
                <a:cs typeface="+mn-cs"/>
              </a:defRPr>
            </a:pPr>
            <a:endParaRPr lang="sk-SK"/>
          </a:p>
        </c:txPr>
        <c:crossAx val="545543256"/>
        <c:crosses val="autoZero"/>
        <c:auto val="1"/>
        <c:lblOffset val="100"/>
        <c:baseTimeUnit val="months"/>
        <c:majorUnit val="1"/>
        <c:majorTimeUnit val="months"/>
      </c:dateAx>
      <c:valAx>
        <c:axId val="545543256"/>
        <c:scaling>
          <c:orientation val="minMax"/>
          <c:min val="0.8"/>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85000"/>
                    <a:lumOff val="15000"/>
                  </a:schemeClr>
                </a:solidFill>
                <a:latin typeface="+mn-lt"/>
                <a:ea typeface="+mn-ea"/>
                <a:cs typeface="+mn-cs"/>
              </a:defRPr>
            </a:pPr>
            <a:endParaRPr lang="sk-SK"/>
          </a:p>
        </c:txPr>
        <c:crossAx val="545542928"/>
        <c:crosses val="autoZero"/>
        <c:crossBetween val="midCat"/>
        <c:majorUnit val="0.70000000000000007"/>
      </c:valAx>
      <c:spPr>
        <a:solidFill>
          <a:sysClr val="window" lastClr="FFFFFF"/>
        </a:solidFill>
        <a:ln>
          <a:noFill/>
        </a:ln>
        <a:effectLst/>
      </c:spPr>
    </c:plotArea>
    <c:legend>
      <c:legendPos val="b"/>
      <c:legendEntry>
        <c:idx val="5"/>
        <c:delete val="1"/>
      </c:legendEntry>
      <c:legendEntry>
        <c:idx val="6"/>
        <c:delete val="1"/>
      </c:legendEntry>
      <c:legendEntry>
        <c:idx val="7"/>
        <c:delete val="1"/>
      </c:legendEntry>
      <c:legendEntry>
        <c:idx val="8"/>
        <c:delete val="1"/>
      </c:legendEntry>
      <c:layout>
        <c:manualLayout>
          <c:xMode val="edge"/>
          <c:yMode val="edge"/>
          <c:x val="0"/>
          <c:y val="0.77584563977695542"/>
          <c:w val="0.98623512489058551"/>
          <c:h val="0.1935953788908916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85000"/>
                  <a:lumOff val="15000"/>
                </a:schemeClr>
              </a:solidFill>
              <a:latin typeface="+mn-lt"/>
              <a:ea typeface="+mn-ea"/>
              <a:cs typeface="+mn-cs"/>
            </a:defRPr>
          </a:pPr>
          <a:endParaRPr lang="sk-SK"/>
        </a:p>
      </c:txPr>
    </c:legend>
    <c:plotVisOnly val="1"/>
    <c:dispBlanksAs val="gap"/>
    <c:showDLblsOverMax val="0"/>
  </c:chart>
  <c:spPr>
    <a:solidFill>
      <a:sysClr val="window" lastClr="FFFFFF"/>
    </a:solidFill>
    <a:ln w="9525" cap="flat" cmpd="sng" algn="ctr">
      <a:noFill/>
      <a:round/>
    </a:ln>
    <a:effectLst/>
  </c:spPr>
  <c:txPr>
    <a:bodyPr/>
    <a:lstStyle/>
    <a:p>
      <a:pPr>
        <a:defRPr>
          <a:solidFill>
            <a:schemeClr val="tx1">
              <a:lumMod val="85000"/>
              <a:lumOff val="15000"/>
            </a:schemeClr>
          </a:solidFill>
        </a:defRPr>
      </a:pPr>
      <a:endParaRPr lang="sk-SK"/>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551239525777141"/>
          <c:y val="3.6338204995298509E-2"/>
          <c:w val="0.82950123456790126"/>
          <c:h val="0.64081725146579638"/>
        </c:manualLayout>
      </c:layout>
      <c:lineChart>
        <c:grouping val="standard"/>
        <c:varyColors val="0"/>
        <c:ser>
          <c:idx val="0"/>
          <c:order val="0"/>
          <c:tx>
            <c:strRef>
              <c:f>Vajcia!$H$3</c:f>
              <c:strCache>
                <c:ptCount val="1"/>
                <c:pt idx="0">
                  <c:v>SK</c:v>
                </c:pt>
              </c:strCache>
            </c:strRef>
          </c:tx>
          <c:spPr>
            <a:ln w="19050" cap="rnd">
              <a:solidFill>
                <a:schemeClr val="accent1"/>
              </a:solidFill>
              <a:round/>
            </a:ln>
            <a:effectLst/>
          </c:spPr>
          <c:marker>
            <c:symbol val="none"/>
          </c:marker>
          <c:cat>
            <c:numRef>
              <c:f>Vajcia!$G$4:$G$55</c:f>
              <c:numCache>
                <c:formatCode>m/d/yyyy</c:formatCode>
                <c:ptCount val="14"/>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45717</c:v>
                </c:pt>
                <c:pt idx="13">
                  <c:v>45748</c:v>
                </c:pt>
              </c:numCache>
            </c:numRef>
          </c:cat>
          <c:val>
            <c:numRef>
              <c:f>Vajcia!$H$4:$H$55</c:f>
              <c:numCache>
                <c:formatCode>#,##0</c:formatCode>
                <c:ptCount val="14"/>
                <c:pt idx="0">
                  <c:v>198.95580000000001</c:v>
                </c:pt>
                <c:pt idx="1">
                  <c:v>192.58410000000001</c:v>
                </c:pt>
                <c:pt idx="2">
                  <c:v>197.02770000000001</c:v>
                </c:pt>
                <c:pt idx="3">
                  <c:v>190.12270000000001</c:v>
                </c:pt>
                <c:pt idx="4">
                  <c:v>181.2971</c:v>
                </c:pt>
                <c:pt idx="5">
                  <c:v>166.255</c:v>
                </c:pt>
                <c:pt idx="6">
                  <c:v>155.35390000000001</c:v>
                </c:pt>
                <c:pt idx="7">
                  <c:v>159.49029999999999</c:v>
                </c:pt>
                <c:pt idx="8">
                  <c:v>181</c:v>
                </c:pt>
                <c:pt idx="9">
                  <c:v>196</c:v>
                </c:pt>
                <c:pt idx="10">
                  <c:v>253</c:v>
                </c:pt>
                <c:pt idx="11">
                  <c:v>253</c:v>
                </c:pt>
                <c:pt idx="12">
                  <c:v>233</c:v>
                </c:pt>
                <c:pt idx="13">
                  <c:v>256</c:v>
                </c:pt>
              </c:numCache>
            </c:numRef>
          </c:val>
          <c:smooth val="0"/>
          <c:extLst>
            <c:ext xmlns:c16="http://schemas.microsoft.com/office/drawing/2014/chart" uri="{C3380CC4-5D6E-409C-BE32-E72D297353CC}">
              <c16:uniqueId val="{00000001-0033-48F2-A710-92997CB75A6A}"/>
            </c:ext>
          </c:extLst>
        </c:ser>
        <c:ser>
          <c:idx val="1"/>
          <c:order val="1"/>
          <c:tx>
            <c:strRef>
              <c:f>Vajcia!$I$3</c:f>
              <c:strCache>
                <c:ptCount val="1"/>
                <c:pt idx="0">
                  <c:v>CZ</c:v>
                </c:pt>
              </c:strCache>
            </c:strRef>
          </c:tx>
          <c:spPr>
            <a:ln w="19050" cap="rnd">
              <a:solidFill>
                <a:srgbClr val="1AA380"/>
              </a:solidFill>
              <a:round/>
            </a:ln>
            <a:effectLst/>
          </c:spPr>
          <c:marker>
            <c:symbol val="none"/>
          </c:marker>
          <c:dPt>
            <c:idx val="0"/>
            <c:marker>
              <c:symbol val="none"/>
            </c:marker>
            <c:bubble3D val="0"/>
            <c:extLst>
              <c:ext xmlns:c16="http://schemas.microsoft.com/office/drawing/2014/chart" uri="{C3380CC4-5D6E-409C-BE32-E72D297353CC}">
                <c16:uniqueId val="{00000003-0033-48F2-A710-92997CB75A6A}"/>
              </c:ext>
            </c:extLst>
          </c:dPt>
          <c:cat>
            <c:numRef>
              <c:f>Vajcia!$G$4:$G$55</c:f>
              <c:numCache>
                <c:formatCode>m/d/yyyy</c:formatCode>
                <c:ptCount val="14"/>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45717</c:v>
                </c:pt>
                <c:pt idx="13">
                  <c:v>45748</c:v>
                </c:pt>
              </c:numCache>
            </c:numRef>
          </c:cat>
          <c:val>
            <c:numRef>
              <c:f>Vajcia!$I$4:$I$55</c:f>
              <c:numCache>
                <c:formatCode>#,##0</c:formatCode>
                <c:ptCount val="14"/>
                <c:pt idx="0">
                  <c:v>181.2681</c:v>
                </c:pt>
                <c:pt idx="1">
                  <c:v>180.79589999999999</c:v>
                </c:pt>
                <c:pt idx="2">
                  <c:v>185.453</c:v>
                </c:pt>
                <c:pt idx="3">
                  <c:v>182.94970000000001</c:v>
                </c:pt>
                <c:pt idx="4">
                  <c:v>169.28039999999999</c:v>
                </c:pt>
                <c:pt idx="5">
                  <c:v>159.4787</c:v>
                </c:pt>
                <c:pt idx="6">
                  <c:v>152.00989999999999</c:v>
                </c:pt>
                <c:pt idx="7">
                  <c:v>148.6927</c:v>
                </c:pt>
                <c:pt idx="8">
                  <c:v>157</c:v>
                </c:pt>
                <c:pt idx="9">
                  <c:v>168</c:v>
                </c:pt>
                <c:pt idx="10">
                  <c:v>219</c:v>
                </c:pt>
                <c:pt idx="11">
                  <c:v>244</c:v>
                </c:pt>
                <c:pt idx="12">
                  <c:v>268</c:v>
                </c:pt>
                <c:pt idx="13">
                  <c:v>277</c:v>
                </c:pt>
              </c:numCache>
            </c:numRef>
          </c:val>
          <c:smooth val="0"/>
          <c:extLst>
            <c:ext xmlns:c16="http://schemas.microsoft.com/office/drawing/2014/chart" uri="{C3380CC4-5D6E-409C-BE32-E72D297353CC}">
              <c16:uniqueId val="{00000004-0033-48F2-A710-92997CB75A6A}"/>
            </c:ext>
          </c:extLst>
        </c:ser>
        <c:ser>
          <c:idx val="2"/>
          <c:order val="2"/>
          <c:tx>
            <c:strRef>
              <c:f>Vajcia!$J$3</c:f>
              <c:strCache>
                <c:ptCount val="1"/>
                <c:pt idx="0">
                  <c:v>HU</c:v>
                </c:pt>
              </c:strCache>
            </c:strRef>
          </c:tx>
          <c:spPr>
            <a:ln w="19050" cap="rnd">
              <a:solidFill>
                <a:srgbClr val="F2CA6D"/>
              </a:solidFill>
              <a:round/>
            </a:ln>
            <a:effectLst/>
          </c:spPr>
          <c:marker>
            <c:symbol val="none"/>
          </c:marker>
          <c:dPt>
            <c:idx val="0"/>
            <c:marker>
              <c:symbol val="none"/>
            </c:marker>
            <c:bubble3D val="0"/>
            <c:extLst>
              <c:ext xmlns:c16="http://schemas.microsoft.com/office/drawing/2014/chart" uri="{C3380CC4-5D6E-409C-BE32-E72D297353CC}">
                <c16:uniqueId val="{00000006-0033-48F2-A710-92997CB75A6A}"/>
              </c:ext>
            </c:extLst>
          </c:dPt>
          <c:cat>
            <c:numRef>
              <c:f>Vajcia!$G$4:$G$55</c:f>
              <c:numCache>
                <c:formatCode>m/d/yyyy</c:formatCode>
                <c:ptCount val="14"/>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45717</c:v>
                </c:pt>
                <c:pt idx="13">
                  <c:v>45748</c:v>
                </c:pt>
              </c:numCache>
            </c:numRef>
          </c:cat>
          <c:val>
            <c:numRef>
              <c:f>Vajcia!$J$4:$J$55</c:f>
              <c:numCache>
                <c:formatCode>#,##0</c:formatCode>
                <c:ptCount val="14"/>
                <c:pt idx="0">
                  <c:v>239.0324</c:v>
                </c:pt>
                <c:pt idx="1">
                  <c:v>224.63759999999999</c:v>
                </c:pt>
                <c:pt idx="2">
                  <c:v>246.30250000000001</c:v>
                </c:pt>
                <c:pt idx="3">
                  <c:v>212.28399999999999</c:v>
                </c:pt>
                <c:pt idx="4">
                  <c:v>188.14269999999999</c:v>
                </c:pt>
                <c:pt idx="5">
                  <c:v>180.0504</c:v>
                </c:pt>
                <c:pt idx="6">
                  <c:v>174.16200000000001</c:v>
                </c:pt>
                <c:pt idx="7">
                  <c:v>172.5394</c:v>
                </c:pt>
                <c:pt idx="8">
                  <c:v>195</c:v>
                </c:pt>
                <c:pt idx="9">
                  <c:v>206</c:v>
                </c:pt>
                <c:pt idx="10">
                  <c:v>255</c:v>
                </c:pt>
                <c:pt idx="11">
                  <c:v>288</c:v>
                </c:pt>
                <c:pt idx="12">
                  <c:v>283</c:v>
                </c:pt>
                <c:pt idx="13">
                  <c:v>287</c:v>
                </c:pt>
              </c:numCache>
            </c:numRef>
          </c:val>
          <c:smooth val="0"/>
          <c:extLst>
            <c:ext xmlns:c16="http://schemas.microsoft.com/office/drawing/2014/chart" uri="{C3380CC4-5D6E-409C-BE32-E72D297353CC}">
              <c16:uniqueId val="{00000007-0033-48F2-A710-92997CB75A6A}"/>
            </c:ext>
          </c:extLst>
        </c:ser>
        <c:ser>
          <c:idx val="3"/>
          <c:order val="3"/>
          <c:tx>
            <c:strRef>
              <c:f>Vajcia!$K$3</c:f>
              <c:strCache>
                <c:ptCount val="1"/>
                <c:pt idx="0">
                  <c:v>PL</c:v>
                </c:pt>
              </c:strCache>
            </c:strRef>
          </c:tx>
          <c:spPr>
            <a:ln w="19050" cap="rnd">
              <a:solidFill>
                <a:srgbClr val="E85477"/>
              </a:solidFill>
              <a:round/>
            </a:ln>
            <a:effectLst/>
          </c:spPr>
          <c:marker>
            <c:symbol val="none"/>
          </c:marker>
          <c:dPt>
            <c:idx val="0"/>
            <c:marker>
              <c:symbol val="none"/>
            </c:marker>
            <c:bubble3D val="0"/>
            <c:extLst>
              <c:ext xmlns:c16="http://schemas.microsoft.com/office/drawing/2014/chart" uri="{C3380CC4-5D6E-409C-BE32-E72D297353CC}">
                <c16:uniqueId val="{00000009-0033-48F2-A710-92997CB75A6A}"/>
              </c:ext>
            </c:extLst>
          </c:dPt>
          <c:cat>
            <c:numRef>
              <c:f>Vajcia!$G$4:$G$55</c:f>
              <c:numCache>
                <c:formatCode>m/d/yyyy</c:formatCode>
                <c:ptCount val="14"/>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45717</c:v>
                </c:pt>
                <c:pt idx="13">
                  <c:v>45748</c:v>
                </c:pt>
              </c:numCache>
            </c:numRef>
          </c:cat>
          <c:val>
            <c:numRef>
              <c:f>Vajcia!$K$4:$K$55</c:f>
              <c:numCache>
                <c:formatCode>#,##0</c:formatCode>
                <c:ptCount val="14"/>
                <c:pt idx="0">
                  <c:v>226.9436</c:v>
                </c:pt>
                <c:pt idx="1">
                  <c:v>232.58070000000001</c:v>
                </c:pt>
                <c:pt idx="2">
                  <c:v>232.69839999999999</c:v>
                </c:pt>
                <c:pt idx="3">
                  <c:v>213.79480000000001</c:v>
                </c:pt>
                <c:pt idx="4">
                  <c:v>193.61080000000001</c:v>
                </c:pt>
                <c:pt idx="5">
                  <c:v>180.7244</c:v>
                </c:pt>
                <c:pt idx="6">
                  <c:v>174.28620000000001</c:v>
                </c:pt>
                <c:pt idx="7">
                  <c:v>184</c:v>
                </c:pt>
                <c:pt idx="8">
                  <c:v>198</c:v>
                </c:pt>
                <c:pt idx="9">
                  <c:v>211</c:v>
                </c:pt>
                <c:pt idx="10">
                  <c:v>265</c:v>
                </c:pt>
                <c:pt idx="11">
                  <c:v>275</c:v>
                </c:pt>
                <c:pt idx="12">
                  <c:v>307</c:v>
                </c:pt>
                <c:pt idx="13">
                  <c:v>299</c:v>
                </c:pt>
              </c:numCache>
            </c:numRef>
          </c:val>
          <c:smooth val="0"/>
          <c:extLst>
            <c:ext xmlns:c16="http://schemas.microsoft.com/office/drawing/2014/chart" uri="{C3380CC4-5D6E-409C-BE32-E72D297353CC}">
              <c16:uniqueId val="{0000000A-0033-48F2-A710-92997CB75A6A}"/>
            </c:ext>
          </c:extLst>
        </c:ser>
        <c:ser>
          <c:idx val="4"/>
          <c:order val="4"/>
          <c:tx>
            <c:strRef>
              <c:f>Vajcia!$L$3</c:f>
              <c:strCache>
                <c:ptCount val="1"/>
                <c:pt idx="0">
                  <c:v>AT</c:v>
                </c:pt>
              </c:strCache>
            </c:strRef>
          </c:tx>
          <c:spPr>
            <a:ln w="19050" cap="rnd">
              <a:solidFill>
                <a:sysClr val="windowText" lastClr="000000"/>
              </a:solidFill>
              <a:round/>
            </a:ln>
            <a:effectLst/>
          </c:spPr>
          <c:marker>
            <c:symbol val="none"/>
          </c:marker>
          <c:dPt>
            <c:idx val="0"/>
            <c:marker>
              <c:symbol val="none"/>
            </c:marker>
            <c:bubble3D val="0"/>
            <c:extLst>
              <c:ext xmlns:c16="http://schemas.microsoft.com/office/drawing/2014/chart" uri="{C3380CC4-5D6E-409C-BE32-E72D297353CC}">
                <c16:uniqueId val="{0000000B-0033-48F2-A710-92997CB75A6A}"/>
              </c:ext>
            </c:extLst>
          </c:dPt>
          <c:cat>
            <c:numRef>
              <c:f>Vajcia!$G$4:$G$55</c:f>
              <c:numCache>
                <c:formatCode>m/d/yyyy</c:formatCode>
                <c:ptCount val="14"/>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45717</c:v>
                </c:pt>
                <c:pt idx="13">
                  <c:v>45748</c:v>
                </c:pt>
              </c:numCache>
            </c:numRef>
          </c:cat>
          <c:val>
            <c:numRef>
              <c:f>Vajcia!$L$4:$L$55</c:f>
              <c:numCache>
                <c:formatCode>#,##0</c:formatCode>
                <c:ptCount val="14"/>
                <c:pt idx="0">
                  <c:v>267.60969999999998</c:v>
                </c:pt>
                <c:pt idx="1">
                  <c:v>267.42689999999999</c:v>
                </c:pt>
                <c:pt idx="2">
                  <c:v>268.24450000000002</c:v>
                </c:pt>
                <c:pt idx="3">
                  <c:v>268.34800000000001</c:v>
                </c:pt>
                <c:pt idx="4">
                  <c:v>266.37419999999997</c:v>
                </c:pt>
                <c:pt idx="5">
                  <c:v>267.05470000000003</c:v>
                </c:pt>
                <c:pt idx="6">
                  <c:v>268.84320000000002</c:v>
                </c:pt>
                <c:pt idx="7">
                  <c:v>267.91289999999998</c:v>
                </c:pt>
                <c:pt idx="8">
                  <c:v>268</c:v>
                </c:pt>
                <c:pt idx="9">
                  <c:v>268</c:v>
                </c:pt>
                <c:pt idx="10">
                  <c:v>268</c:v>
                </c:pt>
                <c:pt idx="11">
                  <c:v>269</c:v>
                </c:pt>
                <c:pt idx="12">
                  <c:v>277</c:v>
                </c:pt>
                <c:pt idx="13">
                  <c:v>277</c:v>
                </c:pt>
              </c:numCache>
            </c:numRef>
          </c:val>
          <c:smooth val="0"/>
          <c:extLst>
            <c:ext xmlns:c16="http://schemas.microsoft.com/office/drawing/2014/chart" uri="{C3380CC4-5D6E-409C-BE32-E72D297353CC}">
              <c16:uniqueId val="{0000000C-0033-48F2-A710-92997CB75A6A}"/>
            </c:ext>
          </c:extLst>
        </c:ser>
        <c:ser>
          <c:idx val="5"/>
          <c:order val="5"/>
          <c:tx>
            <c:strRef>
              <c:f>Vajcia!$M$3</c:f>
              <c:strCache>
                <c:ptCount val="1"/>
                <c:pt idx="0">
                  <c:v>DE</c:v>
                </c:pt>
              </c:strCache>
            </c:strRef>
          </c:tx>
          <c:spPr>
            <a:ln w="19050" cap="rnd">
              <a:solidFill>
                <a:srgbClr val="7030A0"/>
              </a:solidFill>
              <a:round/>
            </a:ln>
            <a:effectLst/>
          </c:spPr>
          <c:marker>
            <c:symbol val="none"/>
          </c:marker>
          <c:dPt>
            <c:idx val="0"/>
            <c:marker>
              <c:symbol val="none"/>
            </c:marker>
            <c:bubble3D val="0"/>
            <c:extLst>
              <c:ext xmlns:c16="http://schemas.microsoft.com/office/drawing/2014/chart" uri="{C3380CC4-5D6E-409C-BE32-E72D297353CC}">
                <c16:uniqueId val="{0000000E-0033-48F2-A710-92997CB75A6A}"/>
              </c:ext>
            </c:extLst>
          </c:dPt>
          <c:cat>
            <c:numRef>
              <c:f>Vajcia!$G$4:$G$55</c:f>
              <c:numCache>
                <c:formatCode>m/d/yyyy</c:formatCode>
                <c:ptCount val="14"/>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45717</c:v>
                </c:pt>
                <c:pt idx="13">
                  <c:v>45748</c:v>
                </c:pt>
              </c:numCache>
            </c:numRef>
          </c:cat>
          <c:val>
            <c:numRef>
              <c:f>Vajcia!$M$4:$M$55</c:f>
              <c:numCache>
                <c:formatCode>#,##0</c:formatCode>
                <c:ptCount val="14"/>
                <c:pt idx="0">
                  <c:v>245.16390000000001</c:v>
                </c:pt>
                <c:pt idx="1">
                  <c:v>249.9341</c:v>
                </c:pt>
                <c:pt idx="2">
                  <c:v>260.32839999999999</c:v>
                </c:pt>
                <c:pt idx="3">
                  <c:v>230.27029999999999</c:v>
                </c:pt>
                <c:pt idx="4">
                  <c:v>222.05549999999999</c:v>
                </c:pt>
                <c:pt idx="5">
                  <c:v>205.10900000000001</c:v>
                </c:pt>
                <c:pt idx="6">
                  <c:v>194.30680000000001</c:v>
                </c:pt>
                <c:pt idx="7">
                  <c:v>191.70189999999999</c:v>
                </c:pt>
                <c:pt idx="8">
                  <c:v>199</c:v>
                </c:pt>
                <c:pt idx="9">
                  <c:v>226</c:v>
                </c:pt>
                <c:pt idx="10">
                  <c:v>248</c:v>
                </c:pt>
                <c:pt idx="11">
                  <c:v>247</c:v>
                </c:pt>
                <c:pt idx="12">
                  <c:v>307</c:v>
                </c:pt>
                <c:pt idx="13">
                  <c:v>304</c:v>
                </c:pt>
              </c:numCache>
            </c:numRef>
          </c:val>
          <c:smooth val="0"/>
          <c:extLst>
            <c:ext xmlns:c16="http://schemas.microsoft.com/office/drawing/2014/chart" uri="{C3380CC4-5D6E-409C-BE32-E72D297353CC}">
              <c16:uniqueId val="{0000000F-0033-48F2-A710-92997CB75A6A}"/>
            </c:ext>
          </c:extLst>
        </c:ser>
        <c:dLbls>
          <c:showLegendKey val="0"/>
          <c:showVal val="0"/>
          <c:showCatName val="0"/>
          <c:showSerName val="0"/>
          <c:showPercent val="0"/>
          <c:showBubbleSize val="0"/>
        </c:dLbls>
        <c:smooth val="0"/>
        <c:axId val="545542928"/>
        <c:axId val="545543256"/>
        <c:extLst>
          <c:ext xmlns:c15="http://schemas.microsoft.com/office/drawing/2012/chart" uri="{02D57815-91ED-43cb-92C2-25804820EDAC}">
            <c15:filteredLineSeries>
              <c15:ser>
                <c:idx val="6"/>
                <c:order val="6"/>
                <c:tx>
                  <c:strRef>
                    <c:extLst>
                      <c:ext uri="{02D57815-91ED-43cb-92C2-25804820EDAC}">
                        <c15:formulaRef>
                          <c15:sqref>Vajcia!$N$3</c15:sqref>
                        </c15:formulaRef>
                      </c:ext>
                    </c:extLst>
                    <c:strCache>
                      <c:ptCount val="1"/>
                      <c:pt idx="0">
                        <c:v>SK</c:v>
                      </c:pt>
                    </c:strCache>
                  </c:strRef>
                </c:tx>
                <c:spPr>
                  <a:ln w="28575" cap="rnd">
                    <a:solidFill>
                      <a:schemeClr val="accent1">
                        <a:lumMod val="60000"/>
                      </a:schemeClr>
                    </a:solidFill>
                    <a:round/>
                  </a:ln>
                  <a:effectLst/>
                </c:spPr>
                <c:marker>
                  <c:symbol val="none"/>
                </c:marker>
                <c:cat>
                  <c:numRef>
                    <c:extLst>
                      <c:ext uri="{02D57815-91ED-43cb-92C2-25804820EDAC}">
                        <c15:formulaRef>
                          <c15:sqref>Vajcia!$G$4:$G$55</c15:sqref>
                        </c15:formulaRef>
                      </c:ext>
                    </c:extLst>
                    <c:numCache>
                      <c:formatCode>m/d/yyyy</c:formatCode>
                      <c:ptCount val="16"/>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pt idx="15">
                        <c:v>45748</c:v>
                      </c:pt>
                    </c:numCache>
                  </c:numRef>
                </c:cat>
                <c:val>
                  <c:numRef>
                    <c:extLst>
                      <c:ext uri="{02D57815-91ED-43cb-92C2-25804820EDAC}">
                        <c15:formulaRef>
                          <c15:sqref>Vajcia!$N$4:$N$51</c15:sqref>
                        </c15:formulaRef>
                      </c:ext>
                    </c:extLst>
                    <c:numCache>
                      <c:formatCode>General</c:formatCode>
                      <c:ptCount val="12"/>
                    </c:numCache>
                  </c:numRef>
                </c:val>
                <c:smooth val="0"/>
                <c:extLst>
                  <c:ext xmlns:c16="http://schemas.microsoft.com/office/drawing/2014/chart" uri="{C3380CC4-5D6E-409C-BE32-E72D297353CC}">
                    <c16:uniqueId val="{00000010-0033-48F2-A710-92997CB75A6A}"/>
                  </c:ext>
                </c:extLst>
              </c15:ser>
            </c15:filteredLineSeries>
            <c15:filteredLineSeries>
              <c15:ser>
                <c:idx val="7"/>
                <c:order val="7"/>
                <c:tx>
                  <c:strRef>
                    <c:extLst xmlns:c15="http://schemas.microsoft.com/office/drawing/2012/chart">
                      <c:ext xmlns:c15="http://schemas.microsoft.com/office/drawing/2012/chart" uri="{02D57815-91ED-43cb-92C2-25804820EDAC}">
                        <c15:formulaRef>
                          <c15:sqref>Vajcia!$O$3</c15:sqref>
                        </c15:formulaRef>
                      </c:ext>
                    </c:extLst>
                    <c:strCache>
                      <c:ptCount val="1"/>
                      <c:pt idx="0">
                        <c:v>CZ</c:v>
                      </c:pt>
                    </c:strCache>
                  </c:strRef>
                </c:tx>
                <c:spPr>
                  <a:ln w="28575" cap="rnd">
                    <a:solidFill>
                      <a:schemeClr val="accent2">
                        <a:lumMod val="60000"/>
                      </a:schemeClr>
                    </a:solidFill>
                    <a:round/>
                  </a:ln>
                  <a:effectLst/>
                </c:spPr>
                <c:marker>
                  <c:symbol val="none"/>
                </c:marker>
                <c:cat>
                  <c:numRef>
                    <c:extLst xmlns:c15="http://schemas.microsoft.com/office/drawing/2012/chart">
                      <c:ext xmlns:c15="http://schemas.microsoft.com/office/drawing/2012/chart" uri="{02D57815-91ED-43cb-92C2-25804820EDAC}">
                        <c15:formulaRef>
                          <c15:sqref>Vajcia!$G$4:$G$55</c15:sqref>
                        </c15:formulaRef>
                      </c:ext>
                    </c:extLst>
                    <c:numCache>
                      <c:formatCode>m/d/yyyy</c:formatCode>
                      <c:ptCount val="16"/>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pt idx="15">
                        <c:v>45748</c:v>
                      </c:pt>
                    </c:numCache>
                  </c:numRef>
                </c:cat>
                <c:val>
                  <c:numRef>
                    <c:extLst xmlns:c15="http://schemas.microsoft.com/office/drawing/2012/chart">
                      <c:ext xmlns:c15="http://schemas.microsoft.com/office/drawing/2012/chart" uri="{02D57815-91ED-43cb-92C2-25804820EDAC}">
                        <c15:formulaRef>
                          <c15:sqref>Vajcia!$O$4:$O$51</c15:sqref>
                        </c15:formulaRef>
                      </c:ext>
                    </c:extLst>
                    <c:numCache>
                      <c:formatCode>General</c:formatCode>
                      <c:ptCount val="12"/>
                    </c:numCache>
                  </c:numRef>
                </c:val>
                <c:smooth val="0"/>
                <c:extLst xmlns:c15="http://schemas.microsoft.com/office/drawing/2012/chart">
                  <c:ext xmlns:c16="http://schemas.microsoft.com/office/drawing/2014/chart" uri="{C3380CC4-5D6E-409C-BE32-E72D297353CC}">
                    <c16:uniqueId val="{00000011-0033-48F2-A710-92997CB75A6A}"/>
                  </c:ext>
                </c:extLst>
              </c15:ser>
            </c15:filteredLineSeries>
            <c15:filteredLineSeries>
              <c15:ser>
                <c:idx val="8"/>
                <c:order val="8"/>
                <c:tx>
                  <c:strRef>
                    <c:extLst xmlns:c15="http://schemas.microsoft.com/office/drawing/2012/chart">
                      <c:ext xmlns:c15="http://schemas.microsoft.com/office/drawing/2012/chart" uri="{02D57815-91ED-43cb-92C2-25804820EDAC}">
                        <c15:formulaRef>
                          <c15:sqref>Vajcia!$P$3</c15:sqref>
                        </c15:formulaRef>
                      </c:ext>
                    </c:extLst>
                    <c:strCache>
                      <c:ptCount val="1"/>
                      <c:pt idx="0">
                        <c:v>HU</c:v>
                      </c:pt>
                    </c:strCache>
                  </c:strRef>
                </c:tx>
                <c:spPr>
                  <a:ln w="28575" cap="rnd">
                    <a:solidFill>
                      <a:schemeClr val="accent3">
                        <a:lumMod val="60000"/>
                      </a:schemeClr>
                    </a:solidFill>
                    <a:round/>
                  </a:ln>
                  <a:effectLst/>
                </c:spPr>
                <c:marker>
                  <c:symbol val="none"/>
                </c:marker>
                <c:cat>
                  <c:numRef>
                    <c:extLst xmlns:c15="http://schemas.microsoft.com/office/drawing/2012/chart">
                      <c:ext xmlns:c15="http://schemas.microsoft.com/office/drawing/2012/chart" uri="{02D57815-91ED-43cb-92C2-25804820EDAC}">
                        <c15:formulaRef>
                          <c15:sqref>Vajcia!$G$4:$G$55</c15:sqref>
                        </c15:formulaRef>
                      </c:ext>
                    </c:extLst>
                    <c:numCache>
                      <c:formatCode>m/d/yyyy</c:formatCode>
                      <c:ptCount val="16"/>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pt idx="15">
                        <c:v>45748</c:v>
                      </c:pt>
                    </c:numCache>
                  </c:numRef>
                </c:cat>
                <c:val>
                  <c:numRef>
                    <c:extLst xmlns:c15="http://schemas.microsoft.com/office/drawing/2012/chart">
                      <c:ext xmlns:c15="http://schemas.microsoft.com/office/drawing/2012/chart" uri="{02D57815-91ED-43cb-92C2-25804820EDAC}">
                        <c15:formulaRef>
                          <c15:sqref>Vajcia!$P$4:$P$51</c15:sqref>
                        </c15:formulaRef>
                      </c:ext>
                    </c:extLst>
                    <c:numCache>
                      <c:formatCode>General</c:formatCode>
                      <c:ptCount val="12"/>
                    </c:numCache>
                  </c:numRef>
                </c:val>
                <c:smooth val="0"/>
                <c:extLst xmlns:c15="http://schemas.microsoft.com/office/drawing/2012/chart">
                  <c:ext xmlns:c16="http://schemas.microsoft.com/office/drawing/2014/chart" uri="{C3380CC4-5D6E-409C-BE32-E72D297353CC}">
                    <c16:uniqueId val="{00000012-0033-48F2-A710-92997CB75A6A}"/>
                  </c:ext>
                </c:extLst>
              </c15:ser>
            </c15:filteredLineSeries>
            <c15:filteredLineSeries>
              <c15:ser>
                <c:idx val="9"/>
                <c:order val="9"/>
                <c:tx>
                  <c:strRef>
                    <c:extLst xmlns:c15="http://schemas.microsoft.com/office/drawing/2012/chart">
                      <c:ext xmlns:c15="http://schemas.microsoft.com/office/drawing/2012/chart" uri="{02D57815-91ED-43cb-92C2-25804820EDAC}">
                        <c15:formulaRef>
                          <c15:sqref>Vajcia!$Q$3</c15:sqref>
                        </c15:formulaRef>
                      </c:ext>
                    </c:extLst>
                    <c:strCache>
                      <c:ptCount val="1"/>
                      <c:pt idx="0">
                        <c:v>PL</c:v>
                      </c:pt>
                    </c:strCache>
                  </c:strRef>
                </c:tx>
                <c:spPr>
                  <a:ln w="28575" cap="rnd">
                    <a:solidFill>
                      <a:schemeClr val="accent4">
                        <a:lumMod val="60000"/>
                      </a:schemeClr>
                    </a:solidFill>
                    <a:round/>
                  </a:ln>
                  <a:effectLst/>
                </c:spPr>
                <c:marker>
                  <c:symbol val="none"/>
                </c:marker>
                <c:cat>
                  <c:numRef>
                    <c:extLst xmlns:c15="http://schemas.microsoft.com/office/drawing/2012/chart">
                      <c:ext xmlns:c15="http://schemas.microsoft.com/office/drawing/2012/chart" uri="{02D57815-91ED-43cb-92C2-25804820EDAC}">
                        <c15:formulaRef>
                          <c15:sqref>Vajcia!$G$4:$G$55</c15:sqref>
                        </c15:formulaRef>
                      </c:ext>
                    </c:extLst>
                    <c:numCache>
                      <c:formatCode>m/d/yyyy</c:formatCode>
                      <c:ptCount val="16"/>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pt idx="15">
                        <c:v>45748</c:v>
                      </c:pt>
                    </c:numCache>
                  </c:numRef>
                </c:cat>
                <c:val>
                  <c:numRef>
                    <c:extLst xmlns:c15="http://schemas.microsoft.com/office/drawing/2012/chart">
                      <c:ext xmlns:c15="http://schemas.microsoft.com/office/drawing/2012/chart" uri="{02D57815-91ED-43cb-92C2-25804820EDAC}">
                        <c15:formulaRef>
                          <c15:sqref>Vajcia!$Q$4:$Q$51</c15:sqref>
                        </c15:formulaRef>
                      </c:ext>
                    </c:extLst>
                    <c:numCache>
                      <c:formatCode>General</c:formatCode>
                      <c:ptCount val="12"/>
                    </c:numCache>
                  </c:numRef>
                </c:val>
                <c:smooth val="0"/>
                <c:extLst xmlns:c15="http://schemas.microsoft.com/office/drawing/2012/chart">
                  <c:ext xmlns:c16="http://schemas.microsoft.com/office/drawing/2014/chart" uri="{C3380CC4-5D6E-409C-BE32-E72D297353CC}">
                    <c16:uniqueId val="{00000013-0033-48F2-A710-92997CB75A6A}"/>
                  </c:ext>
                </c:extLst>
              </c15:ser>
            </c15:filteredLineSeries>
            <c15:filteredLineSeries>
              <c15:ser>
                <c:idx val="10"/>
                <c:order val="10"/>
                <c:tx>
                  <c:strRef>
                    <c:extLst xmlns:c15="http://schemas.microsoft.com/office/drawing/2012/chart">
                      <c:ext xmlns:c15="http://schemas.microsoft.com/office/drawing/2012/chart" uri="{02D57815-91ED-43cb-92C2-25804820EDAC}">
                        <c15:formulaRef>
                          <c15:sqref>Vajcia!$R$3</c15:sqref>
                        </c15:formulaRef>
                      </c:ext>
                    </c:extLst>
                    <c:strCache>
                      <c:ptCount val="1"/>
                      <c:pt idx="0">
                        <c:v>AT</c:v>
                      </c:pt>
                    </c:strCache>
                  </c:strRef>
                </c:tx>
                <c:spPr>
                  <a:ln w="28575" cap="rnd">
                    <a:solidFill>
                      <a:schemeClr val="accent5">
                        <a:lumMod val="60000"/>
                      </a:schemeClr>
                    </a:solidFill>
                    <a:round/>
                  </a:ln>
                  <a:effectLst/>
                </c:spPr>
                <c:marker>
                  <c:symbol val="none"/>
                </c:marker>
                <c:cat>
                  <c:numRef>
                    <c:extLst xmlns:c15="http://schemas.microsoft.com/office/drawing/2012/chart">
                      <c:ext xmlns:c15="http://schemas.microsoft.com/office/drawing/2012/chart" uri="{02D57815-91ED-43cb-92C2-25804820EDAC}">
                        <c15:formulaRef>
                          <c15:sqref>Vajcia!$G$4:$G$55</c15:sqref>
                        </c15:formulaRef>
                      </c:ext>
                    </c:extLst>
                    <c:numCache>
                      <c:formatCode>m/d/yyyy</c:formatCode>
                      <c:ptCount val="16"/>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pt idx="15">
                        <c:v>45748</c:v>
                      </c:pt>
                    </c:numCache>
                  </c:numRef>
                </c:cat>
                <c:val>
                  <c:numRef>
                    <c:extLst xmlns:c15="http://schemas.microsoft.com/office/drawing/2012/chart">
                      <c:ext xmlns:c15="http://schemas.microsoft.com/office/drawing/2012/chart" uri="{02D57815-91ED-43cb-92C2-25804820EDAC}">
                        <c15:formulaRef>
                          <c15:sqref>Vajcia!$R$4:$R$51</c15:sqref>
                        </c15:formulaRef>
                      </c:ext>
                    </c:extLst>
                    <c:numCache>
                      <c:formatCode>General</c:formatCode>
                      <c:ptCount val="12"/>
                    </c:numCache>
                  </c:numRef>
                </c:val>
                <c:smooth val="0"/>
                <c:extLst xmlns:c15="http://schemas.microsoft.com/office/drawing/2012/chart">
                  <c:ext xmlns:c16="http://schemas.microsoft.com/office/drawing/2014/chart" uri="{C3380CC4-5D6E-409C-BE32-E72D297353CC}">
                    <c16:uniqueId val="{00000014-0033-48F2-A710-92997CB75A6A}"/>
                  </c:ext>
                </c:extLst>
              </c15:ser>
            </c15:filteredLineSeries>
            <c15:filteredLineSeries>
              <c15:ser>
                <c:idx val="11"/>
                <c:order val="11"/>
                <c:tx>
                  <c:strRef>
                    <c:extLst xmlns:c15="http://schemas.microsoft.com/office/drawing/2012/chart">
                      <c:ext xmlns:c15="http://schemas.microsoft.com/office/drawing/2012/chart" uri="{02D57815-91ED-43cb-92C2-25804820EDAC}">
                        <c15:formulaRef>
                          <c15:sqref>Vajcia!$S$3</c15:sqref>
                        </c15:formulaRef>
                      </c:ext>
                    </c:extLst>
                    <c:strCache>
                      <c:ptCount val="1"/>
                      <c:pt idx="0">
                        <c:v>DE</c:v>
                      </c:pt>
                    </c:strCache>
                  </c:strRef>
                </c:tx>
                <c:spPr>
                  <a:ln w="28575" cap="rnd">
                    <a:solidFill>
                      <a:schemeClr val="accent6">
                        <a:lumMod val="60000"/>
                      </a:schemeClr>
                    </a:solidFill>
                    <a:round/>
                  </a:ln>
                  <a:effectLst/>
                </c:spPr>
                <c:marker>
                  <c:symbol val="none"/>
                </c:marker>
                <c:cat>
                  <c:numRef>
                    <c:extLst xmlns:c15="http://schemas.microsoft.com/office/drawing/2012/chart">
                      <c:ext xmlns:c15="http://schemas.microsoft.com/office/drawing/2012/chart" uri="{02D57815-91ED-43cb-92C2-25804820EDAC}">
                        <c15:formulaRef>
                          <c15:sqref>Vajcia!$G$4:$G$55</c15:sqref>
                        </c15:formulaRef>
                      </c:ext>
                    </c:extLst>
                    <c:numCache>
                      <c:formatCode>m/d/yyyy</c:formatCode>
                      <c:ptCount val="16"/>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pt idx="15">
                        <c:v>45748</c:v>
                      </c:pt>
                    </c:numCache>
                  </c:numRef>
                </c:cat>
                <c:val>
                  <c:numRef>
                    <c:extLst xmlns:c15="http://schemas.microsoft.com/office/drawing/2012/chart">
                      <c:ext xmlns:c15="http://schemas.microsoft.com/office/drawing/2012/chart" uri="{02D57815-91ED-43cb-92C2-25804820EDAC}">
                        <c15:formulaRef>
                          <c15:sqref>Vajcia!$S$4:$S$51</c15:sqref>
                        </c15:formulaRef>
                      </c:ext>
                    </c:extLst>
                    <c:numCache>
                      <c:formatCode>General</c:formatCode>
                      <c:ptCount val="12"/>
                    </c:numCache>
                  </c:numRef>
                </c:val>
                <c:smooth val="0"/>
                <c:extLst xmlns:c15="http://schemas.microsoft.com/office/drawing/2012/chart">
                  <c:ext xmlns:c16="http://schemas.microsoft.com/office/drawing/2014/chart" uri="{C3380CC4-5D6E-409C-BE32-E72D297353CC}">
                    <c16:uniqueId val="{00000015-0033-48F2-A710-92997CB75A6A}"/>
                  </c:ext>
                </c:extLst>
              </c15:ser>
            </c15:filteredLineSeries>
          </c:ext>
        </c:extLst>
      </c:lineChart>
      <c:dateAx>
        <c:axId val="545542928"/>
        <c:scaling>
          <c:orientation val="minMax"/>
          <c:max val="45627"/>
        </c:scaling>
        <c:delete val="0"/>
        <c:axPos val="b"/>
        <c:numFmt formatCode="m/yy" sourceLinked="0"/>
        <c:majorTickMark val="none"/>
        <c:minorTickMark val="none"/>
        <c:tickLblPos val="nextTo"/>
        <c:spPr>
          <a:noFill/>
          <a:ln w="12700" cap="flat" cmpd="sng" algn="ctr">
            <a:solidFill>
              <a:srgbClr val="7F7F7F"/>
            </a:solidFill>
            <a:round/>
          </a:ln>
          <a:effectLst/>
        </c:spPr>
        <c:txPr>
          <a:bodyPr rot="-2700000" spcFirstLastPara="1" vertOverflow="ellipsis" wrap="square" anchor="ctr" anchorCtr="1"/>
          <a:lstStyle/>
          <a:p>
            <a:pPr>
              <a:defRPr sz="900" b="0" i="0" u="none" strike="noStrike" kern="1200" baseline="0">
                <a:solidFill>
                  <a:schemeClr val="tx1">
                    <a:lumMod val="85000"/>
                    <a:lumOff val="15000"/>
                  </a:schemeClr>
                </a:solidFill>
                <a:latin typeface="+mn-lt"/>
                <a:ea typeface="+mn-ea"/>
                <a:cs typeface="+mn-cs"/>
              </a:defRPr>
            </a:pPr>
            <a:endParaRPr lang="sk-SK"/>
          </a:p>
        </c:txPr>
        <c:crossAx val="545543256"/>
        <c:crosses val="autoZero"/>
        <c:auto val="1"/>
        <c:lblOffset val="100"/>
        <c:baseTimeUnit val="months"/>
        <c:majorUnit val="1"/>
        <c:majorTimeUnit val="months"/>
      </c:dateAx>
      <c:valAx>
        <c:axId val="545543256"/>
        <c:scaling>
          <c:orientation val="minMax"/>
          <c:max val="330"/>
          <c:min val="100"/>
        </c:scaling>
        <c:delete val="0"/>
        <c:axPos val="l"/>
        <c:majorGridlines>
          <c:spPr>
            <a:ln w="9525" cap="flat" cmpd="sng" algn="ctr">
              <a:solidFill>
                <a:srgbClr val="7F7F7F">
                  <a:alpha val="25098"/>
                </a:srgbClr>
              </a:solidFill>
              <a:prstDash val="sysDot"/>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85000"/>
                    <a:lumOff val="15000"/>
                  </a:schemeClr>
                </a:solidFill>
                <a:latin typeface="+mn-lt"/>
                <a:ea typeface="+mn-ea"/>
                <a:cs typeface="+mn-cs"/>
              </a:defRPr>
            </a:pPr>
            <a:endParaRPr lang="sk-SK"/>
          </a:p>
        </c:txPr>
        <c:crossAx val="545542928"/>
        <c:crosses val="autoZero"/>
        <c:crossBetween val="midCat"/>
      </c:valAx>
      <c:spPr>
        <a:noFill/>
        <a:ln>
          <a:noFill/>
        </a:ln>
        <a:effectLst/>
      </c:spPr>
    </c:plotArea>
    <c:legend>
      <c:legendPos val="b"/>
      <c:layout>
        <c:manualLayout>
          <c:xMode val="edge"/>
          <c:yMode val="edge"/>
          <c:x val="3.1477882397002331E-3"/>
          <c:y val="0.88391257576428495"/>
          <c:w val="0.99205544354288888"/>
          <c:h val="0.1055310858223436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85000"/>
                  <a:lumOff val="15000"/>
                </a:schemeClr>
              </a:solidFill>
              <a:latin typeface="+mn-lt"/>
              <a:ea typeface="+mn-ea"/>
              <a:cs typeface="+mn-cs"/>
            </a:defRPr>
          </a:pPr>
          <a:endParaRPr lang="sk-SK"/>
        </a:p>
      </c:txPr>
    </c:legend>
    <c:plotVisOnly val="1"/>
    <c:dispBlanksAs val="gap"/>
    <c:showDLblsOverMax val="0"/>
  </c:chart>
  <c:spPr>
    <a:solidFill>
      <a:sysClr val="window" lastClr="FFFFFF"/>
    </a:solidFill>
    <a:ln w="9525" cap="flat" cmpd="sng" algn="ctr">
      <a:noFill/>
      <a:round/>
    </a:ln>
    <a:effectLst/>
  </c:spPr>
  <c:txPr>
    <a:bodyPr/>
    <a:lstStyle/>
    <a:p>
      <a:pPr>
        <a:defRPr>
          <a:solidFill>
            <a:schemeClr val="tx1">
              <a:lumMod val="85000"/>
              <a:lumOff val="15000"/>
            </a:schemeClr>
          </a:solidFill>
        </a:defRPr>
      </a:pPr>
      <a:endParaRPr lang="sk-SK"/>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5474550721871755"/>
          <c:y val="4.1421911598226016E-2"/>
          <c:w val="0.74499043518064312"/>
          <c:h val="0.5740743484908698"/>
        </c:manualLayout>
      </c:layout>
      <c:lineChart>
        <c:grouping val="standard"/>
        <c:varyColors val="0"/>
        <c:ser>
          <c:idx val="0"/>
          <c:order val="0"/>
          <c:tx>
            <c:strRef>
              <c:f>'Syr Eidam'!$X$3</c:f>
              <c:strCache>
                <c:ptCount val="1"/>
                <c:pt idx="0">
                  <c:v>SK - skenery</c:v>
                </c:pt>
              </c:strCache>
            </c:strRef>
          </c:tx>
          <c:spPr>
            <a:ln w="28575" cap="rnd">
              <a:solidFill>
                <a:schemeClr val="accent1"/>
              </a:solidFill>
              <a:round/>
            </a:ln>
            <a:effectLst/>
          </c:spPr>
          <c:marker>
            <c:symbol val="none"/>
          </c:marker>
          <c:dPt>
            <c:idx val="0"/>
            <c:marker>
              <c:symbol val="none"/>
            </c:marker>
            <c:bubble3D val="0"/>
            <c:extLst>
              <c:ext xmlns:c16="http://schemas.microsoft.com/office/drawing/2014/chart" uri="{C3380CC4-5D6E-409C-BE32-E72D297353CC}">
                <c16:uniqueId val="{00000002-A55F-47FD-8C71-1163A21A81D3}"/>
              </c:ext>
            </c:extLst>
          </c:dPt>
          <c:cat>
            <c:numRef>
              <c:f>'Syr Eidam'!$W$4:$W$55</c:f>
              <c:numCache>
                <c:formatCode>m/d/yyyy</c:formatCode>
                <c:ptCount val="14"/>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45717</c:v>
                </c:pt>
                <c:pt idx="13">
                  <c:v>45748</c:v>
                </c:pt>
              </c:numCache>
            </c:numRef>
          </c:cat>
          <c:val>
            <c:numRef>
              <c:f>'Syr Eidam'!$X$4:$X$55</c:f>
              <c:numCache>
                <c:formatCode>0.00</c:formatCode>
                <c:ptCount val="14"/>
                <c:pt idx="0">
                  <c:v>7.291666666666667</c:v>
                </c:pt>
                <c:pt idx="1">
                  <c:v>6.833333333333333</c:v>
                </c:pt>
                <c:pt idx="2">
                  <c:v>6.8999999999999995</c:v>
                </c:pt>
                <c:pt idx="3">
                  <c:v>7.291666666666667</c:v>
                </c:pt>
                <c:pt idx="4">
                  <c:v>6.9666666666666668</c:v>
                </c:pt>
                <c:pt idx="5">
                  <c:v>7.3333333333333339</c:v>
                </c:pt>
                <c:pt idx="6">
                  <c:v>7.1</c:v>
                </c:pt>
                <c:pt idx="7">
                  <c:v>7.0833333333333339</c:v>
                </c:pt>
                <c:pt idx="8">
                  <c:v>7.4083333333333341</c:v>
                </c:pt>
                <c:pt idx="9">
                  <c:v>7.2583333333333346</c:v>
                </c:pt>
                <c:pt idx="10">
                  <c:v>7.4916666666666671</c:v>
                </c:pt>
                <c:pt idx="11">
                  <c:v>7.1749999999999998</c:v>
                </c:pt>
                <c:pt idx="12">
                  <c:v>7.5294117647058831</c:v>
                </c:pt>
                <c:pt idx="13">
                  <c:v>7.3613445378151265</c:v>
                </c:pt>
              </c:numCache>
            </c:numRef>
          </c:val>
          <c:smooth val="0"/>
          <c:extLst>
            <c:ext xmlns:c16="http://schemas.microsoft.com/office/drawing/2014/chart" uri="{C3380CC4-5D6E-409C-BE32-E72D297353CC}">
              <c16:uniqueId val="{00000003-A55F-47FD-8C71-1163A21A81D3}"/>
            </c:ext>
          </c:extLst>
        </c:ser>
        <c:ser>
          <c:idx val="1"/>
          <c:order val="1"/>
          <c:tx>
            <c:strRef>
              <c:f>'Syr Eidam'!$Y$3</c:f>
              <c:strCache>
                <c:ptCount val="1"/>
                <c:pt idx="0">
                  <c:v>SK - pôvodné</c:v>
                </c:pt>
              </c:strCache>
            </c:strRef>
          </c:tx>
          <c:spPr>
            <a:ln w="28575" cap="rnd">
              <a:solidFill>
                <a:schemeClr val="accent2"/>
              </a:solidFill>
              <a:round/>
            </a:ln>
            <a:effectLst/>
          </c:spPr>
          <c:marker>
            <c:symbol val="none"/>
          </c:marker>
          <c:dPt>
            <c:idx val="0"/>
            <c:marker>
              <c:symbol val="none"/>
            </c:marker>
            <c:bubble3D val="0"/>
            <c:extLst>
              <c:ext xmlns:c16="http://schemas.microsoft.com/office/drawing/2014/chart" uri="{C3380CC4-5D6E-409C-BE32-E72D297353CC}">
                <c16:uniqueId val="{00000006-A55F-47FD-8C71-1163A21A81D3}"/>
              </c:ext>
            </c:extLst>
          </c:dPt>
          <c:cat>
            <c:numRef>
              <c:f>'Syr Eidam'!$W$4:$W$55</c:f>
              <c:numCache>
                <c:formatCode>m/d/yyyy</c:formatCode>
                <c:ptCount val="16"/>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pt idx="15">
                  <c:v>45748</c:v>
                </c:pt>
              </c:numCache>
            </c:numRef>
          </c:cat>
          <c:val>
            <c:numRef>
              <c:f>'Syr Eidam'!$Y$4:$Y$49</c:f>
              <c:numCache>
                <c:formatCode>General</c:formatCode>
                <c:ptCount val="10"/>
              </c:numCache>
            </c:numRef>
          </c:val>
          <c:smooth val="0"/>
          <c:extLst>
            <c:ext xmlns:c16="http://schemas.microsoft.com/office/drawing/2014/chart" uri="{C3380CC4-5D6E-409C-BE32-E72D297353CC}">
              <c16:uniqueId val="{00000007-A55F-47FD-8C71-1163A21A81D3}"/>
            </c:ext>
          </c:extLst>
        </c:ser>
        <c:ser>
          <c:idx val="2"/>
          <c:order val="2"/>
          <c:tx>
            <c:strRef>
              <c:f>'Syr Eidam'!$Z$3</c:f>
              <c:strCache>
                <c:ptCount val="1"/>
                <c:pt idx="0">
                  <c:v>CZ</c:v>
                </c:pt>
              </c:strCache>
            </c:strRef>
          </c:tx>
          <c:spPr>
            <a:ln w="28575" cap="rnd">
              <a:solidFill>
                <a:schemeClr val="accent3"/>
              </a:solidFill>
              <a:round/>
            </a:ln>
            <a:effectLst/>
          </c:spPr>
          <c:marker>
            <c:symbol val="none"/>
          </c:marker>
          <c:dPt>
            <c:idx val="0"/>
            <c:marker>
              <c:symbol val="none"/>
            </c:marker>
            <c:bubble3D val="0"/>
            <c:extLst>
              <c:ext xmlns:c16="http://schemas.microsoft.com/office/drawing/2014/chart" uri="{C3380CC4-5D6E-409C-BE32-E72D297353CC}">
                <c16:uniqueId val="{00000009-A55F-47FD-8C71-1163A21A81D3}"/>
              </c:ext>
            </c:extLst>
          </c:dPt>
          <c:cat>
            <c:numRef>
              <c:f>'Syr Eidam'!$W$4:$W$55</c:f>
              <c:numCache>
                <c:formatCode>m/d/yyyy</c:formatCode>
                <c:ptCount val="14"/>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45717</c:v>
                </c:pt>
                <c:pt idx="13">
                  <c:v>45748</c:v>
                </c:pt>
              </c:numCache>
            </c:numRef>
          </c:cat>
          <c:val>
            <c:numRef>
              <c:f>'Syr Eidam'!$Z$4:$Z$55</c:f>
              <c:numCache>
                <c:formatCode>0.00</c:formatCode>
                <c:ptCount val="14"/>
                <c:pt idx="0">
                  <c:v>6.4584632889294191</c:v>
                </c:pt>
                <c:pt idx="1">
                  <c:v>6.2101954729673849</c:v>
                </c:pt>
                <c:pt idx="2">
                  <c:v>6.0387094201150839</c:v>
                </c:pt>
                <c:pt idx="3">
                  <c:v>6.2246944412911045</c:v>
                </c:pt>
                <c:pt idx="4">
                  <c:v>6.2671135084378466</c:v>
                </c:pt>
                <c:pt idx="5">
                  <c:v>6.4536720982003661</c:v>
                </c:pt>
                <c:pt idx="6">
                  <c:v>6.5053282915091106</c:v>
                </c:pt>
                <c:pt idx="7">
                  <c:v>6.5960462679356029</c:v>
                </c:pt>
                <c:pt idx="8">
                  <c:v>6.290120869565218</c:v>
                </c:pt>
                <c:pt idx="9">
                  <c:v>6.9587903478260875</c:v>
                </c:pt>
                <c:pt idx="10">
                  <c:v>6.972959417391305</c:v>
                </c:pt>
                <c:pt idx="11">
                  <c:v>7.2554573913043487</c:v>
                </c:pt>
                <c:pt idx="12">
                  <c:v>7.1527565217391302</c:v>
                </c:pt>
                <c:pt idx="13">
                  <c:v>6.6721652173913055</c:v>
                </c:pt>
              </c:numCache>
            </c:numRef>
          </c:val>
          <c:smooth val="0"/>
          <c:extLst>
            <c:ext xmlns:c16="http://schemas.microsoft.com/office/drawing/2014/chart" uri="{C3380CC4-5D6E-409C-BE32-E72D297353CC}">
              <c16:uniqueId val="{0000000A-A55F-47FD-8C71-1163A21A81D3}"/>
            </c:ext>
          </c:extLst>
        </c:ser>
        <c:ser>
          <c:idx val="3"/>
          <c:order val="3"/>
          <c:tx>
            <c:strRef>
              <c:f>'Syr Eidam'!$AA$3</c:f>
              <c:strCache>
                <c:ptCount val="1"/>
                <c:pt idx="0">
                  <c:v>HU</c:v>
                </c:pt>
              </c:strCache>
            </c:strRef>
          </c:tx>
          <c:spPr>
            <a:ln w="28575" cap="rnd">
              <a:solidFill>
                <a:schemeClr val="accent4"/>
              </a:solidFill>
              <a:round/>
            </a:ln>
            <a:effectLst/>
          </c:spPr>
          <c:marker>
            <c:symbol val="none"/>
          </c:marker>
          <c:dPt>
            <c:idx val="0"/>
            <c:marker>
              <c:symbol val="none"/>
            </c:marker>
            <c:bubble3D val="0"/>
            <c:extLst>
              <c:ext xmlns:c16="http://schemas.microsoft.com/office/drawing/2014/chart" uri="{C3380CC4-5D6E-409C-BE32-E72D297353CC}">
                <c16:uniqueId val="{0000000B-A55F-47FD-8C71-1163A21A81D3}"/>
              </c:ext>
            </c:extLst>
          </c:dPt>
          <c:cat>
            <c:numRef>
              <c:f>'Syr Eidam'!$W$4:$W$55</c:f>
              <c:numCache>
                <c:formatCode>m/d/yyyy</c:formatCode>
                <c:ptCount val="14"/>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45717</c:v>
                </c:pt>
                <c:pt idx="13">
                  <c:v>45748</c:v>
                </c:pt>
              </c:numCache>
            </c:numRef>
          </c:cat>
          <c:val>
            <c:numRef>
              <c:f>'Syr Eidam'!$AA$4:$AA$55</c:f>
              <c:numCache>
                <c:formatCode>0.00</c:formatCode>
                <c:ptCount val="14"/>
                <c:pt idx="0">
                  <c:v>6.5437131418244565</c:v>
                </c:pt>
                <c:pt idx="1">
                  <c:v>6.4844675117884849</c:v>
                </c:pt>
                <c:pt idx="2">
                  <c:v>6.3926685959082645</c:v>
                </c:pt>
                <c:pt idx="3">
                  <c:v>6.3882659326805467</c:v>
                </c:pt>
                <c:pt idx="4">
                  <c:v>6.5634072126936989</c:v>
                </c:pt>
                <c:pt idx="5">
                  <c:v>6.5077859107680753</c:v>
                </c:pt>
                <c:pt idx="6">
                  <c:v>6.6459833108513839</c:v>
                </c:pt>
                <c:pt idx="7">
                  <c:v>6.5701796610169492</c:v>
                </c:pt>
                <c:pt idx="8">
                  <c:v>6.7605457627118648</c:v>
                </c:pt>
                <c:pt idx="9">
                  <c:v>7.0638865067796619</c:v>
                </c:pt>
                <c:pt idx="10">
                  <c:v>6.9163076271186448</c:v>
                </c:pt>
                <c:pt idx="11">
                  <c:v>6.9115398305084748</c:v>
                </c:pt>
                <c:pt idx="12">
                  <c:v>7.2704830508474574</c:v>
                </c:pt>
                <c:pt idx="13">
                  <c:v>6.2325169491525427</c:v>
                </c:pt>
              </c:numCache>
            </c:numRef>
          </c:val>
          <c:smooth val="0"/>
          <c:extLst>
            <c:ext xmlns:c16="http://schemas.microsoft.com/office/drawing/2014/chart" uri="{C3380CC4-5D6E-409C-BE32-E72D297353CC}">
              <c16:uniqueId val="{0000000C-A55F-47FD-8C71-1163A21A81D3}"/>
            </c:ext>
          </c:extLst>
        </c:ser>
        <c:ser>
          <c:idx val="4"/>
          <c:order val="4"/>
          <c:tx>
            <c:strRef>
              <c:f>'Syr Eidam'!$AB$3</c:f>
              <c:strCache>
                <c:ptCount val="1"/>
                <c:pt idx="0">
                  <c:v>PL</c:v>
                </c:pt>
              </c:strCache>
            </c:strRef>
          </c:tx>
          <c:spPr>
            <a:ln w="28575" cap="rnd">
              <a:solidFill>
                <a:schemeClr val="accent5"/>
              </a:solidFill>
              <a:round/>
            </a:ln>
            <a:effectLst/>
          </c:spPr>
          <c:marker>
            <c:symbol val="none"/>
          </c:marker>
          <c:cat>
            <c:numRef>
              <c:f>'Syr Eidam'!$W$4:$W$55</c:f>
              <c:numCache>
                <c:formatCode>m/d/yyyy</c:formatCode>
                <c:ptCount val="16"/>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pt idx="15">
                  <c:v>45748</c:v>
                </c:pt>
              </c:numCache>
            </c:numRef>
          </c:cat>
          <c:val>
            <c:numRef>
              <c:f>'Syr Eidam'!$AB$4:$AB$49</c:f>
              <c:numCache>
                <c:formatCode>General</c:formatCode>
                <c:ptCount val="10"/>
              </c:numCache>
            </c:numRef>
          </c:val>
          <c:smooth val="0"/>
          <c:extLst>
            <c:ext xmlns:c16="http://schemas.microsoft.com/office/drawing/2014/chart" uri="{C3380CC4-5D6E-409C-BE32-E72D297353CC}">
              <c16:uniqueId val="{0000000D-A55F-47FD-8C71-1163A21A81D3}"/>
            </c:ext>
          </c:extLst>
        </c:ser>
        <c:ser>
          <c:idx val="5"/>
          <c:order val="5"/>
          <c:tx>
            <c:strRef>
              <c:f>'Syr Eidam'!$AD$3</c:f>
              <c:strCache>
                <c:ptCount val="1"/>
                <c:pt idx="0">
                  <c:v>SK - skenery</c:v>
                </c:pt>
              </c:strCache>
            </c:strRef>
          </c:tx>
          <c:spPr>
            <a:ln w="28575" cap="rnd">
              <a:noFill/>
              <a:round/>
            </a:ln>
            <a:effectLst/>
          </c:spPr>
          <c:marker>
            <c:symbol val="circle"/>
            <c:size val="6"/>
            <c:spPr>
              <a:solidFill>
                <a:srgbClr val="2EAAE1"/>
              </a:solidFill>
              <a:ln w="9525">
                <a:solidFill>
                  <a:srgbClr val="2EAAE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2EAAE1"/>
                    </a:solidFill>
                    <a:latin typeface="+mn-lt"/>
                    <a:ea typeface="+mn-ea"/>
                    <a:cs typeface="+mn-cs"/>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'Syr Eidam'!$W$4:$W$55</c:f>
              <c:numCache>
                <c:formatCode>m/d/yyyy</c:formatCode>
                <c:ptCount val="16"/>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pt idx="15">
                  <c:v>45748</c:v>
                </c:pt>
              </c:numCache>
            </c:numRef>
          </c:cat>
          <c:val>
            <c:numRef>
              <c:f>'Syr Eidam'!$AD$4:$AD$51</c:f>
              <c:numCache>
                <c:formatCode>General</c:formatCode>
                <c:ptCount val="12"/>
              </c:numCache>
            </c:numRef>
          </c:val>
          <c:smooth val="0"/>
          <c:extLst>
            <c:ext xmlns:c16="http://schemas.microsoft.com/office/drawing/2014/chart" uri="{C3380CC4-5D6E-409C-BE32-E72D297353CC}">
              <c16:uniqueId val="{0000000E-A55F-47FD-8C71-1163A21A81D3}"/>
            </c:ext>
          </c:extLst>
        </c:ser>
        <c:ser>
          <c:idx val="6"/>
          <c:order val="6"/>
          <c:tx>
            <c:strRef>
              <c:f>'Syr Eidam'!$AE$3</c:f>
              <c:strCache>
                <c:ptCount val="1"/>
                <c:pt idx="0">
                  <c:v>CZ</c:v>
                </c:pt>
              </c:strCache>
            </c:strRef>
          </c:tx>
          <c:spPr>
            <a:ln w="28575" cap="rnd">
              <a:noFill/>
              <a:round/>
            </a:ln>
            <a:effectLst/>
          </c:spPr>
          <c:marker>
            <c:symbol val="circle"/>
            <c:size val="6"/>
            <c:spPr>
              <a:solidFill>
                <a:srgbClr val="1AA380"/>
              </a:solidFill>
              <a:ln w="9525">
                <a:solidFill>
                  <a:srgbClr val="1AA380"/>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1AA380"/>
                    </a:solidFill>
                    <a:latin typeface="+mn-lt"/>
                    <a:ea typeface="+mn-ea"/>
                    <a:cs typeface="+mn-cs"/>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'Syr Eidam'!$W$4:$W$55</c:f>
              <c:numCache>
                <c:formatCode>m/d/yyyy</c:formatCode>
                <c:ptCount val="16"/>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pt idx="15">
                  <c:v>45748</c:v>
                </c:pt>
              </c:numCache>
            </c:numRef>
          </c:cat>
          <c:val>
            <c:numRef>
              <c:f>'Syr Eidam'!$AE$4:$AE$51</c:f>
              <c:numCache>
                <c:formatCode>General</c:formatCode>
                <c:ptCount val="12"/>
              </c:numCache>
            </c:numRef>
          </c:val>
          <c:smooth val="0"/>
          <c:extLst>
            <c:ext xmlns:c16="http://schemas.microsoft.com/office/drawing/2014/chart" uri="{C3380CC4-5D6E-409C-BE32-E72D297353CC}">
              <c16:uniqueId val="{0000000F-A55F-47FD-8C71-1163A21A81D3}"/>
            </c:ext>
          </c:extLst>
        </c:ser>
        <c:ser>
          <c:idx val="7"/>
          <c:order val="7"/>
          <c:tx>
            <c:strRef>
              <c:f>'Syr Eidam'!$AF$3</c:f>
              <c:strCache>
                <c:ptCount val="1"/>
                <c:pt idx="0">
                  <c:v>HU</c:v>
                </c:pt>
              </c:strCache>
            </c:strRef>
          </c:tx>
          <c:spPr>
            <a:ln w="28575" cap="rnd">
              <a:noFill/>
              <a:round/>
            </a:ln>
            <a:effectLst/>
          </c:spPr>
          <c:marker>
            <c:symbol val="circle"/>
            <c:size val="6"/>
            <c:spPr>
              <a:solidFill>
                <a:srgbClr val="F2CA6D"/>
              </a:solidFill>
              <a:ln w="9525">
                <a:solidFill>
                  <a:srgbClr val="F2CA6D"/>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FFC000"/>
                    </a:solidFill>
                    <a:latin typeface="+mn-lt"/>
                    <a:ea typeface="+mn-ea"/>
                    <a:cs typeface="+mn-cs"/>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'Syr Eidam'!$W$4:$W$55</c:f>
              <c:numCache>
                <c:formatCode>m/d/yyyy</c:formatCode>
                <c:ptCount val="16"/>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pt idx="15">
                  <c:v>45748</c:v>
                </c:pt>
              </c:numCache>
            </c:numRef>
          </c:cat>
          <c:val>
            <c:numRef>
              <c:f>'Syr Eidam'!$AF$4:$AF$51</c:f>
              <c:numCache>
                <c:formatCode>General</c:formatCode>
                <c:ptCount val="12"/>
              </c:numCache>
            </c:numRef>
          </c:val>
          <c:smooth val="0"/>
          <c:extLst>
            <c:ext xmlns:c16="http://schemas.microsoft.com/office/drawing/2014/chart" uri="{C3380CC4-5D6E-409C-BE32-E72D297353CC}">
              <c16:uniqueId val="{00000010-A55F-47FD-8C71-1163A21A81D3}"/>
            </c:ext>
          </c:extLst>
        </c:ser>
        <c:ser>
          <c:idx val="8"/>
          <c:order val="8"/>
          <c:tx>
            <c:strRef>
              <c:f>'Syr Eidam'!$AG$3</c:f>
              <c:strCache>
                <c:ptCount val="1"/>
                <c:pt idx="0">
                  <c:v>PL</c:v>
                </c:pt>
              </c:strCache>
            </c:strRef>
          </c:tx>
          <c:spPr>
            <a:ln w="28575" cap="rnd">
              <a:noFill/>
              <a:round/>
            </a:ln>
            <a:effectLst/>
          </c:spPr>
          <c:marker>
            <c:symbol val="circle"/>
            <c:size val="6"/>
            <c:spPr>
              <a:solidFill>
                <a:srgbClr val="E85477"/>
              </a:solidFill>
              <a:ln w="9525">
                <a:solidFill>
                  <a:srgbClr val="E85477"/>
                </a:solidFill>
              </a:ln>
              <a:effectLst/>
            </c:spPr>
          </c:marker>
          <c:cat>
            <c:numRef>
              <c:f>'Syr Eidam'!$W$4:$W$55</c:f>
              <c:numCache>
                <c:formatCode>m/d/yyyy</c:formatCode>
                <c:ptCount val="16"/>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pt idx="15">
                  <c:v>45748</c:v>
                </c:pt>
              </c:numCache>
            </c:numRef>
          </c:cat>
          <c:val>
            <c:numRef>
              <c:f>'Syr Eidam'!$AG$4:$AG$49</c:f>
              <c:numCache>
                <c:formatCode>General</c:formatCode>
                <c:ptCount val="10"/>
              </c:numCache>
            </c:numRef>
          </c:val>
          <c:smooth val="0"/>
          <c:extLst>
            <c:ext xmlns:c16="http://schemas.microsoft.com/office/drawing/2014/chart" uri="{C3380CC4-5D6E-409C-BE32-E72D297353CC}">
              <c16:uniqueId val="{00000011-A55F-47FD-8C71-1163A21A81D3}"/>
            </c:ext>
          </c:extLst>
        </c:ser>
        <c:dLbls>
          <c:showLegendKey val="0"/>
          <c:showVal val="0"/>
          <c:showCatName val="0"/>
          <c:showSerName val="0"/>
          <c:showPercent val="0"/>
          <c:showBubbleSize val="0"/>
        </c:dLbls>
        <c:smooth val="0"/>
        <c:axId val="545542928"/>
        <c:axId val="545543256"/>
      </c:lineChart>
      <c:dateAx>
        <c:axId val="545542928"/>
        <c:scaling>
          <c:orientation val="minMax"/>
          <c:max val="45627"/>
        </c:scaling>
        <c:delete val="0"/>
        <c:axPos val="b"/>
        <c:numFmt formatCode="m/yy" sourceLinked="0"/>
        <c:majorTickMark val="none"/>
        <c:minorTickMark val="none"/>
        <c:tickLblPos val="nextTo"/>
        <c:spPr>
          <a:noFill/>
          <a:ln w="12700" cap="flat" cmpd="sng" algn="ctr">
            <a:solidFill>
              <a:srgbClr val="7F7F7F"/>
            </a:solidFill>
            <a:round/>
          </a:ln>
          <a:effectLst/>
        </c:spPr>
        <c:txPr>
          <a:bodyPr rot="-5400000" spcFirstLastPara="1" vertOverflow="ellipsis" wrap="square" anchor="ctr" anchorCtr="1"/>
          <a:lstStyle/>
          <a:p>
            <a:pPr>
              <a:defRPr sz="900" b="0" i="0" u="none" strike="noStrike" kern="1200" baseline="0">
                <a:solidFill>
                  <a:schemeClr val="tx1">
                    <a:lumMod val="85000"/>
                    <a:lumOff val="15000"/>
                  </a:schemeClr>
                </a:solidFill>
                <a:latin typeface="+mn-lt"/>
                <a:ea typeface="+mn-ea"/>
                <a:cs typeface="+mn-cs"/>
              </a:defRPr>
            </a:pPr>
            <a:endParaRPr lang="sk-SK"/>
          </a:p>
        </c:txPr>
        <c:crossAx val="545543256"/>
        <c:crosses val="autoZero"/>
        <c:auto val="1"/>
        <c:lblOffset val="100"/>
        <c:baseTimeUnit val="months"/>
        <c:majorUnit val="1"/>
        <c:majorTimeUnit val="months"/>
      </c:dateAx>
      <c:valAx>
        <c:axId val="545543256"/>
        <c:scaling>
          <c:orientation val="minMax"/>
          <c:max val="11"/>
          <c:min val="4"/>
        </c:scaling>
        <c:delete val="0"/>
        <c:axPos val="l"/>
        <c:majorGridlines>
          <c:spPr>
            <a:ln w="9525" cap="flat" cmpd="sng" algn="ctr">
              <a:solidFill>
                <a:srgbClr val="7F7F7F">
                  <a:alpha val="25098"/>
                </a:srgbClr>
              </a:solidFill>
              <a:prstDash val="sysDot"/>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85000"/>
                    <a:lumOff val="15000"/>
                  </a:schemeClr>
                </a:solidFill>
                <a:latin typeface="+mn-lt"/>
                <a:ea typeface="+mn-ea"/>
                <a:cs typeface="+mn-cs"/>
              </a:defRPr>
            </a:pPr>
            <a:endParaRPr lang="sk-SK"/>
          </a:p>
        </c:txPr>
        <c:crossAx val="545542928"/>
        <c:crosses val="autoZero"/>
        <c:crossBetween val="midCat"/>
        <c:majorUnit val="1"/>
      </c:valAx>
      <c:spPr>
        <a:noFill/>
        <a:ln>
          <a:noFill/>
        </a:ln>
        <a:effectLst/>
      </c:spPr>
    </c:plotArea>
    <c:legend>
      <c:legendPos val="b"/>
      <c:legendEntry>
        <c:idx val="5"/>
        <c:delete val="1"/>
      </c:legendEntry>
      <c:legendEntry>
        <c:idx val="6"/>
        <c:delete val="1"/>
      </c:legendEntry>
      <c:legendEntry>
        <c:idx val="7"/>
        <c:delete val="1"/>
      </c:legendEntry>
      <c:legendEntry>
        <c:idx val="8"/>
        <c:delete val="1"/>
      </c:legendEntry>
      <c:layout>
        <c:manualLayout>
          <c:xMode val="edge"/>
          <c:yMode val="edge"/>
          <c:x val="9.3147441950442167E-3"/>
          <c:y val="0.77608607307320132"/>
          <c:w val="0.98623512489058551"/>
          <c:h val="0.1933545731933208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85000"/>
                  <a:lumOff val="15000"/>
                </a:schemeClr>
              </a:solidFill>
              <a:latin typeface="+mn-lt"/>
              <a:ea typeface="+mn-ea"/>
              <a:cs typeface="+mn-cs"/>
            </a:defRPr>
          </a:pPr>
          <a:endParaRPr lang="sk-SK"/>
        </a:p>
      </c:txPr>
    </c:legend>
    <c:plotVisOnly val="1"/>
    <c:dispBlanksAs val="gap"/>
    <c:showDLblsOverMax val="0"/>
  </c:chart>
  <c:spPr>
    <a:solidFill>
      <a:sysClr val="window" lastClr="FFFFFF"/>
    </a:solidFill>
    <a:ln w="9525" cap="flat" cmpd="sng" algn="ctr">
      <a:noFill/>
      <a:round/>
    </a:ln>
    <a:effectLst/>
  </c:spPr>
  <c:txPr>
    <a:bodyPr/>
    <a:lstStyle/>
    <a:p>
      <a:pPr>
        <a:defRPr>
          <a:solidFill>
            <a:schemeClr val="tx1">
              <a:lumMod val="85000"/>
              <a:lumOff val="15000"/>
            </a:schemeClr>
          </a:solidFill>
        </a:defRPr>
      </a:pPr>
      <a:endParaRPr lang="sk-SK"/>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8997959363479007E-2"/>
          <c:y val="5.0855293573740176E-2"/>
          <c:w val="0.86932071827830659"/>
          <c:h val="0.74069187953447568"/>
        </c:manualLayout>
      </c:layout>
      <c:barChart>
        <c:barDir val="col"/>
        <c:grouping val="clustered"/>
        <c:varyColors val="0"/>
        <c:ser>
          <c:idx val="1"/>
          <c:order val="0"/>
          <c:tx>
            <c:v>2024</c:v>
          </c:tx>
          <c:spPr>
            <a:solidFill>
              <a:schemeClr val="accent1"/>
            </a:solidFill>
            <a:ln>
              <a:noFill/>
            </a:ln>
            <a:effectLst/>
          </c:spPr>
          <c:invertIfNegative val="0"/>
          <c:cat>
            <c:strRef>
              <c:f>PKS_2024_SK_Goods!$D$13:$D$19</c:f>
              <c:strCache>
                <c:ptCount val="7"/>
                <c:pt idx="0">
                  <c:v>Mäso</c:v>
                </c:pt>
                <c:pt idx="1">
                  <c:v>Chlieb a obilniny</c:v>
                </c:pt>
                <c:pt idx="2">
                  <c:v>Ovocie, zelenina, zemiaky</c:v>
                </c:pt>
                <c:pt idx="3">
                  <c:v>Mlieko, syry a vajcia</c:v>
                </c:pt>
                <c:pt idx="4">
                  <c:v>Nealko</c:v>
                </c:pt>
                <c:pt idx="5">
                  <c:v>Ryby</c:v>
                </c:pt>
                <c:pt idx="6">
                  <c:v>Oleje a tuky</c:v>
                </c:pt>
              </c:strCache>
            </c:strRef>
          </c:cat>
          <c:val>
            <c:numRef>
              <c:f>PKS_2024_SK_Goods!$C$13:$C$19</c:f>
              <c:numCache>
                <c:formatCode>General</c:formatCode>
                <c:ptCount val="7"/>
                <c:pt idx="0">
                  <c:v>70.2</c:v>
                </c:pt>
                <c:pt idx="1">
                  <c:v>82.9</c:v>
                </c:pt>
                <c:pt idx="2">
                  <c:v>84.2</c:v>
                </c:pt>
                <c:pt idx="3">
                  <c:v>86.3</c:v>
                </c:pt>
                <c:pt idx="4">
                  <c:v>88.6</c:v>
                </c:pt>
                <c:pt idx="5">
                  <c:v>93.9</c:v>
                </c:pt>
                <c:pt idx="6">
                  <c:v>96.1</c:v>
                </c:pt>
              </c:numCache>
            </c:numRef>
          </c:val>
          <c:extLst>
            <c:ext xmlns:c16="http://schemas.microsoft.com/office/drawing/2014/chart" uri="{C3380CC4-5D6E-409C-BE32-E72D297353CC}">
              <c16:uniqueId val="{00000000-15D5-4A77-9E51-B9B7B51E2556}"/>
            </c:ext>
          </c:extLst>
        </c:ser>
        <c:dLbls>
          <c:showLegendKey val="0"/>
          <c:showVal val="0"/>
          <c:showCatName val="0"/>
          <c:showSerName val="0"/>
          <c:showPercent val="0"/>
          <c:showBubbleSize val="0"/>
        </c:dLbls>
        <c:gapWidth val="81"/>
        <c:overlap val="-19"/>
        <c:axId val="892239632"/>
        <c:axId val="892228112"/>
      </c:barChart>
      <c:catAx>
        <c:axId val="892239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sk-SK"/>
          </a:p>
        </c:txPr>
        <c:crossAx val="892228112"/>
        <c:crosses val="autoZero"/>
        <c:auto val="1"/>
        <c:lblAlgn val="ctr"/>
        <c:lblOffset val="100"/>
        <c:noMultiLvlLbl val="0"/>
      </c:catAx>
      <c:valAx>
        <c:axId val="892228112"/>
        <c:scaling>
          <c:orientation val="minMax"/>
        </c:scaling>
        <c:delete val="0"/>
        <c:axPos val="l"/>
        <c:majorGridlines>
          <c:spPr>
            <a:ln w="9525" cap="flat" cmpd="sng" algn="ctr">
              <a:solidFill>
                <a:schemeClr val="bg1">
                  <a:lumMod val="65000"/>
                  <a:alpha val="2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89223963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sk-SK"/>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791096897152452"/>
          <c:y val="3.8366076491116528E-2"/>
          <c:w val="0.82950123456790126"/>
          <c:h val="0.65565142712087177"/>
        </c:manualLayout>
      </c:layout>
      <c:lineChart>
        <c:grouping val="standard"/>
        <c:varyColors val="0"/>
        <c:ser>
          <c:idx val="0"/>
          <c:order val="0"/>
          <c:tx>
            <c:strRef>
              <c:f>'Syr Eidam'!$H$3</c:f>
              <c:strCache>
                <c:ptCount val="1"/>
                <c:pt idx="0">
                  <c:v>SK</c:v>
                </c:pt>
              </c:strCache>
            </c:strRef>
          </c:tx>
          <c:spPr>
            <a:ln w="19050" cap="rnd">
              <a:solidFill>
                <a:schemeClr val="accent1"/>
              </a:solidFill>
              <a:round/>
            </a:ln>
            <a:effectLst/>
          </c:spPr>
          <c:marker>
            <c:symbol val="none"/>
          </c:marker>
          <c:cat>
            <c:numRef>
              <c:f>'Syr Eidam'!$G$4:$G$55</c:f>
              <c:numCache>
                <c:formatCode>m/d/yyyy</c:formatCode>
                <c:ptCount val="14"/>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45717</c:v>
                </c:pt>
                <c:pt idx="13">
                  <c:v>45748</c:v>
                </c:pt>
              </c:numCache>
            </c:numRef>
          </c:cat>
          <c:val>
            <c:numRef>
              <c:f>'Syr Eidam'!$H$4:$H$55</c:f>
              <c:numCache>
                <c:formatCode>#,##0</c:formatCode>
                <c:ptCount val="14"/>
                <c:pt idx="0">
                  <c:v>704.51800000000003</c:v>
                </c:pt>
                <c:pt idx="1">
                  <c:v>700.82399999999996</c:v>
                </c:pt>
                <c:pt idx="2">
                  <c:v>708.76</c:v>
                </c:pt>
                <c:pt idx="3">
                  <c:v>710.04600000000005</c:v>
                </c:pt>
                <c:pt idx="4">
                  <c:v>710.57799999999997</c:v>
                </c:pt>
                <c:pt idx="5">
                  <c:v>706.55499999999995</c:v>
                </c:pt>
                <c:pt idx="6">
                  <c:v>688.226</c:v>
                </c:pt>
                <c:pt idx="7">
                  <c:v>699.15200000000004</c:v>
                </c:pt>
                <c:pt idx="8">
                  <c:v>699</c:v>
                </c:pt>
                <c:pt idx="9">
                  <c:v>704</c:v>
                </c:pt>
                <c:pt idx="10">
                  <c:v>704</c:v>
                </c:pt>
                <c:pt idx="11">
                  <c:v>683</c:v>
                </c:pt>
                <c:pt idx="12">
                  <c:v>663</c:v>
                </c:pt>
                <c:pt idx="13">
                  <c:v>672</c:v>
                </c:pt>
              </c:numCache>
            </c:numRef>
          </c:val>
          <c:smooth val="0"/>
          <c:extLst>
            <c:ext xmlns:c16="http://schemas.microsoft.com/office/drawing/2014/chart" uri="{C3380CC4-5D6E-409C-BE32-E72D297353CC}">
              <c16:uniqueId val="{00000001-A468-402C-A972-F343B67E3574}"/>
            </c:ext>
          </c:extLst>
        </c:ser>
        <c:ser>
          <c:idx val="1"/>
          <c:order val="1"/>
          <c:tx>
            <c:strRef>
              <c:f>'Syr Eidam'!$I$3</c:f>
              <c:strCache>
                <c:ptCount val="1"/>
                <c:pt idx="0">
                  <c:v>CZ</c:v>
                </c:pt>
              </c:strCache>
            </c:strRef>
          </c:tx>
          <c:spPr>
            <a:ln w="19050" cap="rnd">
              <a:solidFill>
                <a:srgbClr val="1AA380"/>
              </a:solidFill>
              <a:round/>
            </a:ln>
            <a:effectLst/>
          </c:spPr>
          <c:marker>
            <c:symbol val="none"/>
          </c:marker>
          <c:dPt>
            <c:idx val="0"/>
            <c:marker>
              <c:symbol val="none"/>
            </c:marker>
            <c:bubble3D val="0"/>
            <c:extLst>
              <c:ext xmlns:c16="http://schemas.microsoft.com/office/drawing/2014/chart" uri="{C3380CC4-5D6E-409C-BE32-E72D297353CC}">
                <c16:uniqueId val="{00000003-A468-402C-A972-F343B67E3574}"/>
              </c:ext>
            </c:extLst>
          </c:dPt>
          <c:cat>
            <c:numRef>
              <c:f>'Syr Eidam'!$G$4:$G$55</c:f>
              <c:numCache>
                <c:formatCode>m/d/yyyy</c:formatCode>
                <c:ptCount val="14"/>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45717</c:v>
                </c:pt>
                <c:pt idx="13">
                  <c:v>45748</c:v>
                </c:pt>
              </c:numCache>
            </c:numRef>
          </c:cat>
          <c:val>
            <c:numRef>
              <c:f>'Syr Eidam'!$I$4:$I$55</c:f>
              <c:numCache>
                <c:formatCode>#,##0</c:formatCode>
                <c:ptCount val="14"/>
                <c:pt idx="0">
                  <c:v>496.92399999999998</c:v>
                </c:pt>
                <c:pt idx="1">
                  <c:v>484.16199999999998</c:v>
                </c:pt>
                <c:pt idx="2">
                  <c:v>488.16</c:v>
                </c:pt>
                <c:pt idx="3">
                  <c:v>493.23</c:v>
                </c:pt>
                <c:pt idx="4">
                  <c:v>486.00400000000002</c:v>
                </c:pt>
                <c:pt idx="5">
                  <c:v>511.0675</c:v>
                </c:pt>
                <c:pt idx="6">
                  <c:v>471.178</c:v>
                </c:pt>
                <c:pt idx="7">
                  <c:v>490.036</c:v>
                </c:pt>
                <c:pt idx="8">
                  <c:v>489</c:v>
                </c:pt>
                <c:pt idx="9">
                  <c:v>520</c:v>
                </c:pt>
                <c:pt idx="10">
                  <c:v>545</c:v>
                </c:pt>
                <c:pt idx="11">
                  <c:v>572</c:v>
                </c:pt>
                <c:pt idx="12">
                  <c:v>566</c:v>
                </c:pt>
                <c:pt idx="13">
                  <c:v>567</c:v>
                </c:pt>
              </c:numCache>
            </c:numRef>
          </c:val>
          <c:smooth val="0"/>
          <c:extLst>
            <c:ext xmlns:c16="http://schemas.microsoft.com/office/drawing/2014/chart" uri="{C3380CC4-5D6E-409C-BE32-E72D297353CC}">
              <c16:uniqueId val="{00000004-A468-402C-A972-F343B67E3574}"/>
            </c:ext>
          </c:extLst>
        </c:ser>
        <c:ser>
          <c:idx val="2"/>
          <c:order val="2"/>
          <c:tx>
            <c:strRef>
              <c:f>'Syr Eidam'!$J$3</c:f>
              <c:strCache>
                <c:ptCount val="1"/>
                <c:pt idx="0">
                  <c:v>HU</c:v>
                </c:pt>
              </c:strCache>
            </c:strRef>
          </c:tx>
          <c:spPr>
            <a:ln w="19050" cap="rnd">
              <a:solidFill>
                <a:srgbClr val="F2CA6D"/>
              </a:solidFill>
              <a:round/>
            </a:ln>
            <a:effectLst/>
          </c:spPr>
          <c:marker>
            <c:symbol val="none"/>
          </c:marker>
          <c:dPt>
            <c:idx val="0"/>
            <c:marker>
              <c:symbol val="none"/>
            </c:marker>
            <c:bubble3D val="0"/>
            <c:extLst>
              <c:ext xmlns:c16="http://schemas.microsoft.com/office/drawing/2014/chart" uri="{C3380CC4-5D6E-409C-BE32-E72D297353CC}">
                <c16:uniqueId val="{00000006-A468-402C-A972-F343B67E3574}"/>
              </c:ext>
            </c:extLst>
          </c:dPt>
          <c:cat>
            <c:numRef>
              <c:f>'Syr Eidam'!$G$4:$G$55</c:f>
              <c:numCache>
                <c:formatCode>m/d/yyyy</c:formatCode>
                <c:ptCount val="16"/>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pt idx="15">
                  <c:v>45748</c:v>
                </c:pt>
              </c:numCache>
            </c:numRef>
          </c:cat>
          <c:val>
            <c:numRef>
              <c:f>'Syr Eidam'!$J$4:$J$49</c:f>
              <c:numCache>
                <c:formatCode>General</c:formatCode>
                <c:ptCount val="10"/>
              </c:numCache>
            </c:numRef>
          </c:val>
          <c:smooth val="0"/>
          <c:extLst>
            <c:ext xmlns:c16="http://schemas.microsoft.com/office/drawing/2014/chart" uri="{C3380CC4-5D6E-409C-BE32-E72D297353CC}">
              <c16:uniqueId val="{00000007-A468-402C-A972-F343B67E3574}"/>
            </c:ext>
          </c:extLst>
        </c:ser>
        <c:ser>
          <c:idx val="3"/>
          <c:order val="3"/>
          <c:tx>
            <c:strRef>
              <c:f>'Syr Eidam'!$K$3</c:f>
              <c:strCache>
                <c:ptCount val="1"/>
                <c:pt idx="0">
                  <c:v>PL</c:v>
                </c:pt>
              </c:strCache>
            </c:strRef>
          </c:tx>
          <c:spPr>
            <a:ln w="19050" cap="rnd">
              <a:solidFill>
                <a:srgbClr val="E85477"/>
              </a:solidFill>
              <a:round/>
            </a:ln>
            <a:effectLst/>
          </c:spPr>
          <c:marker>
            <c:symbol val="none"/>
          </c:marker>
          <c:dPt>
            <c:idx val="0"/>
            <c:marker>
              <c:symbol val="none"/>
            </c:marker>
            <c:bubble3D val="0"/>
            <c:extLst>
              <c:ext xmlns:c16="http://schemas.microsoft.com/office/drawing/2014/chart" uri="{C3380CC4-5D6E-409C-BE32-E72D297353CC}">
                <c16:uniqueId val="{00000009-A468-402C-A972-F343B67E3574}"/>
              </c:ext>
            </c:extLst>
          </c:dPt>
          <c:cat>
            <c:numRef>
              <c:f>'Syr Eidam'!$G$4:$G$55</c:f>
              <c:numCache>
                <c:formatCode>m/d/yyyy</c:formatCode>
                <c:ptCount val="14"/>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45717</c:v>
                </c:pt>
                <c:pt idx="13">
                  <c:v>45748</c:v>
                </c:pt>
              </c:numCache>
            </c:numRef>
          </c:cat>
          <c:val>
            <c:numRef>
              <c:f>'Syr Eidam'!$K$4:$K$55</c:f>
              <c:numCache>
                <c:formatCode>#,##0</c:formatCode>
                <c:ptCount val="14"/>
                <c:pt idx="0">
                  <c:v>469.65199999999999</c:v>
                </c:pt>
                <c:pt idx="1">
                  <c:v>467.34</c:v>
                </c:pt>
                <c:pt idx="2">
                  <c:v>462.13400000000001</c:v>
                </c:pt>
                <c:pt idx="3">
                  <c:v>449.012</c:v>
                </c:pt>
                <c:pt idx="4">
                  <c:v>437.54</c:v>
                </c:pt>
                <c:pt idx="5">
                  <c:v>431.03500000000003</c:v>
                </c:pt>
                <c:pt idx="6">
                  <c:v>439.32400000000001</c:v>
                </c:pt>
                <c:pt idx="7">
                  <c:v>441.31</c:v>
                </c:pt>
                <c:pt idx="8">
                  <c:v>464</c:v>
                </c:pt>
                <c:pt idx="9">
                  <c:v>491</c:v>
                </c:pt>
                <c:pt idx="10">
                  <c:v>503</c:v>
                </c:pt>
                <c:pt idx="11">
                  <c:v>496</c:v>
                </c:pt>
                <c:pt idx="12">
                  <c:v>519</c:v>
                </c:pt>
                <c:pt idx="13">
                  <c:v>509</c:v>
                </c:pt>
              </c:numCache>
            </c:numRef>
          </c:val>
          <c:smooth val="0"/>
          <c:extLst>
            <c:ext xmlns:c16="http://schemas.microsoft.com/office/drawing/2014/chart" uri="{C3380CC4-5D6E-409C-BE32-E72D297353CC}">
              <c16:uniqueId val="{0000000A-A468-402C-A972-F343B67E3574}"/>
            </c:ext>
          </c:extLst>
        </c:ser>
        <c:ser>
          <c:idx val="4"/>
          <c:order val="4"/>
          <c:tx>
            <c:strRef>
              <c:f>'Syr Eidam'!$L$3</c:f>
              <c:strCache>
                <c:ptCount val="1"/>
                <c:pt idx="0">
                  <c:v>AT</c:v>
                </c:pt>
              </c:strCache>
            </c:strRef>
          </c:tx>
          <c:spPr>
            <a:ln w="19050" cap="rnd">
              <a:solidFill>
                <a:sysClr val="windowText" lastClr="000000"/>
              </a:solidFill>
              <a:round/>
            </a:ln>
            <a:effectLst/>
          </c:spPr>
          <c:marker>
            <c:symbol val="none"/>
          </c:marker>
          <c:dPt>
            <c:idx val="0"/>
            <c:marker>
              <c:symbol val="none"/>
            </c:marker>
            <c:bubble3D val="0"/>
            <c:extLst>
              <c:ext xmlns:c16="http://schemas.microsoft.com/office/drawing/2014/chart" uri="{C3380CC4-5D6E-409C-BE32-E72D297353CC}">
                <c16:uniqueId val="{0000000B-A468-402C-A972-F343B67E3574}"/>
              </c:ext>
            </c:extLst>
          </c:dPt>
          <c:cat>
            <c:numRef>
              <c:f>'Syr Eidam'!$G$4:$G$55</c:f>
              <c:numCache>
                <c:formatCode>m/d/yyyy</c:formatCode>
                <c:ptCount val="16"/>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pt idx="15">
                  <c:v>45748</c:v>
                </c:pt>
              </c:numCache>
            </c:numRef>
          </c:cat>
          <c:val>
            <c:numRef>
              <c:f>'Syr Eidam'!$L$4:$L$49</c:f>
              <c:numCache>
                <c:formatCode>General</c:formatCode>
                <c:ptCount val="10"/>
              </c:numCache>
            </c:numRef>
          </c:val>
          <c:smooth val="0"/>
          <c:extLst>
            <c:ext xmlns:c16="http://schemas.microsoft.com/office/drawing/2014/chart" uri="{C3380CC4-5D6E-409C-BE32-E72D297353CC}">
              <c16:uniqueId val="{0000000C-A468-402C-A972-F343B67E3574}"/>
            </c:ext>
          </c:extLst>
        </c:ser>
        <c:ser>
          <c:idx val="5"/>
          <c:order val="5"/>
          <c:tx>
            <c:strRef>
              <c:f>'Syr Eidam'!$M$3</c:f>
              <c:strCache>
                <c:ptCount val="1"/>
                <c:pt idx="0">
                  <c:v>DE</c:v>
                </c:pt>
              </c:strCache>
            </c:strRef>
          </c:tx>
          <c:spPr>
            <a:ln w="19050" cap="rnd">
              <a:solidFill>
                <a:srgbClr val="7030A0"/>
              </a:solidFill>
              <a:round/>
            </a:ln>
            <a:effectLst/>
          </c:spPr>
          <c:marker>
            <c:symbol val="none"/>
          </c:marker>
          <c:dPt>
            <c:idx val="0"/>
            <c:marker>
              <c:symbol val="none"/>
            </c:marker>
            <c:bubble3D val="0"/>
            <c:extLst>
              <c:ext xmlns:c16="http://schemas.microsoft.com/office/drawing/2014/chart" uri="{C3380CC4-5D6E-409C-BE32-E72D297353CC}">
                <c16:uniqueId val="{0000000E-A468-402C-A972-F343B67E3574}"/>
              </c:ext>
            </c:extLst>
          </c:dPt>
          <c:cat>
            <c:numRef>
              <c:f>'Syr Eidam'!$G$4:$G$55</c:f>
              <c:numCache>
                <c:formatCode>m/d/yyyy</c:formatCode>
                <c:ptCount val="14"/>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45717</c:v>
                </c:pt>
                <c:pt idx="13">
                  <c:v>45748</c:v>
                </c:pt>
              </c:numCache>
            </c:numRef>
          </c:cat>
          <c:val>
            <c:numRef>
              <c:f>'Syr Eidam'!$M$4:$M$55</c:f>
              <c:numCache>
                <c:formatCode>#,##0</c:formatCode>
                <c:ptCount val="14"/>
                <c:pt idx="0">
                  <c:v>405.524</c:v>
                </c:pt>
                <c:pt idx="1">
                  <c:v>409.95</c:v>
                </c:pt>
                <c:pt idx="2">
                  <c:v>412.334</c:v>
                </c:pt>
                <c:pt idx="3">
                  <c:v>410.86799999999999</c:v>
                </c:pt>
                <c:pt idx="4">
                  <c:v>409.608</c:v>
                </c:pt>
                <c:pt idx="5">
                  <c:v>413.01</c:v>
                </c:pt>
                <c:pt idx="6">
                  <c:v>415.43400000000003</c:v>
                </c:pt>
                <c:pt idx="7">
                  <c:v>420.52600000000001</c:v>
                </c:pt>
                <c:pt idx="8">
                  <c:v>429</c:v>
                </c:pt>
                <c:pt idx="9">
                  <c:v>448</c:v>
                </c:pt>
                <c:pt idx="10">
                  <c:v>463</c:v>
                </c:pt>
                <c:pt idx="11">
                  <c:v>472</c:v>
                </c:pt>
                <c:pt idx="12">
                  <c:v>464</c:v>
                </c:pt>
                <c:pt idx="13">
                  <c:v>467</c:v>
                </c:pt>
              </c:numCache>
            </c:numRef>
          </c:val>
          <c:smooth val="0"/>
          <c:extLst>
            <c:ext xmlns:c16="http://schemas.microsoft.com/office/drawing/2014/chart" uri="{C3380CC4-5D6E-409C-BE32-E72D297353CC}">
              <c16:uniqueId val="{0000000F-A468-402C-A972-F343B67E3574}"/>
            </c:ext>
          </c:extLst>
        </c:ser>
        <c:ser>
          <c:idx val="6"/>
          <c:order val="6"/>
          <c:tx>
            <c:strRef>
              <c:f>'Syr Eidam'!$N$3</c:f>
              <c:strCache>
                <c:ptCount val="1"/>
                <c:pt idx="0">
                  <c:v>SK</c:v>
                </c:pt>
              </c:strCache>
            </c:strRef>
          </c:tx>
          <c:spPr>
            <a:ln w="28575" cap="rnd">
              <a:noFill/>
              <a:round/>
            </a:ln>
            <a:effectLst/>
          </c:spPr>
          <c:marker>
            <c:symbol val="circle"/>
            <c:size val="3"/>
            <c:spPr>
              <a:solidFill>
                <a:srgbClr val="2EAAE1"/>
              </a:solidFill>
              <a:ln w="9525">
                <a:solidFill>
                  <a:srgbClr val="2EAAE1"/>
                </a:solidFill>
              </a:ln>
              <a:effectLst/>
            </c:spPr>
          </c:marker>
          <c:cat>
            <c:numRef>
              <c:f>'Syr Eidam'!$G$4:$G$55</c:f>
              <c:numCache>
                <c:formatCode>m/d/yyyy</c:formatCode>
                <c:ptCount val="16"/>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pt idx="15">
                  <c:v>45748</c:v>
                </c:pt>
              </c:numCache>
            </c:numRef>
          </c:cat>
          <c:val>
            <c:numRef>
              <c:f>'Syr Eidam'!$N$4:$N$49</c:f>
              <c:numCache>
                <c:formatCode>General</c:formatCode>
                <c:ptCount val="10"/>
              </c:numCache>
            </c:numRef>
          </c:val>
          <c:smooth val="0"/>
          <c:extLst>
            <c:ext xmlns:c16="http://schemas.microsoft.com/office/drawing/2014/chart" uri="{C3380CC4-5D6E-409C-BE32-E72D297353CC}">
              <c16:uniqueId val="{00000010-A468-402C-A972-F343B67E3574}"/>
            </c:ext>
          </c:extLst>
        </c:ser>
        <c:ser>
          <c:idx val="7"/>
          <c:order val="7"/>
          <c:tx>
            <c:strRef>
              <c:f>'Syr Eidam'!$O$3</c:f>
              <c:strCache>
                <c:ptCount val="1"/>
                <c:pt idx="0">
                  <c:v>CZ</c:v>
                </c:pt>
              </c:strCache>
            </c:strRef>
          </c:tx>
          <c:spPr>
            <a:ln w="28575" cap="rnd">
              <a:noFill/>
              <a:round/>
            </a:ln>
            <a:effectLst/>
          </c:spPr>
          <c:marker>
            <c:symbol val="circle"/>
            <c:size val="3"/>
            <c:spPr>
              <a:solidFill>
                <a:srgbClr val="1AA380"/>
              </a:solidFill>
              <a:ln w="9525">
                <a:solidFill>
                  <a:srgbClr val="1AA380"/>
                </a:solidFill>
              </a:ln>
              <a:effectLst/>
            </c:spPr>
          </c:marker>
          <c:cat>
            <c:numRef>
              <c:f>'Syr Eidam'!$G$4:$G$55</c:f>
              <c:numCache>
                <c:formatCode>m/d/yyyy</c:formatCode>
                <c:ptCount val="16"/>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pt idx="15">
                  <c:v>45748</c:v>
                </c:pt>
              </c:numCache>
            </c:numRef>
          </c:cat>
          <c:val>
            <c:numRef>
              <c:f>'Syr Eidam'!$O$4:$O$49</c:f>
              <c:numCache>
                <c:formatCode>General</c:formatCode>
                <c:ptCount val="10"/>
              </c:numCache>
            </c:numRef>
          </c:val>
          <c:smooth val="0"/>
          <c:extLst>
            <c:ext xmlns:c16="http://schemas.microsoft.com/office/drawing/2014/chart" uri="{C3380CC4-5D6E-409C-BE32-E72D297353CC}">
              <c16:uniqueId val="{00000011-A468-402C-A972-F343B67E3574}"/>
            </c:ext>
          </c:extLst>
        </c:ser>
        <c:ser>
          <c:idx val="8"/>
          <c:order val="8"/>
          <c:tx>
            <c:strRef>
              <c:f>'Syr Eidam'!$P$3</c:f>
              <c:strCache>
                <c:ptCount val="1"/>
                <c:pt idx="0">
                  <c:v>HU</c:v>
                </c:pt>
              </c:strCache>
            </c:strRef>
          </c:tx>
          <c:spPr>
            <a:ln w="28575" cap="rnd">
              <a:noFill/>
              <a:round/>
            </a:ln>
            <a:effectLst/>
          </c:spPr>
          <c:marker>
            <c:symbol val="circle"/>
            <c:size val="3"/>
            <c:spPr>
              <a:solidFill>
                <a:srgbClr val="F2CA6D"/>
              </a:solidFill>
              <a:ln w="9525">
                <a:solidFill>
                  <a:srgbClr val="F2CA6D"/>
                </a:solidFill>
              </a:ln>
              <a:effectLst/>
            </c:spPr>
          </c:marker>
          <c:cat>
            <c:numRef>
              <c:f>'Syr Eidam'!$G$4:$G$55</c:f>
              <c:numCache>
                <c:formatCode>m/d/yyyy</c:formatCode>
                <c:ptCount val="16"/>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pt idx="15">
                  <c:v>45748</c:v>
                </c:pt>
              </c:numCache>
            </c:numRef>
          </c:cat>
          <c:val>
            <c:numRef>
              <c:f>'Syr Eidam'!$P$4:$P$49</c:f>
              <c:numCache>
                <c:formatCode>General</c:formatCode>
                <c:ptCount val="10"/>
              </c:numCache>
            </c:numRef>
          </c:val>
          <c:smooth val="0"/>
          <c:extLst>
            <c:ext xmlns:c16="http://schemas.microsoft.com/office/drawing/2014/chart" uri="{C3380CC4-5D6E-409C-BE32-E72D297353CC}">
              <c16:uniqueId val="{00000012-A468-402C-A972-F343B67E3574}"/>
            </c:ext>
          </c:extLst>
        </c:ser>
        <c:ser>
          <c:idx val="9"/>
          <c:order val="9"/>
          <c:tx>
            <c:strRef>
              <c:f>'Syr Eidam'!$Q$3</c:f>
              <c:strCache>
                <c:ptCount val="1"/>
                <c:pt idx="0">
                  <c:v>PL</c:v>
                </c:pt>
              </c:strCache>
            </c:strRef>
          </c:tx>
          <c:spPr>
            <a:ln w="28575" cap="rnd">
              <a:noFill/>
              <a:round/>
            </a:ln>
            <a:effectLst/>
          </c:spPr>
          <c:marker>
            <c:symbol val="circle"/>
            <c:size val="3"/>
            <c:spPr>
              <a:solidFill>
                <a:srgbClr val="E85477"/>
              </a:solidFill>
              <a:ln w="9525">
                <a:solidFill>
                  <a:srgbClr val="E85477"/>
                </a:solidFill>
              </a:ln>
              <a:effectLst/>
            </c:spPr>
          </c:marker>
          <c:cat>
            <c:numRef>
              <c:f>'Syr Eidam'!$G$4:$G$55</c:f>
              <c:numCache>
                <c:formatCode>m/d/yyyy</c:formatCode>
                <c:ptCount val="16"/>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pt idx="15">
                  <c:v>45748</c:v>
                </c:pt>
              </c:numCache>
            </c:numRef>
          </c:cat>
          <c:val>
            <c:numRef>
              <c:f>'Syr Eidam'!$Q$4:$Q$49</c:f>
              <c:numCache>
                <c:formatCode>General</c:formatCode>
                <c:ptCount val="10"/>
              </c:numCache>
            </c:numRef>
          </c:val>
          <c:smooth val="0"/>
          <c:extLst>
            <c:ext xmlns:c16="http://schemas.microsoft.com/office/drawing/2014/chart" uri="{C3380CC4-5D6E-409C-BE32-E72D297353CC}">
              <c16:uniqueId val="{00000013-A468-402C-A972-F343B67E3574}"/>
            </c:ext>
          </c:extLst>
        </c:ser>
        <c:ser>
          <c:idx val="10"/>
          <c:order val="10"/>
          <c:tx>
            <c:strRef>
              <c:f>'Syr Eidam'!$R$3</c:f>
              <c:strCache>
                <c:ptCount val="1"/>
                <c:pt idx="0">
                  <c:v>AT</c:v>
                </c:pt>
              </c:strCache>
            </c:strRef>
          </c:tx>
          <c:spPr>
            <a:ln w="28575" cap="rnd">
              <a:noFill/>
              <a:round/>
            </a:ln>
            <a:effectLst/>
          </c:spPr>
          <c:marker>
            <c:symbol val="circle"/>
            <c:size val="3"/>
            <c:spPr>
              <a:solidFill>
                <a:sysClr val="windowText" lastClr="000000"/>
              </a:solidFill>
              <a:ln w="9525">
                <a:solidFill>
                  <a:sysClr val="windowText" lastClr="000000"/>
                </a:solidFill>
              </a:ln>
              <a:effectLst/>
            </c:spPr>
          </c:marker>
          <c:cat>
            <c:numRef>
              <c:f>'Syr Eidam'!$G$4:$G$55</c:f>
              <c:numCache>
                <c:formatCode>m/d/yyyy</c:formatCode>
                <c:ptCount val="16"/>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pt idx="15">
                  <c:v>45748</c:v>
                </c:pt>
              </c:numCache>
            </c:numRef>
          </c:cat>
          <c:val>
            <c:numRef>
              <c:f>'Syr Eidam'!$R$4:$R$49</c:f>
              <c:numCache>
                <c:formatCode>General</c:formatCode>
                <c:ptCount val="10"/>
              </c:numCache>
            </c:numRef>
          </c:val>
          <c:smooth val="0"/>
          <c:extLst>
            <c:ext xmlns:c16="http://schemas.microsoft.com/office/drawing/2014/chart" uri="{C3380CC4-5D6E-409C-BE32-E72D297353CC}">
              <c16:uniqueId val="{00000014-A468-402C-A972-F343B67E3574}"/>
            </c:ext>
          </c:extLst>
        </c:ser>
        <c:ser>
          <c:idx val="11"/>
          <c:order val="11"/>
          <c:tx>
            <c:strRef>
              <c:f>'Syr Eidam'!$S$3</c:f>
              <c:strCache>
                <c:ptCount val="1"/>
                <c:pt idx="0">
                  <c:v>DE</c:v>
                </c:pt>
              </c:strCache>
            </c:strRef>
          </c:tx>
          <c:spPr>
            <a:ln w="28575" cap="rnd">
              <a:noFill/>
              <a:round/>
            </a:ln>
            <a:effectLst/>
          </c:spPr>
          <c:marker>
            <c:symbol val="circle"/>
            <c:size val="3"/>
            <c:spPr>
              <a:solidFill>
                <a:srgbClr val="7F7F7F"/>
              </a:solidFill>
              <a:ln w="9525">
                <a:solidFill>
                  <a:srgbClr val="7F7F7F"/>
                </a:solidFill>
              </a:ln>
              <a:effectLst/>
            </c:spPr>
          </c:marker>
          <c:cat>
            <c:numRef>
              <c:f>'Syr Eidam'!$G$4:$G$55</c:f>
              <c:numCache>
                <c:formatCode>m/d/yyyy</c:formatCode>
                <c:ptCount val="16"/>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pt idx="15">
                  <c:v>45748</c:v>
                </c:pt>
              </c:numCache>
            </c:numRef>
          </c:cat>
          <c:val>
            <c:numRef>
              <c:f>'Syr Eidam'!$S$4:$S$49</c:f>
              <c:numCache>
                <c:formatCode>General</c:formatCode>
                <c:ptCount val="10"/>
              </c:numCache>
            </c:numRef>
          </c:val>
          <c:smooth val="0"/>
          <c:extLst>
            <c:ext xmlns:c16="http://schemas.microsoft.com/office/drawing/2014/chart" uri="{C3380CC4-5D6E-409C-BE32-E72D297353CC}">
              <c16:uniqueId val="{00000015-A468-402C-A972-F343B67E3574}"/>
            </c:ext>
          </c:extLst>
        </c:ser>
        <c:dLbls>
          <c:showLegendKey val="0"/>
          <c:showVal val="0"/>
          <c:showCatName val="0"/>
          <c:showSerName val="0"/>
          <c:showPercent val="0"/>
          <c:showBubbleSize val="0"/>
        </c:dLbls>
        <c:smooth val="0"/>
        <c:axId val="545542928"/>
        <c:axId val="545543256"/>
      </c:lineChart>
      <c:dateAx>
        <c:axId val="545542928"/>
        <c:scaling>
          <c:orientation val="minMax"/>
          <c:max val="45627"/>
        </c:scaling>
        <c:delete val="0"/>
        <c:axPos val="b"/>
        <c:numFmt formatCode="m/yy" sourceLinked="0"/>
        <c:majorTickMark val="none"/>
        <c:minorTickMark val="none"/>
        <c:tickLblPos val="nextTo"/>
        <c:spPr>
          <a:noFill/>
          <a:ln w="12700" cap="flat" cmpd="sng" algn="ctr">
            <a:solidFill>
              <a:srgbClr val="7F7F7F"/>
            </a:solidFill>
            <a:round/>
          </a:ln>
          <a:effectLst/>
        </c:spPr>
        <c:txPr>
          <a:bodyPr rot="-2700000" spcFirstLastPara="1" vertOverflow="ellipsis" wrap="square" anchor="ctr" anchorCtr="1"/>
          <a:lstStyle/>
          <a:p>
            <a:pPr>
              <a:defRPr sz="900" b="0" i="0" u="none" strike="noStrike" kern="1200" baseline="0">
                <a:solidFill>
                  <a:schemeClr val="tx1">
                    <a:lumMod val="85000"/>
                    <a:lumOff val="15000"/>
                  </a:schemeClr>
                </a:solidFill>
                <a:latin typeface="+mn-lt"/>
                <a:ea typeface="+mn-ea"/>
                <a:cs typeface="+mn-cs"/>
              </a:defRPr>
            </a:pPr>
            <a:endParaRPr lang="sk-SK"/>
          </a:p>
        </c:txPr>
        <c:crossAx val="545543256"/>
        <c:crosses val="autoZero"/>
        <c:auto val="1"/>
        <c:lblOffset val="100"/>
        <c:baseTimeUnit val="months"/>
        <c:majorUnit val="1"/>
        <c:majorTimeUnit val="months"/>
      </c:dateAx>
      <c:valAx>
        <c:axId val="545543256"/>
        <c:scaling>
          <c:orientation val="minMax"/>
          <c:min val="250"/>
        </c:scaling>
        <c:delete val="0"/>
        <c:axPos val="l"/>
        <c:majorGridlines>
          <c:spPr>
            <a:ln w="9525" cap="flat" cmpd="sng" algn="ctr">
              <a:solidFill>
                <a:srgbClr val="7F7F7F">
                  <a:alpha val="25098"/>
                </a:srgbClr>
              </a:solidFill>
              <a:prstDash val="sysDot"/>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85000"/>
                    <a:lumOff val="15000"/>
                  </a:schemeClr>
                </a:solidFill>
                <a:latin typeface="+mn-lt"/>
                <a:ea typeface="+mn-ea"/>
                <a:cs typeface="+mn-cs"/>
              </a:defRPr>
            </a:pPr>
            <a:endParaRPr lang="sk-SK"/>
          </a:p>
        </c:txPr>
        <c:crossAx val="545542928"/>
        <c:crosses val="autoZero"/>
        <c:crossBetween val="midCat"/>
      </c:valAx>
      <c:spPr>
        <a:noFill/>
        <a:ln>
          <a:noFill/>
        </a:ln>
        <a:effectLst/>
      </c:spPr>
    </c:plotArea>
    <c:legend>
      <c:legendPos val="b"/>
      <c:legendEntry>
        <c:idx val="6"/>
        <c:delete val="1"/>
      </c:legendEntry>
      <c:legendEntry>
        <c:idx val="7"/>
        <c:delete val="1"/>
      </c:legendEntry>
      <c:legendEntry>
        <c:idx val="8"/>
        <c:delete val="1"/>
      </c:legendEntry>
      <c:legendEntry>
        <c:idx val="9"/>
        <c:delete val="1"/>
      </c:legendEntry>
      <c:legendEntry>
        <c:idx val="10"/>
        <c:delete val="1"/>
      </c:legendEntry>
      <c:legendEntry>
        <c:idx val="11"/>
        <c:delete val="1"/>
      </c:legendEntry>
      <c:layout>
        <c:manualLayout>
          <c:xMode val="edge"/>
          <c:yMode val="edge"/>
          <c:x val="1.4799731654415992E-2"/>
          <c:y val="0.88399978173864135"/>
          <c:w val="0.97501840785256266"/>
          <c:h val="7.9844749746745644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85000"/>
                  <a:lumOff val="15000"/>
                </a:schemeClr>
              </a:solidFill>
              <a:latin typeface="+mn-lt"/>
              <a:ea typeface="+mn-ea"/>
              <a:cs typeface="+mn-cs"/>
            </a:defRPr>
          </a:pPr>
          <a:endParaRPr lang="sk-SK"/>
        </a:p>
      </c:txPr>
    </c:legend>
    <c:plotVisOnly val="1"/>
    <c:dispBlanksAs val="gap"/>
    <c:showDLblsOverMax val="0"/>
  </c:chart>
  <c:spPr>
    <a:solidFill>
      <a:sysClr val="window" lastClr="FFFFFF"/>
    </a:solidFill>
    <a:ln w="9525" cap="flat" cmpd="sng" algn="ctr">
      <a:noFill/>
      <a:round/>
    </a:ln>
    <a:effectLst/>
  </c:spPr>
  <c:txPr>
    <a:bodyPr/>
    <a:lstStyle/>
    <a:p>
      <a:pPr>
        <a:defRPr>
          <a:solidFill>
            <a:schemeClr val="tx1">
              <a:lumMod val="85000"/>
              <a:lumOff val="15000"/>
            </a:schemeClr>
          </a:solidFill>
        </a:defRPr>
      </a:pPr>
      <a:endParaRPr lang="sk-SK"/>
    </a:p>
  </c:txPr>
  <c:externalData r:id="rId4">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7498536396104911"/>
          <c:y val="3.463127165850801E-2"/>
          <c:w val="0.70344059500261547"/>
          <c:h val="0.56720952893177579"/>
        </c:manualLayout>
      </c:layout>
      <c:lineChart>
        <c:grouping val="standard"/>
        <c:varyColors val="0"/>
        <c:ser>
          <c:idx val="0"/>
          <c:order val="0"/>
          <c:tx>
            <c:strRef>
              <c:f>Maslo!$X$3</c:f>
              <c:strCache>
                <c:ptCount val="1"/>
                <c:pt idx="0">
                  <c:v>SK - skenery</c:v>
                </c:pt>
              </c:strCache>
            </c:strRef>
          </c:tx>
          <c:spPr>
            <a:ln w="28575" cap="rnd">
              <a:solidFill>
                <a:schemeClr val="accent1"/>
              </a:solidFill>
              <a:round/>
            </a:ln>
            <a:effectLst/>
          </c:spPr>
          <c:marker>
            <c:symbol val="none"/>
          </c:marker>
          <c:dPt>
            <c:idx val="0"/>
            <c:marker>
              <c:symbol val="none"/>
            </c:marker>
            <c:bubble3D val="0"/>
            <c:extLst>
              <c:ext xmlns:c16="http://schemas.microsoft.com/office/drawing/2014/chart" uri="{C3380CC4-5D6E-409C-BE32-E72D297353CC}">
                <c16:uniqueId val="{00000002-890E-4DA8-8CE8-7F3759358069}"/>
              </c:ext>
            </c:extLst>
          </c:dPt>
          <c:cat>
            <c:numRef>
              <c:f>Maslo!$W$4:$W$55</c:f>
              <c:numCache>
                <c:formatCode>m/d/yyyy</c:formatCode>
                <c:ptCount val="14"/>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45717</c:v>
                </c:pt>
                <c:pt idx="13">
                  <c:v>45748</c:v>
                </c:pt>
              </c:numCache>
            </c:numRef>
          </c:cat>
          <c:val>
            <c:numRef>
              <c:f>Maslo!$X$4:$X$55</c:f>
              <c:numCache>
                <c:formatCode>0.00</c:formatCode>
                <c:ptCount val="14"/>
                <c:pt idx="0">
                  <c:v>7.3090909090909078</c:v>
                </c:pt>
                <c:pt idx="1">
                  <c:v>7.0545454545454538</c:v>
                </c:pt>
                <c:pt idx="2">
                  <c:v>6.9090909090909083</c:v>
                </c:pt>
                <c:pt idx="3">
                  <c:v>6.7636363636363637</c:v>
                </c:pt>
                <c:pt idx="4">
                  <c:v>7.127272727272727</c:v>
                </c:pt>
                <c:pt idx="5">
                  <c:v>7.4909090909090903</c:v>
                </c:pt>
                <c:pt idx="6">
                  <c:v>8.254545454545454</c:v>
                </c:pt>
                <c:pt idx="7">
                  <c:v>8.9090909090909083</c:v>
                </c:pt>
                <c:pt idx="8">
                  <c:v>9.2363636363636363</c:v>
                </c:pt>
                <c:pt idx="9">
                  <c:v>10.036363636363635</c:v>
                </c:pt>
                <c:pt idx="10">
                  <c:v>9.6363636363636349</c:v>
                </c:pt>
                <c:pt idx="11">
                  <c:v>10.436363636363636</c:v>
                </c:pt>
                <c:pt idx="12">
                  <c:v>9.1047619047619044</c:v>
                </c:pt>
                <c:pt idx="13">
                  <c:v>9.0666666666666664</c:v>
                </c:pt>
              </c:numCache>
            </c:numRef>
          </c:val>
          <c:smooth val="0"/>
          <c:extLst>
            <c:ext xmlns:c16="http://schemas.microsoft.com/office/drawing/2014/chart" uri="{C3380CC4-5D6E-409C-BE32-E72D297353CC}">
              <c16:uniqueId val="{00000003-890E-4DA8-8CE8-7F3759358069}"/>
            </c:ext>
          </c:extLst>
        </c:ser>
        <c:ser>
          <c:idx val="1"/>
          <c:order val="1"/>
          <c:tx>
            <c:strRef>
              <c:f>Maslo!$Y$3</c:f>
              <c:strCache>
                <c:ptCount val="1"/>
                <c:pt idx="0">
                  <c:v>SK - pôvodné</c:v>
                </c:pt>
              </c:strCache>
            </c:strRef>
          </c:tx>
          <c:spPr>
            <a:ln w="28575" cap="rnd">
              <a:solidFill>
                <a:schemeClr val="accent2"/>
              </a:solidFill>
              <a:round/>
            </a:ln>
            <a:effectLst/>
          </c:spPr>
          <c:marker>
            <c:symbol val="none"/>
          </c:marker>
          <c:dPt>
            <c:idx val="0"/>
            <c:marker>
              <c:symbol val="none"/>
            </c:marker>
            <c:bubble3D val="0"/>
            <c:extLst>
              <c:ext xmlns:c16="http://schemas.microsoft.com/office/drawing/2014/chart" uri="{C3380CC4-5D6E-409C-BE32-E72D297353CC}">
                <c16:uniqueId val="{00000006-890E-4DA8-8CE8-7F3759358069}"/>
              </c:ext>
            </c:extLst>
          </c:dPt>
          <c:cat>
            <c:numRef>
              <c:f>Maslo!$W$4:$W$55</c:f>
              <c:numCache>
                <c:formatCode>m/d/yyyy</c:formatCode>
                <c:ptCount val="16"/>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pt idx="15">
                  <c:v>45748</c:v>
                </c:pt>
              </c:numCache>
            </c:numRef>
          </c:cat>
          <c:val>
            <c:numRef>
              <c:f>Maslo!$Y$4:$Y$49</c:f>
              <c:numCache>
                <c:formatCode>General</c:formatCode>
                <c:ptCount val="10"/>
              </c:numCache>
            </c:numRef>
          </c:val>
          <c:smooth val="0"/>
          <c:extLst>
            <c:ext xmlns:c16="http://schemas.microsoft.com/office/drawing/2014/chart" uri="{C3380CC4-5D6E-409C-BE32-E72D297353CC}">
              <c16:uniqueId val="{00000007-890E-4DA8-8CE8-7F3759358069}"/>
            </c:ext>
          </c:extLst>
        </c:ser>
        <c:ser>
          <c:idx val="2"/>
          <c:order val="2"/>
          <c:tx>
            <c:strRef>
              <c:f>Maslo!$Z$3</c:f>
              <c:strCache>
                <c:ptCount val="1"/>
                <c:pt idx="0">
                  <c:v>CZ</c:v>
                </c:pt>
              </c:strCache>
            </c:strRef>
          </c:tx>
          <c:spPr>
            <a:ln w="28575" cap="rnd">
              <a:solidFill>
                <a:schemeClr val="accent3"/>
              </a:solidFill>
              <a:round/>
            </a:ln>
            <a:effectLst/>
          </c:spPr>
          <c:marker>
            <c:symbol val="none"/>
          </c:marker>
          <c:dPt>
            <c:idx val="0"/>
            <c:marker>
              <c:symbol val="none"/>
            </c:marker>
            <c:bubble3D val="0"/>
            <c:extLst>
              <c:ext xmlns:c16="http://schemas.microsoft.com/office/drawing/2014/chart" uri="{C3380CC4-5D6E-409C-BE32-E72D297353CC}">
                <c16:uniqueId val="{00000009-890E-4DA8-8CE8-7F3759358069}"/>
              </c:ext>
            </c:extLst>
          </c:dPt>
          <c:cat>
            <c:numRef>
              <c:f>Maslo!$W$4:$W$55</c:f>
              <c:numCache>
                <c:formatCode>m/d/yyyy</c:formatCode>
                <c:ptCount val="14"/>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45717</c:v>
                </c:pt>
                <c:pt idx="13">
                  <c:v>45748</c:v>
                </c:pt>
              </c:numCache>
            </c:numRef>
          </c:cat>
          <c:val>
            <c:numRef>
              <c:f>Maslo!$Z$4:$Z$55</c:f>
              <c:numCache>
                <c:formatCode>0.00</c:formatCode>
                <c:ptCount val="14"/>
                <c:pt idx="0">
                  <c:v>7.3186769807871546</c:v>
                </c:pt>
                <c:pt idx="1">
                  <c:v>6.7719390146397958</c:v>
                </c:pt>
                <c:pt idx="2">
                  <c:v>6.9604686979178938</c:v>
                </c:pt>
                <c:pt idx="3">
                  <c:v>7.099832471611335</c:v>
                </c:pt>
                <c:pt idx="4">
                  <c:v>7.300011737479875</c:v>
                </c:pt>
                <c:pt idx="5">
                  <c:v>7.4886453349326878</c:v>
                </c:pt>
                <c:pt idx="6">
                  <c:v>7.6352698521828817</c:v>
                </c:pt>
                <c:pt idx="7">
                  <c:v>7.8785916403516376</c:v>
                </c:pt>
                <c:pt idx="8">
                  <c:v>9.5293913043478273</c:v>
                </c:pt>
                <c:pt idx="9">
                  <c:v>9.454605217391304</c:v>
                </c:pt>
                <c:pt idx="10">
                  <c:v>9.7499113043478278</c:v>
                </c:pt>
                <c:pt idx="11">
                  <c:v>9.9126434782608701</c:v>
                </c:pt>
                <c:pt idx="12">
                  <c:v>9.2330173913043474</c:v>
                </c:pt>
                <c:pt idx="13">
                  <c:v>9.2612173913043474</c:v>
                </c:pt>
              </c:numCache>
            </c:numRef>
          </c:val>
          <c:smooth val="0"/>
          <c:extLst>
            <c:ext xmlns:c16="http://schemas.microsoft.com/office/drawing/2014/chart" uri="{C3380CC4-5D6E-409C-BE32-E72D297353CC}">
              <c16:uniqueId val="{0000000A-890E-4DA8-8CE8-7F3759358069}"/>
            </c:ext>
          </c:extLst>
        </c:ser>
        <c:ser>
          <c:idx val="3"/>
          <c:order val="3"/>
          <c:tx>
            <c:strRef>
              <c:f>Maslo!$AA$3</c:f>
              <c:strCache>
                <c:ptCount val="1"/>
                <c:pt idx="0">
                  <c:v>HU</c:v>
                </c:pt>
              </c:strCache>
            </c:strRef>
          </c:tx>
          <c:spPr>
            <a:ln w="28575" cap="rnd">
              <a:solidFill>
                <a:schemeClr val="accent4"/>
              </a:solidFill>
              <a:round/>
            </a:ln>
            <a:effectLst/>
          </c:spPr>
          <c:marker>
            <c:symbol val="none"/>
          </c:marker>
          <c:dPt>
            <c:idx val="0"/>
            <c:marker>
              <c:symbol val="none"/>
            </c:marker>
            <c:bubble3D val="0"/>
            <c:extLst>
              <c:ext xmlns:c16="http://schemas.microsoft.com/office/drawing/2014/chart" uri="{C3380CC4-5D6E-409C-BE32-E72D297353CC}">
                <c16:uniqueId val="{0000000B-890E-4DA8-8CE8-7F3759358069}"/>
              </c:ext>
            </c:extLst>
          </c:dPt>
          <c:cat>
            <c:numRef>
              <c:f>Maslo!$W$4:$W$55</c:f>
              <c:numCache>
                <c:formatCode>m/d/yyyy</c:formatCode>
                <c:ptCount val="14"/>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45717</c:v>
                </c:pt>
                <c:pt idx="13">
                  <c:v>45748</c:v>
                </c:pt>
              </c:numCache>
            </c:numRef>
          </c:cat>
          <c:val>
            <c:numRef>
              <c:f>Maslo!$AA$4:$AA$55</c:f>
              <c:numCache>
                <c:formatCode>0.00</c:formatCode>
                <c:ptCount val="14"/>
                <c:pt idx="0">
                  <c:v>13.775070715501652</c:v>
                </c:pt>
                <c:pt idx="1">
                  <c:v>13.07810114330405</c:v>
                </c:pt>
                <c:pt idx="2">
                  <c:v>12.442106663177158</c:v>
                </c:pt>
                <c:pt idx="3">
                  <c:v>12.884441762872589</c:v>
                </c:pt>
                <c:pt idx="4">
                  <c:v>12.733009992625774</c:v>
                </c:pt>
                <c:pt idx="5">
                  <c:v>12.414192265425569</c:v>
                </c:pt>
                <c:pt idx="6">
                  <c:v>11.3931142471738</c:v>
                </c:pt>
                <c:pt idx="7">
                  <c:v>12.410338983050847</c:v>
                </c:pt>
                <c:pt idx="8">
                  <c:v>13.09184745762712</c:v>
                </c:pt>
                <c:pt idx="9">
                  <c:v>13.178892737288136</c:v>
                </c:pt>
                <c:pt idx="10">
                  <c:v>12.755824576271188</c:v>
                </c:pt>
                <c:pt idx="11">
                  <c:v>14.707593220338982</c:v>
                </c:pt>
                <c:pt idx="12">
                  <c:v>14.011059322033898</c:v>
                </c:pt>
                <c:pt idx="13">
                  <c:v>11.047601694915254</c:v>
                </c:pt>
              </c:numCache>
            </c:numRef>
          </c:val>
          <c:smooth val="0"/>
          <c:extLst>
            <c:ext xmlns:c16="http://schemas.microsoft.com/office/drawing/2014/chart" uri="{C3380CC4-5D6E-409C-BE32-E72D297353CC}">
              <c16:uniqueId val="{0000000C-890E-4DA8-8CE8-7F3759358069}"/>
            </c:ext>
          </c:extLst>
        </c:ser>
        <c:ser>
          <c:idx val="4"/>
          <c:order val="4"/>
          <c:tx>
            <c:strRef>
              <c:f>Maslo!$AB$3</c:f>
              <c:strCache>
                <c:ptCount val="1"/>
                <c:pt idx="0">
                  <c:v>PL</c:v>
                </c:pt>
              </c:strCache>
            </c:strRef>
          </c:tx>
          <c:spPr>
            <a:ln w="28575" cap="rnd">
              <a:solidFill>
                <a:schemeClr val="accent5"/>
              </a:solidFill>
              <a:round/>
            </a:ln>
            <a:effectLst/>
          </c:spPr>
          <c:marker>
            <c:symbol val="none"/>
          </c:marker>
          <c:cat>
            <c:numRef>
              <c:f>Maslo!$W$4:$W$55</c:f>
              <c:numCache>
                <c:formatCode>m/d/yyyy</c:formatCode>
                <c:ptCount val="14"/>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45717</c:v>
                </c:pt>
                <c:pt idx="13">
                  <c:v>45748</c:v>
                </c:pt>
              </c:numCache>
            </c:numRef>
          </c:cat>
          <c:val>
            <c:numRef>
              <c:f>Maslo!$AB$4:$AB$55</c:f>
              <c:numCache>
                <c:formatCode>0.00</c:formatCode>
                <c:ptCount val="14"/>
                <c:pt idx="0">
                  <c:v>8.0475696798117937</c:v>
                </c:pt>
                <c:pt idx="1">
                  <c:v>8.0330988993085874</c:v>
                </c:pt>
                <c:pt idx="2">
                  <c:v>7.9897186566124203</c:v>
                </c:pt>
                <c:pt idx="3">
                  <c:v>7.9771935346008114</c:v>
                </c:pt>
                <c:pt idx="4">
                  <c:v>8.0748690952882409</c:v>
                </c:pt>
                <c:pt idx="5">
                  <c:v>8.1356739380630447</c:v>
                </c:pt>
                <c:pt idx="6">
                  <c:v>8.3625146220714885</c:v>
                </c:pt>
                <c:pt idx="7">
                  <c:v>8.5658190476190459</c:v>
                </c:pt>
                <c:pt idx="8">
                  <c:v>9.1204666666666654</c:v>
                </c:pt>
                <c:pt idx="9">
                  <c:v>9.6297031714285701</c:v>
                </c:pt>
                <c:pt idx="10">
                  <c:v>9.8058952380952373</c:v>
                </c:pt>
                <c:pt idx="11">
                  <c:v>10.716066666666666</c:v>
                </c:pt>
                <c:pt idx="12">
                  <c:v>10.396027619047619</c:v>
                </c:pt>
                <c:pt idx="13">
                  <c:v>10.306114285714285</c:v>
                </c:pt>
              </c:numCache>
            </c:numRef>
          </c:val>
          <c:smooth val="0"/>
          <c:extLst>
            <c:ext xmlns:c16="http://schemas.microsoft.com/office/drawing/2014/chart" uri="{C3380CC4-5D6E-409C-BE32-E72D297353CC}">
              <c16:uniqueId val="{0000000D-890E-4DA8-8CE8-7F3759358069}"/>
            </c:ext>
          </c:extLst>
        </c:ser>
        <c:ser>
          <c:idx val="5"/>
          <c:order val="5"/>
          <c:tx>
            <c:strRef>
              <c:f>Maslo!$AC$3</c:f>
              <c:strCache>
                <c:ptCount val="1"/>
                <c:pt idx="0">
                  <c:v>SK - skenery</c:v>
                </c:pt>
              </c:strCache>
            </c:strRef>
          </c:tx>
          <c:spPr>
            <a:ln w="28575" cap="rnd">
              <a:noFill/>
              <a:round/>
            </a:ln>
            <a:effectLst/>
          </c:spPr>
          <c:marker>
            <c:symbol val="circle"/>
            <c:size val="6"/>
            <c:spPr>
              <a:solidFill>
                <a:srgbClr val="2EAAE1"/>
              </a:solidFill>
              <a:ln w="9525">
                <a:solidFill>
                  <a:srgbClr val="2EAAE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2EAAE1"/>
                    </a:solidFill>
                    <a:latin typeface="+mn-lt"/>
                    <a:ea typeface="+mn-ea"/>
                    <a:cs typeface="+mn-cs"/>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Maslo!$W$4:$W$55</c:f>
              <c:numCache>
                <c:formatCode>m/d/yyyy</c:formatCode>
                <c:ptCount val="16"/>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pt idx="15">
                  <c:v>45748</c:v>
                </c:pt>
              </c:numCache>
            </c:numRef>
          </c:cat>
          <c:val>
            <c:numRef>
              <c:f>Maslo!$AC$4:$AC$49</c:f>
              <c:numCache>
                <c:formatCode>General</c:formatCode>
                <c:ptCount val="10"/>
              </c:numCache>
            </c:numRef>
          </c:val>
          <c:smooth val="0"/>
          <c:extLst>
            <c:ext xmlns:c16="http://schemas.microsoft.com/office/drawing/2014/chart" uri="{C3380CC4-5D6E-409C-BE32-E72D297353CC}">
              <c16:uniqueId val="{0000000E-890E-4DA8-8CE8-7F3759358069}"/>
            </c:ext>
          </c:extLst>
        </c:ser>
        <c:ser>
          <c:idx val="6"/>
          <c:order val="6"/>
          <c:tx>
            <c:strRef>
              <c:f>Maslo!$AD$3</c:f>
              <c:strCache>
                <c:ptCount val="1"/>
                <c:pt idx="0">
                  <c:v>CZ</c:v>
                </c:pt>
              </c:strCache>
            </c:strRef>
          </c:tx>
          <c:spPr>
            <a:ln w="28575" cap="rnd">
              <a:noFill/>
              <a:round/>
            </a:ln>
            <a:effectLst/>
          </c:spPr>
          <c:marker>
            <c:symbol val="circle"/>
            <c:size val="6"/>
            <c:spPr>
              <a:solidFill>
                <a:srgbClr val="1AA380"/>
              </a:solidFill>
              <a:ln w="9525">
                <a:solidFill>
                  <a:srgbClr val="1AA380"/>
                </a:solidFill>
              </a:ln>
              <a:effectLst/>
            </c:spPr>
          </c:marker>
          <c:cat>
            <c:numRef>
              <c:f>Maslo!$W$4:$W$55</c:f>
              <c:numCache>
                <c:formatCode>m/d/yyyy</c:formatCode>
                <c:ptCount val="16"/>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pt idx="15">
                  <c:v>45748</c:v>
                </c:pt>
              </c:numCache>
            </c:numRef>
          </c:cat>
          <c:val>
            <c:numRef>
              <c:f>Maslo!$AD$4:$AD$49</c:f>
              <c:numCache>
                <c:formatCode>General</c:formatCode>
                <c:ptCount val="10"/>
              </c:numCache>
            </c:numRef>
          </c:val>
          <c:smooth val="0"/>
          <c:extLst>
            <c:ext xmlns:c16="http://schemas.microsoft.com/office/drawing/2014/chart" uri="{C3380CC4-5D6E-409C-BE32-E72D297353CC}">
              <c16:uniqueId val="{0000000F-890E-4DA8-8CE8-7F3759358069}"/>
            </c:ext>
          </c:extLst>
        </c:ser>
        <c:ser>
          <c:idx val="7"/>
          <c:order val="7"/>
          <c:tx>
            <c:strRef>
              <c:f>Maslo!$AE$3</c:f>
              <c:strCache>
                <c:ptCount val="1"/>
                <c:pt idx="0">
                  <c:v>HU</c:v>
                </c:pt>
              </c:strCache>
            </c:strRef>
          </c:tx>
          <c:spPr>
            <a:ln w="28575" cap="rnd">
              <a:noFill/>
              <a:round/>
            </a:ln>
            <a:effectLst/>
          </c:spPr>
          <c:marker>
            <c:symbol val="circle"/>
            <c:size val="6"/>
            <c:spPr>
              <a:solidFill>
                <a:srgbClr val="F2CA6D"/>
              </a:solidFill>
              <a:ln w="9525">
                <a:solidFill>
                  <a:srgbClr val="F2CA6D"/>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F2CA6D"/>
                    </a:solidFill>
                    <a:latin typeface="+mn-lt"/>
                    <a:ea typeface="+mn-ea"/>
                    <a:cs typeface="+mn-cs"/>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Maslo!$W$4:$W$55</c:f>
              <c:numCache>
                <c:formatCode>m/d/yyyy</c:formatCode>
                <c:ptCount val="16"/>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pt idx="15">
                  <c:v>45748</c:v>
                </c:pt>
              </c:numCache>
            </c:numRef>
          </c:cat>
          <c:val>
            <c:numRef>
              <c:f>Maslo!$AE$4:$AE$49</c:f>
              <c:numCache>
                <c:formatCode>General</c:formatCode>
                <c:ptCount val="10"/>
              </c:numCache>
            </c:numRef>
          </c:val>
          <c:smooth val="0"/>
          <c:extLst>
            <c:ext xmlns:c16="http://schemas.microsoft.com/office/drawing/2014/chart" uri="{C3380CC4-5D6E-409C-BE32-E72D297353CC}">
              <c16:uniqueId val="{00000010-890E-4DA8-8CE8-7F3759358069}"/>
            </c:ext>
          </c:extLst>
        </c:ser>
        <c:ser>
          <c:idx val="8"/>
          <c:order val="8"/>
          <c:tx>
            <c:strRef>
              <c:f>Maslo!$AF$3</c:f>
              <c:strCache>
                <c:ptCount val="1"/>
                <c:pt idx="0">
                  <c:v>PL</c:v>
                </c:pt>
              </c:strCache>
            </c:strRef>
          </c:tx>
          <c:spPr>
            <a:ln w="28575" cap="rnd">
              <a:noFill/>
              <a:round/>
            </a:ln>
            <a:effectLst/>
          </c:spPr>
          <c:marker>
            <c:symbol val="circle"/>
            <c:size val="6"/>
            <c:spPr>
              <a:solidFill>
                <a:srgbClr val="E85477"/>
              </a:solidFill>
              <a:ln w="9525">
                <a:solidFill>
                  <a:srgbClr val="E85477"/>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E85477"/>
                    </a:solidFill>
                    <a:latin typeface="+mn-lt"/>
                    <a:ea typeface="+mn-ea"/>
                    <a:cs typeface="+mn-cs"/>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Maslo!$W$4:$W$55</c:f>
              <c:numCache>
                <c:formatCode>m/d/yyyy</c:formatCode>
                <c:ptCount val="16"/>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pt idx="15">
                  <c:v>45748</c:v>
                </c:pt>
              </c:numCache>
            </c:numRef>
          </c:cat>
          <c:val>
            <c:numRef>
              <c:f>Maslo!$AF$4:$AF$49</c:f>
              <c:numCache>
                <c:formatCode>General</c:formatCode>
                <c:ptCount val="10"/>
              </c:numCache>
            </c:numRef>
          </c:val>
          <c:smooth val="0"/>
          <c:extLst>
            <c:ext xmlns:c16="http://schemas.microsoft.com/office/drawing/2014/chart" uri="{C3380CC4-5D6E-409C-BE32-E72D297353CC}">
              <c16:uniqueId val="{00000011-890E-4DA8-8CE8-7F3759358069}"/>
            </c:ext>
          </c:extLst>
        </c:ser>
        <c:dLbls>
          <c:showLegendKey val="0"/>
          <c:showVal val="0"/>
          <c:showCatName val="0"/>
          <c:showSerName val="0"/>
          <c:showPercent val="0"/>
          <c:showBubbleSize val="0"/>
        </c:dLbls>
        <c:smooth val="0"/>
        <c:axId val="545542928"/>
        <c:axId val="545543256"/>
      </c:lineChart>
      <c:dateAx>
        <c:axId val="545542928"/>
        <c:scaling>
          <c:orientation val="minMax"/>
          <c:max val="45627"/>
        </c:scaling>
        <c:delete val="0"/>
        <c:axPos val="b"/>
        <c:numFmt formatCode="m/yy" sourceLinked="0"/>
        <c:majorTickMark val="none"/>
        <c:minorTickMark val="none"/>
        <c:tickLblPos val="nextTo"/>
        <c:spPr>
          <a:noFill/>
          <a:ln w="12700" cap="flat" cmpd="sng" algn="ctr">
            <a:solidFill>
              <a:srgbClr val="7F7F7F"/>
            </a:solidFill>
            <a:round/>
          </a:ln>
          <a:effectLst/>
        </c:spPr>
        <c:txPr>
          <a:bodyPr rot="-5400000" spcFirstLastPara="1" vertOverflow="ellipsis" wrap="square" anchor="ctr" anchorCtr="1"/>
          <a:lstStyle/>
          <a:p>
            <a:pPr>
              <a:defRPr sz="900" b="0" i="0" u="none" strike="noStrike" kern="1200" baseline="0">
                <a:solidFill>
                  <a:schemeClr val="tx1">
                    <a:lumMod val="85000"/>
                    <a:lumOff val="15000"/>
                  </a:schemeClr>
                </a:solidFill>
                <a:latin typeface="+mn-lt"/>
                <a:ea typeface="+mn-ea"/>
                <a:cs typeface="+mn-cs"/>
              </a:defRPr>
            </a:pPr>
            <a:endParaRPr lang="sk-SK"/>
          </a:p>
        </c:txPr>
        <c:crossAx val="545543256"/>
        <c:crosses val="autoZero"/>
        <c:auto val="1"/>
        <c:lblOffset val="100"/>
        <c:baseTimeUnit val="months"/>
        <c:majorUnit val="1"/>
        <c:majorTimeUnit val="months"/>
      </c:dateAx>
      <c:valAx>
        <c:axId val="545543256"/>
        <c:scaling>
          <c:orientation val="minMax"/>
          <c:max val="18"/>
          <c:min val="4"/>
        </c:scaling>
        <c:delete val="0"/>
        <c:axPos val="l"/>
        <c:majorGridlines>
          <c:spPr>
            <a:ln w="9525" cap="flat" cmpd="sng" algn="ctr">
              <a:solidFill>
                <a:srgbClr val="7F7F7F">
                  <a:alpha val="25098"/>
                </a:srgbClr>
              </a:solidFill>
              <a:prstDash val="sysDot"/>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85000"/>
                    <a:lumOff val="15000"/>
                  </a:schemeClr>
                </a:solidFill>
                <a:latin typeface="+mn-lt"/>
                <a:ea typeface="+mn-ea"/>
                <a:cs typeface="+mn-cs"/>
              </a:defRPr>
            </a:pPr>
            <a:endParaRPr lang="sk-SK"/>
          </a:p>
        </c:txPr>
        <c:crossAx val="545542928"/>
        <c:crosses val="autoZero"/>
        <c:crossBetween val="midCat"/>
        <c:majorUnit val="2"/>
      </c:valAx>
      <c:spPr>
        <a:noFill/>
        <a:ln>
          <a:noFill/>
        </a:ln>
        <a:effectLst/>
      </c:spPr>
    </c:plotArea>
    <c:legend>
      <c:legendPos val="b"/>
      <c:legendEntry>
        <c:idx val="5"/>
        <c:delete val="1"/>
      </c:legendEntry>
      <c:legendEntry>
        <c:idx val="6"/>
        <c:delete val="1"/>
      </c:legendEntry>
      <c:legendEntry>
        <c:idx val="7"/>
        <c:delete val="1"/>
      </c:legendEntry>
      <c:legendEntry>
        <c:idx val="8"/>
        <c:delete val="1"/>
      </c:legendEntry>
      <c:layout>
        <c:manualLayout>
          <c:xMode val="edge"/>
          <c:yMode val="edge"/>
          <c:x val="0"/>
          <c:y val="0.78742677885470092"/>
          <c:w val="0.97650513218807999"/>
          <c:h val="0.1820142087840620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85000"/>
                  <a:lumOff val="15000"/>
                </a:schemeClr>
              </a:solidFill>
              <a:latin typeface="+mn-lt"/>
              <a:ea typeface="+mn-ea"/>
              <a:cs typeface="+mn-cs"/>
            </a:defRPr>
          </a:pPr>
          <a:endParaRPr lang="sk-SK"/>
        </a:p>
      </c:txPr>
    </c:legend>
    <c:plotVisOnly val="1"/>
    <c:dispBlanksAs val="gap"/>
    <c:showDLblsOverMax val="0"/>
  </c:chart>
  <c:spPr>
    <a:solidFill>
      <a:sysClr val="window" lastClr="FFFFFF"/>
    </a:solidFill>
    <a:ln w="9525" cap="flat" cmpd="sng" algn="ctr">
      <a:noFill/>
      <a:round/>
    </a:ln>
    <a:effectLst/>
  </c:spPr>
  <c:txPr>
    <a:bodyPr/>
    <a:lstStyle/>
    <a:p>
      <a:pPr>
        <a:defRPr>
          <a:solidFill>
            <a:schemeClr val="tx1">
              <a:lumMod val="85000"/>
              <a:lumOff val="15000"/>
            </a:schemeClr>
          </a:solidFill>
        </a:defRPr>
      </a:pPr>
      <a:endParaRPr lang="sk-SK"/>
    </a:p>
  </c:txPr>
  <c:externalData r:id="rId4">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551239525777141"/>
          <c:y val="5.3349798212137596E-2"/>
          <c:w val="0.82950123456790126"/>
          <c:h val="0.63757389368882078"/>
        </c:manualLayout>
      </c:layout>
      <c:lineChart>
        <c:grouping val="standard"/>
        <c:varyColors val="0"/>
        <c:ser>
          <c:idx val="0"/>
          <c:order val="0"/>
          <c:tx>
            <c:strRef>
              <c:f>Maslo!$H$3</c:f>
              <c:strCache>
                <c:ptCount val="1"/>
                <c:pt idx="0">
                  <c:v>SK</c:v>
                </c:pt>
              </c:strCache>
            </c:strRef>
          </c:tx>
          <c:spPr>
            <a:ln w="19050" cap="rnd">
              <a:solidFill>
                <a:schemeClr val="accent1"/>
              </a:solidFill>
              <a:round/>
            </a:ln>
            <a:effectLst/>
          </c:spPr>
          <c:marker>
            <c:symbol val="none"/>
          </c:marker>
          <c:cat>
            <c:numRef>
              <c:f>Maslo!$G$4:$G$55</c:f>
              <c:numCache>
                <c:formatCode>m/d/yyyy</c:formatCode>
                <c:ptCount val="14"/>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45717</c:v>
                </c:pt>
                <c:pt idx="13">
                  <c:v>45748</c:v>
                </c:pt>
              </c:numCache>
            </c:numRef>
          </c:cat>
          <c:val>
            <c:numRef>
              <c:f>Maslo!$H$4:$H$55</c:f>
              <c:numCache>
                <c:formatCode>#,##0</c:formatCode>
                <c:ptCount val="14"/>
                <c:pt idx="0">
                  <c:v>612.23</c:v>
                </c:pt>
                <c:pt idx="1">
                  <c:v>621.98800000000006</c:v>
                </c:pt>
                <c:pt idx="2">
                  <c:v>626.90200000000004</c:v>
                </c:pt>
                <c:pt idx="3">
                  <c:v>634.33799999999997</c:v>
                </c:pt>
                <c:pt idx="4">
                  <c:v>622.89200000000005</c:v>
                </c:pt>
                <c:pt idx="5">
                  <c:v>640.77250000000004</c:v>
                </c:pt>
                <c:pt idx="6">
                  <c:v>671.94200000000001</c:v>
                </c:pt>
                <c:pt idx="7">
                  <c:v>705.702</c:v>
                </c:pt>
                <c:pt idx="8">
                  <c:v>740</c:v>
                </c:pt>
                <c:pt idx="9">
                  <c:v>760</c:v>
                </c:pt>
                <c:pt idx="10">
                  <c:v>781</c:v>
                </c:pt>
                <c:pt idx="12">
                  <c:v>748</c:v>
                </c:pt>
                <c:pt idx="13">
                  <c:v>736</c:v>
                </c:pt>
              </c:numCache>
            </c:numRef>
          </c:val>
          <c:smooth val="0"/>
          <c:extLst>
            <c:ext xmlns:c16="http://schemas.microsoft.com/office/drawing/2014/chart" uri="{C3380CC4-5D6E-409C-BE32-E72D297353CC}">
              <c16:uniqueId val="{00000001-D082-4B6D-A288-7ABEB0089642}"/>
            </c:ext>
          </c:extLst>
        </c:ser>
        <c:ser>
          <c:idx val="1"/>
          <c:order val="1"/>
          <c:tx>
            <c:strRef>
              <c:f>Maslo!$I$3</c:f>
              <c:strCache>
                <c:ptCount val="1"/>
                <c:pt idx="0">
                  <c:v>CZ</c:v>
                </c:pt>
              </c:strCache>
            </c:strRef>
          </c:tx>
          <c:spPr>
            <a:ln w="19050" cap="rnd">
              <a:solidFill>
                <a:srgbClr val="1AA380"/>
              </a:solidFill>
              <a:round/>
            </a:ln>
            <a:effectLst/>
          </c:spPr>
          <c:marker>
            <c:symbol val="none"/>
          </c:marker>
          <c:dPt>
            <c:idx val="0"/>
            <c:marker>
              <c:symbol val="none"/>
            </c:marker>
            <c:bubble3D val="0"/>
            <c:extLst>
              <c:ext xmlns:c16="http://schemas.microsoft.com/office/drawing/2014/chart" uri="{C3380CC4-5D6E-409C-BE32-E72D297353CC}">
                <c16:uniqueId val="{00000003-D082-4B6D-A288-7ABEB0089642}"/>
              </c:ext>
            </c:extLst>
          </c:dPt>
          <c:cat>
            <c:numRef>
              <c:f>Maslo!$G$4:$G$55</c:f>
              <c:numCache>
                <c:formatCode>m/d/yyyy</c:formatCode>
                <c:ptCount val="14"/>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45717</c:v>
                </c:pt>
                <c:pt idx="13">
                  <c:v>45748</c:v>
                </c:pt>
              </c:numCache>
            </c:numRef>
          </c:cat>
          <c:val>
            <c:numRef>
              <c:f>Maslo!$I$4:$I$55</c:f>
              <c:numCache>
                <c:formatCode>#,##0</c:formatCode>
                <c:ptCount val="14"/>
                <c:pt idx="0">
                  <c:v>658.86</c:v>
                </c:pt>
                <c:pt idx="1">
                  <c:v>635.99800000000005</c:v>
                </c:pt>
                <c:pt idx="2">
                  <c:v>606.33199999999999</c:v>
                </c:pt>
                <c:pt idx="3">
                  <c:v>656.00199999999995</c:v>
                </c:pt>
                <c:pt idx="4">
                  <c:v>657.67</c:v>
                </c:pt>
                <c:pt idx="5">
                  <c:v>664.42499999999995</c:v>
                </c:pt>
                <c:pt idx="6">
                  <c:v>639.18600000000004</c:v>
                </c:pt>
                <c:pt idx="7">
                  <c:v>662.18399999999997</c:v>
                </c:pt>
                <c:pt idx="8">
                  <c:v>774</c:v>
                </c:pt>
                <c:pt idx="9">
                  <c:v>845</c:v>
                </c:pt>
                <c:pt idx="10">
                  <c:v>862</c:v>
                </c:pt>
                <c:pt idx="11">
                  <c:v>858</c:v>
                </c:pt>
                <c:pt idx="12">
                  <c:v>812</c:v>
                </c:pt>
                <c:pt idx="13">
                  <c:v>845</c:v>
                </c:pt>
              </c:numCache>
            </c:numRef>
          </c:val>
          <c:smooth val="0"/>
          <c:extLst>
            <c:ext xmlns:c16="http://schemas.microsoft.com/office/drawing/2014/chart" uri="{C3380CC4-5D6E-409C-BE32-E72D297353CC}">
              <c16:uniqueId val="{00000004-D082-4B6D-A288-7ABEB0089642}"/>
            </c:ext>
          </c:extLst>
        </c:ser>
        <c:ser>
          <c:idx val="2"/>
          <c:order val="2"/>
          <c:tx>
            <c:strRef>
              <c:f>Maslo!$J$3</c:f>
              <c:strCache>
                <c:ptCount val="1"/>
                <c:pt idx="0">
                  <c:v>HU</c:v>
                </c:pt>
              </c:strCache>
            </c:strRef>
          </c:tx>
          <c:spPr>
            <a:ln w="19050" cap="rnd">
              <a:solidFill>
                <a:srgbClr val="F2CA6D"/>
              </a:solidFill>
              <a:round/>
            </a:ln>
            <a:effectLst/>
          </c:spPr>
          <c:marker>
            <c:symbol val="none"/>
          </c:marker>
          <c:dPt>
            <c:idx val="0"/>
            <c:marker>
              <c:symbol val="none"/>
            </c:marker>
            <c:bubble3D val="0"/>
            <c:extLst>
              <c:ext xmlns:c16="http://schemas.microsoft.com/office/drawing/2014/chart" uri="{C3380CC4-5D6E-409C-BE32-E72D297353CC}">
                <c16:uniqueId val="{00000006-D082-4B6D-A288-7ABEB0089642}"/>
              </c:ext>
            </c:extLst>
          </c:dPt>
          <c:cat>
            <c:numRef>
              <c:f>Maslo!$G$4:$G$55</c:f>
              <c:numCache>
                <c:formatCode>m/d/yyyy</c:formatCode>
                <c:ptCount val="16"/>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pt idx="15">
                  <c:v>45748</c:v>
                </c:pt>
              </c:numCache>
            </c:numRef>
          </c:cat>
          <c:val>
            <c:numRef>
              <c:f>Maslo!$J$4:$J$49</c:f>
              <c:numCache>
                <c:formatCode>General</c:formatCode>
                <c:ptCount val="10"/>
              </c:numCache>
            </c:numRef>
          </c:val>
          <c:smooth val="0"/>
          <c:extLst>
            <c:ext xmlns:c16="http://schemas.microsoft.com/office/drawing/2014/chart" uri="{C3380CC4-5D6E-409C-BE32-E72D297353CC}">
              <c16:uniqueId val="{00000007-D082-4B6D-A288-7ABEB0089642}"/>
            </c:ext>
          </c:extLst>
        </c:ser>
        <c:ser>
          <c:idx val="3"/>
          <c:order val="3"/>
          <c:tx>
            <c:strRef>
              <c:f>Maslo!$K$3</c:f>
              <c:strCache>
                <c:ptCount val="1"/>
                <c:pt idx="0">
                  <c:v>PL</c:v>
                </c:pt>
              </c:strCache>
            </c:strRef>
          </c:tx>
          <c:spPr>
            <a:ln w="19050" cap="rnd">
              <a:solidFill>
                <a:srgbClr val="E85477"/>
              </a:solidFill>
              <a:round/>
            </a:ln>
            <a:effectLst/>
          </c:spPr>
          <c:marker>
            <c:symbol val="none"/>
          </c:marker>
          <c:dPt>
            <c:idx val="0"/>
            <c:marker>
              <c:symbol val="none"/>
            </c:marker>
            <c:bubble3D val="0"/>
            <c:extLst>
              <c:ext xmlns:c16="http://schemas.microsoft.com/office/drawing/2014/chart" uri="{C3380CC4-5D6E-409C-BE32-E72D297353CC}">
                <c16:uniqueId val="{00000009-D082-4B6D-A288-7ABEB0089642}"/>
              </c:ext>
            </c:extLst>
          </c:dPt>
          <c:cat>
            <c:numRef>
              <c:f>Maslo!$G$4:$G$55</c:f>
              <c:numCache>
                <c:formatCode>m/d/yyyy</c:formatCode>
                <c:ptCount val="14"/>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45717</c:v>
                </c:pt>
                <c:pt idx="13">
                  <c:v>45748</c:v>
                </c:pt>
              </c:numCache>
            </c:numRef>
          </c:cat>
          <c:val>
            <c:numRef>
              <c:f>Maslo!$K$4:$K$55</c:f>
              <c:numCache>
                <c:formatCode>#,##0</c:formatCode>
                <c:ptCount val="14"/>
                <c:pt idx="0">
                  <c:v>538.47199999999998</c:v>
                </c:pt>
                <c:pt idx="1">
                  <c:v>537.41750000000002</c:v>
                </c:pt>
                <c:pt idx="2">
                  <c:v>558.51199999999994</c:v>
                </c:pt>
                <c:pt idx="3">
                  <c:v>556.88400000000001</c:v>
                </c:pt>
                <c:pt idx="4">
                  <c:v>574.32799999999997</c:v>
                </c:pt>
                <c:pt idx="5">
                  <c:v>609.02499999999998</c:v>
                </c:pt>
                <c:pt idx="6">
                  <c:v>622.49</c:v>
                </c:pt>
                <c:pt idx="7">
                  <c:v>672.23800000000006</c:v>
                </c:pt>
                <c:pt idx="8">
                  <c:v>727</c:v>
                </c:pt>
                <c:pt idx="9">
                  <c:v>764</c:v>
                </c:pt>
                <c:pt idx="10">
                  <c:v>817</c:v>
                </c:pt>
                <c:pt idx="11">
                  <c:v>816</c:v>
                </c:pt>
                <c:pt idx="12">
                  <c:v>713</c:v>
                </c:pt>
                <c:pt idx="13">
                  <c:v>720</c:v>
                </c:pt>
              </c:numCache>
            </c:numRef>
          </c:val>
          <c:smooth val="0"/>
          <c:extLst>
            <c:ext xmlns:c16="http://schemas.microsoft.com/office/drawing/2014/chart" uri="{C3380CC4-5D6E-409C-BE32-E72D297353CC}">
              <c16:uniqueId val="{0000000A-D082-4B6D-A288-7ABEB0089642}"/>
            </c:ext>
          </c:extLst>
        </c:ser>
        <c:ser>
          <c:idx val="4"/>
          <c:order val="4"/>
          <c:tx>
            <c:strRef>
              <c:f>Maslo!$L$3</c:f>
              <c:strCache>
                <c:ptCount val="1"/>
                <c:pt idx="0">
                  <c:v>AT</c:v>
                </c:pt>
              </c:strCache>
            </c:strRef>
          </c:tx>
          <c:spPr>
            <a:ln w="19050" cap="rnd">
              <a:solidFill>
                <a:sysClr val="windowText" lastClr="000000"/>
              </a:solidFill>
              <a:round/>
            </a:ln>
            <a:effectLst/>
          </c:spPr>
          <c:marker>
            <c:symbol val="none"/>
          </c:marker>
          <c:dPt>
            <c:idx val="0"/>
            <c:marker>
              <c:symbol val="none"/>
            </c:marker>
            <c:bubble3D val="0"/>
            <c:extLst>
              <c:ext xmlns:c16="http://schemas.microsoft.com/office/drawing/2014/chart" uri="{C3380CC4-5D6E-409C-BE32-E72D297353CC}">
                <c16:uniqueId val="{0000000B-D082-4B6D-A288-7ABEB0089642}"/>
              </c:ext>
            </c:extLst>
          </c:dPt>
          <c:cat>
            <c:numRef>
              <c:f>Maslo!$G$4:$G$55</c:f>
              <c:numCache>
                <c:formatCode>m/d/yyyy</c:formatCode>
                <c:ptCount val="16"/>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pt idx="15">
                  <c:v>45748</c:v>
                </c:pt>
              </c:numCache>
            </c:numRef>
          </c:cat>
          <c:val>
            <c:numRef>
              <c:f>Maslo!$L$4:$L$49</c:f>
              <c:numCache>
                <c:formatCode>General</c:formatCode>
                <c:ptCount val="10"/>
              </c:numCache>
            </c:numRef>
          </c:val>
          <c:smooth val="0"/>
          <c:extLst>
            <c:ext xmlns:c16="http://schemas.microsoft.com/office/drawing/2014/chart" uri="{C3380CC4-5D6E-409C-BE32-E72D297353CC}">
              <c16:uniqueId val="{0000000C-D082-4B6D-A288-7ABEB0089642}"/>
            </c:ext>
          </c:extLst>
        </c:ser>
        <c:ser>
          <c:idx val="5"/>
          <c:order val="5"/>
          <c:tx>
            <c:strRef>
              <c:f>Maslo!$M$3</c:f>
              <c:strCache>
                <c:ptCount val="1"/>
                <c:pt idx="0">
                  <c:v>DE</c:v>
                </c:pt>
              </c:strCache>
            </c:strRef>
          </c:tx>
          <c:spPr>
            <a:ln w="19050" cap="rnd">
              <a:solidFill>
                <a:srgbClr val="7030A0"/>
              </a:solidFill>
              <a:round/>
            </a:ln>
            <a:effectLst/>
          </c:spPr>
          <c:marker>
            <c:symbol val="none"/>
          </c:marker>
          <c:cat>
            <c:numRef>
              <c:f>Maslo!$G$4:$G$55</c:f>
              <c:numCache>
                <c:formatCode>m/d/yyyy</c:formatCode>
                <c:ptCount val="14"/>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45717</c:v>
                </c:pt>
                <c:pt idx="13">
                  <c:v>45748</c:v>
                </c:pt>
              </c:numCache>
            </c:numRef>
          </c:cat>
          <c:val>
            <c:numRef>
              <c:f>Maslo!$M$4:$M$55</c:f>
              <c:numCache>
                <c:formatCode>#,##0</c:formatCode>
                <c:ptCount val="14"/>
                <c:pt idx="0">
                  <c:v>538.79999999999995</c:v>
                </c:pt>
                <c:pt idx="1">
                  <c:v>562.79999999999995</c:v>
                </c:pt>
                <c:pt idx="2">
                  <c:v>573.4</c:v>
                </c:pt>
                <c:pt idx="3">
                  <c:v>590.79999999999995</c:v>
                </c:pt>
                <c:pt idx="4">
                  <c:v>622</c:v>
                </c:pt>
                <c:pt idx="5">
                  <c:v>656</c:v>
                </c:pt>
                <c:pt idx="6">
                  <c:v>676.4</c:v>
                </c:pt>
                <c:pt idx="7">
                  <c:v>726</c:v>
                </c:pt>
                <c:pt idx="8">
                  <c:v>794</c:v>
                </c:pt>
                <c:pt idx="9">
                  <c:v>799</c:v>
                </c:pt>
                <c:pt idx="10">
                  <c:v>775</c:v>
                </c:pt>
                <c:pt idx="11">
                  <c:v>755</c:v>
                </c:pt>
                <c:pt idx="12">
                  <c:v>742</c:v>
                </c:pt>
                <c:pt idx="13">
                  <c:v>730</c:v>
                </c:pt>
              </c:numCache>
            </c:numRef>
          </c:val>
          <c:smooth val="0"/>
          <c:extLst>
            <c:ext xmlns:c16="http://schemas.microsoft.com/office/drawing/2014/chart" uri="{C3380CC4-5D6E-409C-BE32-E72D297353CC}">
              <c16:uniqueId val="{0000000D-D082-4B6D-A288-7ABEB0089642}"/>
            </c:ext>
          </c:extLst>
        </c:ser>
        <c:dLbls>
          <c:showLegendKey val="0"/>
          <c:showVal val="0"/>
          <c:showCatName val="0"/>
          <c:showSerName val="0"/>
          <c:showPercent val="0"/>
          <c:showBubbleSize val="0"/>
        </c:dLbls>
        <c:smooth val="0"/>
        <c:axId val="545542928"/>
        <c:axId val="545543256"/>
      </c:lineChart>
      <c:dateAx>
        <c:axId val="545542928"/>
        <c:scaling>
          <c:orientation val="minMax"/>
          <c:max val="45657"/>
        </c:scaling>
        <c:delete val="0"/>
        <c:axPos val="b"/>
        <c:numFmt formatCode="m/yy" sourceLinked="0"/>
        <c:majorTickMark val="none"/>
        <c:minorTickMark val="none"/>
        <c:tickLblPos val="nextTo"/>
        <c:spPr>
          <a:noFill/>
          <a:ln w="12700" cap="flat" cmpd="sng" algn="ctr">
            <a:solidFill>
              <a:srgbClr val="7F7F7F"/>
            </a:solidFill>
            <a:round/>
          </a:ln>
          <a:effectLst/>
        </c:spPr>
        <c:txPr>
          <a:bodyPr rot="-2700000" spcFirstLastPara="1" vertOverflow="ellipsis" wrap="square" anchor="ctr" anchorCtr="1"/>
          <a:lstStyle/>
          <a:p>
            <a:pPr>
              <a:defRPr sz="900" b="0" i="0" u="none" strike="noStrike" kern="1200" baseline="0">
                <a:solidFill>
                  <a:schemeClr val="tx1">
                    <a:lumMod val="85000"/>
                    <a:lumOff val="15000"/>
                  </a:schemeClr>
                </a:solidFill>
                <a:latin typeface="+mn-lt"/>
                <a:ea typeface="+mn-ea"/>
                <a:cs typeface="+mn-cs"/>
              </a:defRPr>
            </a:pPr>
            <a:endParaRPr lang="sk-SK"/>
          </a:p>
        </c:txPr>
        <c:crossAx val="545543256"/>
        <c:crosses val="autoZero"/>
        <c:auto val="1"/>
        <c:lblOffset val="100"/>
        <c:baseTimeUnit val="months"/>
        <c:majorUnit val="1"/>
        <c:majorTimeUnit val="months"/>
      </c:dateAx>
      <c:valAx>
        <c:axId val="545543256"/>
        <c:scaling>
          <c:orientation val="minMax"/>
          <c:max val="900"/>
          <c:min val="350"/>
        </c:scaling>
        <c:delete val="0"/>
        <c:axPos val="l"/>
        <c:majorGridlines>
          <c:spPr>
            <a:ln w="9525" cap="flat" cmpd="sng" algn="ctr">
              <a:solidFill>
                <a:srgbClr val="7F7F7F">
                  <a:alpha val="25098"/>
                </a:srgbClr>
              </a:solidFill>
              <a:prstDash val="sysDot"/>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85000"/>
                    <a:lumOff val="15000"/>
                  </a:schemeClr>
                </a:solidFill>
                <a:latin typeface="+mn-lt"/>
                <a:ea typeface="+mn-ea"/>
                <a:cs typeface="+mn-cs"/>
              </a:defRPr>
            </a:pPr>
            <a:endParaRPr lang="sk-SK"/>
          </a:p>
        </c:txPr>
        <c:crossAx val="545542928"/>
        <c:crosses val="autoZero"/>
        <c:crossBetween val="midCat"/>
      </c:valAx>
      <c:spPr>
        <a:noFill/>
        <a:ln>
          <a:noFill/>
        </a:ln>
        <a:effectLst/>
      </c:spPr>
    </c:plotArea>
    <c:legend>
      <c:legendPos val="b"/>
      <c:layout>
        <c:manualLayout>
          <c:xMode val="edge"/>
          <c:yMode val="edge"/>
          <c:x val="5.5639893316267973E-3"/>
          <c:y val="0.87850065054046622"/>
          <c:w val="0.98887202133674657"/>
          <c:h val="8.719403213534841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85000"/>
                  <a:lumOff val="15000"/>
                </a:schemeClr>
              </a:solidFill>
              <a:latin typeface="+mn-lt"/>
              <a:ea typeface="+mn-ea"/>
              <a:cs typeface="+mn-cs"/>
            </a:defRPr>
          </a:pPr>
          <a:endParaRPr lang="sk-SK"/>
        </a:p>
      </c:txPr>
    </c:legend>
    <c:plotVisOnly val="1"/>
    <c:dispBlanksAs val="gap"/>
    <c:showDLblsOverMax val="0"/>
  </c:chart>
  <c:spPr>
    <a:solidFill>
      <a:sysClr val="window" lastClr="FFFFFF"/>
    </a:solidFill>
    <a:ln w="9525" cap="flat" cmpd="sng" algn="ctr">
      <a:noFill/>
      <a:round/>
    </a:ln>
    <a:effectLst/>
  </c:spPr>
  <c:txPr>
    <a:bodyPr/>
    <a:lstStyle/>
    <a:p>
      <a:pPr>
        <a:defRPr>
          <a:solidFill>
            <a:schemeClr val="tx1">
              <a:lumMod val="85000"/>
              <a:lumOff val="15000"/>
            </a:schemeClr>
          </a:solidFill>
        </a:defRPr>
      </a:pPr>
      <a:endParaRPr lang="sk-SK"/>
    </a:p>
  </c:txPr>
  <c:externalData r:id="rId4">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5630596175478065"/>
          <c:y val="4.2219476057686708E-2"/>
          <c:w val="0.74342982127234092"/>
          <c:h val="0.60005616975566156"/>
        </c:manualLayout>
      </c:layout>
      <c:lineChart>
        <c:grouping val="standard"/>
        <c:varyColors val="0"/>
        <c:ser>
          <c:idx val="0"/>
          <c:order val="0"/>
          <c:tx>
            <c:strRef>
              <c:f>Jablká!$S$3</c:f>
              <c:strCache>
                <c:ptCount val="1"/>
                <c:pt idx="0">
                  <c:v>SK - skenery</c:v>
                </c:pt>
              </c:strCache>
            </c:strRef>
          </c:tx>
          <c:spPr>
            <a:ln w="28575" cap="rnd">
              <a:solidFill>
                <a:schemeClr val="accent1"/>
              </a:solidFill>
              <a:round/>
            </a:ln>
            <a:effectLst/>
          </c:spPr>
          <c:marker>
            <c:symbol val="none"/>
          </c:marker>
          <c:dPt>
            <c:idx val="0"/>
            <c:marker>
              <c:symbol val="none"/>
            </c:marker>
            <c:bubble3D val="0"/>
            <c:extLst>
              <c:ext xmlns:c16="http://schemas.microsoft.com/office/drawing/2014/chart" uri="{C3380CC4-5D6E-409C-BE32-E72D297353CC}">
                <c16:uniqueId val="{00000002-9236-43A0-A5CB-2FBBD8F83BE8}"/>
              </c:ext>
            </c:extLst>
          </c:dPt>
          <c:cat>
            <c:numRef>
              <c:f>Jablká!$R$4:$R$55</c:f>
              <c:numCache>
                <c:formatCode>m/d/yyyy</c:formatCode>
                <c:ptCount val="14"/>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45717</c:v>
                </c:pt>
                <c:pt idx="13">
                  <c:v>45748</c:v>
                </c:pt>
              </c:numCache>
              <c:extLst/>
            </c:numRef>
          </c:cat>
          <c:val>
            <c:numRef>
              <c:f>Jablká!$S$4:$S$55</c:f>
              <c:numCache>
                <c:formatCode>0.00</c:formatCode>
                <c:ptCount val="14"/>
                <c:pt idx="0">
                  <c:v>1.2</c:v>
                </c:pt>
                <c:pt idx="1">
                  <c:v>1.27</c:v>
                </c:pt>
                <c:pt idx="2">
                  <c:v>1.2</c:v>
                </c:pt>
                <c:pt idx="3">
                  <c:v>1.08</c:v>
                </c:pt>
                <c:pt idx="4">
                  <c:v>1.19</c:v>
                </c:pt>
                <c:pt idx="5">
                  <c:v>1.29</c:v>
                </c:pt>
                <c:pt idx="6">
                  <c:v>1.32</c:v>
                </c:pt>
                <c:pt idx="7">
                  <c:v>1.41</c:v>
                </c:pt>
                <c:pt idx="8">
                  <c:v>1.31</c:v>
                </c:pt>
                <c:pt idx="9">
                  <c:v>1.21</c:v>
                </c:pt>
                <c:pt idx="10">
                  <c:v>1.28</c:v>
                </c:pt>
                <c:pt idx="11">
                  <c:v>1.21</c:v>
                </c:pt>
                <c:pt idx="12">
                  <c:v>1.2285714285714286</c:v>
                </c:pt>
                <c:pt idx="13">
                  <c:v>1.2666666666666666</c:v>
                </c:pt>
              </c:numCache>
              <c:extLst/>
            </c:numRef>
          </c:val>
          <c:smooth val="0"/>
          <c:extLst>
            <c:ext xmlns:c16="http://schemas.microsoft.com/office/drawing/2014/chart" uri="{C3380CC4-5D6E-409C-BE32-E72D297353CC}">
              <c16:uniqueId val="{00000003-9236-43A0-A5CB-2FBBD8F83BE8}"/>
            </c:ext>
          </c:extLst>
        </c:ser>
        <c:ser>
          <c:idx val="1"/>
          <c:order val="1"/>
          <c:tx>
            <c:strRef>
              <c:f>Jablká!$T$3</c:f>
              <c:strCache>
                <c:ptCount val="1"/>
                <c:pt idx="0">
                  <c:v>SK - pôvodné</c:v>
                </c:pt>
              </c:strCache>
            </c:strRef>
          </c:tx>
          <c:spPr>
            <a:ln w="28575" cap="rnd">
              <a:solidFill>
                <a:schemeClr val="accent2"/>
              </a:solidFill>
              <a:round/>
            </a:ln>
            <a:effectLst/>
          </c:spPr>
          <c:marker>
            <c:symbol val="none"/>
          </c:marker>
          <c:dPt>
            <c:idx val="0"/>
            <c:marker>
              <c:symbol val="none"/>
            </c:marker>
            <c:bubble3D val="0"/>
            <c:extLst>
              <c:ext xmlns:c16="http://schemas.microsoft.com/office/drawing/2014/chart" uri="{C3380CC4-5D6E-409C-BE32-E72D297353CC}">
                <c16:uniqueId val="{00000006-9236-43A0-A5CB-2FBBD8F83BE8}"/>
              </c:ext>
            </c:extLst>
          </c:dPt>
          <c:cat>
            <c:numRef>
              <c:f>Jablká!$R$4:$R$55</c:f>
              <c:numCache>
                <c:formatCode>m/d/yyyy</c:formatCode>
                <c:ptCount val="16"/>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pt idx="15">
                  <c:v>45748</c:v>
                </c:pt>
              </c:numCache>
              <c:extLst/>
            </c:numRef>
          </c:cat>
          <c:val>
            <c:numRef>
              <c:f>Jablká!$T$4:$T$49</c:f>
              <c:numCache>
                <c:formatCode>General</c:formatCode>
                <c:ptCount val="10"/>
              </c:numCache>
              <c:extLst/>
            </c:numRef>
          </c:val>
          <c:smooth val="0"/>
          <c:extLst>
            <c:ext xmlns:c16="http://schemas.microsoft.com/office/drawing/2014/chart" uri="{C3380CC4-5D6E-409C-BE32-E72D297353CC}">
              <c16:uniqueId val="{00000007-9236-43A0-A5CB-2FBBD8F83BE8}"/>
            </c:ext>
          </c:extLst>
        </c:ser>
        <c:ser>
          <c:idx val="2"/>
          <c:order val="2"/>
          <c:tx>
            <c:strRef>
              <c:f>Jablká!$U$3</c:f>
              <c:strCache>
                <c:ptCount val="1"/>
                <c:pt idx="0">
                  <c:v>CZ</c:v>
                </c:pt>
              </c:strCache>
            </c:strRef>
          </c:tx>
          <c:spPr>
            <a:ln w="28575" cap="rnd">
              <a:solidFill>
                <a:schemeClr val="accent3"/>
              </a:solidFill>
              <a:round/>
            </a:ln>
            <a:effectLst/>
          </c:spPr>
          <c:marker>
            <c:symbol val="none"/>
          </c:marker>
          <c:dPt>
            <c:idx val="0"/>
            <c:marker>
              <c:symbol val="none"/>
            </c:marker>
            <c:bubble3D val="0"/>
            <c:extLst>
              <c:ext xmlns:c16="http://schemas.microsoft.com/office/drawing/2014/chart" uri="{C3380CC4-5D6E-409C-BE32-E72D297353CC}">
                <c16:uniqueId val="{00000009-9236-43A0-A5CB-2FBBD8F83BE8}"/>
              </c:ext>
            </c:extLst>
          </c:dPt>
          <c:cat>
            <c:numRef>
              <c:f>Jablká!$R$4:$R$55</c:f>
              <c:numCache>
                <c:formatCode>m/d/yyyy</c:formatCode>
                <c:ptCount val="14"/>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45717</c:v>
                </c:pt>
                <c:pt idx="13">
                  <c:v>45748</c:v>
                </c:pt>
              </c:numCache>
              <c:extLst/>
            </c:numRef>
          </c:cat>
          <c:val>
            <c:numRef>
              <c:f>Jablká!$U$4:$U$55</c:f>
              <c:numCache>
                <c:formatCode>0.00</c:formatCode>
                <c:ptCount val="14"/>
                <c:pt idx="0">
                  <c:v>1.3070322557265779</c:v>
                </c:pt>
                <c:pt idx="1">
                  <c:v>1.2895977502688099</c:v>
                </c:pt>
                <c:pt idx="2">
                  <c:v>1.1751485309697882</c:v>
                </c:pt>
                <c:pt idx="3">
                  <c:v>1.2824349752491429</c:v>
                </c:pt>
                <c:pt idx="4">
                  <c:v>1.3114443932511242</c:v>
                </c:pt>
                <c:pt idx="5">
                  <c:v>1.3682697027986641</c:v>
                </c:pt>
                <c:pt idx="6">
                  <c:v>1.4245445170161568</c:v>
                </c:pt>
                <c:pt idx="7">
                  <c:v>1.4727694639910645</c:v>
                </c:pt>
                <c:pt idx="8">
                  <c:v>1.4342972347826088</c:v>
                </c:pt>
                <c:pt idx="9">
                  <c:v>1.4244123095652175</c:v>
                </c:pt>
                <c:pt idx="10">
                  <c:v>1.3833219000000001</c:v>
                </c:pt>
                <c:pt idx="11">
                  <c:v>1.4079869565217393</c:v>
                </c:pt>
                <c:pt idx="12">
                  <c:v>1.447913043478261</c:v>
                </c:pt>
                <c:pt idx="13">
                  <c:v>1.472826086956522</c:v>
                </c:pt>
              </c:numCache>
              <c:extLst/>
            </c:numRef>
          </c:val>
          <c:smooth val="0"/>
          <c:extLst>
            <c:ext xmlns:c16="http://schemas.microsoft.com/office/drawing/2014/chart" uri="{C3380CC4-5D6E-409C-BE32-E72D297353CC}">
              <c16:uniqueId val="{0000000A-9236-43A0-A5CB-2FBBD8F83BE8}"/>
            </c:ext>
          </c:extLst>
        </c:ser>
        <c:ser>
          <c:idx val="3"/>
          <c:order val="3"/>
          <c:tx>
            <c:strRef>
              <c:f>Jablká!$V$3</c:f>
              <c:strCache>
                <c:ptCount val="1"/>
                <c:pt idx="0">
                  <c:v>HU</c:v>
                </c:pt>
              </c:strCache>
            </c:strRef>
          </c:tx>
          <c:spPr>
            <a:ln w="28575" cap="rnd">
              <a:solidFill>
                <a:schemeClr val="accent4"/>
              </a:solidFill>
              <a:round/>
            </a:ln>
            <a:effectLst/>
          </c:spPr>
          <c:marker>
            <c:symbol val="none"/>
          </c:marker>
          <c:dPt>
            <c:idx val="0"/>
            <c:marker>
              <c:symbol val="none"/>
            </c:marker>
            <c:bubble3D val="0"/>
            <c:extLst>
              <c:ext xmlns:c16="http://schemas.microsoft.com/office/drawing/2014/chart" uri="{C3380CC4-5D6E-409C-BE32-E72D297353CC}">
                <c16:uniqueId val="{0000000B-9236-43A0-A5CB-2FBBD8F83BE8}"/>
              </c:ext>
            </c:extLst>
          </c:dPt>
          <c:cat>
            <c:numRef>
              <c:f>Jablká!$R$4:$R$55</c:f>
              <c:numCache>
                <c:formatCode>m/d/yyyy</c:formatCode>
                <c:ptCount val="14"/>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45717</c:v>
                </c:pt>
                <c:pt idx="13">
                  <c:v>45748</c:v>
                </c:pt>
              </c:numCache>
              <c:extLst/>
            </c:numRef>
          </c:cat>
          <c:val>
            <c:numRef>
              <c:f>Jablká!$V$4:$V$55</c:f>
              <c:numCache>
                <c:formatCode>0.00</c:formatCode>
                <c:ptCount val="14"/>
                <c:pt idx="0">
                  <c:v>1.0490551147050862</c:v>
                </c:pt>
                <c:pt idx="1">
                  <c:v>1.077185941710127</c:v>
                </c:pt>
                <c:pt idx="2">
                  <c:v>1.068338802922385</c:v>
                </c:pt>
                <c:pt idx="3">
                  <c:v>1.0748165665837923</c:v>
                </c:pt>
                <c:pt idx="4">
                  <c:v>1.1200514702228841</c:v>
                </c:pt>
                <c:pt idx="5">
                  <c:v>1.1394755830039016</c:v>
                </c:pt>
                <c:pt idx="6">
                  <c:v>1.1848798039987569</c:v>
                </c:pt>
                <c:pt idx="7">
                  <c:v>1.2109404724409449</c:v>
                </c:pt>
                <c:pt idx="8">
                  <c:v>1.1924788661417323</c:v>
                </c:pt>
                <c:pt idx="9">
                  <c:v>1.150046216535433</c:v>
                </c:pt>
                <c:pt idx="10">
                  <c:v>1.1409346456692913</c:v>
                </c:pt>
                <c:pt idx="11">
                  <c:v>1.1467401574803151</c:v>
                </c:pt>
                <c:pt idx="12">
                  <c:v>1.2506062992125984</c:v>
                </c:pt>
                <c:pt idx="13">
                  <c:v>1.2724330708661418</c:v>
                </c:pt>
              </c:numCache>
              <c:extLst/>
            </c:numRef>
          </c:val>
          <c:smooth val="0"/>
          <c:extLst>
            <c:ext xmlns:c16="http://schemas.microsoft.com/office/drawing/2014/chart" uri="{C3380CC4-5D6E-409C-BE32-E72D297353CC}">
              <c16:uniqueId val="{0000000C-9236-43A0-A5CB-2FBBD8F83BE8}"/>
            </c:ext>
          </c:extLst>
        </c:ser>
        <c:ser>
          <c:idx val="4"/>
          <c:order val="4"/>
          <c:tx>
            <c:strRef>
              <c:f>Jablká!$W$3</c:f>
              <c:strCache>
                <c:ptCount val="1"/>
                <c:pt idx="0">
                  <c:v>PL</c:v>
                </c:pt>
              </c:strCache>
            </c:strRef>
          </c:tx>
          <c:spPr>
            <a:ln w="28575" cap="rnd">
              <a:solidFill>
                <a:schemeClr val="accent5"/>
              </a:solidFill>
              <a:round/>
            </a:ln>
            <a:effectLst/>
          </c:spPr>
          <c:marker>
            <c:symbol val="none"/>
          </c:marker>
          <c:cat>
            <c:numRef>
              <c:f>Jablká!$R$4:$R$55</c:f>
              <c:numCache>
                <c:formatCode>m/d/yyyy</c:formatCode>
                <c:ptCount val="14"/>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45717</c:v>
                </c:pt>
                <c:pt idx="13">
                  <c:v>45748</c:v>
                </c:pt>
              </c:numCache>
              <c:extLst/>
            </c:numRef>
          </c:cat>
          <c:val>
            <c:numRef>
              <c:f>Jablká!$W$4:$W$55</c:f>
              <c:numCache>
                <c:formatCode>0.00</c:formatCode>
                <c:ptCount val="14"/>
                <c:pt idx="0">
                  <c:v>0.91251644802424337</c:v>
                </c:pt>
                <c:pt idx="1">
                  <c:v>0.91773820518719684</c:v>
                </c:pt>
                <c:pt idx="2">
                  <c:v>0.92439186782899507</c:v>
                </c:pt>
                <c:pt idx="3">
                  <c:v>0.91389207483776291</c:v>
                </c:pt>
                <c:pt idx="4">
                  <c:v>0.94762926572804163</c:v>
                </c:pt>
                <c:pt idx="5">
                  <c:v>1.0031793067259311</c:v>
                </c:pt>
                <c:pt idx="6">
                  <c:v>1.0942439345902053</c:v>
                </c:pt>
                <c:pt idx="7">
                  <c:v>1.1228761619047618</c:v>
                </c:pt>
                <c:pt idx="8">
                  <c:v>1.093564340952381</c:v>
                </c:pt>
                <c:pt idx="9">
                  <c:v>1.0456997253333333</c:v>
                </c:pt>
                <c:pt idx="10">
                  <c:v>1.0377533333333333</c:v>
                </c:pt>
                <c:pt idx="11">
                  <c:v>1.0370390476190476</c:v>
                </c:pt>
                <c:pt idx="12">
                  <c:v>1.0771428571428572</c:v>
                </c:pt>
                <c:pt idx="13">
                  <c:v>1.0666666666666667</c:v>
                </c:pt>
              </c:numCache>
              <c:extLst/>
            </c:numRef>
          </c:val>
          <c:smooth val="0"/>
          <c:extLst>
            <c:ext xmlns:c16="http://schemas.microsoft.com/office/drawing/2014/chart" uri="{C3380CC4-5D6E-409C-BE32-E72D297353CC}">
              <c16:uniqueId val="{0000000D-9236-43A0-A5CB-2FBBD8F83BE8}"/>
            </c:ext>
          </c:extLst>
        </c:ser>
        <c:ser>
          <c:idx val="5"/>
          <c:order val="5"/>
          <c:tx>
            <c:strRef>
              <c:f>Jablká!$X$3</c:f>
              <c:strCache>
                <c:ptCount val="1"/>
                <c:pt idx="0">
                  <c:v>SK - skenery</c:v>
                </c:pt>
              </c:strCache>
            </c:strRef>
          </c:tx>
          <c:spPr>
            <a:ln w="28575" cap="rnd">
              <a:noFill/>
              <a:round/>
            </a:ln>
            <a:effectLst/>
          </c:spPr>
          <c:marker>
            <c:symbol val="circle"/>
            <c:size val="6"/>
            <c:spPr>
              <a:solidFill>
                <a:srgbClr val="2EAAE1"/>
              </a:solidFill>
              <a:ln w="9525">
                <a:solidFill>
                  <a:srgbClr val="2EAAE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2EAAE1"/>
                    </a:solidFill>
                    <a:latin typeface="+mn-lt"/>
                    <a:ea typeface="+mn-ea"/>
                    <a:cs typeface="+mn-cs"/>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Jablká!$R$4:$R$55</c:f>
              <c:numCache>
                <c:formatCode>m/d/yyyy</c:formatCode>
                <c:ptCount val="16"/>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pt idx="15">
                  <c:v>45748</c:v>
                </c:pt>
              </c:numCache>
              <c:extLst/>
            </c:numRef>
          </c:cat>
          <c:val>
            <c:numRef>
              <c:f>Jablká!$X$4:$X$49</c:f>
              <c:numCache>
                <c:formatCode>General</c:formatCode>
                <c:ptCount val="10"/>
              </c:numCache>
              <c:extLst/>
            </c:numRef>
          </c:val>
          <c:smooth val="0"/>
          <c:extLst>
            <c:ext xmlns:c16="http://schemas.microsoft.com/office/drawing/2014/chart" uri="{C3380CC4-5D6E-409C-BE32-E72D297353CC}">
              <c16:uniqueId val="{0000000E-9236-43A0-A5CB-2FBBD8F83BE8}"/>
            </c:ext>
          </c:extLst>
        </c:ser>
        <c:ser>
          <c:idx val="6"/>
          <c:order val="6"/>
          <c:tx>
            <c:strRef>
              <c:f>Jablká!$Y$3</c:f>
              <c:strCache>
                <c:ptCount val="1"/>
                <c:pt idx="0">
                  <c:v>CZ</c:v>
                </c:pt>
              </c:strCache>
            </c:strRef>
          </c:tx>
          <c:spPr>
            <a:ln w="28575" cap="rnd">
              <a:noFill/>
              <a:round/>
            </a:ln>
            <a:effectLst/>
          </c:spPr>
          <c:marker>
            <c:symbol val="circle"/>
            <c:size val="6"/>
            <c:spPr>
              <a:solidFill>
                <a:srgbClr val="1AA380"/>
              </a:solidFill>
              <a:ln w="9525">
                <a:solidFill>
                  <a:srgbClr val="1AA380"/>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1AA380"/>
                    </a:solidFill>
                    <a:latin typeface="+mn-lt"/>
                    <a:ea typeface="+mn-ea"/>
                    <a:cs typeface="+mn-cs"/>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Jablká!$R$4:$R$55</c:f>
              <c:numCache>
                <c:formatCode>m/d/yyyy</c:formatCode>
                <c:ptCount val="16"/>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pt idx="15">
                  <c:v>45748</c:v>
                </c:pt>
              </c:numCache>
              <c:extLst/>
            </c:numRef>
          </c:cat>
          <c:val>
            <c:numRef>
              <c:f>Jablká!$Y$4:$Y$49</c:f>
              <c:numCache>
                <c:formatCode>General</c:formatCode>
                <c:ptCount val="10"/>
              </c:numCache>
              <c:extLst/>
            </c:numRef>
          </c:val>
          <c:smooth val="0"/>
          <c:extLst>
            <c:ext xmlns:c16="http://schemas.microsoft.com/office/drawing/2014/chart" uri="{C3380CC4-5D6E-409C-BE32-E72D297353CC}">
              <c16:uniqueId val="{0000000F-9236-43A0-A5CB-2FBBD8F83BE8}"/>
            </c:ext>
          </c:extLst>
        </c:ser>
        <c:ser>
          <c:idx val="7"/>
          <c:order val="7"/>
          <c:tx>
            <c:strRef>
              <c:f>Jablká!$Z$3</c:f>
              <c:strCache>
                <c:ptCount val="1"/>
                <c:pt idx="0">
                  <c:v>HU</c:v>
                </c:pt>
              </c:strCache>
            </c:strRef>
          </c:tx>
          <c:spPr>
            <a:ln w="28575" cap="rnd">
              <a:noFill/>
              <a:round/>
            </a:ln>
            <a:effectLst/>
          </c:spPr>
          <c:marker>
            <c:symbol val="circle"/>
            <c:size val="6"/>
            <c:spPr>
              <a:solidFill>
                <a:srgbClr val="F2CA6D"/>
              </a:solidFill>
              <a:ln w="9525">
                <a:solidFill>
                  <a:srgbClr val="F2CA6D"/>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F2CA6D"/>
                    </a:solidFill>
                    <a:latin typeface="+mn-lt"/>
                    <a:ea typeface="+mn-ea"/>
                    <a:cs typeface="+mn-cs"/>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Jablká!$R$4:$R$55</c:f>
              <c:numCache>
                <c:formatCode>m/d/yyyy</c:formatCode>
                <c:ptCount val="16"/>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pt idx="15">
                  <c:v>45748</c:v>
                </c:pt>
              </c:numCache>
              <c:extLst/>
            </c:numRef>
          </c:cat>
          <c:val>
            <c:numRef>
              <c:f>Jablká!$Z$4:$Z$49</c:f>
              <c:numCache>
                <c:formatCode>General</c:formatCode>
                <c:ptCount val="10"/>
              </c:numCache>
              <c:extLst/>
            </c:numRef>
          </c:val>
          <c:smooth val="0"/>
          <c:extLst>
            <c:ext xmlns:c16="http://schemas.microsoft.com/office/drawing/2014/chart" uri="{C3380CC4-5D6E-409C-BE32-E72D297353CC}">
              <c16:uniqueId val="{00000010-9236-43A0-A5CB-2FBBD8F83BE8}"/>
            </c:ext>
          </c:extLst>
        </c:ser>
        <c:ser>
          <c:idx val="8"/>
          <c:order val="8"/>
          <c:tx>
            <c:strRef>
              <c:f>Jablká!$AA$3</c:f>
              <c:strCache>
                <c:ptCount val="1"/>
                <c:pt idx="0">
                  <c:v>PL</c:v>
                </c:pt>
              </c:strCache>
            </c:strRef>
          </c:tx>
          <c:spPr>
            <a:ln w="28575" cap="rnd">
              <a:noFill/>
              <a:round/>
            </a:ln>
            <a:effectLst/>
          </c:spPr>
          <c:marker>
            <c:symbol val="circle"/>
            <c:size val="6"/>
            <c:spPr>
              <a:solidFill>
                <a:srgbClr val="E85477"/>
              </a:solidFill>
              <a:ln w="9525">
                <a:solidFill>
                  <a:srgbClr val="E85477"/>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E85477"/>
                    </a:solidFill>
                    <a:latin typeface="+mn-lt"/>
                    <a:ea typeface="+mn-ea"/>
                    <a:cs typeface="+mn-cs"/>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Jablká!$R$4:$R$55</c:f>
              <c:numCache>
                <c:formatCode>m/d/yyyy</c:formatCode>
                <c:ptCount val="16"/>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pt idx="15">
                  <c:v>45748</c:v>
                </c:pt>
              </c:numCache>
              <c:extLst/>
            </c:numRef>
          </c:cat>
          <c:val>
            <c:numRef>
              <c:f>Jablká!$AA$4:$AA$49</c:f>
              <c:numCache>
                <c:formatCode>General</c:formatCode>
                <c:ptCount val="10"/>
              </c:numCache>
              <c:extLst/>
            </c:numRef>
          </c:val>
          <c:smooth val="0"/>
          <c:extLst>
            <c:ext xmlns:c16="http://schemas.microsoft.com/office/drawing/2014/chart" uri="{C3380CC4-5D6E-409C-BE32-E72D297353CC}">
              <c16:uniqueId val="{00000011-9236-43A0-A5CB-2FBBD8F83BE8}"/>
            </c:ext>
          </c:extLst>
        </c:ser>
        <c:dLbls>
          <c:showLegendKey val="0"/>
          <c:showVal val="0"/>
          <c:showCatName val="0"/>
          <c:showSerName val="0"/>
          <c:showPercent val="0"/>
          <c:showBubbleSize val="0"/>
        </c:dLbls>
        <c:smooth val="0"/>
        <c:axId val="545542928"/>
        <c:axId val="545543256"/>
      </c:lineChart>
      <c:dateAx>
        <c:axId val="545542928"/>
        <c:scaling>
          <c:orientation val="minMax"/>
          <c:max val="45627"/>
        </c:scaling>
        <c:delete val="0"/>
        <c:axPos val="b"/>
        <c:numFmt formatCode="m/yy" sourceLinked="0"/>
        <c:majorTickMark val="none"/>
        <c:minorTickMark val="none"/>
        <c:tickLblPos val="nextTo"/>
        <c:spPr>
          <a:noFill/>
          <a:ln w="12700" cap="flat" cmpd="sng" algn="ctr">
            <a:solidFill>
              <a:srgbClr val="7F7F7F"/>
            </a:solidFill>
            <a:round/>
          </a:ln>
          <a:effectLst/>
        </c:spPr>
        <c:txPr>
          <a:bodyPr rot="-5400000" spcFirstLastPara="1" vertOverflow="ellipsis" wrap="square" anchor="ctr" anchorCtr="1"/>
          <a:lstStyle/>
          <a:p>
            <a:pPr>
              <a:defRPr sz="900" b="0" i="0" u="none" strike="noStrike" kern="1200" baseline="0">
                <a:solidFill>
                  <a:schemeClr val="tx1">
                    <a:lumMod val="85000"/>
                    <a:lumOff val="15000"/>
                  </a:schemeClr>
                </a:solidFill>
                <a:latin typeface="+mn-lt"/>
                <a:ea typeface="+mn-ea"/>
                <a:cs typeface="+mn-cs"/>
              </a:defRPr>
            </a:pPr>
            <a:endParaRPr lang="sk-SK"/>
          </a:p>
        </c:txPr>
        <c:crossAx val="545543256"/>
        <c:crosses val="autoZero"/>
        <c:auto val="1"/>
        <c:lblOffset val="100"/>
        <c:baseTimeUnit val="months"/>
        <c:majorUnit val="1"/>
        <c:majorTimeUnit val="months"/>
      </c:dateAx>
      <c:valAx>
        <c:axId val="545543256"/>
        <c:scaling>
          <c:orientation val="minMax"/>
          <c:min val="0.4"/>
        </c:scaling>
        <c:delete val="0"/>
        <c:axPos val="l"/>
        <c:majorGridlines>
          <c:spPr>
            <a:ln w="9525" cap="flat" cmpd="sng" algn="ctr">
              <a:solidFill>
                <a:srgbClr val="7F7F7F">
                  <a:alpha val="25098"/>
                </a:srgbClr>
              </a:solidFill>
              <a:prstDash val="sysDot"/>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85000"/>
                    <a:lumOff val="15000"/>
                  </a:schemeClr>
                </a:solidFill>
                <a:latin typeface="+mn-lt"/>
                <a:ea typeface="+mn-ea"/>
                <a:cs typeface="+mn-cs"/>
              </a:defRPr>
            </a:pPr>
            <a:endParaRPr lang="sk-SK"/>
          </a:p>
        </c:txPr>
        <c:crossAx val="545542928"/>
        <c:crosses val="autoZero"/>
        <c:crossBetween val="midCat"/>
      </c:valAx>
      <c:spPr>
        <a:noFill/>
        <a:ln>
          <a:noFill/>
        </a:ln>
        <a:effectLst/>
      </c:spPr>
    </c:plotArea>
    <c:legend>
      <c:legendPos val="b"/>
      <c:legendEntry>
        <c:idx val="5"/>
        <c:delete val="1"/>
      </c:legendEntry>
      <c:legendEntry>
        <c:idx val="6"/>
        <c:delete val="1"/>
      </c:legendEntry>
      <c:legendEntry>
        <c:idx val="7"/>
        <c:delete val="1"/>
      </c:legendEntry>
      <c:legendEntry>
        <c:idx val="8"/>
        <c:delete val="1"/>
      </c:legendEntry>
      <c:layout>
        <c:manualLayout>
          <c:xMode val="edge"/>
          <c:yMode val="edge"/>
          <c:x val="9.3147441950442167E-3"/>
          <c:y val="0.81600621451049704"/>
          <c:w val="0.97650513218807999"/>
          <c:h val="0.1534345637630994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85000"/>
                  <a:lumOff val="15000"/>
                </a:schemeClr>
              </a:solidFill>
              <a:latin typeface="+mn-lt"/>
              <a:ea typeface="+mn-ea"/>
              <a:cs typeface="+mn-cs"/>
            </a:defRPr>
          </a:pPr>
          <a:endParaRPr lang="sk-SK"/>
        </a:p>
      </c:txPr>
    </c:legend>
    <c:plotVisOnly val="1"/>
    <c:dispBlanksAs val="gap"/>
    <c:showDLblsOverMax val="0"/>
  </c:chart>
  <c:spPr>
    <a:solidFill>
      <a:sysClr val="window" lastClr="FFFFFF"/>
    </a:solidFill>
    <a:ln w="9525" cap="flat" cmpd="sng" algn="ctr">
      <a:noFill/>
      <a:round/>
    </a:ln>
    <a:effectLst/>
  </c:spPr>
  <c:txPr>
    <a:bodyPr/>
    <a:lstStyle/>
    <a:p>
      <a:pPr>
        <a:defRPr>
          <a:solidFill>
            <a:schemeClr val="tx1">
              <a:lumMod val="85000"/>
              <a:lumOff val="15000"/>
            </a:schemeClr>
          </a:solidFill>
        </a:defRPr>
      </a:pPr>
      <a:endParaRPr lang="sk-SK"/>
    </a:p>
  </c:txPr>
  <c:externalData r:id="rId4">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227090034798281"/>
          <c:y val="3.9949829280189531E-2"/>
          <c:w val="0.7574647905853874"/>
          <c:h val="0.62375384492867592"/>
        </c:manualLayout>
      </c:layout>
      <c:lineChart>
        <c:grouping val="standard"/>
        <c:varyColors val="0"/>
        <c:ser>
          <c:idx val="0"/>
          <c:order val="0"/>
          <c:tx>
            <c:strRef>
              <c:f>Zemiaky!$Q$3</c:f>
              <c:strCache>
                <c:ptCount val="1"/>
                <c:pt idx="0">
                  <c:v>SK - skenery</c:v>
                </c:pt>
              </c:strCache>
            </c:strRef>
          </c:tx>
          <c:spPr>
            <a:ln w="28575" cap="rnd">
              <a:solidFill>
                <a:schemeClr val="accent1"/>
              </a:solidFill>
              <a:round/>
            </a:ln>
            <a:effectLst/>
          </c:spPr>
          <c:marker>
            <c:symbol val="none"/>
          </c:marker>
          <c:dPt>
            <c:idx val="0"/>
            <c:marker>
              <c:symbol val="none"/>
            </c:marker>
            <c:bubble3D val="0"/>
            <c:extLst>
              <c:ext xmlns:c16="http://schemas.microsoft.com/office/drawing/2014/chart" uri="{C3380CC4-5D6E-409C-BE32-E72D297353CC}">
                <c16:uniqueId val="{00000002-66A6-4C58-AE99-1B20E9117B0E}"/>
              </c:ext>
            </c:extLst>
          </c:dPt>
          <c:cat>
            <c:numRef>
              <c:f>Zemiaky!$P$4:$P$55</c:f>
              <c:numCache>
                <c:formatCode>m/d/yyyy</c:formatCode>
                <c:ptCount val="14"/>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45717</c:v>
                </c:pt>
                <c:pt idx="13">
                  <c:v>45748</c:v>
                </c:pt>
              </c:numCache>
            </c:numRef>
          </c:cat>
          <c:val>
            <c:numRef>
              <c:f>Zemiaky!$Q$4:$Q$55</c:f>
              <c:numCache>
                <c:formatCode>0.00</c:formatCode>
                <c:ptCount val="14"/>
                <c:pt idx="0">
                  <c:v>0.86363636363636354</c:v>
                </c:pt>
                <c:pt idx="1">
                  <c:v>0.96363636363636362</c:v>
                </c:pt>
                <c:pt idx="2">
                  <c:v>0.94545454545454544</c:v>
                </c:pt>
                <c:pt idx="3">
                  <c:v>0.96363636363636362</c:v>
                </c:pt>
                <c:pt idx="4">
                  <c:v>1.009090909090909</c:v>
                </c:pt>
                <c:pt idx="5">
                  <c:v>1.0999999999999999</c:v>
                </c:pt>
                <c:pt idx="6">
                  <c:v>1.0363636363636362</c:v>
                </c:pt>
                <c:pt idx="7">
                  <c:v>0.9181818181818181</c:v>
                </c:pt>
                <c:pt idx="8">
                  <c:v>0.90909090909090906</c:v>
                </c:pt>
                <c:pt idx="9">
                  <c:v>0.7727272727272726</c:v>
                </c:pt>
                <c:pt idx="10">
                  <c:v>0.81818181818181812</c:v>
                </c:pt>
                <c:pt idx="11">
                  <c:v>0.92727272727272725</c:v>
                </c:pt>
                <c:pt idx="12">
                  <c:v>0.93333333333333324</c:v>
                </c:pt>
                <c:pt idx="13">
                  <c:v>0.98095238095238091</c:v>
                </c:pt>
              </c:numCache>
            </c:numRef>
          </c:val>
          <c:smooth val="0"/>
          <c:extLst>
            <c:ext xmlns:c16="http://schemas.microsoft.com/office/drawing/2014/chart" uri="{C3380CC4-5D6E-409C-BE32-E72D297353CC}">
              <c16:uniqueId val="{00000003-66A6-4C58-AE99-1B20E9117B0E}"/>
            </c:ext>
          </c:extLst>
        </c:ser>
        <c:ser>
          <c:idx val="1"/>
          <c:order val="1"/>
          <c:tx>
            <c:strRef>
              <c:f>Zemiaky!$R$3</c:f>
              <c:strCache>
                <c:ptCount val="1"/>
                <c:pt idx="0">
                  <c:v>SK - pôvodné</c:v>
                </c:pt>
              </c:strCache>
            </c:strRef>
          </c:tx>
          <c:spPr>
            <a:ln w="28575" cap="rnd">
              <a:solidFill>
                <a:schemeClr val="accent2"/>
              </a:solidFill>
              <a:round/>
            </a:ln>
            <a:effectLst/>
          </c:spPr>
          <c:marker>
            <c:symbol val="none"/>
          </c:marker>
          <c:dPt>
            <c:idx val="0"/>
            <c:marker>
              <c:symbol val="none"/>
            </c:marker>
            <c:bubble3D val="0"/>
            <c:extLst>
              <c:ext xmlns:c16="http://schemas.microsoft.com/office/drawing/2014/chart" uri="{C3380CC4-5D6E-409C-BE32-E72D297353CC}">
                <c16:uniqueId val="{00000006-66A6-4C58-AE99-1B20E9117B0E}"/>
              </c:ext>
            </c:extLst>
          </c:dPt>
          <c:cat>
            <c:numRef>
              <c:f>Zemiaky!$P$4:$P$55</c:f>
              <c:numCache>
                <c:formatCode>m/d/yyyy</c:formatCode>
                <c:ptCount val="16"/>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pt idx="15">
                  <c:v>45748</c:v>
                </c:pt>
              </c:numCache>
            </c:numRef>
          </c:cat>
          <c:val>
            <c:numRef>
              <c:f>Zemiaky!$R$4:$R$49</c:f>
              <c:numCache>
                <c:formatCode>General</c:formatCode>
                <c:ptCount val="10"/>
              </c:numCache>
            </c:numRef>
          </c:val>
          <c:smooth val="0"/>
          <c:extLst>
            <c:ext xmlns:c16="http://schemas.microsoft.com/office/drawing/2014/chart" uri="{C3380CC4-5D6E-409C-BE32-E72D297353CC}">
              <c16:uniqueId val="{00000007-66A6-4C58-AE99-1B20E9117B0E}"/>
            </c:ext>
          </c:extLst>
        </c:ser>
        <c:ser>
          <c:idx val="2"/>
          <c:order val="2"/>
          <c:tx>
            <c:strRef>
              <c:f>Zemiaky!$S$3</c:f>
              <c:strCache>
                <c:ptCount val="1"/>
                <c:pt idx="0">
                  <c:v>CZ</c:v>
                </c:pt>
              </c:strCache>
            </c:strRef>
          </c:tx>
          <c:spPr>
            <a:ln w="28575" cap="rnd">
              <a:solidFill>
                <a:schemeClr val="accent3"/>
              </a:solidFill>
              <a:round/>
            </a:ln>
            <a:effectLst/>
          </c:spPr>
          <c:marker>
            <c:symbol val="none"/>
          </c:marker>
          <c:dPt>
            <c:idx val="0"/>
            <c:marker>
              <c:symbol val="none"/>
            </c:marker>
            <c:bubble3D val="0"/>
            <c:extLst>
              <c:ext xmlns:c16="http://schemas.microsoft.com/office/drawing/2014/chart" uri="{C3380CC4-5D6E-409C-BE32-E72D297353CC}">
                <c16:uniqueId val="{00000009-66A6-4C58-AE99-1B20E9117B0E}"/>
              </c:ext>
            </c:extLst>
          </c:dPt>
          <c:cat>
            <c:numRef>
              <c:f>Zemiaky!$P$4:$P$55</c:f>
              <c:numCache>
                <c:formatCode>m/d/yyyy</c:formatCode>
                <c:ptCount val="14"/>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45717</c:v>
                </c:pt>
                <c:pt idx="13">
                  <c:v>45748</c:v>
                </c:pt>
              </c:numCache>
            </c:numRef>
          </c:cat>
          <c:val>
            <c:numRef>
              <c:f>Zemiaky!$S$4:$S$55</c:f>
              <c:numCache>
                <c:formatCode>0.00</c:formatCode>
                <c:ptCount val="14"/>
                <c:pt idx="0">
                  <c:v>0.97455702513125742</c:v>
                </c:pt>
                <c:pt idx="1">
                  <c:v>0.95703178848115578</c:v>
                </c:pt>
                <c:pt idx="2">
                  <c:v>0.93310506525804726</c:v>
                </c:pt>
                <c:pt idx="3">
                  <c:v>0.94325018834043717</c:v>
                </c:pt>
                <c:pt idx="4">
                  <c:v>0.98174383913696239</c:v>
                </c:pt>
                <c:pt idx="5">
                  <c:v>1.1440839745708831</c:v>
                </c:pt>
                <c:pt idx="6">
                  <c:v>0.99931247851495375</c:v>
                </c:pt>
                <c:pt idx="7">
                  <c:v>0.95491803502092942</c:v>
                </c:pt>
                <c:pt idx="8">
                  <c:v>0.89245160869565232</c:v>
                </c:pt>
                <c:pt idx="9">
                  <c:v>0.65033496373913058</c:v>
                </c:pt>
                <c:pt idx="10">
                  <c:v>0.66146145217391306</c:v>
                </c:pt>
                <c:pt idx="11">
                  <c:v>0.82957043478260872</c:v>
                </c:pt>
                <c:pt idx="12">
                  <c:v>0.88553043478260873</c:v>
                </c:pt>
                <c:pt idx="13">
                  <c:v>0.89993913043478257</c:v>
                </c:pt>
              </c:numCache>
            </c:numRef>
          </c:val>
          <c:smooth val="0"/>
          <c:extLst>
            <c:ext xmlns:c16="http://schemas.microsoft.com/office/drawing/2014/chart" uri="{C3380CC4-5D6E-409C-BE32-E72D297353CC}">
              <c16:uniqueId val="{0000000A-66A6-4C58-AE99-1B20E9117B0E}"/>
            </c:ext>
          </c:extLst>
        </c:ser>
        <c:ser>
          <c:idx val="3"/>
          <c:order val="3"/>
          <c:tx>
            <c:strRef>
              <c:f>Zemiaky!$T$3</c:f>
              <c:strCache>
                <c:ptCount val="1"/>
                <c:pt idx="0">
                  <c:v>HU</c:v>
                </c:pt>
              </c:strCache>
            </c:strRef>
          </c:tx>
          <c:spPr>
            <a:ln w="28575" cap="rnd">
              <a:solidFill>
                <a:schemeClr val="accent4"/>
              </a:solidFill>
              <a:round/>
            </a:ln>
            <a:effectLst/>
          </c:spPr>
          <c:marker>
            <c:symbol val="none"/>
          </c:marker>
          <c:dPt>
            <c:idx val="0"/>
            <c:marker>
              <c:symbol val="none"/>
            </c:marker>
            <c:bubble3D val="0"/>
            <c:extLst>
              <c:ext xmlns:c16="http://schemas.microsoft.com/office/drawing/2014/chart" uri="{C3380CC4-5D6E-409C-BE32-E72D297353CC}">
                <c16:uniqueId val="{0000000B-66A6-4C58-AE99-1B20E9117B0E}"/>
              </c:ext>
            </c:extLst>
          </c:dPt>
          <c:cat>
            <c:numRef>
              <c:f>Zemiaky!$P$4:$P$55</c:f>
              <c:numCache>
                <c:formatCode>m/d/yyyy</c:formatCode>
                <c:ptCount val="14"/>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45717</c:v>
                </c:pt>
                <c:pt idx="13">
                  <c:v>45748</c:v>
                </c:pt>
              </c:numCache>
            </c:numRef>
          </c:cat>
          <c:val>
            <c:numRef>
              <c:f>Zemiaky!$T$4:$T$55</c:f>
              <c:numCache>
                <c:formatCode>0.00</c:formatCode>
                <c:ptCount val="14"/>
                <c:pt idx="0">
                  <c:v>0.82028278124287668</c:v>
                </c:pt>
                <c:pt idx="1">
                  <c:v>0.82563969543506921</c:v>
                </c:pt>
                <c:pt idx="2">
                  <c:v>0.82716530450147363</c:v>
                </c:pt>
                <c:pt idx="3">
                  <c:v>0.85022803028270133</c:v>
                </c:pt>
                <c:pt idx="4">
                  <c:v>0.88425116070227694</c:v>
                </c:pt>
                <c:pt idx="5">
                  <c:v>0.89401937160376166</c:v>
                </c:pt>
                <c:pt idx="7">
                  <c:v>0.74810984251968504</c:v>
                </c:pt>
                <c:pt idx="8">
                  <c:v>0.74180960629921255</c:v>
                </c:pt>
                <c:pt idx="9">
                  <c:v>0.75624844889763787</c:v>
                </c:pt>
                <c:pt idx="10">
                  <c:v>0.75998188976377945</c:v>
                </c:pt>
                <c:pt idx="11">
                  <c:v>0.75684881889763778</c:v>
                </c:pt>
                <c:pt idx="12">
                  <c:v>0.7936929133858267</c:v>
                </c:pt>
                <c:pt idx="13">
                  <c:v>0.77662992125984254</c:v>
                </c:pt>
              </c:numCache>
            </c:numRef>
          </c:val>
          <c:smooth val="0"/>
          <c:extLst>
            <c:ext xmlns:c16="http://schemas.microsoft.com/office/drawing/2014/chart" uri="{C3380CC4-5D6E-409C-BE32-E72D297353CC}">
              <c16:uniqueId val="{0000000C-66A6-4C58-AE99-1B20E9117B0E}"/>
            </c:ext>
          </c:extLst>
        </c:ser>
        <c:ser>
          <c:idx val="4"/>
          <c:order val="4"/>
          <c:tx>
            <c:strRef>
              <c:f>Zemiaky!$U$3</c:f>
              <c:strCache>
                <c:ptCount val="1"/>
                <c:pt idx="0">
                  <c:v>PL</c:v>
                </c:pt>
              </c:strCache>
            </c:strRef>
          </c:tx>
          <c:spPr>
            <a:ln w="28575" cap="rnd">
              <a:solidFill>
                <a:schemeClr val="accent5"/>
              </a:solidFill>
              <a:round/>
            </a:ln>
            <a:effectLst/>
          </c:spPr>
          <c:marker>
            <c:symbol val="none"/>
          </c:marker>
          <c:cat>
            <c:numRef>
              <c:f>Zemiaky!$P$4:$P$55</c:f>
              <c:numCache>
                <c:formatCode>m/d/yyyy</c:formatCode>
                <c:ptCount val="14"/>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45717</c:v>
                </c:pt>
                <c:pt idx="13">
                  <c:v>45748</c:v>
                </c:pt>
              </c:numCache>
            </c:numRef>
          </c:cat>
          <c:val>
            <c:numRef>
              <c:f>Zemiaky!$U$4:$U$55</c:f>
              <c:numCache>
                <c:formatCode>0.00</c:formatCode>
                <c:ptCount val="14"/>
                <c:pt idx="0">
                  <c:v>0.64197137046931685</c:v>
                </c:pt>
                <c:pt idx="1">
                  <c:v>0.64727127821767028</c:v>
                </c:pt>
                <c:pt idx="2">
                  <c:v>0.65729371506433576</c:v>
                </c:pt>
                <c:pt idx="3">
                  <c:v>0.66163130841765416</c:v>
                </c:pt>
                <c:pt idx="4">
                  <c:v>0.74742589972915963</c:v>
                </c:pt>
                <c:pt idx="5">
                  <c:v>0.88853024310011042</c:v>
                </c:pt>
                <c:pt idx="6">
                  <c:v>0.69391078778891069</c:v>
                </c:pt>
                <c:pt idx="7">
                  <c:v>0.59019142857142848</c:v>
                </c:pt>
                <c:pt idx="8">
                  <c:v>0.58575847619047616</c:v>
                </c:pt>
                <c:pt idx="9">
                  <c:v>0.56476609638095232</c:v>
                </c:pt>
                <c:pt idx="10">
                  <c:v>0.5628495238095238</c:v>
                </c:pt>
                <c:pt idx="11">
                  <c:v>0.59769523809523806</c:v>
                </c:pt>
                <c:pt idx="12">
                  <c:v>0.61487619047619047</c:v>
                </c:pt>
                <c:pt idx="13">
                  <c:v>0.59818095238095237</c:v>
                </c:pt>
              </c:numCache>
            </c:numRef>
          </c:val>
          <c:smooth val="0"/>
          <c:extLst>
            <c:ext xmlns:c16="http://schemas.microsoft.com/office/drawing/2014/chart" uri="{C3380CC4-5D6E-409C-BE32-E72D297353CC}">
              <c16:uniqueId val="{0000000D-66A6-4C58-AE99-1B20E9117B0E}"/>
            </c:ext>
          </c:extLst>
        </c:ser>
        <c:ser>
          <c:idx val="5"/>
          <c:order val="5"/>
          <c:tx>
            <c:strRef>
              <c:f>Zemiaky!$V$3</c:f>
              <c:strCache>
                <c:ptCount val="1"/>
                <c:pt idx="0">
                  <c:v>SK - skenery</c:v>
                </c:pt>
              </c:strCache>
            </c:strRef>
          </c:tx>
          <c:spPr>
            <a:ln w="28575" cap="rnd">
              <a:noFill/>
              <a:round/>
            </a:ln>
            <a:effectLst/>
          </c:spPr>
          <c:marker>
            <c:symbol val="circle"/>
            <c:size val="6"/>
            <c:spPr>
              <a:solidFill>
                <a:srgbClr val="2EAAE1"/>
              </a:solidFill>
              <a:ln w="9525">
                <a:solidFill>
                  <a:srgbClr val="2EAAE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2EAAE1"/>
                    </a:solidFill>
                    <a:latin typeface="+mn-lt"/>
                    <a:ea typeface="+mn-ea"/>
                    <a:cs typeface="+mn-cs"/>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Zemiaky!$P$4:$P$55</c:f>
              <c:numCache>
                <c:formatCode>m/d/yyyy</c:formatCode>
                <c:ptCount val="16"/>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pt idx="15">
                  <c:v>45748</c:v>
                </c:pt>
              </c:numCache>
            </c:numRef>
          </c:cat>
          <c:val>
            <c:numRef>
              <c:f>Zemiaky!$V$4:$V$49</c:f>
              <c:numCache>
                <c:formatCode>General</c:formatCode>
                <c:ptCount val="10"/>
              </c:numCache>
            </c:numRef>
          </c:val>
          <c:smooth val="0"/>
          <c:extLst>
            <c:ext xmlns:c16="http://schemas.microsoft.com/office/drawing/2014/chart" uri="{C3380CC4-5D6E-409C-BE32-E72D297353CC}">
              <c16:uniqueId val="{0000000E-66A6-4C58-AE99-1B20E9117B0E}"/>
            </c:ext>
          </c:extLst>
        </c:ser>
        <c:ser>
          <c:idx val="6"/>
          <c:order val="6"/>
          <c:tx>
            <c:strRef>
              <c:f>Zemiaky!$W$3</c:f>
              <c:strCache>
                <c:ptCount val="1"/>
                <c:pt idx="0">
                  <c:v>CZ</c:v>
                </c:pt>
              </c:strCache>
            </c:strRef>
          </c:tx>
          <c:spPr>
            <a:ln w="28575" cap="rnd">
              <a:noFill/>
              <a:round/>
            </a:ln>
            <a:effectLst/>
          </c:spPr>
          <c:marker>
            <c:symbol val="circle"/>
            <c:size val="6"/>
            <c:spPr>
              <a:solidFill>
                <a:srgbClr val="1AA380"/>
              </a:solidFill>
              <a:ln w="9525">
                <a:solidFill>
                  <a:srgbClr val="1AA380"/>
                </a:solidFill>
              </a:ln>
              <a:effectLst/>
            </c:spPr>
          </c:marker>
          <c:cat>
            <c:numRef>
              <c:f>Zemiaky!$P$4:$P$55</c:f>
              <c:numCache>
                <c:formatCode>m/d/yyyy</c:formatCode>
                <c:ptCount val="16"/>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pt idx="15">
                  <c:v>45748</c:v>
                </c:pt>
              </c:numCache>
            </c:numRef>
          </c:cat>
          <c:val>
            <c:numRef>
              <c:f>Zemiaky!$W$4:$W$49</c:f>
              <c:numCache>
                <c:formatCode>General</c:formatCode>
                <c:ptCount val="10"/>
              </c:numCache>
            </c:numRef>
          </c:val>
          <c:smooth val="0"/>
          <c:extLst>
            <c:ext xmlns:c16="http://schemas.microsoft.com/office/drawing/2014/chart" uri="{C3380CC4-5D6E-409C-BE32-E72D297353CC}">
              <c16:uniqueId val="{0000000F-66A6-4C58-AE99-1B20E9117B0E}"/>
            </c:ext>
          </c:extLst>
        </c:ser>
        <c:ser>
          <c:idx val="7"/>
          <c:order val="7"/>
          <c:tx>
            <c:strRef>
              <c:f>Zemiaky!$X$3</c:f>
              <c:strCache>
                <c:ptCount val="1"/>
                <c:pt idx="0">
                  <c:v>HU</c:v>
                </c:pt>
              </c:strCache>
            </c:strRef>
          </c:tx>
          <c:spPr>
            <a:ln w="28575" cap="rnd">
              <a:noFill/>
              <a:round/>
            </a:ln>
            <a:effectLst/>
          </c:spPr>
          <c:marker>
            <c:symbol val="circle"/>
            <c:size val="6"/>
            <c:spPr>
              <a:solidFill>
                <a:srgbClr val="F2CA6D"/>
              </a:solidFill>
              <a:ln w="9525">
                <a:solidFill>
                  <a:srgbClr val="F2CA6D"/>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F2CA6D"/>
                    </a:solidFill>
                    <a:latin typeface="+mn-lt"/>
                    <a:ea typeface="+mn-ea"/>
                    <a:cs typeface="+mn-cs"/>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Zemiaky!$P$4:$P$55</c:f>
              <c:numCache>
                <c:formatCode>m/d/yyyy</c:formatCode>
                <c:ptCount val="16"/>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pt idx="15">
                  <c:v>45748</c:v>
                </c:pt>
              </c:numCache>
            </c:numRef>
          </c:cat>
          <c:val>
            <c:numRef>
              <c:f>Zemiaky!$X$4:$X$49</c:f>
              <c:numCache>
                <c:formatCode>General</c:formatCode>
                <c:ptCount val="10"/>
              </c:numCache>
            </c:numRef>
          </c:val>
          <c:smooth val="0"/>
          <c:extLst>
            <c:ext xmlns:c16="http://schemas.microsoft.com/office/drawing/2014/chart" uri="{C3380CC4-5D6E-409C-BE32-E72D297353CC}">
              <c16:uniqueId val="{00000010-66A6-4C58-AE99-1B20E9117B0E}"/>
            </c:ext>
          </c:extLst>
        </c:ser>
        <c:ser>
          <c:idx val="8"/>
          <c:order val="8"/>
          <c:tx>
            <c:strRef>
              <c:f>Zemiaky!$Y$3</c:f>
              <c:strCache>
                <c:ptCount val="1"/>
                <c:pt idx="0">
                  <c:v>PL</c:v>
                </c:pt>
              </c:strCache>
            </c:strRef>
          </c:tx>
          <c:spPr>
            <a:ln w="28575" cap="rnd">
              <a:noFill/>
              <a:round/>
            </a:ln>
            <a:effectLst/>
          </c:spPr>
          <c:marker>
            <c:symbol val="circle"/>
            <c:size val="6"/>
            <c:spPr>
              <a:solidFill>
                <a:srgbClr val="E85477"/>
              </a:solidFill>
              <a:ln w="9525">
                <a:solidFill>
                  <a:srgbClr val="E85477"/>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E85477"/>
                    </a:solidFill>
                    <a:latin typeface="+mn-lt"/>
                    <a:ea typeface="+mn-ea"/>
                    <a:cs typeface="+mn-cs"/>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Zemiaky!$P$4:$P$55</c:f>
              <c:numCache>
                <c:formatCode>m/d/yyyy</c:formatCode>
                <c:ptCount val="16"/>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pt idx="15">
                  <c:v>45748</c:v>
                </c:pt>
              </c:numCache>
            </c:numRef>
          </c:cat>
          <c:val>
            <c:numRef>
              <c:f>Zemiaky!$Y$4:$Y$49</c:f>
              <c:numCache>
                <c:formatCode>General</c:formatCode>
                <c:ptCount val="10"/>
              </c:numCache>
            </c:numRef>
          </c:val>
          <c:smooth val="0"/>
          <c:extLst>
            <c:ext xmlns:c16="http://schemas.microsoft.com/office/drawing/2014/chart" uri="{C3380CC4-5D6E-409C-BE32-E72D297353CC}">
              <c16:uniqueId val="{00000011-66A6-4C58-AE99-1B20E9117B0E}"/>
            </c:ext>
          </c:extLst>
        </c:ser>
        <c:dLbls>
          <c:showLegendKey val="0"/>
          <c:showVal val="0"/>
          <c:showCatName val="0"/>
          <c:showSerName val="0"/>
          <c:showPercent val="0"/>
          <c:showBubbleSize val="0"/>
        </c:dLbls>
        <c:smooth val="0"/>
        <c:axId val="545542928"/>
        <c:axId val="545543256"/>
      </c:lineChart>
      <c:dateAx>
        <c:axId val="545542928"/>
        <c:scaling>
          <c:orientation val="minMax"/>
          <c:max val="45627"/>
        </c:scaling>
        <c:delete val="0"/>
        <c:axPos val="b"/>
        <c:numFmt formatCode="m/yy" sourceLinked="0"/>
        <c:majorTickMark val="none"/>
        <c:minorTickMark val="none"/>
        <c:tickLblPos val="nextTo"/>
        <c:spPr>
          <a:noFill/>
          <a:ln w="12700" cap="flat" cmpd="sng" algn="ctr">
            <a:solidFill>
              <a:srgbClr val="7F7F7F"/>
            </a:solidFill>
            <a:round/>
          </a:ln>
          <a:effectLst/>
        </c:spPr>
        <c:txPr>
          <a:bodyPr rot="-5400000" spcFirstLastPara="1" vertOverflow="ellipsis" wrap="square" anchor="ctr" anchorCtr="1"/>
          <a:lstStyle/>
          <a:p>
            <a:pPr>
              <a:defRPr sz="900" b="0" i="0" u="none" strike="noStrike" kern="1200" baseline="0">
                <a:solidFill>
                  <a:schemeClr val="tx1">
                    <a:lumMod val="85000"/>
                    <a:lumOff val="15000"/>
                  </a:schemeClr>
                </a:solidFill>
                <a:latin typeface="+mn-lt"/>
                <a:ea typeface="+mn-ea"/>
                <a:cs typeface="+mn-cs"/>
              </a:defRPr>
            </a:pPr>
            <a:endParaRPr lang="sk-SK"/>
          </a:p>
        </c:txPr>
        <c:crossAx val="545543256"/>
        <c:crosses val="autoZero"/>
        <c:auto val="1"/>
        <c:lblOffset val="100"/>
        <c:baseTimeUnit val="months"/>
        <c:majorUnit val="1"/>
        <c:majorTimeUnit val="months"/>
      </c:dateAx>
      <c:valAx>
        <c:axId val="545543256"/>
        <c:scaling>
          <c:orientation val="minMax"/>
          <c:min val="0.2"/>
        </c:scaling>
        <c:delete val="0"/>
        <c:axPos val="l"/>
        <c:majorGridlines>
          <c:spPr>
            <a:ln w="9525" cap="flat" cmpd="sng" algn="ctr">
              <a:solidFill>
                <a:srgbClr val="7F7F7F">
                  <a:alpha val="25098"/>
                </a:srgbClr>
              </a:solidFill>
              <a:prstDash val="sysDot"/>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85000"/>
                    <a:lumOff val="15000"/>
                  </a:schemeClr>
                </a:solidFill>
                <a:latin typeface="+mn-lt"/>
                <a:ea typeface="+mn-ea"/>
                <a:cs typeface="+mn-cs"/>
              </a:defRPr>
            </a:pPr>
            <a:endParaRPr lang="sk-SK"/>
          </a:p>
        </c:txPr>
        <c:crossAx val="545542928"/>
        <c:crosses val="autoZero"/>
        <c:crossBetween val="midCat"/>
      </c:valAx>
      <c:spPr>
        <a:noFill/>
        <a:ln>
          <a:noFill/>
        </a:ln>
        <a:effectLst/>
      </c:spPr>
    </c:plotArea>
    <c:legend>
      <c:legendPos val="b"/>
      <c:legendEntry>
        <c:idx val="5"/>
        <c:delete val="1"/>
      </c:legendEntry>
      <c:legendEntry>
        <c:idx val="6"/>
        <c:delete val="1"/>
      </c:legendEntry>
      <c:legendEntry>
        <c:idx val="7"/>
        <c:delete val="1"/>
      </c:legendEntry>
      <c:legendEntry>
        <c:idx val="8"/>
        <c:delete val="1"/>
      </c:legendEntry>
      <c:layout>
        <c:manualLayout>
          <c:xMode val="edge"/>
          <c:yMode val="edge"/>
          <c:x val="1.7639540612722417E-2"/>
          <c:y val="0.81600621451049704"/>
          <c:w val="0.96010268400125798"/>
          <c:h val="0.1534345637630994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85000"/>
                  <a:lumOff val="15000"/>
                </a:schemeClr>
              </a:solidFill>
              <a:latin typeface="+mn-lt"/>
              <a:ea typeface="+mn-ea"/>
              <a:cs typeface="+mn-cs"/>
            </a:defRPr>
          </a:pPr>
          <a:endParaRPr lang="sk-SK"/>
        </a:p>
      </c:txPr>
    </c:legend>
    <c:plotVisOnly val="1"/>
    <c:dispBlanksAs val="gap"/>
    <c:showDLblsOverMax val="0"/>
  </c:chart>
  <c:spPr>
    <a:solidFill>
      <a:sysClr val="window" lastClr="FFFFFF"/>
    </a:solidFill>
    <a:ln w="9525" cap="flat" cmpd="sng" algn="ctr">
      <a:noFill/>
      <a:round/>
    </a:ln>
    <a:effectLst/>
  </c:spPr>
  <c:txPr>
    <a:bodyPr/>
    <a:lstStyle/>
    <a:p>
      <a:pPr>
        <a:defRPr>
          <a:solidFill>
            <a:schemeClr val="tx1">
              <a:lumMod val="85000"/>
              <a:lumOff val="15000"/>
            </a:schemeClr>
          </a:solidFill>
        </a:defRPr>
      </a:pPr>
      <a:endParaRPr lang="sk-SK"/>
    </a:p>
  </c:txPr>
  <c:externalData r:id="rId4">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7096842816128751E-2"/>
          <c:y val="0.23939484126984126"/>
          <c:w val="0.85442292736606595"/>
          <c:h val="0.65304960317460314"/>
        </c:manualLayout>
      </c:layout>
      <c:barChart>
        <c:barDir val="col"/>
        <c:grouping val="stacked"/>
        <c:varyColors val="0"/>
        <c:ser>
          <c:idx val="4"/>
          <c:order val="0"/>
          <c:tx>
            <c:strRef>
              <c:f>Rozklad_stvrtrocne!$B$27</c:f>
              <c:strCache>
                <c:ptCount val="1"/>
                <c:pt idx="0">
                  <c:v>Dovezená spotreba</c:v>
                </c:pt>
              </c:strCache>
            </c:strRef>
          </c:tx>
          <c:spPr>
            <a:solidFill>
              <a:srgbClr val="2EAAE1"/>
            </a:solidFill>
            <a:ln>
              <a:noFill/>
            </a:ln>
            <a:effectLst/>
          </c:spPr>
          <c:invertIfNegative val="0"/>
          <c:cat>
            <c:strRef>
              <c:f>Rozklad_stvrtrocne!$K$24:$Z$24</c:f>
              <c:strCache>
                <c:ptCount val="16"/>
                <c:pt idx="0">
                  <c:v>Q1-21</c:v>
                </c:pt>
                <c:pt idx="1">
                  <c:v>Q2-21</c:v>
                </c:pt>
                <c:pt idx="2">
                  <c:v>Q3-21</c:v>
                </c:pt>
                <c:pt idx="3">
                  <c:v>Q4-21</c:v>
                </c:pt>
                <c:pt idx="4">
                  <c:v>Q1-22</c:v>
                </c:pt>
                <c:pt idx="5">
                  <c:v>Q2-22</c:v>
                </c:pt>
                <c:pt idx="6">
                  <c:v>Q3-22</c:v>
                </c:pt>
                <c:pt idx="7">
                  <c:v>Q4-22</c:v>
                </c:pt>
                <c:pt idx="8">
                  <c:v>Q1-23</c:v>
                </c:pt>
                <c:pt idx="9">
                  <c:v>Q2-23</c:v>
                </c:pt>
                <c:pt idx="10">
                  <c:v>Q3-23</c:v>
                </c:pt>
                <c:pt idx="11">
                  <c:v>Q4-23</c:v>
                </c:pt>
                <c:pt idx="12">
                  <c:v>Q1-24</c:v>
                </c:pt>
                <c:pt idx="13">
                  <c:v>Q2-24</c:v>
                </c:pt>
                <c:pt idx="14">
                  <c:v>Q3-24</c:v>
                </c:pt>
                <c:pt idx="15">
                  <c:v>Q4-24</c:v>
                </c:pt>
              </c:strCache>
              <c:extLst/>
            </c:strRef>
          </c:cat>
          <c:val>
            <c:numRef>
              <c:f>Rozklad_stvrtrocne!$K$27:$Z$27</c:f>
              <c:numCache>
                <c:formatCode>0.0</c:formatCode>
                <c:ptCount val="16"/>
                <c:pt idx="0">
                  <c:v>3.1890964553504499</c:v>
                </c:pt>
                <c:pt idx="1">
                  <c:v>5.0034677890606494</c:v>
                </c:pt>
                <c:pt idx="2">
                  <c:v>5.5340631693758402</c:v>
                </c:pt>
                <c:pt idx="3">
                  <c:v>6.2456925114210398</c:v>
                </c:pt>
                <c:pt idx="4">
                  <c:v>3.4081154437409404</c:v>
                </c:pt>
                <c:pt idx="5">
                  <c:v>5.2152031298444301</c:v>
                </c:pt>
                <c:pt idx="6">
                  <c:v>7.3975196591803698</c:v>
                </c:pt>
                <c:pt idx="7">
                  <c:v>7.8872733198992604</c:v>
                </c:pt>
                <c:pt idx="8">
                  <c:v>8.5513195176847994</c:v>
                </c:pt>
                <c:pt idx="9">
                  <c:v>6.0715517873550997</c:v>
                </c:pt>
                <c:pt idx="10">
                  <c:v>3.7039444676005902</c:v>
                </c:pt>
                <c:pt idx="11">
                  <c:v>2.5114477836422902</c:v>
                </c:pt>
                <c:pt idx="12">
                  <c:v>0.81958526621846306</c:v>
                </c:pt>
                <c:pt idx="13">
                  <c:v>0.49408152202635103</c:v>
                </c:pt>
                <c:pt idx="14">
                  <c:v>1.7692966445640699</c:v>
                </c:pt>
                <c:pt idx="15">
                  <c:v>2.1842070001925498</c:v>
                </c:pt>
              </c:numCache>
              <c:extLst/>
            </c:numRef>
          </c:val>
          <c:extLst>
            <c:ext xmlns:c16="http://schemas.microsoft.com/office/drawing/2014/chart" uri="{C3380CC4-5D6E-409C-BE32-E72D297353CC}">
              <c16:uniqueId val="{00000000-7797-4AF3-B121-85F24CFD31F8}"/>
            </c:ext>
          </c:extLst>
        </c:ser>
        <c:ser>
          <c:idx val="1"/>
          <c:order val="1"/>
          <c:tx>
            <c:strRef>
              <c:f>Rozklad_stvrtrocne!$B$25</c:f>
              <c:strCache>
                <c:ptCount val="1"/>
                <c:pt idx="0">
                  <c:v>Energetické vstupy</c:v>
                </c:pt>
              </c:strCache>
            </c:strRef>
          </c:tx>
          <c:spPr>
            <a:solidFill>
              <a:srgbClr val="7F6000"/>
            </a:solidFill>
            <a:ln>
              <a:noFill/>
            </a:ln>
            <a:effectLst/>
          </c:spPr>
          <c:invertIfNegative val="0"/>
          <c:cat>
            <c:strRef>
              <c:f>Rozklad_stvrtrocne!$K$24:$Z$24</c:f>
              <c:strCache>
                <c:ptCount val="16"/>
                <c:pt idx="0">
                  <c:v>Q1-21</c:v>
                </c:pt>
                <c:pt idx="1">
                  <c:v>Q2-21</c:v>
                </c:pt>
                <c:pt idx="2">
                  <c:v>Q3-21</c:v>
                </c:pt>
                <c:pt idx="3">
                  <c:v>Q4-21</c:v>
                </c:pt>
                <c:pt idx="4">
                  <c:v>Q1-22</c:v>
                </c:pt>
                <c:pt idx="5">
                  <c:v>Q2-22</c:v>
                </c:pt>
                <c:pt idx="6">
                  <c:v>Q3-22</c:v>
                </c:pt>
                <c:pt idx="7">
                  <c:v>Q4-22</c:v>
                </c:pt>
                <c:pt idx="8">
                  <c:v>Q1-23</c:v>
                </c:pt>
                <c:pt idx="9">
                  <c:v>Q2-23</c:v>
                </c:pt>
                <c:pt idx="10">
                  <c:v>Q3-23</c:v>
                </c:pt>
                <c:pt idx="11">
                  <c:v>Q4-23</c:v>
                </c:pt>
                <c:pt idx="12">
                  <c:v>Q1-24</c:v>
                </c:pt>
                <c:pt idx="13">
                  <c:v>Q2-24</c:v>
                </c:pt>
                <c:pt idx="14">
                  <c:v>Q3-24</c:v>
                </c:pt>
                <c:pt idx="15">
                  <c:v>Q4-24</c:v>
                </c:pt>
              </c:strCache>
              <c:extLst/>
            </c:strRef>
          </c:cat>
          <c:val>
            <c:numRef>
              <c:f>Rozklad_stvrtrocne!$K$25:$Z$25</c:f>
              <c:numCache>
                <c:formatCode>0.0</c:formatCode>
                <c:ptCount val="16"/>
                <c:pt idx="0">
                  <c:v>-0.164191128891957</c:v>
                </c:pt>
                <c:pt idx="1">
                  <c:v>5.0015303200361606E-2</c:v>
                </c:pt>
                <c:pt idx="2">
                  <c:v>0.165773522089634</c:v>
                </c:pt>
                <c:pt idx="3">
                  <c:v>0.41698884130185604</c:v>
                </c:pt>
                <c:pt idx="4">
                  <c:v>1.1646806344819001</c:v>
                </c:pt>
                <c:pt idx="5">
                  <c:v>1.54149296988545</c:v>
                </c:pt>
                <c:pt idx="6">
                  <c:v>1.86199235701982</c:v>
                </c:pt>
                <c:pt idx="7">
                  <c:v>1.59694167548373</c:v>
                </c:pt>
                <c:pt idx="8">
                  <c:v>1.12121701704079</c:v>
                </c:pt>
                <c:pt idx="9">
                  <c:v>0.477500477127898</c:v>
                </c:pt>
                <c:pt idx="10">
                  <c:v>0.19166594075025301</c:v>
                </c:pt>
                <c:pt idx="11">
                  <c:v>0.189602036662191</c:v>
                </c:pt>
                <c:pt idx="12">
                  <c:v>-0.56268645533124106</c:v>
                </c:pt>
                <c:pt idx="13">
                  <c:v>-0.50703127640332102</c:v>
                </c:pt>
                <c:pt idx="14">
                  <c:v>-0.508184095176057</c:v>
                </c:pt>
                <c:pt idx="15">
                  <c:v>-0.58019916733158206</c:v>
                </c:pt>
              </c:numCache>
              <c:extLst/>
            </c:numRef>
          </c:val>
          <c:extLst>
            <c:ext xmlns:c16="http://schemas.microsoft.com/office/drawing/2014/chart" uri="{C3380CC4-5D6E-409C-BE32-E72D297353CC}">
              <c16:uniqueId val="{00000001-7797-4AF3-B121-85F24CFD31F8}"/>
            </c:ext>
          </c:extLst>
        </c:ser>
        <c:ser>
          <c:idx val="2"/>
          <c:order val="2"/>
          <c:tx>
            <c:strRef>
              <c:f>Rozklad_stvrtrocne!$B$26</c:f>
              <c:strCache>
                <c:ptCount val="1"/>
                <c:pt idx="0">
                  <c:v>Dovezené vstupy</c:v>
                </c:pt>
              </c:strCache>
            </c:strRef>
          </c:tx>
          <c:spPr>
            <a:solidFill>
              <a:srgbClr val="355179"/>
            </a:solidFill>
            <a:ln>
              <a:noFill/>
            </a:ln>
            <a:effectLst/>
          </c:spPr>
          <c:invertIfNegative val="0"/>
          <c:cat>
            <c:strRef>
              <c:f>Rozklad_stvrtrocne!$K$24:$Z$24</c:f>
              <c:strCache>
                <c:ptCount val="16"/>
                <c:pt idx="0">
                  <c:v>Q1-21</c:v>
                </c:pt>
                <c:pt idx="1">
                  <c:v>Q2-21</c:v>
                </c:pt>
                <c:pt idx="2">
                  <c:v>Q3-21</c:v>
                </c:pt>
                <c:pt idx="3">
                  <c:v>Q4-21</c:v>
                </c:pt>
                <c:pt idx="4">
                  <c:v>Q1-22</c:v>
                </c:pt>
                <c:pt idx="5">
                  <c:v>Q2-22</c:v>
                </c:pt>
                <c:pt idx="6">
                  <c:v>Q3-22</c:v>
                </c:pt>
                <c:pt idx="7">
                  <c:v>Q4-22</c:v>
                </c:pt>
                <c:pt idx="8">
                  <c:v>Q1-23</c:v>
                </c:pt>
                <c:pt idx="9">
                  <c:v>Q2-23</c:v>
                </c:pt>
                <c:pt idx="10">
                  <c:v>Q3-23</c:v>
                </c:pt>
                <c:pt idx="11">
                  <c:v>Q4-23</c:v>
                </c:pt>
                <c:pt idx="12">
                  <c:v>Q1-24</c:v>
                </c:pt>
                <c:pt idx="13">
                  <c:v>Q2-24</c:v>
                </c:pt>
                <c:pt idx="14">
                  <c:v>Q3-24</c:v>
                </c:pt>
                <c:pt idx="15">
                  <c:v>Q4-24</c:v>
                </c:pt>
              </c:strCache>
              <c:extLst/>
            </c:strRef>
          </c:cat>
          <c:val>
            <c:numRef>
              <c:f>Rozklad_stvrtrocne!$K$26:$Z$26</c:f>
              <c:numCache>
                <c:formatCode>0.0</c:formatCode>
                <c:ptCount val="16"/>
                <c:pt idx="0">
                  <c:v>-0.76830003310484396</c:v>
                </c:pt>
                <c:pt idx="1">
                  <c:v>-0.287356145708067</c:v>
                </c:pt>
                <c:pt idx="2">
                  <c:v>8.7125924657419501E-2</c:v>
                </c:pt>
                <c:pt idx="3">
                  <c:v>0.52609477704642404</c:v>
                </c:pt>
                <c:pt idx="4">
                  <c:v>2.2734340850043702</c:v>
                </c:pt>
                <c:pt idx="5">
                  <c:v>2.8337585035522399</c:v>
                </c:pt>
                <c:pt idx="6">
                  <c:v>2.9808156229097702</c:v>
                </c:pt>
                <c:pt idx="7">
                  <c:v>2.88172994896965</c:v>
                </c:pt>
                <c:pt idx="8">
                  <c:v>2.05441750195321</c:v>
                </c:pt>
                <c:pt idx="9">
                  <c:v>1.14244229475686</c:v>
                </c:pt>
                <c:pt idx="10">
                  <c:v>0.39581134024137393</c:v>
                </c:pt>
                <c:pt idx="11">
                  <c:v>0.23145025025694299</c:v>
                </c:pt>
                <c:pt idx="12">
                  <c:v>-0.13099744323880899</c:v>
                </c:pt>
                <c:pt idx="13">
                  <c:v>-3.5516288040074701E-2</c:v>
                </c:pt>
                <c:pt idx="14">
                  <c:v>0.18162855203471001</c:v>
                </c:pt>
                <c:pt idx="15">
                  <c:v>0.23854073796307501</c:v>
                </c:pt>
              </c:numCache>
              <c:extLst/>
            </c:numRef>
          </c:val>
          <c:extLst>
            <c:ext xmlns:c16="http://schemas.microsoft.com/office/drawing/2014/chart" uri="{C3380CC4-5D6E-409C-BE32-E72D297353CC}">
              <c16:uniqueId val="{00000002-7797-4AF3-B121-85F24CFD31F8}"/>
            </c:ext>
          </c:extLst>
        </c:ser>
        <c:ser>
          <c:idx val="3"/>
          <c:order val="3"/>
          <c:tx>
            <c:strRef>
              <c:f>Rozklad_stvrtrocne!$B$28</c:f>
              <c:strCache>
                <c:ptCount val="1"/>
                <c:pt idx="0">
                  <c:v>Čisté dane</c:v>
                </c:pt>
              </c:strCache>
            </c:strRef>
          </c:tx>
          <c:spPr>
            <a:solidFill>
              <a:srgbClr val="E85477"/>
            </a:solidFill>
            <a:ln>
              <a:noFill/>
            </a:ln>
            <a:effectLst/>
          </c:spPr>
          <c:invertIfNegative val="0"/>
          <c:cat>
            <c:strRef>
              <c:f>Rozklad_stvrtrocne!$K$24:$Z$24</c:f>
              <c:strCache>
                <c:ptCount val="16"/>
                <c:pt idx="0">
                  <c:v>Q1-21</c:v>
                </c:pt>
                <c:pt idx="1">
                  <c:v>Q2-21</c:v>
                </c:pt>
                <c:pt idx="2">
                  <c:v>Q3-21</c:v>
                </c:pt>
                <c:pt idx="3">
                  <c:v>Q4-21</c:v>
                </c:pt>
                <c:pt idx="4">
                  <c:v>Q1-22</c:v>
                </c:pt>
                <c:pt idx="5">
                  <c:v>Q2-22</c:v>
                </c:pt>
                <c:pt idx="6">
                  <c:v>Q3-22</c:v>
                </c:pt>
                <c:pt idx="7">
                  <c:v>Q4-22</c:v>
                </c:pt>
                <c:pt idx="8">
                  <c:v>Q1-23</c:v>
                </c:pt>
                <c:pt idx="9">
                  <c:v>Q2-23</c:v>
                </c:pt>
                <c:pt idx="10">
                  <c:v>Q3-23</c:v>
                </c:pt>
                <c:pt idx="11">
                  <c:v>Q4-23</c:v>
                </c:pt>
                <c:pt idx="12">
                  <c:v>Q1-24</c:v>
                </c:pt>
                <c:pt idx="13">
                  <c:v>Q2-24</c:v>
                </c:pt>
                <c:pt idx="14">
                  <c:v>Q3-24</c:v>
                </c:pt>
                <c:pt idx="15">
                  <c:v>Q4-24</c:v>
                </c:pt>
              </c:strCache>
              <c:extLst/>
            </c:strRef>
          </c:cat>
          <c:val>
            <c:numRef>
              <c:f>Rozklad_stvrtrocne!$K$28:$Z$28</c:f>
              <c:numCache>
                <c:formatCode>0.0</c:formatCode>
                <c:ptCount val="16"/>
                <c:pt idx="0">
                  <c:v>0.39883303957635002</c:v>
                </c:pt>
                <c:pt idx="1">
                  <c:v>1.1506238519991521</c:v>
                </c:pt>
                <c:pt idx="2">
                  <c:v>1.2021806032274323</c:v>
                </c:pt>
                <c:pt idx="3">
                  <c:v>1.2213437005406174</c:v>
                </c:pt>
                <c:pt idx="4">
                  <c:v>0.98457097936584437</c:v>
                </c:pt>
                <c:pt idx="5">
                  <c:v>0.46653490106334056</c:v>
                </c:pt>
                <c:pt idx="6">
                  <c:v>0.48359723760707546</c:v>
                </c:pt>
                <c:pt idx="7">
                  <c:v>0.51772188635593241</c:v>
                </c:pt>
                <c:pt idx="8">
                  <c:v>0.49664653261042868</c:v>
                </c:pt>
                <c:pt idx="9">
                  <c:v>0.44278957664277424</c:v>
                </c:pt>
                <c:pt idx="10">
                  <c:v>0.41306931315611939</c:v>
                </c:pt>
                <c:pt idx="11">
                  <c:v>0.38114938699786366</c:v>
                </c:pt>
                <c:pt idx="12">
                  <c:v>1.035385816485386</c:v>
                </c:pt>
                <c:pt idx="13">
                  <c:v>1.0767809503440999</c:v>
                </c:pt>
                <c:pt idx="14">
                  <c:v>1.0931030476897927</c:v>
                </c:pt>
                <c:pt idx="15">
                  <c:v>1.4324650073702799E-2</c:v>
                </c:pt>
              </c:numCache>
              <c:extLst/>
            </c:numRef>
          </c:val>
          <c:extLst>
            <c:ext xmlns:c16="http://schemas.microsoft.com/office/drawing/2014/chart" uri="{C3380CC4-5D6E-409C-BE32-E72D297353CC}">
              <c16:uniqueId val="{00000003-7797-4AF3-B121-85F24CFD31F8}"/>
            </c:ext>
          </c:extLst>
        </c:ser>
        <c:ser>
          <c:idx val="5"/>
          <c:order val="4"/>
          <c:tx>
            <c:strRef>
              <c:f>Rozklad_stvrtrocne!$B$29</c:f>
              <c:strCache>
                <c:ptCount val="1"/>
                <c:pt idx="0">
                  <c:v>Mzdové náklady</c:v>
                </c:pt>
              </c:strCache>
            </c:strRef>
          </c:tx>
          <c:spPr>
            <a:solidFill>
              <a:srgbClr val="1AA380"/>
            </a:solidFill>
            <a:ln>
              <a:noFill/>
            </a:ln>
            <a:effectLst/>
          </c:spPr>
          <c:invertIfNegative val="0"/>
          <c:cat>
            <c:strRef>
              <c:f>Rozklad_stvrtrocne!$K$24:$Z$24</c:f>
              <c:strCache>
                <c:ptCount val="16"/>
                <c:pt idx="0">
                  <c:v>Q1-21</c:v>
                </c:pt>
                <c:pt idx="1">
                  <c:v>Q2-21</c:v>
                </c:pt>
                <c:pt idx="2">
                  <c:v>Q3-21</c:v>
                </c:pt>
                <c:pt idx="3">
                  <c:v>Q4-21</c:v>
                </c:pt>
                <c:pt idx="4">
                  <c:v>Q1-22</c:v>
                </c:pt>
                <c:pt idx="5">
                  <c:v>Q2-22</c:v>
                </c:pt>
                <c:pt idx="6">
                  <c:v>Q3-22</c:v>
                </c:pt>
                <c:pt idx="7">
                  <c:v>Q4-22</c:v>
                </c:pt>
                <c:pt idx="8">
                  <c:v>Q1-23</c:v>
                </c:pt>
                <c:pt idx="9">
                  <c:v>Q2-23</c:v>
                </c:pt>
                <c:pt idx="10">
                  <c:v>Q3-23</c:v>
                </c:pt>
                <c:pt idx="11">
                  <c:v>Q4-23</c:v>
                </c:pt>
                <c:pt idx="12">
                  <c:v>Q1-24</c:v>
                </c:pt>
                <c:pt idx="13">
                  <c:v>Q2-24</c:v>
                </c:pt>
                <c:pt idx="14">
                  <c:v>Q3-24</c:v>
                </c:pt>
                <c:pt idx="15">
                  <c:v>Q4-24</c:v>
                </c:pt>
              </c:strCache>
              <c:extLst/>
            </c:strRef>
          </c:cat>
          <c:val>
            <c:numRef>
              <c:f>Rozklad_stvrtrocne!$K$29:$Z$29</c:f>
              <c:numCache>
                <c:formatCode>0.0</c:formatCode>
                <c:ptCount val="16"/>
                <c:pt idx="0">
                  <c:v>-0.41900489403351804</c:v>
                </c:pt>
                <c:pt idx="1">
                  <c:v>0.87730723803649202</c:v>
                </c:pt>
                <c:pt idx="2">
                  <c:v>0.39681467045478397</c:v>
                </c:pt>
                <c:pt idx="3">
                  <c:v>0.36538794714115802</c:v>
                </c:pt>
                <c:pt idx="4">
                  <c:v>1.8974080764130801</c:v>
                </c:pt>
                <c:pt idx="5">
                  <c:v>1.56617413108295</c:v>
                </c:pt>
                <c:pt idx="6">
                  <c:v>1.6367297827577498</c:v>
                </c:pt>
                <c:pt idx="7">
                  <c:v>2.0889366644854501</c:v>
                </c:pt>
                <c:pt idx="8">
                  <c:v>1.7032769712347198</c:v>
                </c:pt>
                <c:pt idx="9">
                  <c:v>1.5450381272718199</c:v>
                </c:pt>
                <c:pt idx="10">
                  <c:v>1.5900863350224799</c:v>
                </c:pt>
                <c:pt idx="11">
                  <c:v>1.78643243004514</c:v>
                </c:pt>
                <c:pt idx="12">
                  <c:v>1.4434127332764402</c:v>
                </c:pt>
                <c:pt idx="13">
                  <c:v>1.23254581521379</c:v>
                </c:pt>
                <c:pt idx="14">
                  <c:v>0.99878621678399504</c:v>
                </c:pt>
                <c:pt idx="15">
                  <c:v>0.94744456351402406</c:v>
                </c:pt>
              </c:numCache>
              <c:extLst/>
            </c:numRef>
          </c:val>
          <c:extLst>
            <c:ext xmlns:c16="http://schemas.microsoft.com/office/drawing/2014/chart" uri="{C3380CC4-5D6E-409C-BE32-E72D297353CC}">
              <c16:uniqueId val="{00000004-7797-4AF3-B121-85F24CFD31F8}"/>
            </c:ext>
          </c:extLst>
        </c:ser>
        <c:ser>
          <c:idx val="0"/>
          <c:order val="5"/>
          <c:tx>
            <c:strRef>
              <c:f>Rozklad_stvrtrocne!$B$30</c:f>
              <c:strCache>
                <c:ptCount val="1"/>
                <c:pt idx="0">
                  <c:v>Nevysvetlená časť</c:v>
                </c:pt>
              </c:strCache>
            </c:strRef>
          </c:tx>
          <c:spPr>
            <a:solidFill>
              <a:srgbClr val="9876F6"/>
            </a:solidFill>
            <a:ln>
              <a:noFill/>
            </a:ln>
            <a:effectLst/>
          </c:spPr>
          <c:invertIfNegative val="0"/>
          <c:cat>
            <c:strRef>
              <c:f>Rozklad_stvrtrocne!$K$24:$Z$24</c:f>
              <c:strCache>
                <c:ptCount val="16"/>
                <c:pt idx="0">
                  <c:v>Q1-21</c:v>
                </c:pt>
                <c:pt idx="1">
                  <c:v>Q2-21</c:v>
                </c:pt>
                <c:pt idx="2">
                  <c:v>Q3-21</c:v>
                </c:pt>
                <c:pt idx="3">
                  <c:v>Q4-21</c:v>
                </c:pt>
                <c:pt idx="4">
                  <c:v>Q1-22</c:v>
                </c:pt>
                <c:pt idx="5">
                  <c:v>Q2-22</c:v>
                </c:pt>
                <c:pt idx="6">
                  <c:v>Q3-22</c:v>
                </c:pt>
                <c:pt idx="7">
                  <c:v>Q4-22</c:v>
                </c:pt>
                <c:pt idx="8">
                  <c:v>Q1-23</c:v>
                </c:pt>
                <c:pt idx="9">
                  <c:v>Q2-23</c:v>
                </c:pt>
                <c:pt idx="10">
                  <c:v>Q3-23</c:v>
                </c:pt>
                <c:pt idx="11">
                  <c:v>Q4-23</c:v>
                </c:pt>
                <c:pt idx="12">
                  <c:v>Q1-24</c:v>
                </c:pt>
                <c:pt idx="13">
                  <c:v>Q2-24</c:v>
                </c:pt>
                <c:pt idx="14">
                  <c:v>Q3-24</c:v>
                </c:pt>
                <c:pt idx="15">
                  <c:v>Q4-24</c:v>
                </c:pt>
              </c:strCache>
              <c:extLst/>
            </c:strRef>
          </c:cat>
          <c:val>
            <c:numRef>
              <c:f>Rozklad_stvrtrocne!$K$30:$Z$30</c:f>
              <c:numCache>
                <c:formatCode>0.0</c:formatCode>
                <c:ptCount val="16"/>
                <c:pt idx="0">
                  <c:v>-2.067426789901039</c:v>
                </c:pt>
                <c:pt idx="1">
                  <c:v>-5.1778734016106602</c:v>
                </c:pt>
                <c:pt idx="2">
                  <c:v>-2.8580262663258189</c:v>
                </c:pt>
                <c:pt idx="3">
                  <c:v>-3.3460942484960023</c:v>
                </c:pt>
                <c:pt idx="4">
                  <c:v>-0.37139111321808005</c:v>
                </c:pt>
                <c:pt idx="5">
                  <c:v>2.1095365535933763</c:v>
                </c:pt>
                <c:pt idx="6">
                  <c:v>3.715471393209504</c:v>
                </c:pt>
                <c:pt idx="7">
                  <c:v>8.4815537010692577</c:v>
                </c:pt>
                <c:pt idx="8">
                  <c:v>10.6113823452262</c:v>
                </c:pt>
                <c:pt idx="9">
                  <c:v>9.9283624689397403</c:v>
                </c:pt>
                <c:pt idx="10">
                  <c:v>6.6890953275589098</c:v>
                </c:pt>
                <c:pt idx="11">
                  <c:v>2.6848557380810298</c:v>
                </c:pt>
                <c:pt idx="12">
                  <c:v>1.2879519894672999</c:v>
                </c:pt>
                <c:pt idx="13">
                  <c:v>-0.62246433983072103</c:v>
                </c:pt>
                <c:pt idx="14">
                  <c:v>-0.44275758561366102</c:v>
                </c:pt>
                <c:pt idx="15">
                  <c:v>0.27304776580407603</c:v>
                </c:pt>
              </c:numCache>
              <c:extLst/>
            </c:numRef>
          </c:val>
          <c:extLst>
            <c:ext xmlns:c16="http://schemas.microsoft.com/office/drawing/2014/chart" uri="{C3380CC4-5D6E-409C-BE32-E72D297353CC}">
              <c16:uniqueId val="{00000005-7797-4AF3-B121-85F24CFD31F8}"/>
            </c:ext>
          </c:extLst>
        </c:ser>
        <c:dLbls>
          <c:showLegendKey val="0"/>
          <c:showVal val="0"/>
          <c:showCatName val="0"/>
          <c:showSerName val="0"/>
          <c:showPercent val="0"/>
          <c:showBubbleSize val="0"/>
        </c:dLbls>
        <c:gapWidth val="30"/>
        <c:overlap val="100"/>
        <c:axId val="938505832"/>
        <c:axId val="938506488"/>
      </c:barChart>
      <c:lineChart>
        <c:grouping val="standard"/>
        <c:varyColors val="0"/>
        <c:ser>
          <c:idx val="6"/>
          <c:order val="6"/>
          <c:tx>
            <c:strRef>
              <c:f>Rozklad_stvrtrocne!$B$31</c:f>
              <c:strCache>
                <c:ptCount val="1"/>
                <c:pt idx="0">
                  <c:v>Potravinová inflácia</c:v>
                </c:pt>
              </c:strCache>
            </c:strRef>
          </c:tx>
          <c:spPr>
            <a:ln w="19050" cap="rnd">
              <a:solidFill>
                <a:sysClr val="windowText" lastClr="000000"/>
              </a:solidFill>
              <a:round/>
            </a:ln>
            <a:effectLst/>
          </c:spPr>
          <c:marker>
            <c:symbol val="circle"/>
            <c:size val="3"/>
            <c:spPr>
              <a:solidFill>
                <a:sysClr val="windowText" lastClr="000000"/>
              </a:solidFill>
              <a:ln w="19050">
                <a:solidFill>
                  <a:sysClr val="windowText" lastClr="000000"/>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Calibri Light" panose="020F0302020204030204" pitchFamily="34" charset="0"/>
                    <a:ea typeface="+mn-ea"/>
                    <a:cs typeface="Calibri Light" panose="020F0302020204030204" pitchFamily="34" charset="0"/>
                  </a:defRPr>
                </a:pPr>
                <a:endParaRPr lang="sk-SK"/>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Rozklad_stvrtrocne!$K$24:$Z$24</c:f>
              <c:strCache>
                <c:ptCount val="16"/>
                <c:pt idx="0">
                  <c:v>Q1-21</c:v>
                </c:pt>
                <c:pt idx="1">
                  <c:v>Q2-21</c:v>
                </c:pt>
                <c:pt idx="2">
                  <c:v>Q3-21</c:v>
                </c:pt>
                <c:pt idx="3">
                  <c:v>Q4-21</c:v>
                </c:pt>
                <c:pt idx="4">
                  <c:v>Q1-22</c:v>
                </c:pt>
                <c:pt idx="5">
                  <c:v>Q2-22</c:v>
                </c:pt>
                <c:pt idx="6">
                  <c:v>Q3-22</c:v>
                </c:pt>
                <c:pt idx="7">
                  <c:v>Q4-22</c:v>
                </c:pt>
                <c:pt idx="8">
                  <c:v>Q1-23</c:v>
                </c:pt>
                <c:pt idx="9">
                  <c:v>Q2-23</c:v>
                </c:pt>
                <c:pt idx="10">
                  <c:v>Q3-23</c:v>
                </c:pt>
                <c:pt idx="11">
                  <c:v>Q4-23</c:v>
                </c:pt>
                <c:pt idx="12">
                  <c:v>Q1-24</c:v>
                </c:pt>
                <c:pt idx="13">
                  <c:v>Q2-24</c:v>
                </c:pt>
                <c:pt idx="14">
                  <c:v>Q3-24</c:v>
                </c:pt>
                <c:pt idx="15">
                  <c:v>Q4-24</c:v>
                </c:pt>
              </c:strCache>
              <c:extLst/>
            </c:strRef>
          </c:cat>
          <c:val>
            <c:numRef>
              <c:f>Rozklad_stvrtrocne!$K$31:$Z$31</c:f>
              <c:numCache>
                <c:formatCode>0.0</c:formatCode>
                <c:ptCount val="16"/>
                <c:pt idx="0">
                  <c:v>0.16900664899544182</c:v>
                </c:pt>
                <c:pt idx="1">
                  <c:v>1.6161846349779276</c:v>
                </c:pt>
                <c:pt idx="2">
                  <c:v>4.5279316234792919</c:v>
                </c:pt>
                <c:pt idx="3">
                  <c:v>5.4294135289550924</c:v>
                </c:pt>
                <c:pt idx="4">
                  <c:v>9.3568181057880562</c:v>
                </c:pt>
                <c:pt idx="5">
                  <c:v>13.732700189021784</c:v>
                </c:pt>
                <c:pt idx="6">
                  <c:v>18.076126052684288</c:v>
                </c:pt>
                <c:pt idx="7">
                  <c:v>23.454157196263282</c:v>
                </c:pt>
                <c:pt idx="8">
                  <c:v>24.538259885750151</c:v>
                </c:pt>
                <c:pt idx="9">
                  <c:v>19.607684732094192</c:v>
                </c:pt>
                <c:pt idx="10">
                  <c:v>12.983672724329727</c:v>
                </c:pt>
                <c:pt idx="11">
                  <c:v>7.7849376256854583</c:v>
                </c:pt>
                <c:pt idx="12">
                  <c:v>3.8926519068775391</c:v>
                </c:pt>
                <c:pt idx="13">
                  <c:v>1.638396383310124</c:v>
                </c:pt>
                <c:pt idx="14">
                  <c:v>3.0918727802828498</c:v>
                </c:pt>
                <c:pt idx="15">
                  <c:v>3.0773655502158457</c:v>
                </c:pt>
              </c:numCache>
              <c:extLst/>
            </c:numRef>
          </c:val>
          <c:smooth val="0"/>
          <c:extLst>
            <c:ext xmlns:c16="http://schemas.microsoft.com/office/drawing/2014/chart" uri="{C3380CC4-5D6E-409C-BE32-E72D297353CC}">
              <c16:uniqueId val="{00000006-7797-4AF3-B121-85F24CFD31F8}"/>
            </c:ext>
          </c:extLst>
        </c:ser>
        <c:dLbls>
          <c:showLegendKey val="0"/>
          <c:showVal val="0"/>
          <c:showCatName val="0"/>
          <c:showSerName val="0"/>
          <c:showPercent val="0"/>
          <c:showBubbleSize val="0"/>
        </c:dLbls>
        <c:marker val="1"/>
        <c:smooth val="0"/>
        <c:axId val="938505832"/>
        <c:axId val="938506488"/>
      </c:lineChart>
      <c:catAx>
        <c:axId val="938505832"/>
        <c:scaling>
          <c:orientation val="minMax"/>
        </c:scaling>
        <c:delete val="0"/>
        <c:axPos val="b"/>
        <c:numFmt formatCode="General" sourceLinked="1"/>
        <c:majorTickMark val="none"/>
        <c:minorTickMark val="none"/>
        <c:tickLblPos val="low"/>
        <c:spPr>
          <a:noFill/>
          <a:ln w="12700" cap="flat" cmpd="sng" algn="ctr">
            <a:solidFill>
              <a:schemeClr val="tx2">
                <a:lumMod val="50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Calibri Light" panose="020F0302020204030204" pitchFamily="34" charset="0"/>
                <a:ea typeface="+mn-ea"/>
                <a:cs typeface="Calibri Light" panose="020F0302020204030204" pitchFamily="34" charset="0"/>
              </a:defRPr>
            </a:pPr>
            <a:endParaRPr lang="sk-SK"/>
          </a:p>
        </c:txPr>
        <c:crossAx val="938506488"/>
        <c:crosses val="autoZero"/>
        <c:auto val="1"/>
        <c:lblAlgn val="ctr"/>
        <c:lblOffset val="100"/>
        <c:noMultiLvlLbl val="0"/>
      </c:catAx>
      <c:valAx>
        <c:axId val="938506488"/>
        <c:scaling>
          <c:orientation val="minMax"/>
          <c:max val="30"/>
          <c:min val="-5"/>
        </c:scaling>
        <c:delete val="0"/>
        <c:axPos val="l"/>
        <c:majorGridlines>
          <c:spPr>
            <a:ln w="3175" cap="flat" cmpd="sng" algn="ctr">
              <a:solidFill>
                <a:srgbClr val="686767">
                  <a:alpha val="24706"/>
                </a:srgbClr>
              </a:solidFill>
              <a:prstDash val="sysDot"/>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Calibri Light" panose="020F0302020204030204" pitchFamily="34" charset="0"/>
                <a:ea typeface="+mn-ea"/>
                <a:cs typeface="Calibri Light" panose="020F0302020204030204" pitchFamily="34" charset="0"/>
              </a:defRPr>
            </a:pPr>
            <a:endParaRPr lang="sk-SK"/>
          </a:p>
        </c:txPr>
        <c:crossAx val="938505832"/>
        <c:crosses val="autoZero"/>
        <c:crossBetween val="between"/>
        <c:majorUnit val="5"/>
      </c:valAx>
      <c:spPr>
        <a:noFill/>
        <a:ln>
          <a:noFill/>
        </a:ln>
        <a:effectLst/>
      </c:spPr>
    </c:plotArea>
    <c:legend>
      <c:legendPos val="t"/>
      <c:layout>
        <c:manualLayout>
          <c:xMode val="edge"/>
          <c:yMode val="edge"/>
          <c:x val="8.486041666666666E-2"/>
          <c:y val="1.7638541666666667E-2"/>
          <c:w val="0.89535347222222206"/>
          <c:h val="0.21682291666666662"/>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Calibri Light" panose="020F0302020204030204" pitchFamily="34" charset="0"/>
              <a:ea typeface="+mn-ea"/>
              <a:cs typeface="Calibri Light" panose="020F0302020204030204" pitchFamily="34" charset="0"/>
            </a:defRPr>
          </a:pPr>
          <a:endParaRPr lang="sk-SK"/>
        </a:p>
      </c:txPr>
    </c:legend>
    <c:plotVisOnly val="1"/>
    <c:dispBlanksAs val="gap"/>
    <c:showDLblsOverMax val="0"/>
  </c:chart>
  <c:spPr>
    <a:solidFill>
      <a:sysClr val="window" lastClr="FFFFFF"/>
    </a:solidFill>
    <a:ln w="9525" cap="flat" cmpd="sng" algn="ctr">
      <a:noFill/>
      <a:round/>
    </a:ln>
    <a:effectLst/>
  </c:spPr>
  <c:txPr>
    <a:bodyPr/>
    <a:lstStyle/>
    <a:p>
      <a:pPr>
        <a:defRPr sz="800">
          <a:solidFill>
            <a:sysClr val="windowText" lastClr="000000"/>
          </a:solidFill>
          <a:latin typeface="Calibri Light" panose="020F0302020204030204" pitchFamily="34" charset="0"/>
          <a:cs typeface="Calibri Light" panose="020F0302020204030204" pitchFamily="34" charset="0"/>
        </a:defRPr>
      </a:pPr>
      <a:endParaRPr lang="sk-SK"/>
    </a:p>
  </c:txPr>
  <c:externalData r:id="rId4">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7332020859812089E-2"/>
          <c:y val="9.1010616570764494E-2"/>
          <c:w val="0.87477440219507852"/>
          <c:h val="0.68676522154098341"/>
        </c:manualLayout>
      </c:layout>
      <c:lineChart>
        <c:grouping val="standard"/>
        <c:varyColors val="0"/>
        <c:ser>
          <c:idx val="0"/>
          <c:order val="0"/>
          <c:tx>
            <c:strRef>
              <c:f>benzin!$B$2</c:f>
              <c:strCache>
                <c:ptCount val="1"/>
                <c:pt idx="0">
                  <c:v> Slovensko </c:v>
                </c:pt>
              </c:strCache>
            </c:strRef>
          </c:tx>
          <c:spPr>
            <a:ln w="28575" cap="rnd">
              <a:solidFill>
                <a:srgbClr val="FF0000"/>
              </a:solidFill>
              <a:round/>
            </a:ln>
            <a:effectLst/>
          </c:spPr>
          <c:marker>
            <c:symbol val="none"/>
          </c:marker>
          <c:cat>
            <c:numRef>
              <c:f>benzin!$A$949:$A$996</c:f>
              <c:numCache>
                <c:formatCode>dd/mm/yy</c:formatCode>
                <c:ptCount val="48"/>
                <c:pt idx="0">
                  <c:v>45327</c:v>
                </c:pt>
                <c:pt idx="1">
                  <c:v>45334</c:v>
                </c:pt>
                <c:pt idx="2">
                  <c:v>45341</c:v>
                </c:pt>
                <c:pt idx="3">
                  <c:v>45348</c:v>
                </c:pt>
                <c:pt idx="4">
                  <c:v>45355</c:v>
                </c:pt>
                <c:pt idx="5">
                  <c:v>45362</c:v>
                </c:pt>
                <c:pt idx="6">
                  <c:v>45369</c:v>
                </c:pt>
                <c:pt idx="7">
                  <c:v>45376</c:v>
                </c:pt>
                <c:pt idx="8">
                  <c:v>45383</c:v>
                </c:pt>
                <c:pt idx="9">
                  <c:v>45390</c:v>
                </c:pt>
                <c:pt idx="10">
                  <c:v>45397</c:v>
                </c:pt>
                <c:pt idx="11">
                  <c:v>45404</c:v>
                </c:pt>
                <c:pt idx="12">
                  <c:v>45411</c:v>
                </c:pt>
                <c:pt idx="13">
                  <c:v>45418</c:v>
                </c:pt>
                <c:pt idx="14">
                  <c:v>45425</c:v>
                </c:pt>
                <c:pt idx="15">
                  <c:v>45432</c:v>
                </c:pt>
                <c:pt idx="16">
                  <c:v>45439</c:v>
                </c:pt>
                <c:pt idx="17">
                  <c:v>45446</c:v>
                </c:pt>
                <c:pt idx="18">
                  <c:v>45453</c:v>
                </c:pt>
                <c:pt idx="19">
                  <c:v>45460</c:v>
                </c:pt>
                <c:pt idx="20">
                  <c:v>45467</c:v>
                </c:pt>
                <c:pt idx="21">
                  <c:v>45474</c:v>
                </c:pt>
                <c:pt idx="22">
                  <c:v>45481</c:v>
                </c:pt>
                <c:pt idx="23">
                  <c:v>45488</c:v>
                </c:pt>
                <c:pt idx="24">
                  <c:v>45495</c:v>
                </c:pt>
                <c:pt idx="25">
                  <c:v>45502</c:v>
                </c:pt>
                <c:pt idx="26">
                  <c:v>45509</c:v>
                </c:pt>
                <c:pt idx="27">
                  <c:v>45516</c:v>
                </c:pt>
                <c:pt idx="28">
                  <c:v>45523</c:v>
                </c:pt>
                <c:pt idx="29">
                  <c:v>45530</c:v>
                </c:pt>
                <c:pt idx="30">
                  <c:v>45537</c:v>
                </c:pt>
                <c:pt idx="31">
                  <c:v>45544</c:v>
                </c:pt>
                <c:pt idx="32">
                  <c:v>45551</c:v>
                </c:pt>
                <c:pt idx="33">
                  <c:v>45558</c:v>
                </c:pt>
                <c:pt idx="34">
                  <c:v>45565</c:v>
                </c:pt>
                <c:pt idx="35">
                  <c:v>45572</c:v>
                </c:pt>
                <c:pt idx="36">
                  <c:v>45579</c:v>
                </c:pt>
                <c:pt idx="37">
                  <c:v>45586</c:v>
                </c:pt>
                <c:pt idx="38">
                  <c:v>45593</c:v>
                </c:pt>
                <c:pt idx="39">
                  <c:v>45600</c:v>
                </c:pt>
                <c:pt idx="40">
                  <c:v>45607</c:v>
                </c:pt>
                <c:pt idx="41">
                  <c:v>45614</c:v>
                </c:pt>
                <c:pt idx="42">
                  <c:v>45621</c:v>
                </c:pt>
                <c:pt idx="43">
                  <c:v>45628</c:v>
                </c:pt>
                <c:pt idx="44">
                  <c:v>45635</c:v>
                </c:pt>
                <c:pt idx="45">
                  <c:v>45642</c:v>
                </c:pt>
                <c:pt idx="46">
                  <c:v>45649</c:v>
                </c:pt>
                <c:pt idx="47">
                  <c:v>45656</c:v>
                </c:pt>
              </c:numCache>
            </c:numRef>
          </c:cat>
          <c:val>
            <c:numRef>
              <c:f>benzin!$B$949:$B$996</c:f>
              <c:numCache>
                <c:formatCode>#\ ##0.000</c:formatCode>
                <c:ptCount val="48"/>
                <c:pt idx="0">
                  <c:v>1.6020000000000001</c:v>
                </c:pt>
                <c:pt idx="1">
                  <c:v>1.6020000000000001</c:v>
                </c:pt>
                <c:pt idx="2">
                  <c:v>1.6220000000000001</c:v>
                </c:pt>
                <c:pt idx="3">
                  <c:v>1.6240000000000001</c:v>
                </c:pt>
                <c:pt idx="4">
                  <c:v>1.623</c:v>
                </c:pt>
                <c:pt idx="5">
                  <c:v>1.6240000000000001</c:v>
                </c:pt>
                <c:pt idx="6">
                  <c:v>1.607</c:v>
                </c:pt>
                <c:pt idx="7">
                  <c:v>1.635</c:v>
                </c:pt>
                <c:pt idx="8">
                  <c:v>1.655</c:v>
                </c:pt>
                <c:pt idx="9">
                  <c:v>1.68</c:v>
                </c:pt>
                <c:pt idx="10">
                  <c:v>1.696</c:v>
                </c:pt>
                <c:pt idx="11">
                  <c:v>1.694</c:v>
                </c:pt>
                <c:pt idx="12">
                  <c:v>1.659</c:v>
                </c:pt>
                <c:pt idx="13">
                  <c:v>1.6600000000000001</c:v>
                </c:pt>
                <c:pt idx="14">
                  <c:v>1.631</c:v>
                </c:pt>
                <c:pt idx="15">
                  <c:v>1.6220000000000001</c:v>
                </c:pt>
                <c:pt idx="16">
                  <c:v>1.62</c:v>
                </c:pt>
                <c:pt idx="17">
                  <c:v>1.61</c:v>
                </c:pt>
                <c:pt idx="18">
                  <c:v>1.577</c:v>
                </c:pt>
                <c:pt idx="19">
                  <c:v>1.58</c:v>
                </c:pt>
                <c:pt idx="20">
                  <c:v>1.599</c:v>
                </c:pt>
                <c:pt idx="21">
                  <c:v>1.6220000000000001</c:v>
                </c:pt>
                <c:pt idx="22">
                  <c:v>1.6240000000000001</c:v>
                </c:pt>
                <c:pt idx="23">
                  <c:v>1.613</c:v>
                </c:pt>
                <c:pt idx="24">
                  <c:v>1.597</c:v>
                </c:pt>
                <c:pt idx="25">
                  <c:v>1.5920000000000001</c:v>
                </c:pt>
                <c:pt idx="26">
                  <c:v>1.579</c:v>
                </c:pt>
                <c:pt idx="27">
                  <c:v>1.5720000000000001</c:v>
                </c:pt>
                <c:pt idx="28">
                  <c:v>1.5680000000000001</c:v>
                </c:pt>
                <c:pt idx="29">
                  <c:v>1.5489999999999999</c:v>
                </c:pt>
                <c:pt idx="30">
                  <c:v>1.5290000000000001</c:v>
                </c:pt>
                <c:pt idx="31">
                  <c:v>1.516</c:v>
                </c:pt>
                <c:pt idx="32">
                  <c:v>1.4770000000000001</c:v>
                </c:pt>
                <c:pt idx="33">
                  <c:v>1.4770000000000001</c:v>
                </c:pt>
                <c:pt idx="34">
                  <c:v>1.4750000000000001</c:v>
                </c:pt>
                <c:pt idx="35">
                  <c:v>1.4770000000000001</c:v>
                </c:pt>
                <c:pt idx="36">
                  <c:v>1.4950000000000001</c:v>
                </c:pt>
                <c:pt idx="37">
                  <c:v>1.518</c:v>
                </c:pt>
                <c:pt idx="38">
                  <c:v>1.516</c:v>
                </c:pt>
                <c:pt idx="39">
                  <c:v>1.4990000000000001</c:v>
                </c:pt>
                <c:pt idx="40">
                  <c:v>1.496</c:v>
                </c:pt>
                <c:pt idx="41">
                  <c:v>1.504</c:v>
                </c:pt>
                <c:pt idx="42">
                  <c:v>1.504</c:v>
                </c:pt>
                <c:pt idx="43">
                  <c:v>1.5210000000000001</c:v>
                </c:pt>
                <c:pt idx="44">
                  <c:v>1.5070000000000001</c:v>
                </c:pt>
                <c:pt idx="45">
                  <c:v>1.5050000000000001</c:v>
                </c:pt>
                <c:pt idx="46">
                  <c:v>1.524</c:v>
                </c:pt>
                <c:pt idx="47">
                  <c:v>1.524</c:v>
                </c:pt>
              </c:numCache>
            </c:numRef>
          </c:val>
          <c:smooth val="0"/>
          <c:extLst>
            <c:ext xmlns:c16="http://schemas.microsoft.com/office/drawing/2014/chart" uri="{C3380CC4-5D6E-409C-BE32-E72D297353CC}">
              <c16:uniqueId val="{00000000-8047-4245-8A7F-4E870B4097A4}"/>
            </c:ext>
          </c:extLst>
        </c:ser>
        <c:ser>
          <c:idx val="1"/>
          <c:order val="1"/>
          <c:tx>
            <c:strRef>
              <c:f>benzin!$C$2</c:f>
              <c:strCache>
                <c:ptCount val="1"/>
                <c:pt idx="0">
                  <c:v> Poľsko </c:v>
                </c:pt>
              </c:strCache>
            </c:strRef>
          </c:tx>
          <c:spPr>
            <a:ln w="28575" cap="rnd">
              <a:solidFill>
                <a:srgbClr val="7030A0"/>
              </a:solidFill>
              <a:round/>
            </a:ln>
            <a:effectLst/>
          </c:spPr>
          <c:marker>
            <c:symbol val="none"/>
          </c:marker>
          <c:cat>
            <c:numRef>
              <c:f>benzin!$A$949:$A$996</c:f>
              <c:numCache>
                <c:formatCode>dd/mm/yy</c:formatCode>
                <c:ptCount val="48"/>
                <c:pt idx="0">
                  <c:v>45327</c:v>
                </c:pt>
                <c:pt idx="1">
                  <c:v>45334</c:v>
                </c:pt>
                <c:pt idx="2">
                  <c:v>45341</c:v>
                </c:pt>
                <c:pt idx="3">
                  <c:v>45348</c:v>
                </c:pt>
                <c:pt idx="4">
                  <c:v>45355</c:v>
                </c:pt>
                <c:pt idx="5">
                  <c:v>45362</c:v>
                </c:pt>
                <c:pt idx="6">
                  <c:v>45369</c:v>
                </c:pt>
                <c:pt idx="7">
                  <c:v>45376</c:v>
                </c:pt>
                <c:pt idx="8">
                  <c:v>45383</c:v>
                </c:pt>
                <c:pt idx="9">
                  <c:v>45390</c:v>
                </c:pt>
                <c:pt idx="10">
                  <c:v>45397</c:v>
                </c:pt>
                <c:pt idx="11">
                  <c:v>45404</c:v>
                </c:pt>
                <c:pt idx="12">
                  <c:v>45411</c:v>
                </c:pt>
                <c:pt idx="13">
                  <c:v>45418</c:v>
                </c:pt>
                <c:pt idx="14">
                  <c:v>45425</c:v>
                </c:pt>
                <c:pt idx="15">
                  <c:v>45432</c:v>
                </c:pt>
                <c:pt idx="16">
                  <c:v>45439</c:v>
                </c:pt>
                <c:pt idx="17">
                  <c:v>45446</c:v>
                </c:pt>
                <c:pt idx="18">
                  <c:v>45453</c:v>
                </c:pt>
                <c:pt idx="19">
                  <c:v>45460</c:v>
                </c:pt>
                <c:pt idx="20">
                  <c:v>45467</c:v>
                </c:pt>
                <c:pt idx="21">
                  <c:v>45474</c:v>
                </c:pt>
                <c:pt idx="22">
                  <c:v>45481</c:v>
                </c:pt>
                <c:pt idx="23">
                  <c:v>45488</c:v>
                </c:pt>
                <c:pt idx="24">
                  <c:v>45495</c:v>
                </c:pt>
                <c:pt idx="25">
                  <c:v>45502</c:v>
                </c:pt>
                <c:pt idx="26">
                  <c:v>45509</c:v>
                </c:pt>
                <c:pt idx="27">
                  <c:v>45516</c:v>
                </c:pt>
                <c:pt idx="28">
                  <c:v>45523</c:v>
                </c:pt>
                <c:pt idx="29">
                  <c:v>45530</c:v>
                </c:pt>
                <c:pt idx="30">
                  <c:v>45537</c:v>
                </c:pt>
                <c:pt idx="31">
                  <c:v>45544</c:v>
                </c:pt>
                <c:pt idx="32">
                  <c:v>45551</c:v>
                </c:pt>
                <c:pt idx="33">
                  <c:v>45558</c:v>
                </c:pt>
                <c:pt idx="34">
                  <c:v>45565</c:v>
                </c:pt>
                <c:pt idx="35">
                  <c:v>45572</c:v>
                </c:pt>
                <c:pt idx="36">
                  <c:v>45579</c:v>
                </c:pt>
                <c:pt idx="37">
                  <c:v>45586</c:v>
                </c:pt>
                <c:pt idx="38">
                  <c:v>45593</c:v>
                </c:pt>
                <c:pt idx="39">
                  <c:v>45600</c:v>
                </c:pt>
                <c:pt idx="40">
                  <c:v>45607</c:v>
                </c:pt>
                <c:pt idx="41">
                  <c:v>45614</c:v>
                </c:pt>
                <c:pt idx="42">
                  <c:v>45621</c:v>
                </c:pt>
                <c:pt idx="43">
                  <c:v>45628</c:v>
                </c:pt>
                <c:pt idx="44">
                  <c:v>45635</c:v>
                </c:pt>
                <c:pt idx="45">
                  <c:v>45642</c:v>
                </c:pt>
                <c:pt idx="46">
                  <c:v>45649</c:v>
                </c:pt>
                <c:pt idx="47">
                  <c:v>45656</c:v>
                </c:pt>
              </c:numCache>
            </c:numRef>
          </c:cat>
          <c:val>
            <c:numRef>
              <c:f>benzin!$C$949:$C$996</c:f>
              <c:numCache>
                <c:formatCode>#\ ##0.00000</c:formatCode>
                <c:ptCount val="48"/>
                <c:pt idx="0">
                  <c:v>1.4836900000000002</c:v>
                </c:pt>
                <c:pt idx="1">
                  <c:v>1.5030300000000001</c:v>
                </c:pt>
                <c:pt idx="2">
                  <c:v>1.5080499999999999</c:v>
                </c:pt>
                <c:pt idx="3">
                  <c:v>1.5091400000000001</c:v>
                </c:pt>
                <c:pt idx="4">
                  <c:v>1.5004000000000002</c:v>
                </c:pt>
                <c:pt idx="5">
                  <c:v>1.5099899999999999</c:v>
                </c:pt>
                <c:pt idx="6">
                  <c:v>1.4997100000000001</c:v>
                </c:pt>
                <c:pt idx="7">
                  <c:v>1.5239200000000002</c:v>
                </c:pt>
                <c:pt idx="8">
                  <c:v>1.548740923477937</c:v>
                </c:pt>
                <c:pt idx="9">
                  <c:v>1.5754998472852009</c:v>
                </c:pt>
                <c:pt idx="10">
                  <c:v>1.5619940379151336</c:v>
                </c:pt>
                <c:pt idx="11">
                  <c:v>1.5520399184958784</c:v>
                </c:pt>
                <c:pt idx="12">
                  <c:v>1.5435325395907991</c:v>
                </c:pt>
                <c:pt idx="13">
                  <c:v>1.5560449230056732</c:v>
                </c:pt>
                <c:pt idx="14">
                  <c:v>1.5592463835744286</c:v>
                </c:pt>
                <c:pt idx="15">
                  <c:v>1.560454235534761</c:v>
                </c:pt>
                <c:pt idx="16">
                  <c:v>1.5489695203628417</c:v>
                </c:pt>
                <c:pt idx="17">
                  <c:v>1.532093892327455</c:v>
                </c:pt>
                <c:pt idx="18">
                  <c:v>1.5032701202590195</c:v>
                </c:pt>
                <c:pt idx="19">
                  <c:v>1.4820091743119268</c:v>
                </c:pt>
                <c:pt idx="20">
                  <c:v>1.5194637583424413</c:v>
                </c:pt>
                <c:pt idx="21">
                  <c:v>1.516162109375</c:v>
                </c:pt>
                <c:pt idx="22">
                  <c:v>1.5238533825798306</c:v>
                </c:pt>
                <c:pt idx="23">
                  <c:v>1.5307377338510413</c:v>
                </c:pt>
                <c:pt idx="24">
                  <c:v>1.5161213424324576</c:v>
                </c:pt>
                <c:pt idx="25">
                  <c:v>1.507906749266384</c:v>
                </c:pt>
                <c:pt idx="26">
                  <c:v>1.4964964756074939</c:v>
                </c:pt>
                <c:pt idx="27">
                  <c:v>1.4911630823540343</c:v>
                </c:pt>
                <c:pt idx="28">
                  <c:v>1.4998243065967019</c:v>
                </c:pt>
                <c:pt idx="29">
                  <c:v>1.4802288917435478</c:v>
                </c:pt>
                <c:pt idx="30">
                  <c:v>1.4705871345029238</c:v>
                </c:pt>
                <c:pt idx="31">
                  <c:v>1.4435553997194952</c:v>
                </c:pt>
                <c:pt idx="32">
                  <c:v>1.4255666385688865</c:v>
                </c:pt>
                <c:pt idx="33">
                  <c:v>1.4098502923976608</c:v>
                </c:pt>
                <c:pt idx="34">
                  <c:v>1.3895134149761614</c:v>
                </c:pt>
                <c:pt idx="35">
                  <c:v>1.3716487330787919</c:v>
                </c:pt>
                <c:pt idx="36">
                  <c:v>1.3977292332082156</c:v>
                </c:pt>
                <c:pt idx="37">
                  <c:v>1.4044493341053852</c:v>
                </c:pt>
                <c:pt idx="38">
                  <c:v>1.4101632183908048</c:v>
                </c:pt>
                <c:pt idx="39">
                  <c:v>1.4084517421642908</c:v>
                </c:pt>
                <c:pt idx="40">
                  <c:v>1.4088328729281769</c:v>
                </c:pt>
                <c:pt idx="41">
                  <c:v>1.407112158602523</c:v>
                </c:pt>
                <c:pt idx="42">
                  <c:v>1.4249716336690978</c:v>
                </c:pt>
                <c:pt idx="43">
                  <c:v>1.4378976809229693</c:v>
                </c:pt>
                <c:pt idx="44">
                  <c:v>1.4392787547249548</c:v>
                </c:pt>
                <c:pt idx="45">
                  <c:v>1.4299929643527203</c:v>
                </c:pt>
                <c:pt idx="46">
                  <c:v>1.4300901322720359</c:v>
                </c:pt>
                <c:pt idx="47">
                  <c:v>1.4302285781268316</c:v>
                </c:pt>
              </c:numCache>
            </c:numRef>
          </c:val>
          <c:smooth val="0"/>
          <c:extLst>
            <c:ext xmlns:c16="http://schemas.microsoft.com/office/drawing/2014/chart" uri="{C3380CC4-5D6E-409C-BE32-E72D297353CC}">
              <c16:uniqueId val="{00000001-8047-4245-8A7F-4E870B4097A4}"/>
            </c:ext>
          </c:extLst>
        </c:ser>
        <c:ser>
          <c:idx val="2"/>
          <c:order val="2"/>
          <c:tx>
            <c:strRef>
              <c:f>benzin!$D$2</c:f>
              <c:strCache>
                <c:ptCount val="1"/>
                <c:pt idx="0">
                  <c:v> Maďarsko </c:v>
                </c:pt>
              </c:strCache>
            </c:strRef>
          </c:tx>
          <c:spPr>
            <a:ln w="28575" cap="rnd">
              <a:solidFill>
                <a:srgbClr val="2EAAE1"/>
              </a:solidFill>
              <a:round/>
            </a:ln>
            <a:effectLst/>
          </c:spPr>
          <c:marker>
            <c:symbol val="none"/>
          </c:marker>
          <c:cat>
            <c:numRef>
              <c:f>benzin!$A$949:$A$996</c:f>
              <c:numCache>
                <c:formatCode>dd/mm/yy</c:formatCode>
                <c:ptCount val="48"/>
                <c:pt idx="0">
                  <c:v>45327</c:v>
                </c:pt>
                <c:pt idx="1">
                  <c:v>45334</c:v>
                </c:pt>
                <c:pt idx="2">
                  <c:v>45341</c:v>
                </c:pt>
                <c:pt idx="3">
                  <c:v>45348</c:v>
                </c:pt>
                <c:pt idx="4">
                  <c:v>45355</c:v>
                </c:pt>
                <c:pt idx="5">
                  <c:v>45362</c:v>
                </c:pt>
                <c:pt idx="6">
                  <c:v>45369</c:v>
                </c:pt>
                <c:pt idx="7">
                  <c:v>45376</c:v>
                </c:pt>
                <c:pt idx="8">
                  <c:v>45383</c:v>
                </c:pt>
                <c:pt idx="9">
                  <c:v>45390</c:v>
                </c:pt>
                <c:pt idx="10">
                  <c:v>45397</c:v>
                </c:pt>
                <c:pt idx="11">
                  <c:v>45404</c:v>
                </c:pt>
                <c:pt idx="12">
                  <c:v>45411</c:v>
                </c:pt>
                <c:pt idx="13">
                  <c:v>45418</c:v>
                </c:pt>
                <c:pt idx="14">
                  <c:v>45425</c:v>
                </c:pt>
                <c:pt idx="15">
                  <c:v>45432</c:v>
                </c:pt>
                <c:pt idx="16">
                  <c:v>45439</c:v>
                </c:pt>
                <c:pt idx="17">
                  <c:v>45446</c:v>
                </c:pt>
                <c:pt idx="18">
                  <c:v>45453</c:v>
                </c:pt>
                <c:pt idx="19">
                  <c:v>45460</c:v>
                </c:pt>
                <c:pt idx="20">
                  <c:v>45467</c:v>
                </c:pt>
                <c:pt idx="21">
                  <c:v>45474</c:v>
                </c:pt>
                <c:pt idx="22">
                  <c:v>45481</c:v>
                </c:pt>
                <c:pt idx="23">
                  <c:v>45488</c:v>
                </c:pt>
                <c:pt idx="24">
                  <c:v>45495</c:v>
                </c:pt>
                <c:pt idx="25">
                  <c:v>45502</c:v>
                </c:pt>
                <c:pt idx="26">
                  <c:v>45509</c:v>
                </c:pt>
                <c:pt idx="27">
                  <c:v>45516</c:v>
                </c:pt>
                <c:pt idx="28">
                  <c:v>45523</c:v>
                </c:pt>
                <c:pt idx="29">
                  <c:v>45530</c:v>
                </c:pt>
                <c:pt idx="30">
                  <c:v>45537</c:v>
                </c:pt>
                <c:pt idx="31">
                  <c:v>45544</c:v>
                </c:pt>
                <c:pt idx="32">
                  <c:v>45551</c:v>
                </c:pt>
                <c:pt idx="33">
                  <c:v>45558</c:v>
                </c:pt>
                <c:pt idx="34">
                  <c:v>45565</c:v>
                </c:pt>
                <c:pt idx="35">
                  <c:v>45572</c:v>
                </c:pt>
                <c:pt idx="36">
                  <c:v>45579</c:v>
                </c:pt>
                <c:pt idx="37">
                  <c:v>45586</c:v>
                </c:pt>
                <c:pt idx="38">
                  <c:v>45593</c:v>
                </c:pt>
                <c:pt idx="39">
                  <c:v>45600</c:v>
                </c:pt>
                <c:pt idx="40">
                  <c:v>45607</c:v>
                </c:pt>
                <c:pt idx="41">
                  <c:v>45614</c:v>
                </c:pt>
                <c:pt idx="42">
                  <c:v>45621</c:v>
                </c:pt>
                <c:pt idx="43">
                  <c:v>45628</c:v>
                </c:pt>
                <c:pt idx="44">
                  <c:v>45635</c:v>
                </c:pt>
                <c:pt idx="45">
                  <c:v>45642</c:v>
                </c:pt>
                <c:pt idx="46">
                  <c:v>45649</c:v>
                </c:pt>
                <c:pt idx="47">
                  <c:v>45656</c:v>
                </c:pt>
              </c:numCache>
            </c:numRef>
          </c:cat>
          <c:val>
            <c:numRef>
              <c:f>benzin!$D$949:$D$996</c:f>
              <c:numCache>
                <c:formatCode>#\ ##0.00000</c:formatCode>
                <c:ptCount val="48"/>
                <c:pt idx="0">
                  <c:v>1.56131</c:v>
                </c:pt>
                <c:pt idx="1">
                  <c:v>1.54549</c:v>
                </c:pt>
                <c:pt idx="2">
                  <c:v>1.57057</c:v>
                </c:pt>
                <c:pt idx="3">
                  <c:v>1.57542</c:v>
                </c:pt>
                <c:pt idx="4">
                  <c:v>1.5466700000000002</c:v>
                </c:pt>
                <c:pt idx="5">
                  <c:v>1.5684899999999999</c:v>
                </c:pt>
                <c:pt idx="6">
                  <c:v>1.5640700000000001</c:v>
                </c:pt>
                <c:pt idx="7">
                  <c:v>1.5640700000000001</c:v>
                </c:pt>
                <c:pt idx="8">
                  <c:v>1.6268164038657171</c:v>
                </c:pt>
                <c:pt idx="9">
                  <c:v>1.6471199188036385</c:v>
                </c:pt>
                <c:pt idx="10">
                  <c:v>1.6224323652504755</c:v>
                </c:pt>
                <c:pt idx="11">
                  <c:v>1.6447528814419905</c:v>
                </c:pt>
                <c:pt idx="12">
                  <c:v>1.6319345827801042</c:v>
                </c:pt>
                <c:pt idx="13">
                  <c:v>1.6084507422055576</c:v>
                </c:pt>
                <c:pt idx="14">
                  <c:v>1.5741402842377263</c:v>
                </c:pt>
                <c:pt idx="15">
                  <c:v>1.5639590561389864</c:v>
                </c:pt>
                <c:pt idx="16">
                  <c:v>1.5620490772030156</c:v>
                </c:pt>
                <c:pt idx="17">
                  <c:v>1.51848633111906</c:v>
                </c:pt>
                <c:pt idx="18">
                  <c:v>1.4898460484587086</c:v>
                </c:pt>
                <c:pt idx="19">
                  <c:v>1.5013361766561513</c:v>
                </c:pt>
                <c:pt idx="20">
                  <c:v>1.5368113398924843</c:v>
                </c:pt>
                <c:pt idx="21">
                  <c:v>1.5562104755865567</c:v>
                </c:pt>
                <c:pt idx="22">
                  <c:v>1.5587285279959464</c:v>
                </c:pt>
                <c:pt idx="23">
                  <c:v>1.5733655870031675</c:v>
                </c:pt>
                <c:pt idx="24">
                  <c:v>1.564660611192364</c:v>
                </c:pt>
                <c:pt idx="25">
                  <c:v>1.5495604585987259</c:v>
                </c:pt>
                <c:pt idx="26">
                  <c:v>1.5330056217844144</c:v>
                </c:pt>
                <c:pt idx="27">
                  <c:v>1.5489729434202162</c:v>
                </c:pt>
                <c:pt idx="28">
                  <c:v>1.5537243309250026</c:v>
                </c:pt>
                <c:pt idx="29">
                  <c:v>1.5118778179794041</c:v>
                </c:pt>
                <c:pt idx="30">
                  <c:v>1.5152059355496115</c:v>
                </c:pt>
                <c:pt idx="31">
                  <c:v>1.4824892031822201</c:v>
                </c:pt>
                <c:pt idx="32">
                  <c:v>1.4767511870604069</c:v>
                </c:pt>
                <c:pt idx="33">
                  <c:v>1.484959131448262</c:v>
                </c:pt>
                <c:pt idx="34">
                  <c:v>1.4676150977625477</c:v>
                </c:pt>
                <c:pt idx="35">
                  <c:v>1.4593003133704736</c:v>
                </c:pt>
                <c:pt idx="36">
                  <c:v>1.493319127700983</c:v>
                </c:pt>
                <c:pt idx="37">
                  <c:v>1.496418799800797</c:v>
                </c:pt>
                <c:pt idx="38">
                  <c:v>1.4824704937875159</c:v>
                </c:pt>
                <c:pt idx="39">
                  <c:v>1.4745932864183606</c:v>
                </c:pt>
                <c:pt idx="40">
                  <c:v>1.4802507384713033</c:v>
                </c:pt>
                <c:pt idx="41">
                  <c:v>1.4856153413261561</c:v>
                </c:pt>
                <c:pt idx="42">
                  <c:v>1.4974624432622385</c:v>
                </c:pt>
                <c:pt idx="43">
                  <c:v>1.490918857693698</c:v>
                </c:pt>
                <c:pt idx="44">
                  <c:v>1.5045264437689971</c:v>
                </c:pt>
                <c:pt idx="45">
                  <c:v>1.4983882600298268</c:v>
                </c:pt>
                <c:pt idx="46">
                  <c:v>1.4983882600298268</c:v>
                </c:pt>
                <c:pt idx="47">
                  <c:v>1.4892857142857145</c:v>
                </c:pt>
              </c:numCache>
            </c:numRef>
          </c:val>
          <c:smooth val="0"/>
          <c:extLst>
            <c:ext xmlns:c16="http://schemas.microsoft.com/office/drawing/2014/chart" uri="{C3380CC4-5D6E-409C-BE32-E72D297353CC}">
              <c16:uniqueId val="{00000002-8047-4245-8A7F-4E870B4097A4}"/>
            </c:ext>
          </c:extLst>
        </c:ser>
        <c:ser>
          <c:idx val="3"/>
          <c:order val="3"/>
          <c:tx>
            <c:strRef>
              <c:f>benzin!$E$2</c:f>
              <c:strCache>
                <c:ptCount val="1"/>
                <c:pt idx="0">
                  <c:v> Česká republika </c:v>
                </c:pt>
              </c:strCache>
            </c:strRef>
          </c:tx>
          <c:spPr>
            <a:ln w="28575" cap="rnd">
              <a:solidFill>
                <a:srgbClr val="00B050"/>
              </a:solidFill>
              <a:round/>
            </a:ln>
            <a:effectLst/>
          </c:spPr>
          <c:marker>
            <c:symbol val="none"/>
          </c:marker>
          <c:cat>
            <c:numRef>
              <c:f>benzin!$A$949:$A$996</c:f>
              <c:numCache>
                <c:formatCode>dd/mm/yy</c:formatCode>
                <c:ptCount val="48"/>
                <c:pt idx="0">
                  <c:v>45327</c:v>
                </c:pt>
                <c:pt idx="1">
                  <c:v>45334</c:v>
                </c:pt>
                <c:pt idx="2">
                  <c:v>45341</c:v>
                </c:pt>
                <c:pt idx="3">
                  <c:v>45348</c:v>
                </c:pt>
                <c:pt idx="4">
                  <c:v>45355</c:v>
                </c:pt>
                <c:pt idx="5">
                  <c:v>45362</c:v>
                </c:pt>
                <c:pt idx="6">
                  <c:v>45369</c:v>
                </c:pt>
                <c:pt idx="7">
                  <c:v>45376</c:v>
                </c:pt>
                <c:pt idx="8">
                  <c:v>45383</c:v>
                </c:pt>
                <c:pt idx="9">
                  <c:v>45390</c:v>
                </c:pt>
                <c:pt idx="10">
                  <c:v>45397</c:v>
                </c:pt>
                <c:pt idx="11">
                  <c:v>45404</c:v>
                </c:pt>
                <c:pt idx="12">
                  <c:v>45411</c:v>
                </c:pt>
                <c:pt idx="13">
                  <c:v>45418</c:v>
                </c:pt>
                <c:pt idx="14">
                  <c:v>45425</c:v>
                </c:pt>
                <c:pt idx="15">
                  <c:v>45432</c:v>
                </c:pt>
                <c:pt idx="16">
                  <c:v>45439</c:v>
                </c:pt>
                <c:pt idx="17">
                  <c:v>45446</c:v>
                </c:pt>
                <c:pt idx="18">
                  <c:v>45453</c:v>
                </c:pt>
                <c:pt idx="19">
                  <c:v>45460</c:v>
                </c:pt>
                <c:pt idx="20">
                  <c:v>45467</c:v>
                </c:pt>
                <c:pt idx="21">
                  <c:v>45474</c:v>
                </c:pt>
                <c:pt idx="22">
                  <c:v>45481</c:v>
                </c:pt>
                <c:pt idx="23">
                  <c:v>45488</c:v>
                </c:pt>
                <c:pt idx="24">
                  <c:v>45495</c:v>
                </c:pt>
                <c:pt idx="25">
                  <c:v>45502</c:v>
                </c:pt>
                <c:pt idx="26">
                  <c:v>45509</c:v>
                </c:pt>
                <c:pt idx="27">
                  <c:v>45516</c:v>
                </c:pt>
                <c:pt idx="28">
                  <c:v>45523</c:v>
                </c:pt>
                <c:pt idx="29">
                  <c:v>45530</c:v>
                </c:pt>
                <c:pt idx="30">
                  <c:v>45537</c:v>
                </c:pt>
                <c:pt idx="31">
                  <c:v>45544</c:v>
                </c:pt>
                <c:pt idx="32">
                  <c:v>45551</c:v>
                </c:pt>
                <c:pt idx="33">
                  <c:v>45558</c:v>
                </c:pt>
                <c:pt idx="34">
                  <c:v>45565</c:v>
                </c:pt>
                <c:pt idx="35">
                  <c:v>45572</c:v>
                </c:pt>
                <c:pt idx="36">
                  <c:v>45579</c:v>
                </c:pt>
                <c:pt idx="37">
                  <c:v>45586</c:v>
                </c:pt>
                <c:pt idx="38">
                  <c:v>45593</c:v>
                </c:pt>
                <c:pt idx="39">
                  <c:v>45600</c:v>
                </c:pt>
                <c:pt idx="40">
                  <c:v>45607</c:v>
                </c:pt>
                <c:pt idx="41">
                  <c:v>45614</c:v>
                </c:pt>
                <c:pt idx="42">
                  <c:v>45621</c:v>
                </c:pt>
                <c:pt idx="43">
                  <c:v>45628</c:v>
                </c:pt>
                <c:pt idx="44">
                  <c:v>45635</c:v>
                </c:pt>
                <c:pt idx="45">
                  <c:v>45642</c:v>
                </c:pt>
                <c:pt idx="46">
                  <c:v>45649</c:v>
                </c:pt>
                <c:pt idx="47">
                  <c:v>45656</c:v>
                </c:pt>
              </c:numCache>
            </c:numRef>
          </c:cat>
          <c:val>
            <c:numRef>
              <c:f>benzin!$E$949:$E$996</c:f>
              <c:numCache>
                <c:formatCode>#\ ##0.00000</c:formatCode>
                <c:ptCount val="48"/>
                <c:pt idx="0">
                  <c:v>1.4836</c:v>
                </c:pt>
                <c:pt idx="1">
                  <c:v>1.4848699999999999</c:v>
                </c:pt>
                <c:pt idx="2">
                  <c:v>1.5008800000000002</c:v>
                </c:pt>
                <c:pt idx="3">
                  <c:v>1.5008800000000002</c:v>
                </c:pt>
                <c:pt idx="4">
                  <c:v>1.51451</c:v>
                </c:pt>
                <c:pt idx="5">
                  <c:v>1.5203</c:v>
                </c:pt>
                <c:pt idx="6">
                  <c:v>1.5247600000000001</c:v>
                </c:pt>
                <c:pt idx="7">
                  <c:v>1.5237499999999999</c:v>
                </c:pt>
                <c:pt idx="8">
                  <c:v>1.5388135058378039</c:v>
                </c:pt>
                <c:pt idx="9">
                  <c:v>1.5633869441816461</c:v>
                </c:pt>
                <c:pt idx="10">
                  <c:v>1.5805165060811877</c:v>
                </c:pt>
                <c:pt idx="11">
                  <c:v>1.5981800197823939</c:v>
                </c:pt>
                <c:pt idx="12">
                  <c:v>1.6046871896722941</c:v>
                </c:pt>
                <c:pt idx="13">
                  <c:v>1.609241848369674</c:v>
                </c:pt>
                <c:pt idx="14">
                  <c:v>1.6020016949836557</c:v>
                </c:pt>
                <c:pt idx="15">
                  <c:v>1.5867140779052853</c:v>
                </c:pt>
                <c:pt idx="16">
                  <c:v>1.5770023854768931</c:v>
                </c:pt>
                <c:pt idx="17">
                  <c:v>1.5608720271800678</c:v>
                </c:pt>
                <c:pt idx="18">
                  <c:v>1.5388455918168533</c:v>
                </c:pt>
                <c:pt idx="19">
                  <c:v>1.5252439370014979</c:v>
                </c:pt>
                <c:pt idx="20">
                  <c:v>1.5258104688064917</c:v>
                </c:pt>
                <c:pt idx="21">
                  <c:v>1.527307569466624</c:v>
                </c:pt>
                <c:pt idx="22">
                  <c:v>1.5306017009776649</c:v>
                </c:pt>
                <c:pt idx="23">
                  <c:v>1.5217528125245852</c:v>
                </c:pt>
                <c:pt idx="24">
                  <c:v>1.5205501169196622</c:v>
                </c:pt>
                <c:pt idx="25">
                  <c:v>1.5037247250798158</c:v>
                </c:pt>
                <c:pt idx="26">
                  <c:v>1.5011061072924075</c:v>
                </c:pt>
                <c:pt idx="27">
                  <c:v>1.4995631106521567</c:v>
                </c:pt>
                <c:pt idx="28">
                  <c:v>1.4934672967713751</c:v>
                </c:pt>
                <c:pt idx="29">
                  <c:v>1.4874171127266917</c:v>
                </c:pt>
                <c:pt idx="30">
                  <c:v>1.4754242363745258</c:v>
                </c:pt>
                <c:pt idx="31">
                  <c:v>1.4464492435431722</c:v>
                </c:pt>
                <c:pt idx="32">
                  <c:v>1.4102196752626552</c:v>
                </c:pt>
                <c:pt idx="33">
                  <c:v>1.4065264164475257</c:v>
                </c:pt>
                <c:pt idx="34">
                  <c:v>1.3978716645489202</c:v>
                </c:pt>
                <c:pt idx="35">
                  <c:v>1.3866487808727215</c:v>
                </c:pt>
                <c:pt idx="36">
                  <c:v>1.4057317024898073</c:v>
                </c:pt>
                <c:pt idx="37">
                  <c:v>1.4170096564825074</c:v>
                </c:pt>
                <c:pt idx="38">
                  <c:v>1.4145889222029353</c:v>
                </c:pt>
                <c:pt idx="39">
                  <c:v>1.4155726036064538</c:v>
                </c:pt>
                <c:pt idx="40">
                  <c:v>1.4110659457752872</c:v>
                </c:pt>
                <c:pt idx="41">
                  <c:v>1.3924531287081718</c:v>
                </c:pt>
                <c:pt idx="42">
                  <c:v>1.4103973117216839</c:v>
                </c:pt>
                <c:pt idx="43">
                  <c:v>1.4145096176680125</c:v>
                </c:pt>
                <c:pt idx="44">
                  <c:v>1.4233053042681225</c:v>
                </c:pt>
                <c:pt idx="45">
                  <c:v>1.4228710656654417</c:v>
                </c:pt>
                <c:pt idx="46">
                  <c:v>1.4179828923811417</c:v>
                </c:pt>
                <c:pt idx="47">
                  <c:v>1.4154840244192501</c:v>
                </c:pt>
              </c:numCache>
            </c:numRef>
          </c:val>
          <c:smooth val="0"/>
          <c:extLst>
            <c:ext xmlns:c16="http://schemas.microsoft.com/office/drawing/2014/chart" uri="{C3380CC4-5D6E-409C-BE32-E72D297353CC}">
              <c16:uniqueId val="{00000003-8047-4245-8A7F-4E870B4097A4}"/>
            </c:ext>
          </c:extLst>
        </c:ser>
        <c:ser>
          <c:idx val="4"/>
          <c:order val="4"/>
          <c:tx>
            <c:strRef>
              <c:f>benzin!$F$2</c:f>
              <c:strCache>
                <c:ptCount val="1"/>
                <c:pt idx="0">
                  <c:v> Rakúsko </c:v>
                </c:pt>
              </c:strCache>
            </c:strRef>
          </c:tx>
          <c:spPr>
            <a:ln w="28575" cap="rnd">
              <a:solidFill>
                <a:srgbClr val="FFC000"/>
              </a:solidFill>
              <a:round/>
            </a:ln>
            <a:effectLst/>
          </c:spPr>
          <c:marker>
            <c:symbol val="none"/>
          </c:marker>
          <c:cat>
            <c:numRef>
              <c:f>benzin!$A$949:$A$996</c:f>
              <c:numCache>
                <c:formatCode>dd/mm/yy</c:formatCode>
                <c:ptCount val="48"/>
                <c:pt idx="0">
                  <c:v>45327</c:v>
                </c:pt>
                <c:pt idx="1">
                  <c:v>45334</c:v>
                </c:pt>
                <c:pt idx="2">
                  <c:v>45341</c:v>
                </c:pt>
                <c:pt idx="3">
                  <c:v>45348</c:v>
                </c:pt>
                <c:pt idx="4">
                  <c:v>45355</c:v>
                </c:pt>
                <c:pt idx="5">
                  <c:v>45362</c:v>
                </c:pt>
                <c:pt idx="6">
                  <c:v>45369</c:v>
                </c:pt>
                <c:pt idx="7">
                  <c:v>45376</c:v>
                </c:pt>
                <c:pt idx="8">
                  <c:v>45383</c:v>
                </c:pt>
                <c:pt idx="9">
                  <c:v>45390</c:v>
                </c:pt>
                <c:pt idx="10">
                  <c:v>45397</c:v>
                </c:pt>
                <c:pt idx="11">
                  <c:v>45404</c:v>
                </c:pt>
                <c:pt idx="12">
                  <c:v>45411</c:v>
                </c:pt>
                <c:pt idx="13">
                  <c:v>45418</c:v>
                </c:pt>
                <c:pt idx="14">
                  <c:v>45425</c:v>
                </c:pt>
                <c:pt idx="15">
                  <c:v>45432</c:v>
                </c:pt>
                <c:pt idx="16">
                  <c:v>45439</c:v>
                </c:pt>
                <c:pt idx="17">
                  <c:v>45446</c:v>
                </c:pt>
                <c:pt idx="18">
                  <c:v>45453</c:v>
                </c:pt>
                <c:pt idx="19">
                  <c:v>45460</c:v>
                </c:pt>
                <c:pt idx="20">
                  <c:v>45467</c:v>
                </c:pt>
                <c:pt idx="21">
                  <c:v>45474</c:v>
                </c:pt>
                <c:pt idx="22">
                  <c:v>45481</c:v>
                </c:pt>
                <c:pt idx="23">
                  <c:v>45488</c:v>
                </c:pt>
                <c:pt idx="24">
                  <c:v>45495</c:v>
                </c:pt>
                <c:pt idx="25">
                  <c:v>45502</c:v>
                </c:pt>
                <c:pt idx="26">
                  <c:v>45509</c:v>
                </c:pt>
                <c:pt idx="27">
                  <c:v>45516</c:v>
                </c:pt>
                <c:pt idx="28">
                  <c:v>45523</c:v>
                </c:pt>
                <c:pt idx="29">
                  <c:v>45530</c:v>
                </c:pt>
                <c:pt idx="30">
                  <c:v>45537</c:v>
                </c:pt>
                <c:pt idx="31">
                  <c:v>45544</c:v>
                </c:pt>
                <c:pt idx="32">
                  <c:v>45551</c:v>
                </c:pt>
                <c:pt idx="33">
                  <c:v>45558</c:v>
                </c:pt>
                <c:pt idx="34">
                  <c:v>45565</c:v>
                </c:pt>
                <c:pt idx="35">
                  <c:v>45572</c:v>
                </c:pt>
                <c:pt idx="36">
                  <c:v>45579</c:v>
                </c:pt>
                <c:pt idx="37">
                  <c:v>45586</c:v>
                </c:pt>
                <c:pt idx="38">
                  <c:v>45593</c:v>
                </c:pt>
                <c:pt idx="39">
                  <c:v>45600</c:v>
                </c:pt>
                <c:pt idx="40">
                  <c:v>45607</c:v>
                </c:pt>
                <c:pt idx="41">
                  <c:v>45614</c:v>
                </c:pt>
                <c:pt idx="42">
                  <c:v>45621</c:v>
                </c:pt>
                <c:pt idx="43">
                  <c:v>45628</c:v>
                </c:pt>
                <c:pt idx="44">
                  <c:v>45635</c:v>
                </c:pt>
                <c:pt idx="45">
                  <c:v>45642</c:v>
                </c:pt>
                <c:pt idx="46">
                  <c:v>45649</c:v>
                </c:pt>
                <c:pt idx="47">
                  <c:v>45656</c:v>
                </c:pt>
              </c:numCache>
            </c:numRef>
          </c:cat>
          <c:val>
            <c:numRef>
              <c:f>benzin!$F$949:$F$996</c:f>
              <c:numCache>
                <c:formatCode>#\ ##0.000</c:formatCode>
                <c:ptCount val="48"/>
                <c:pt idx="0">
                  <c:v>1.573</c:v>
                </c:pt>
                <c:pt idx="1">
                  <c:v>1.579</c:v>
                </c:pt>
                <c:pt idx="2">
                  <c:v>1.6</c:v>
                </c:pt>
                <c:pt idx="3">
                  <c:v>1.5940000000000001</c:v>
                </c:pt>
                <c:pt idx="4">
                  <c:v>1.597</c:v>
                </c:pt>
                <c:pt idx="5">
                  <c:v>1.5960000000000001</c:v>
                </c:pt>
                <c:pt idx="6">
                  <c:v>1.5960000000000001</c:v>
                </c:pt>
                <c:pt idx="7">
                  <c:v>1.61</c:v>
                </c:pt>
                <c:pt idx="8">
                  <c:v>1.637</c:v>
                </c:pt>
                <c:pt idx="9">
                  <c:v>1.665</c:v>
                </c:pt>
                <c:pt idx="10">
                  <c:v>1.6779999999999999</c:v>
                </c:pt>
                <c:pt idx="11">
                  <c:v>1.6870000000000001</c:v>
                </c:pt>
                <c:pt idx="12">
                  <c:v>1.673</c:v>
                </c:pt>
                <c:pt idx="13">
                  <c:v>1.6600000000000001</c:v>
                </c:pt>
                <c:pt idx="14">
                  <c:v>1.6500000000000001</c:v>
                </c:pt>
                <c:pt idx="15">
                  <c:v>1.6280000000000001</c:v>
                </c:pt>
                <c:pt idx="16">
                  <c:v>1.6300000000000001</c:v>
                </c:pt>
                <c:pt idx="17">
                  <c:v>1.615</c:v>
                </c:pt>
                <c:pt idx="18">
                  <c:v>1.587</c:v>
                </c:pt>
                <c:pt idx="19">
                  <c:v>1.603</c:v>
                </c:pt>
                <c:pt idx="20">
                  <c:v>1.609</c:v>
                </c:pt>
                <c:pt idx="21">
                  <c:v>1.62</c:v>
                </c:pt>
                <c:pt idx="22">
                  <c:v>1.6300000000000001</c:v>
                </c:pt>
                <c:pt idx="23">
                  <c:v>1.6280000000000001</c:v>
                </c:pt>
                <c:pt idx="24">
                  <c:v>1.603</c:v>
                </c:pt>
                <c:pt idx="25">
                  <c:v>1.601</c:v>
                </c:pt>
                <c:pt idx="26">
                  <c:v>1.597</c:v>
                </c:pt>
                <c:pt idx="27">
                  <c:v>1.5740000000000001</c:v>
                </c:pt>
                <c:pt idx="28">
                  <c:v>1.5640000000000001</c:v>
                </c:pt>
                <c:pt idx="29">
                  <c:v>1.5409999999999999</c:v>
                </c:pt>
                <c:pt idx="30">
                  <c:v>1.5350000000000001</c:v>
                </c:pt>
                <c:pt idx="31">
                  <c:v>1.506</c:v>
                </c:pt>
                <c:pt idx="32">
                  <c:v>1.5</c:v>
                </c:pt>
                <c:pt idx="33">
                  <c:v>1.4810000000000001</c:v>
                </c:pt>
                <c:pt idx="34">
                  <c:v>1.4710000000000001</c:v>
                </c:pt>
                <c:pt idx="35">
                  <c:v>1.4990000000000001</c:v>
                </c:pt>
                <c:pt idx="36">
                  <c:v>1.514</c:v>
                </c:pt>
                <c:pt idx="37">
                  <c:v>1.5030000000000001</c:v>
                </c:pt>
                <c:pt idx="38">
                  <c:v>1.5010000000000001</c:v>
                </c:pt>
                <c:pt idx="39">
                  <c:v>1.4810000000000001</c:v>
                </c:pt>
                <c:pt idx="40">
                  <c:v>1.492</c:v>
                </c:pt>
                <c:pt idx="41">
                  <c:v>1.5010000000000001</c:v>
                </c:pt>
                <c:pt idx="42">
                  <c:v>1.5070000000000001</c:v>
                </c:pt>
                <c:pt idx="43">
                  <c:v>1.502</c:v>
                </c:pt>
                <c:pt idx="44">
                  <c:v>1.5030000000000001</c:v>
                </c:pt>
                <c:pt idx="45">
                  <c:v>1.5130000000000001</c:v>
                </c:pt>
                <c:pt idx="46">
                  <c:v>1.5230000000000001</c:v>
                </c:pt>
                <c:pt idx="47">
                  <c:v>1.5170000000000001</c:v>
                </c:pt>
              </c:numCache>
            </c:numRef>
          </c:val>
          <c:smooth val="0"/>
          <c:extLst>
            <c:ext xmlns:c16="http://schemas.microsoft.com/office/drawing/2014/chart" uri="{C3380CC4-5D6E-409C-BE32-E72D297353CC}">
              <c16:uniqueId val="{00000004-8047-4245-8A7F-4E870B4097A4}"/>
            </c:ext>
          </c:extLst>
        </c:ser>
        <c:dLbls>
          <c:showLegendKey val="0"/>
          <c:showVal val="0"/>
          <c:showCatName val="0"/>
          <c:showSerName val="0"/>
          <c:showPercent val="0"/>
          <c:showBubbleSize val="0"/>
        </c:dLbls>
        <c:smooth val="0"/>
        <c:axId val="372847824"/>
        <c:axId val="372846384"/>
      </c:lineChart>
      <c:dateAx>
        <c:axId val="372847824"/>
        <c:scaling>
          <c:orientation val="minMax"/>
        </c:scaling>
        <c:delete val="0"/>
        <c:axPos val="b"/>
        <c:numFmt formatCode="m/yy" sourceLinked="0"/>
        <c:majorTickMark val="out"/>
        <c:minorTickMark val="none"/>
        <c:tickLblPos val="nextTo"/>
        <c:spPr>
          <a:noFill/>
          <a:ln w="9525" cap="flat" cmpd="sng" algn="ctr">
            <a:solidFill>
              <a:schemeClr val="tx1">
                <a:lumMod val="15000"/>
                <a:lumOff val="85000"/>
              </a:schemeClr>
            </a:solidFill>
            <a:round/>
          </a:ln>
          <a:effectLst/>
        </c:spPr>
        <c:txPr>
          <a:bodyPr rot="21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372846384"/>
        <c:crosses val="autoZero"/>
        <c:auto val="1"/>
        <c:lblOffset val="100"/>
        <c:baseTimeUnit val="days"/>
        <c:majorUnit val="1"/>
        <c:majorTimeUnit val="months"/>
        <c:minorUnit val="1"/>
        <c:minorTimeUnit val="months"/>
      </c:dateAx>
      <c:valAx>
        <c:axId val="372846384"/>
        <c:scaling>
          <c:orientation val="minMax"/>
          <c:max val="1.7500000000000002"/>
          <c:min val="1.35"/>
        </c:scaling>
        <c:delete val="0"/>
        <c:axPos val="l"/>
        <c:majorGridlines>
          <c:spPr>
            <a:ln w="9525" cap="flat" cmpd="sng" algn="ctr">
              <a:solidFill>
                <a:schemeClr val="tx1">
                  <a:lumMod val="15000"/>
                  <a:lumOff val="85000"/>
                </a:schemeClr>
              </a:solidFill>
              <a:round/>
            </a:ln>
            <a:effectLst/>
          </c:spPr>
        </c:majorGridlines>
        <c:numFmt formatCode="#\ ##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372847824"/>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gap"/>
    <c:showDLblsOverMax val="0"/>
  </c:chart>
  <c:spPr>
    <a:solidFill>
      <a:schemeClr val="bg1"/>
    </a:solidFill>
    <a:ln w="9525" cap="flat" cmpd="sng" algn="ctr">
      <a:noFill/>
      <a:round/>
    </a:ln>
    <a:effectLst/>
  </c:spPr>
  <c:txPr>
    <a:bodyPr/>
    <a:lstStyle/>
    <a:p>
      <a:pPr>
        <a:defRPr/>
      </a:pPr>
      <a:endParaRPr lang="sk-SK"/>
    </a:p>
  </c:txPr>
  <c:externalData r:id="rId4">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nafta!$B$2</c:f>
              <c:strCache>
                <c:ptCount val="1"/>
                <c:pt idx="0">
                  <c:v> Slovensko </c:v>
                </c:pt>
              </c:strCache>
            </c:strRef>
          </c:tx>
          <c:spPr>
            <a:ln w="28575" cap="rnd">
              <a:solidFill>
                <a:srgbClr val="FF0000"/>
              </a:solidFill>
              <a:round/>
            </a:ln>
            <a:effectLst/>
          </c:spPr>
          <c:marker>
            <c:symbol val="none"/>
          </c:marker>
          <c:cat>
            <c:numRef>
              <c:f>nafta!$A$944:$A$996</c:f>
              <c:numCache>
                <c:formatCode>dd/mm/yy</c:formatCode>
                <c:ptCount val="53"/>
                <c:pt idx="0">
                  <c:v>45292</c:v>
                </c:pt>
                <c:pt idx="1">
                  <c:v>45299</c:v>
                </c:pt>
                <c:pt idx="2">
                  <c:v>45306</c:v>
                </c:pt>
                <c:pt idx="3">
                  <c:v>45313</c:v>
                </c:pt>
                <c:pt idx="4">
                  <c:v>45320</c:v>
                </c:pt>
                <c:pt idx="5">
                  <c:v>45327</c:v>
                </c:pt>
                <c:pt idx="6">
                  <c:v>45334</c:v>
                </c:pt>
                <c:pt idx="7">
                  <c:v>45341</c:v>
                </c:pt>
                <c:pt idx="8">
                  <c:v>45348</c:v>
                </c:pt>
                <c:pt idx="9">
                  <c:v>45355</c:v>
                </c:pt>
                <c:pt idx="10">
                  <c:v>45362</c:v>
                </c:pt>
                <c:pt idx="11">
                  <c:v>45369</c:v>
                </c:pt>
                <c:pt idx="12">
                  <c:v>45376</c:v>
                </c:pt>
                <c:pt idx="13">
                  <c:v>45383</c:v>
                </c:pt>
                <c:pt idx="14">
                  <c:v>45390</c:v>
                </c:pt>
                <c:pt idx="15">
                  <c:v>45397</c:v>
                </c:pt>
                <c:pt idx="16">
                  <c:v>45404</c:v>
                </c:pt>
                <c:pt idx="17">
                  <c:v>45411</c:v>
                </c:pt>
                <c:pt idx="18">
                  <c:v>45418</c:v>
                </c:pt>
                <c:pt idx="19">
                  <c:v>45425</c:v>
                </c:pt>
                <c:pt idx="20">
                  <c:v>45432</c:v>
                </c:pt>
                <c:pt idx="21">
                  <c:v>45439</c:v>
                </c:pt>
                <c:pt idx="22">
                  <c:v>45446</c:v>
                </c:pt>
                <c:pt idx="23">
                  <c:v>45453</c:v>
                </c:pt>
                <c:pt idx="24">
                  <c:v>45460</c:v>
                </c:pt>
                <c:pt idx="25">
                  <c:v>45467</c:v>
                </c:pt>
                <c:pt idx="26">
                  <c:v>45474</c:v>
                </c:pt>
                <c:pt idx="27">
                  <c:v>45481</c:v>
                </c:pt>
                <c:pt idx="28">
                  <c:v>45488</c:v>
                </c:pt>
                <c:pt idx="29">
                  <c:v>45495</c:v>
                </c:pt>
                <c:pt idx="30">
                  <c:v>45502</c:v>
                </c:pt>
                <c:pt idx="31">
                  <c:v>45509</c:v>
                </c:pt>
                <c:pt idx="32">
                  <c:v>45516</c:v>
                </c:pt>
                <c:pt idx="33">
                  <c:v>45523</c:v>
                </c:pt>
                <c:pt idx="34">
                  <c:v>45530</c:v>
                </c:pt>
                <c:pt idx="35">
                  <c:v>45537</c:v>
                </c:pt>
                <c:pt idx="36">
                  <c:v>45544</c:v>
                </c:pt>
                <c:pt idx="37">
                  <c:v>45551</c:v>
                </c:pt>
                <c:pt idx="38">
                  <c:v>45558</c:v>
                </c:pt>
                <c:pt idx="39">
                  <c:v>45565</c:v>
                </c:pt>
                <c:pt idx="40">
                  <c:v>45572</c:v>
                </c:pt>
                <c:pt idx="41">
                  <c:v>45579</c:v>
                </c:pt>
                <c:pt idx="42">
                  <c:v>45586</c:v>
                </c:pt>
                <c:pt idx="43">
                  <c:v>45593</c:v>
                </c:pt>
                <c:pt idx="44">
                  <c:v>45600</c:v>
                </c:pt>
                <c:pt idx="45">
                  <c:v>45607</c:v>
                </c:pt>
                <c:pt idx="46">
                  <c:v>45614</c:v>
                </c:pt>
                <c:pt idx="47">
                  <c:v>45621</c:v>
                </c:pt>
                <c:pt idx="48">
                  <c:v>45628</c:v>
                </c:pt>
                <c:pt idx="49">
                  <c:v>45635</c:v>
                </c:pt>
                <c:pt idx="50">
                  <c:v>45642</c:v>
                </c:pt>
                <c:pt idx="51">
                  <c:v>45649</c:v>
                </c:pt>
                <c:pt idx="52">
                  <c:v>45656</c:v>
                </c:pt>
              </c:numCache>
            </c:numRef>
          </c:cat>
          <c:val>
            <c:numRef>
              <c:f>nafta!$B$944:$B$996</c:f>
              <c:numCache>
                <c:formatCode>#\ ##0.000</c:formatCode>
                <c:ptCount val="53"/>
                <c:pt idx="0">
                  <c:v>1.5030000000000001</c:v>
                </c:pt>
                <c:pt idx="1">
                  <c:v>1.5030000000000001</c:v>
                </c:pt>
                <c:pt idx="2">
                  <c:v>1.4850000000000001</c:v>
                </c:pt>
                <c:pt idx="3">
                  <c:v>1.5110000000000001</c:v>
                </c:pt>
                <c:pt idx="4">
                  <c:v>1.554</c:v>
                </c:pt>
                <c:pt idx="5">
                  <c:v>1.591</c:v>
                </c:pt>
                <c:pt idx="6">
                  <c:v>1.591</c:v>
                </c:pt>
                <c:pt idx="7">
                  <c:v>1.641</c:v>
                </c:pt>
                <c:pt idx="8">
                  <c:v>1.6120000000000001</c:v>
                </c:pt>
                <c:pt idx="9">
                  <c:v>1.59</c:v>
                </c:pt>
                <c:pt idx="10">
                  <c:v>1.589</c:v>
                </c:pt>
                <c:pt idx="11">
                  <c:v>1.569</c:v>
                </c:pt>
                <c:pt idx="12">
                  <c:v>1.5960000000000001</c:v>
                </c:pt>
                <c:pt idx="13">
                  <c:v>1.57</c:v>
                </c:pt>
                <c:pt idx="14">
                  <c:v>1.5660000000000001</c:v>
                </c:pt>
                <c:pt idx="15">
                  <c:v>1.5720000000000001</c:v>
                </c:pt>
                <c:pt idx="16">
                  <c:v>1.57</c:v>
                </c:pt>
                <c:pt idx="17">
                  <c:v>1.5409999999999999</c:v>
                </c:pt>
                <c:pt idx="18">
                  <c:v>1.5409999999999999</c:v>
                </c:pt>
                <c:pt idx="19">
                  <c:v>1.516</c:v>
                </c:pt>
                <c:pt idx="20">
                  <c:v>1.5070000000000001</c:v>
                </c:pt>
                <c:pt idx="21">
                  <c:v>1.5050000000000001</c:v>
                </c:pt>
                <c:pt idx="22">
                  <c:v>1.4970000000000001</c:v>
                </c:pt>
                <c:pt idx="23">
                  <c:v>1.472</c:v>
                </c:pt>
                <c:pt idx="24">
                  <c:v>1.4770000000000001</c:v>
                </c:pt>
                <c:pt idx="25">
                  <c:v>1.5230000000000001</c:v>
                </c:pt>
                <c:pt idx="26">
                  <c:v>1.538</c:v>
                </c:pt>
                <c:pt idx="27">
                  <c:v>1.5409999999999999</c:v>
                </c:pt>
                <c:pt idx="28">
                  <c:v>1.526</c:v>
                </c:pt>
                <c:pt idx="29">
                  <c:v>1.5090000000000001</c:v>
                </c:pt>
                <c:pt idx="30">
                  <c:v>1.5050000000000001</c:v>
                </c:pt>
                <c:pt idx="31">
                  <c:v>1.484</c:v>
                </c:pt>
                <c:pt idx="32">
                  <c:v>1.4770000000000001</c:v>
                </c:pt>
                <c:pt idx="33">
                  <c:v>1.474</c:v>
                </c:pt>
                <c:pt idx="34">
                  <c:v>1.4590000000000001</c:v>
                </c:pt>
                <c:pt idx="35">
                  <c:v>1.4430000000000001</c:v>
                </c:pt>
                <c:pt idx="36">
                  <c:v>1.4279999999999999</c:v>
                </c:pt>
                <c:pt idx="37">
                  <c:v>1.403</c:v>
                </c:pt>
                <c:pt idx="38">
                  <c:v>1.4020000000000001</c:v>
                </c:pt>
                <c:pt idx="39">
                  <c:v>1.401</c:v>
                </c:pt>
                <c:pt idx="40">
                  <c:v>1.4020000000000001</c:v>
                </c:pt>
                <c:pt idx="41">
                  <c:v>1.42</c:v>
                </c:pt>
                <c:pt idx="42">
                  <c:v>1.4239999999999999</c:v>
                </c:pt>
                <c:pt idx="43">
                  <c:v>1.4179999999999999</c:v>
                </c:pt>
                <c:pt idx="44">
                  <c:v>1.4219999999999999</c:v>
                </c:pt>
                <c:pt idx="45">
                  <c:v>1.421</c:v>
                </c:pt>
                <c:pt idx="46">
                  <c:v>1.4410000000000001</c:v>
                </c:pt>
                <c:pt idx="47">
                  <c:v>1.4410000000000001</c:v>
                </c:pt>
                <c:pt idx="48">
                  <c:v>1.4790000000000001</c:v>
                </c:pt>
                <c:pt idx="49">
                  <c:v>1.4590000000000001</c:v>
                </c:pt>
                <c:pt idx="50">
                  <c:v>1.4590000000000001</c:v>
                </c:pt>
                <c:pt idx="51">
                  <c:v>1.4770000000000001</c:v>
                </c:pt>
                <c:pt idx="52">
                  <c:v>1.474</c:v>
                </c:pt>
              </c:numCache>
            </c:numRef>
          </c:val>
          <c:smooth val="0"/>
          <c:extLst>
            <c:ext xmlns:c16="http://schemas.microsoft.com/office/drawing/2014/chart" uri="{C3380CC4-5D6E-409C-BE32-E72D297353CC}">
              <c16:uniqueId val="{00000000-C416-43E7-A565-0A9D059D4B0A}"/>
            </c:ext>
          </c:extLst>
        </c:ser>
        <c:ser>
          <c:idx val="1"/>
          <c:order val="1"/>
          <c:tx>
            <c:strRef>
              <c:f>nafta!$C$2</c:f>
              <c:strCache>
                <c:ptCount val="1"/>
                <c:pt idx="0">
                  <c:v> Poľsko </c:v>
                </c:pt>
              </c:strCache>
            </c:strRef>
          </c:tx>
          <c:spPr>
            <a:ln w="28575" cap="rnd">
              <a:solidFill>
                <a:srgbClr val="7030A0"/>
              </a:solidFill>
              <a:round/>
            </a:ln>
            <a:effectLst/>
          </c:spPr>
          <c:marker>
            <c:symbol val="none"/>
          </c:marker>
          <c:cat>
            <c:numRef>
              <c:f>nafta!$A$944:$A$996</c:f>
              <c:numCache>
                <c:formatCode>dd/mm/yy</c:formatCode>
                <c:ptCount val="53"/>
                <c:pt idx="0">
                  <c:v>45292</c:v>
                </c:pt>
                <c:pt idx="1">
                  <c:v>45299</c:v>
                </c:pt>
                <c:pt idx="2">
                  <c:v>45306</c:v>
                </c:pt>
                <c:pt idx="3">
                  <c:v>45313</c:v>
                </c:pt>
                <c:pt idx="4">
                  <c:v>45320</c:v>
                </c:pt>
                <c:pt idx="5">
                  <c:v>45327</c:v>
                </c:pt>
                <c:pt idx="6">
                  <c:v>45334</c:v>
                </c:pt>
                <c:pt idx="7">
                  <c:v>45341</c:v>
                </c:pt>
                <c:pt idx="8">
                  <c:v>45348</c:v>
                </c:pt>
                <c:pt idx="9">
                  <c:v>45355</c:v>
                </c:pt>
                <c:pt idx="10">
                  <c:v>45362</c:v>
                </c:pt>
                <c:pt idx="11">
                  <c:v>45369</c:v>
                </c:pt>
                <c:pt idx="12">
                  <c:v>45376</c:v>
                </c:pt>
                <c:pt idx="13">
                  <c:v>45383</c:v>
                </c:pt>
                <c:pt idx="14">
                  <c:v>45390</c:v>
                </c:pt>
                <c:pt idx="15">
                  <c:v>45397</c:v>
                </c:pt>
                <c:pt idx="16">
                  <c:v>45404</c:v>
                </c:pt>
                <c:pt idx="17">
                  <c:v>45411</c:v>
                </c:pt>
                <c:pt idx="18">
                  <c:v>45418</c:v>
                </c:pt>
                <c:pt idx="19">
                  <c:v>45425</c:v>
                </c:pt>
                <c:pt idx="20">
                  <c:v>45432</c:v>
                </c:pt>
                <c:pt idx="21">
                  <c:v>45439</c:v>
                </c:pt>
                <c:pt idx="22">
                  <c:v>45446</c:v>
                </c:pt>
                <c:pt idx="23">
                  <c:v>45453</c:v>
                </c:pt>
                <c:pt idx="24">
                  <c:v>45460</c:v>
                </c:pt>
                <c:pt idx="25">
                  <c:v>45467</c:v>
                </c:pt>
                <c:pt idx="26">
                  <c:v>45474</c:v>
                </c:pt>
                <c:pt idx="27">
                  <c:v>45481</c:v>
                </c:pt>
                <c:pt idx="28">
                  <c:v>45488</c:v>
                </c:pt>
                <c:pt idx="29">
                  <c:v>45495</c:v>
                </c:pt>
                <c:pt idx="30">
                  <c:v>45502</c:v>
                </c:pt>
                <c:pt idx="31">
                  <c:v>45509</c:v>
                </c:pt>
                <c:pt idx="32">
                  <c:v>45516</c:v>
                </c:pt>
                <c:pt idx="33">
                  <c:v>45523</c:v>
                </c:pt>
                <c:pt idx="34">
                  <c:v>45530</c:v>
                </c:pt>
                <c:pt idx="35">
                  <c:v>45537</c:v>
                </c:pt>
                <c:pt idx="36">
                  <c:v>45544</c:v>
                </c:pt>
                <c:pt idx="37">
                  <c:v>45551</c:v>
                </c:pt>
                <c:pt idx="38">
                  <c:v>45558</c:v>
                </c:pt>
                <c:pt idx="39">
                  <c:v>45565</c:v>
                </c:pt>
                <c:pt idx="40">
                  <c:v>45572</c:v>
                </c:pt>
                <c:pt idx="41">
                  <c:v>45579</c:v>
                </c:pt>
                <c:pt idx="42">
                  <c:v>45586</c:v>
                </c:pt>
                <c:pt idx="43">
                  <c:v>45593</c:v>
                </c:pt>
                <c:pt idx="44">
                  <c:v>45600</c:v>
                </c:pt>
                <c:pt idx="45">
                  <c:v>45607</c:v>
                </c:pt>
                <c:pt idx="46">
                  <c:v>45614</c:v>
                </c:pt>
                <c:pt idx="47">
                  <c:v>45621</c:v>
                </c:pt>
                <c:pt idx="48">
                  <c:v>45628</c:v>
                </c:pt>
                <c:pt idx="49">
                  <c:v>45635</c:v>
                </c:pt>
                <c:pt idx="50">
                  <c:v>45642</c:v>
                </c:pt>
                <c:pt idx="51">
                  <c:v>45649</c:v>
                </c:pt>
                <c:pt idx="52">
                  <c:v>45656</c:v>
                </c:pt>
              </c:numCache>
            </c:numRef>
          </c:cat>
          <c:val>
            <c:numRef>
              <c:f>nafta!$C$944:$C$996</c:f>
              <c:numCache>
                <c:formatCode>#\ ##0.00000</c:formatCode>
                <c:ptCount val="53"/>
                <c:pt idx="0">
                  <c:v>1.4879200000000001</c:v>
                </c:pt>
                <c:pt idx="1">
                  <c:v>1.48078</c:v>
                </c:pt>
                <c:pt idx="2">
                  <c:v>1.4676099999999999</c:v>
                </c:pt>
                <c:pt idx="3">
                  <c:v>1.4717500000000001</c:v>
                </c:pt>
                <c:pt idx="4">
                  <c:v>1.49044</c:v>
                </c:pt>
                <c:pt idx="5">
                  <c:v>1.5205500000000001</c:v>
                </c:pt>
                <c:pt idx="6">
                  <c:v>1.54172</c:v>
                </c:pt>
                <c:pt idx="7">
                  <c:v>1.5635000000000001</c:v>
                </c:pt>
                <c:pt idx="8">
                  <c:v>1.5648499999999999</c:v>
                </c:pt>
                <c:pt idx="9">
                  <c:v>1.5539700000000001</c:v>
                </c:pt>
                <c:pt idx="10">
                  <c:v>1.56402</c:v>
                </c:pt>
                <c:pt idx="11">
                  <c:v>1.55009</c:v>
                </c:pt>
                <c:pt idx="12">
                  <c:v>1.5726099999999998</c:v>
                </c:pt>
                <c:pt idx="13">
                  <c:v>1.5766733382982683</c:v>
                </c:pt>
                <c:pt idx="14">
                  <c:v>1.5873505157061296</c:v>
                </c:pt>
                <c:pt idx="15">
                  <c:v>1.5708672970329309</c:v>
                </c:pt>
                <c:pt idx="16">
                  <c:v>1.560667314994906</c:v>
                </c:pt>
                <c:pt idx="17">
                  <c:v>1.5485493006588833</c:v>
                </c:pt>
                <c:pt idx="18">
                  <c:v>1.5569017019798539</c:v>
                </c:pt>
                <c:pt idx="19">
                  <c:v>1.5604643023798415</c:v>
                </c:pt>
                <c:pt idx="20">
                  <c:v>1.5593280511602754</c:v>
                </c:pt>
                <c:pt idx="21">
                  <c:v>1.5480083660376471</c:v>
                </c:pt>
                <c:pt idx="22">
                  <c:v>1.5310124956206934</c:v>
                </c:pt>
                <c:pt idx="23">
                  <c:v>1.5018617021276597</c:v>
                </c:pt>
                <c:pt idx="24">
                  <c:v>1.482676605504587</c:v>
                </c:pt>
                <c:pt idx="25">
                  <c:v>1.5211427109736531</c:v>
                </c:pt>
                <c:pt idx="26">
                  <c:v>1.5184314546130955</c:v>
                </c:pt>
                <c:pt idx="27">
                  <c:v>1.526880639581093</c:v>
                </c:pt>
                <c:pt idx="28">
                  <c:v>1.5322673255677137</c:v>
                </c:pt>
                <c:pt idx="29">
                  <c:v>1.5175539870991865</c:v>
                </c:pt>
                <c:pt idx="30">
                  <c:v>1.5082560901765334</c:v>
                </c:pt>
                <c:pt idx="31">
                  <c:v>1.49687442033018</c:v>
                </c:pt>
                <c:pt idx="32">
                  <c:v>1.4906985925960334</c:v>
                </c:pt>
                <c:pt idx="33">
                  <c:v>1.4995666229385309</c:v>
                </c:pt>
                <c:pt idx="34">
                  <c:v>1.4797057106154383</c:v>
                </c:pt>
                <c:pt idx="35">
                  <c:v>1.4705543859649122</c:v>
                </c:pt>
                <c:pt idx="36">
                  <c:v>1.4463370733987848</c:v>
                </c:pt>
                <c:pt idx="37">
                  <c:v>1.429884330804533</c:v>
                </c:pt>
                <c:pt idx="38">
                  <c:v>1.4131672514619882</c:v>
                </c:pt>
                <c:pt idx="39">
                  <c:v>1.3952206226044686</c:v>
                </c:pt>
                <c:pt idx="40">
                  <c:v>1.3779983801920628</c:v>
                </c:pt>
                <c:pt idx="41">
                  <c:v>1.4134497470449723</c:v>
                </c:pt>
                <c:pt idx="42">
                  <c:v>1.4176629994209613</c:v>
                </c:pt>
                <c:pt idx="43">
                  <c:v>1.4210919540229887</c:v>
                </c:pt>
                <c:pt idx="44">
                  <c:v>1.4188310342445247</c:v>
                </c:pt>
                <c:pt idx="45">
                  <c:v>1.4203453038674032</c:v>
                </c:pt>
                <c:pt idx="46">
                  <c:v>1.4191113267711077</c:v>
                </c:pt>
                <c:pt idx="47">
                  <c:v>1.4386453629732545</c:v>
                </c:pt>
                <c:pt idx="48">
                  <c:v>1.4563896981703766</c:v>
                </c:pt>
                <c:pt idx="49">
                  <c:v>1.458596482990163</c:v>
                </c:pt>
                <c:pt idx="50">
                  <c:v>1.4476407129455908</c:v>
                </c:pt>
                <c:pt idx="51">
                  <c:v>1.4494931522884236</c:v>
                </c:pt>
                <c:pt idx="52">
                  <c:v>1.4478912202555385</c:v>
                </c:pt>
              </c:numCache>
            </c:numRef>
          </c:val>
          <c:smooth val="0"/>
          <c:extLst>
            <c:ext xmlns:c16="http://schemas.microsoft.com/office/drawing/2014/chart" uri="{C3380CC4-5D6E-409C-BE32-E72D297353CC}">
              <c16:uniqueId val="{00000001-C416-43E7-A565-0A9D059D4B0A}"/>
            </c:ext>
          </c:extLst>
        </c:ser>
        <c:ser>
          <c:idx val="2"/>
          <c:order val="2"/>
          <c:tx>
            <c:strRef>
              <c:f>nafta!$D$2</c:f>
              <c:strCache>
                <c:ptCount val="1"/>
                <c:pt idx="0">
                  <c:v> Maďarsko </c:v>
                </c:pt>
              </c:strCache>
            </c:strRef>
          </c:tx>
          <c:spPr>
            <a:ln w="28575" cap="rnd">
              <a:solidFill>
                <a:srgbClr val="00B0F0"/>
              </a:solidFill>
              <a:round/>
            </a:ln>
            <a:effectLst/>
          </c:spPr>
          <c:marker>
            <c:symbol val="none"/>
          </c:marker>
          <c:cat>
            <c:numRef>
              <c:f>nafta!$A$944:$A$996</c:f>
              <c:numCache>
                <c:formatCode>dd/mm/yy</c:formatCode>
                <c:ptCount val="53"/>
                <c:pt idx="0">
                  <c:v>45292</c:v>
                </c:pt>
                <c:pt idx="1">
                  <c:v>45299</c:v>
                </c:pt>
                <c:pt idx="2">
                  <c:v>45306</c:v>
                </c:pt>
                <c:pt idx="3">
                  <c:v>45313</c:v>
                </c:pt>
                <c:pt idx="4">
                  <c:v>45320</c:v>
                </c:pt>
                <c:pt idx="5">
                  <c:v>45327</c:v>
                </c:pt>
                <c:pt idx="6">
                  <c:v>45334</c:v>
                </c:pt>
                <c:pt idx="7">
                  <c:v>45341</c:v>
                </c:pt>
                <c:pt idx="8">
                  <c:v>45348</c:v>
                </c:pt>
                <c:pt idx="9">
                  <c:v>45355</c:v>
                </c:pt>
                <c:pt idx="10">
                  <c:v>45362</c:v>
                </c:pt>
                <c:pt idx="11">
                  <c:v>45369</c:v>
                </c:pt>
                <c:pt idx="12">
                  <c:v>45376</c:v>
                </c:pt>
                <c:pt idx="13">
                  <c:v>45383</c:v>
                </c:pt>
                <c:pt idx="14">
                  <c:v>45390</c:v>
                </c:pt>
                <c:pt idx="15">
                  <c:v>45397</c:v>
                </c:pt>
                <c:pt idx="16">
                  <c:v>45404</c:v>
                </c:pt>
                <c:pt idx="17">
                  <c:v>45411</c:v>
                </c:pt>
                <c:pt idx="18">
                  <c:v>45418</c:v>
                </c:pt>
                <c:pt idx="19">
                  <c:v>45425</c:v>
                </c:pt>
                <c:pt idx="20">
                  <c:v>45432</c:v>
                </c:pt>
                <c:pt idx="21">
                  <c:v>45439</c:v>
                </c:pt>
                <c:pt idx="22">
                  <c:v>45446</c:v>
                </c:pt>
                <c:pt idx="23">
                  <c:v>45453</c:v>
                </c:pt>
                <c:pt idx="24">
                  <c:v>45460</c:v>
                </c:pt>
                <c:pt idx="25">
                  <c:v>45467</c:v>
                </c:pt>
                <c:pt idx="26">
                  <c:v>45474</c:v>
                </c:pt>
                <c:pt idx="27">
                  <c:v>45481</c:v>
                </c:pt>
                <c:pt idx="28">
                  <c:v>45488</c:v>
                </c:pt>
                <c:pt idx="29">
                  <c:v>45495</c:v>
                </c:pt>
                <c:pt idx="30">
                  <c:v>45502</c:v>
                </c:pt>
                <c:pt idx="31">
                  <c:v>45509</c:v>
                </c:pt>
                <c:pt idx="32">
                  <c:v>45516</c:v>
                </c:pt>
                <c:pt idx="33">
                  <c:v>45523</c:v>
                </c:pt>
                <c:pt idx="34">
                  <c:v>45530</c:v>
                </c:pt>
                <c:pt idx="35">
                  <c:v>45537</c:v>
                </c:pt>
                <c:pt idx="36">
                  <c:v>45544</c:v>
                </c:pt>
                <c:pt idx="37">
                  <c:v>45551</c:v>
                </c:pt>
                <c:pt idx="38">
                  <c:v>45558</c:v>
                </c:pt>
                <c:pt idx="39">
                  <c:v>45565</c:v>
                </c:pt>
                <c:pt idx="40">
                  <c:v>45572</c:v>
                </c:pt>
                <c:pt idx="41">
                  <c:v>45579</c:v>
                </c:pt>
                <c:pt idx="42">
                  <c:v>45586</c:v>
                </c:pt>
                <c:pt idx="43">
                  <c:v>45593</c:v>
                </c:pt>
                <c:pt idx="44">
                  <c:v>45600</c:v>
                </c:pt>
                <c:pt idx="45">
                  <c:v>45607</c:v>
                </c:pt>
                <c:pt idx="46">
                  <c:v>45614</c:v>
                </c:pt>
                <c:pt idx="47">
                  <c:v>45621</c:v>
                </c:pt>
                <c:pt idx="48">
                  <c:v>45628</c:v>
                </c:pt>
                <c:pt idx="49">
                  <c:v>45635</c:v>
                </c:pt>
                <c:pt idx="50">
                  <c:v>45642</c:v>
                </c:pt>
                <c:pt idx="51">
                  <c:v>45649</c:v>
                </c:pt>
                <c:pt idx="52">
                  <c:v>45656</c:v>
                </c:pt>
              </c:numCache>
            </c:numRef>
          </c:cat>
          <c:val>
            <c:numRef>
              <c:f>nafta!$D$944:$D$996</c:f>
              <c:numCache>
                <c:formatCode>#\ ##0.00000</c:formatCode>
                <c:ptCount val="53"/>
                <c:pt idx="0">
                  <c:v>1.5708</c:v>
                </c:pt>
                <c:pt idx="1">
                  <c:v>1.5595399999999999</c:v>
                </c:pt>
                <c:pt idx="2">
                  <c:v>1.5978800000000002</c:v>
                </c:pt>
                <c:pt idx="3">
                  <c:v>1.6011300000000002</c:v>
                </c:pt>
                <c:pt idx="4">
                  <c:v>1.6029600000000002</c:v>
                </c:pt>
                <c:pt idx="5">
                  <c:v>1.6612200000000001</c:v>
                </c:pt>
                <c:pt idx="6">
                  <c:v>1.65256</c:v>
                </c:pt>
                <c:pt idx="7">
                  <c:v>1.6951800000000001</c:v>
                </c:pt>
                <c:pt idx="8">
                  <c:v>1.6813100000000001</c:v>
                </c:pt>
                <c:pt idx="9">
                  <c:v>1.6366099999999999</c:v>
                </c:pt>
                <c:pt idx="10">
                  <c:v>1.62479</c:v>
                </c:pt>
                <c:pt idx="11">
                  <c:v>1.6260999999999999</c:v>
                </c:pt>
                <c:pt idx="12">
                  <c:v>1.6260999999999999</c:v>
                </c:pt>
                <c:pt idx="13">
                  <c:v>1.6436047812817907</c:v>
                </c:pt>
                <c:pt idx="14">
                  <c:v>1.6783828305668329</c:v>
                </c:pt>
                <c:pt idx="15">
                  <c:v>1.6594084971464809</c:v>
                </c:pt>
                <c:pt idx="16">
                  <c:v>1.6480867479055599</c:v>
                </c:pt>
                <c:pt idx="17">
                  <c:v>1.6029314676743949</c:v>
                </c:pt>
                <c:pt idx="18">
                  <c:v>1.577123504032051</c:v>
                </c:pt>
                <c:pt idx="19">
                  <c:v>1.5674167441860467</c:v>
                </c:pt>
                <c:pt idx="20">
                  <c:v>1.5565428238039674</c:v>
                </c:pt>
                <c:pt idx="21">
                  <c:v>1.5627727579932418</c:v>
                </c:pt>
                <c:pt idx="22">
                  <c:v>1.5355921563617783</c:v>
                </c:pt>
                <c:pt idx="23">
                  <c:v>1.5086035519472283</c:v>
                </c:pt>
                <c:pt idx="24">
                  <c:v>1.5319260063091487</c:v>
                </c:pt>
                <c:pt idx="25">
                  <c:v>1.5818619028299017</c:v>
                </c:pt>
                <c:pt idx="26">
                  <c:v>1.5866420798985417</c:v>
                </c:pt>
                <c:pt idx="27">
                  <c:v>1.5871336711426403</c:v>
                </c:pt>
                <c:pt idx="28">
                  <c:v>1.5917966435066926</c:v>
                </c:pt>
                <c:pt idx="29">
                  <c:v>1.5852438098170529</c:v>
                </c:pt>
                <c:pt idx="30">
                  <c:v>1.5685514394904456</c:v>
                </c:pt>
                <c:pt idx="31">
                  <c:v>1.5512339314845025</c:v>
                </c:pt>
                <c:pt idx="32">
                  <c:v>1.5599285950413226</c:v>
                </c:pt>
                <c:pt idx="33">
                  <c:v>1.5667669176757915</c:v>
                </c:pt>
                <c:pt idx="34">
                  <c:v>1.5268843964273968</c:v>
                </c:pt>
                <c:pt idx="35">
                  <c:v>1.5320624379059993</c:v>
                </c:pt>
                <c:pt idx="36">
                  <c:v>1.5104850359893929</c:v>
                </c:pt>
                <c:pt idx="37">
                  <c:v>1.5005455653454536</c:v>
                </c:pt>
                <c:pt idx="38">
                  <c:v>1.4931065420087162</c:v>
                </c:pt>
                <c:pt idx="39">
                  <c:v>1.4831521366659948</c:v>
                </c:pt>
                <c:pt idx="40">
                  <c:v>1.4846663599283725</c:v>
                </c:pt>
                <c:pt idx="41">
                  <c:v>1.5225589849792904</c:v>
                </c:pt>
                <c:pt idx="42">
                  <c:v>1.4994061752988048</c:v>
                </c:pt>
                <c:pt idx="43">
                  <c:v>1.4888556184077268</c:v>
                </c:pt>
                <c:pt idx="44">
                  <c:v>1.4877232670475444</c:v>
                </c:pt>
                <c:pt idx="45">
                  <c:v>1.5208159558626075</c:v>
                </c:pt>
                <c:pt idx="46">
                  <c:v>1.5201368730119891</c:v>
                </c:pt>
                <c:pt idx="47">
                  <c:v>1.5400334569769147</c:v>
                </c:pt>
                <c:pt idx="48">
                  <c:v>1.5263485721171226</c:v>
                </c:pt>
                <c:pt idx="49">
                  <c:v>1.5386664316109422</c:v>
                </c:pt>
                <c:pt idx="50">
                  <c:v>1.539467985233357</c:v>
                </c:pt>
                <c:pt idx="51">
                  <c:v>1.539467985233357</c:v>
                </c:pt>
                <c:pt idx="52">
                  <c:v>1.5301158846256653</c:v>
                </c:pt>
              </c:numCache>
            </c:numRef>
          </c:val>
          <c:smooth val="0"/>
          <c:extLst>
            <c:ext xmlns:c16="http://schemas.microsoft.com/office/drawing/2014/chart" uri="{C3380CC4-5D6E-409C-BE32-E72D297353CC}">
              <c16:uniqueId val="{00000002-C416-43E7-A565-0A9D059D4B0A}"/>
            </c:ext>
          </c:extLst>
        </c:ser>
        <c:ser>
          <c:idx val="3"/>
          <c:order val="3"/>
          <c:tx>
            <c:strRef>
              <c:f>nafta!$E$2</c:f>
              <c:strCache>
                <c:ptCount val="1"/>
                <c:pt idx="0">
                  <c:v> Česká republika </c:v>
                </c:pt>
              </c:strCache>
            </c:strRef>
          </c:tx>
          <c:spPr>
            <a:ln w="28575" cap="rnd">
              <a:solidFill>
                <a:srgbClr val="00B050"/>
              </a:solidFill>
              <a:round/>
            </a:ln>
            <a:effectLst/>
          </c:spPr>
          <c:marker>
            <c:symbol val="none"/>
          </c:marker>
          <c:cat>
            <c:numRef>
              <c:f>nafta!$A$944:$A$996</c:f>
              <c:numCache>
                <c:formatCode>dd/mm/yy</c:formatCode>
                <c:ptCount val="53"/>
                <c:pt idx="0">
                  <c:v>45292</c:v>
                </c:pt>
                <c:pt idx="1">
                  <c:v>45299</c:v>
                </c:pt>
                <c:pt idx="2">
                  <c:v>45306</c:v>
                </c:pt>
                <c:pt idx="3">
                  <c:v>45313</c:v>
                </c:pt>
                <c:pt idx="4">
                  <c:v>45320</c:v>
                </c:pt>
                <c:pt idx="5">
                  <c:v>45327</c:v>
                </c:pt>
                <c:pt idx="6">
                  <c:v>45334</c:v>
                </c:pt>
                <c:pt idx="7">
                  <c:v>45341</c:v>
                </c:pt>
                <c:pt idx="8">
                  <c:v>45348</c:v>
                </c:pt>
                <c:pt idx="9">
                  <c:v>45355</c:v>
                </c:pt>
                <c:pt idx="10">
                  <c:v>45362</c:v>
                </c:pt>
                <c:pt idx="11">
                  <c:v>45369</c:v>
                </c:pt>
                <c:pt idx="12">
                  <c:v>45376</c:v>
                </c:pt>
                <c:pt idx="13">
                  <c:v>45383</c:v>
                </c:pt>
                <c:pt idx="14">
                  <c:v>45390</c:v>
                </c:pt>
                <c:pt idx="15">
                  <c:v>45397</c:v>
                </c:pt>
                <c:pt idx="16">
                  <c:v>45404</c:v>
                </c:pt>
                <c:pt idx="17">
                  <c:v>45411</c:v>
                </c:pt>
                <c:pt idx="18">
                  <c:v>45418</c:v>
                </c:pt>
                <c:pt idx="19">
                  <c:v>45425</c:v>
                </c:pt>
                <c:pt idx="20">
                  <c:v>45432</c:v>
                </c:pt>
                <c:pt idx="21">
                  <c:v>45439</c:v>
                </c:pt>
                <c:pt idx="22">
                  <c:v>45446</c:v>
                </c:pt>
                <c:pt idx="23">
                  <c:v>45453</c:v>
                </c:pt>
                <c:pt idx="24">
                  <c:v>45460</c:v>
                </c:pt>
                <c:pt idx="25">
                  <c:v>45467</c:v>
                </c:pt>
                <c:pt idx="26">
                  <c:v>45474</c:v>
                </c:pt>
                <c:pt idx="27">
                  <c:v>45481</c:v>
                </c:pt>
                <c:pt idx="28">
                  <c:v>45488</c:v>
                </c:pt>
                <c:pt idx="29">
                  <c:v>45495</c:v>
                </c:pt>
                <c:pt idx="30">
                  <c:v>45502</c:v>
                </c:pt>
                <c:pt idx="31">
                  <c:v>45509</c:v>
                </c:pt>
                <c:pt idx="32">
                  <c:v>45516</c:v>
                </c:pt>
                <c:pt idx="33">
                  <c:v>45523</c:v>
                </c:pt>
                <c:pt idx="34">
                  <c:v>45530</c:v>
                </c:pt>
                <c:pt idx="35">
                  <c:v>45537</c:v>
                </c:pt>
                <c:pt idx="36">
                  <c:v>45544</c:v>
                </c:pt>
                <c:pt idx="37">
                  <c:v>45551</c:v>
                </c:pt>
                <c:pt idx="38">
                  <c:v>45558</c:v>
                </c:pt>
                <c:pt idx="39">
                  <c:v>45565</c:v>
                </c:pt>
                <c:pt idx="40">
                  <c:v>45572</c:v>
                </c:pt>
                <c:pt idx="41">
                  <c:v>45579</c:v>
                </c:pt>
                <c:pt idx="42">
                  <c:v>45586</c:v>
                </c:pt>
                <c:pt idx="43">
                  <c:v>45593</c:v>
                </c:pt>
                <c:pt idx="44">
                  <c:v>45600</c:v>
                </c:pt>
                <c:pt idx="45">
                  <c:v>45607</c:v>
                </c:pt>
                <c:pt idx="46">
                  <c:v>45614</c:v>
                </c:pt>
                <c:pt idx="47">
                  <c:v>45621</c:v>
                </c:pt>
                <c:pt idx="48">
                  <c:v>45628</c:v>
                </c:pt>
                <c:pt idx="49">
                  <c:v>45635</c:v>
                </c:pt>
                <c:pt idx="50">
                  <c:v>45642</c:v>
                </c:pt>
                <c:pt idx="51">
                  <c:v>45649</c:v>
                </c:pt>
                <c:pt idx="52">
                  <c:v>45656</c:v>
                </c:pt>
              </c:numCache>
            </c:numRef>
          </c:cat>
          <c:val>
            <c:numRef>
              <c:f>nafta!$E$944:$E$996</c:f>
              <c:numCache>
                <c:formatCode>#\ ##0.00000</c:formatCode>
                <c:ptCount val="53"/>
                <c:pt idx="0">
                  <c:v>1.4735100000000001</c:v>
                </c:pt>
                <c:pt idx="1">
                  <c:v>1.4785599999999999</c:v>
                </c:pt>
                <c:pt idx="2">
                  <c:v>1.4642300000000001</c:v>
                </c:pt>
                <c:pt idx="3">
                  <c:v>1.4754</c:v>
                </c:pt>
                <c:pt idx="4">
                  <c:v>1.4835100000000001</c:v>
                </c:pt>
                <c:pt idx="5">
                  <c:v>1.49152</c:v>
                </c:pt>
                <c:pt idx="6">
                  <c:v>1.4936400000000001</c:v>
                </c:pt>
                <c:pt idx="7">
                  <c:v>1.5146700000000002</c:v>
                </c:pt>
                <c:pt idx="8">
                  <c:v>1.5146700000000002</c:v>
                </c:pt>
                <c:pt idx="9">
                  <c:v>1.5264200000000001</c:v>
                </c:pt>
                <c:pt idx="10">
                  <c:v>1.52172</c:v>
                </c:pt>
                <c:pt idx="11">
                  <c:v>1.5259100000000001</c:v>
                </c:pt>
                <c:pt idx="12">
                  <c:v>1.5250900000000001</c:v>
                </c:pt>
                <c:pt idx="13">
                  <c:v>1.5273351214894291</c:v>
                </c:pt>
                <c:pt idx="14">
                  <c:v>1.5426915799432357</c:v>
                </c:pt>
                <c:pt idx="15">
                  <c:v>1.5509793081661665</c:v>
                </c:pt>
                <c:pt idx="16">
                  <c:v>1.5558456973293768</c:v>
                </c:pt>
                <c:pt idx="17">
                  <c:v>1.551459781529295</c:v>
                </c:pt>
                <c:pt idx="18">
                  <c:v>1.5412682536507303</c:v>
                </c:pt>
                <c:pt idx="19">
                  <c:v>1.5345655595463903</c:v>
                </c:pt>
                <c:pt idx="20">
                  <c:v>1.515799256505576</c:v>
                </c:pt>
                <c:pt idx="21">
                  <c:v>1.5070957829620346</c:v>
                </c:pt>
                <c:pt idx="22">
                  <c:v>1.4881896133311761</c:v>
                </c:pt>
                <c:pt idx="23">
                  <c:v>1.4639551875304433</c:v>
                </c:pt>
                <c:pt idx="24">
                  <c:v>1.4517186930644965</c:v>
                </c:pt>
                <c:pt idx="25">
                  <c:v>1.4724219660145421</c:v>
                </c:pt>
                <c:pt idx="26">
                  <c:v>1.4772436921111467</c:v>
                </c:pt>
                <c:pt idx="27">
                  <c:v>1.4836261028535094</c:v>
                </c:pt>
                <c:pt idx="28">
                  <c:v>1.4682558413972151</c:v>
                </c:pt>
                <c:pt idx="29">
                  <c:v>1.4701359438785622</c:v>
                </c:pt>
                <c:pt idx="30">
                  <c:v>1.4519727247644951</c:v>
                </c:pt>
                <c:pt idx="31">
                  <c:v>1.4474203997787787</c:v>
                </c:pt>
                <c:pt idx="32">
                  <c:v>1.4366113273492733</c:v>
                </c:pt>
                <c:pt idx="33">
                  <c:v>1.4287756641912552</c:v>
                </c:pt>
                <c:pt idx="34">
                  <c:v>1.4197091954941281</c:v>
                </c:pt>
                <c:pt idx="35">
                  <c:v>1.407226991415452</c:v>
                </c:pt>
                <c:pt idx="36">
                  <c:v>1.3816214921560019</c:v>
                </c:pt>
                <c:pt idx="37">
                  <c:v>1.3471028334925184</c:v>
                </c:pt>
                <c:pt idx="38">
                  <c:v>1.3440114750179297</c:v>
                </c:pt>
                <c:pt idx="39">
                  <c:v>1.3359275730622617</c:v>
                </c:pt>
                <c:pt idx="40">
                  <c:v>1.3314921486625111</c:v>
                </c:pt>
                <c:pt idx="41">
                  <c:v>1.3531251236986899</c:v>
                </c:pt>
                <c:pt idx="42">
                  <c:v>1.3646113661548203</c:v>
                </c:pt>
                <c:pt idx="43">
                  <c:v>1.3614880858450371</c:v>
                </c:pt>
                <c:pt idx="44">
                  <c:v>1.3608430876304967</c:v>
                </c:pt>
                <c:pt idx="45">
                  <c:v>1.3575910651564782</c:v>
                </c:pt>
                <c:pt idx="46">
                  <c:v>1.3307491495925956</c:v>
                </c:pt>
                <c:pt idx="47">
                  <c:v>1.38734927851354</c:v>
                </c:pt>
                <c:pt idx="48">
                  <c:v>1.3953534394047336</c:v>
                </c:pt>
                <c:pt idx="49">
                  <c:v>1.4032200215199457</c:v>
                </c:pt>
                <c:pt idx="50">
                  <c:v>1.3945917878255312</c:v>
                </c:pt>
                <c:pt idx="51">
                  <c:v>1.3925601750547043</c:v>
                </c:pt>
                <c:pt idx="52">
                  <c:v>1.3915801157535876</c:v>
                </c:pt>
              </c:numCache>
            </c:numRef>
          </c:val>
          <c:smooth val="0"/>
          <c:extLst>
            <c:ext xmlns:c16="http://schemas.microsoft.com/office/drawing/2014/chart" uri="{C3380CC4-5D6E-409C-BE32-E72D297353CC}">
              <c16:uniqueId val="{00000003-C416-43E7-A565-0A9D059D4B0A}"/>
            </c:ext>
          </c:extLst>
        </c:ser>
        <c:ser>
          <c:idx val="4"/>
          <c:order val="4"/>
          <c:tx>
            <c:strRef>
              <c:f>nafta!$F$2</c:f>
              <c:strCache>
                <c:ptCount val="1"/>
                <c:pt idx="0">
                  <c:v> Rakúsko </c:v>
                </c:pt>
              </c:strCache>
            </c:strRef>
          </c:tx>
          <c:spPr>
            <a:ln w="28575" cap="rnd">
              <a:solidFill>
                <a:srgbClr val="FFC000"/>
              </a:solidFill>
              <a:round/>
            </a:ln>
            <a:effectLst/>
          </c:spPr>
          <c:marker>
            <c:symbol val="none"/>
          </c:marker>
          <c:cat>
            <c:numRef>
              <c:f>nafta!$A$944:$A$996</c:f>
              <c:numCache>
                <c:formatCode>dd/mm/yy</c:formatCode>
                <c:ptCount val="53"/>
                <c:pt idx="0">
                  <c:v>45292</c:v>
                </c:pt>
                <c:pt idx="1">
                  <c:v>45299</c:v>
                </c:pt>
                <c:pt idx="2">
                  <c:v>45306</c:v>
                </c:pt>
                <c:pt idx="3">
                  <c:v>45313</c:v>
                </c:pt>
                <c:pt idx="4">
                  <c:v>45320</c:v>
                </c:pt>
                <c:pt idx="5">
                  <c:v>45327</c:v>
                </c:pt>
                <c:pt idx="6">
                  <c:v>45334</c:v>
                </c:pt>
                <c:pt idx="7">
                  <c:v>45341</c:v>
                </c:pt>
                <c:pt idx="8">
                  <c:v>45348</c:v>
                </c:pt>
                <c:pt idx="9">
                  <c:v>45355</c:v>
                </c:pt>
                <c:pt idx="10">
                  <c:v>45362</c:v>
                </c:pt>
                <c:pt idx="11">
                  <c:v>45369</c:v>
                </c:pt>
                <c:pt idx="12">
                  <c:v>45376</c:v>
                </c:pt>
                <c:pt idx="13">
                  <c:v>45383</c:v>
                </c:pt>
                <c:pt idx="14">
                  <c:v>45390</c:v>
                </c:pt>
                <c:pt idx="15">
                  <c:v>45397</c:v>
                </c:pt>
                <c:pt idx="16">
                  <c:v>45404</c:v>
                </c:pt>
                <c:pt idx="17">
                  <c:v>45411</c:v>
                </c:pt>
                <c:pt idx="18">
                  <c:v>45418</c:v>
                </c:pt>
                <c:pt idx="19">
                  <c:v>45425</c:v>
                </c:pt>
                <c:pt idx="20">
                  <c:v>45432</c:v>
                </c:pt>
                <c:pt idx="21">
                  <c:v>45439</c:v>
                </c:pt>
                <c:pt idx="22">
                  <c:v>45446</c:v>
                </c:pt>
                <c:pt idx="23">
                  <c:v>45453</c:v>
                </c:pt>
                <c:pt idx="24">
                  <c:v>45460</c:v>
                </c:pt>
                <c:pt idx="25">
                  <c:v>45467</c:v>
                </c:pt>
                <c:pt idx="26">
                  <c:v>45474</c:v>
                </c:pt>
                <c:pt idx="27">
                  <c:v>45481</c:v>
                </c:pt>
                <c:pt idx="28">
                  <c:v>45488</c:v>
                </c:pt>
                <c:pt idx="29">
                  <c:v>45495</c:v>
                </c:pt>
                <c:pt idx="30">
                  <c:v>45502</c:v>
                </c:pt>
                <c:pt idx="31">
                  <c:v>45509</c:v>
                </c:pt>
                <c:pt idx="32">
                  <c:v>45516</c:v>
                </c:pt>
                <c:pt idx="33">
                  <c:v>45523</c:v>
                </c:pt>
                <c:pt idx="34">
                  <c:v>45530</c:v>
                </c:pt>
                <c:pt idx="35">
                  <c:v>45537</c:v>
                </c:pt>
                <c:pt idx="36">
                  <c:v>45544</c:v>
                </c:pt>
                <c:pt idx="37">
                  <c:v>45551</c:v>
                </c:pt>
                <c:pt idx="38">
                  <c:v>45558</c:v>
                </c:pt>
                <c:pt idx="39">
                  <c:v>45565</c:v>
                </c:pt>
                <c:pt idx="40">
                  <c:v>45572</c:v>
                </c:pt>
                <c:pt idx="41">
                  <c:v>45579</c:v>
                </c:pt>
                <c:pt idx="42">
                  <c:v>45586</c:v>
                </c:pt>
                <c:pt idx="43">
                  <c:v>45593</c:v>
                </c:pt>
                <c:pt idx="44">
                  <c:v>45600</c:v>
                </c:pt>
                <c:pt idx="45">
                  <c:v>45607</c:v>
                </c:pt>
                <c:pt idx="46">
                  <c:v>45614</c:v>
                </c:pt>
                <c:pt idx="47">
                  <c:v>45621</c:v>
                </c:pt>
                <c:pt idx="48">
                  <c:v>45628</c:v>
                </c:pt>
                <c:pt idx="49">
                  <c:v>45635</c:v>
                </c:pt>
                <c:pt idx="50">
                  <c:v>45642</c:v>
                </c:pt>
                <c:pt idx="51">
                  <c:v>45649</c:v>
                </c:pt>
                <c:pt idx="52">
                  <c:v>45656</c:v>
                </c:pt>
              </c:numCache>
            </c:numRef>
          </c:cat>
          <c:val>
            <c:numRef>
              <c:f>nafta!$F$944:$F$996</c:f>
              <c:numCache>
                <c:formatCode>#\ ##0.000</c:formatCode>
                <c:ptCount val="53"/>
                <c:pt idx="0">
                  <c:v>1.5940000000000001</c:v>
                </c:pt>
                <c:pt idx="1">
                  <c:v>1.6360000000000001</c:v>
                </c:pt>
                <c:pt idx="2">
                  <c:v>1.6340000000000001</c:v>
                </c:pt>
                <c:pt idx="3">
                  <c:v>1.645</c:v>
                </c:pt>
                <c:pt idx="4">
                  <c:v>1.667</c:v>
                </c:pt>
                <c:pt idx="5">
                  <c:v>1.6859999999999999</c:v>
                </c:pt>
                <c:pt idx="6">
                  <c:v>1.704</c:v>
                </c:pt>
                <c:pt idx="7">
                  <c:v>1.7250000000000001</c:v>
                </c:pt>
                <c:pt idx="8">
                  <c:v>1.71</c:v>
                </c:pt>
                <c:pt idx="9">
                  <c:v>1.69</c:v>
                </c:pt>
                <c:pt idx="10">
                  <c:v>1.679</c:v>
                </c:pt>
                <c:pt idx="11">
                  <c:v>1.6719999999999999</c:v>
                </c:pt>
                <c:pt idx="12">
                  <c:v>1.681</c:v>
                </c:pt>
                <c:pt idx="13">
                  <c:v>1.679</c:v>
                </c:pt>
                <c:pt idx="14">
                  <c:v>1.696</c:v>
                </c:pt>
                <c:pt idx="15">
                  <c:v>1.69</c:v>
                </c:pt>
                <c:pt idx="16">
                  <c:v>1.6850000000000001</c:v>
                </c:pt>
                <c:pt idx="17">
                  <c:v>1.641</c:v>
                </c:pt>
                <c:pt idx="18">
                  <c:v>1.6220000000000001</c:v>
                </c:pt>
                <c:pt idx="19">
                  <c:v>1.61</c:v>
                </c:pt>
                <c:pt idx="20">
                  <c:v>1.597</c:v>
                </c:pt>
                <c:pt idx="21">
                  <c:v>1.599</c:v>
                </c:pt>
                <c:pt idx="22">
                  <c:v>1.589</c:v>
                </c:pt>
                <c:pt idx="23">
                  <c:v>1.5640000000000001</c:v>
                </c:pt>
                <c:pt idx="24">
                  <c:v>1.59</c:v>
                </c:pt>
                <c:pt idx="25">
                  <c:v>1.607</c:v>
                </c:pt>
                <c:pt idx="26">
                  <c:v>1.62</c:v>
                </c:pt>
                <c:pt idx="27">
                  <c:v>1.629</c:v>
                </c:pt>
                <c:pt idx="28">
                  <c:v>1.6260000000000001</c:v>
                </c:pt>
                <c:pt idx="29">
                  <c:v>1.6</c:v>
                </c:pt>
                <c:pt idx="30">
                  <c:v>1.599</c:v>
                </c:pt>
                <c:pt idx="31">
                  <c:v>1.59</c:v>
                </c:pt>
                <c:pt idx="32">
                  <c:v>1.5620000000000001</c:v>
                </c:pt>
                <c:pt idx="33">
                  <c:v>1.5580000000000001</c:v>
                </c:pt>
                <c:pt idx="34">
                  <c:v>1.5330000000000001</c:v>
                </c:pt>
                <c:pt idx="35">
                  <c:v>1.534</c:v>
                </c:pt>
                <c:pt idx="36">
                  <c:v>1.5130000000000001</c:v>
                </c:pt>
                <c:pt idx="37">
                  <c:v>1.51</c:v>
                </c:pt>
                <c:pt idx="38">
                  <c:v>1.488</c:v>
                </c:pt>
                <c:pt idx="39">
                  <c:v>1.4790000000000001</c:v>
                </c:pt>
                <c:pt idx="40">
                  <c:v>1.5130000000000001</c:v>
                </c:pt>
                <c:pt idx="41">
                  <c:v>1.5270000000000001</c:v>
                </c:pt>
                <c:pt idx="42">
                  <c:v>1.51</c:v>
                </c:pt>
                <c:pt idx="43">
                  <c:v>1.508</c:v>
                </c:pt>
                <c:pt idx="44">
                  <c:v>1.4990000000000001</c:v>
                </c:pt>
                <c:pt idx="45">
                  <c:v>1.522</c:v>
                </c:pt>
                <c:pt idx="46">
                  <c:v>1.542</c:v>
                </c:pt>
                <c:pt idx="47">
                  <c:v>1.5529999999999999</c:v>
                </c:pt>
                <c:pt idx="48">
                  <c:v>1.5449999999999999</c:v>
                </c:pt>
                <c:pt idx="49">
                  <c:v>1.5449999999999999</c:v>
                </c:pt>
                <c:pt idx="50">
                  <c:v>1.5409999999999999</c:v>
                </c:pt>
                <c:pt idx="51">
                  <c:v>1.5629999999999999</c:v>
                </c:pt>
                <c:pt idx="52">
                  <c:v>1.5529999999999999</c:v>
                </c:pt>
              </c:numCache>
            </c:numRef>
          </c:val>
          <c:smooth val="0"/>
          <c:extLst>
            <c:ext xmlns:c16="http://schemas.microsoft.com/office/drawing/2014/chart" uri="{C3380CC4-5D6E-409C-BE32-E72D297353CC}">
              <c16:uniqueId val="{00000004-C416-43E7-A565-0A9D059D4B0A}"/>
            </c:ext>
          </c:extLst>
        </c:ser>
        <c:dLbls>
          <c:showLegendKey val="0"/>
          <c:showVal val="0"/>
          <c:showCatName val="0"/>
          <c:showSerName val="0"/>
          <c:showPercent val="0"/>
          <c:showBubbleSize val="0"/>
        </c:dLbls>
        <c:smooth val="0"/>
        <c:axId val="1169209184"/>
        <c:axId val="1161700000"/>
      </c:lineChart>
      <c:dateAx>
        <c:axId val="1169209184"/>
        <c:scaling>
          <c:orientation val="minMax"/>
        </c:scaling>
        <c:delete val="0"/>
        <c:axPos val="b"/>
        <c:numFmt formatCode="m/yy" sourceLinked="0"/>
        <c:majorTickMark val="out"/>
        <c:minorTickMark val="none"/>
        <c:tickLblPos val="nextTo"/>
        <c:spPr>
          <a:noFill/>
          <a:ln w="9525" cap="flat" cmpd="sng" algn="ctr">
            <a:solidFill>
              <a:schemeClr val="tx1">
                <a:lumMod val="15000"/>
                <a:lumOff val="85000"/>
              </a:schemeClr>
            </a:solidFill>
            <a:round/>
          </a:ln>
          <a:effectLst/>
        </c:spPr>
        <c:txPr>
          <a:bodyPr rot="21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1161700000"/>
        <c:crosses val="autoZero"/>
        <c:auto val="1"/>
        <c:lblOffset val="100"/>
        <c:baseTimeUnit val="days"/>
        <c:majorUnit val="1"/>
        <c:majorTimeUnit val="months"/>
      </c:dateAx>
      <c:valAx>
        <c:axId val="1161700000"/>
        <c:scaling>
          <c:orientation val="minMax"/>
          <c:max val="1.7500000000000002"/>
          <c:min val="1.25"/>
        </c:scaling>
        <c:delete val="0"/>
        <c:axPos val="l"/>
        <c:majorGridlines>
          <c:spPr>
            <a:ln w="9525" cap="flat" cmpd="sng" algn="ctr">
              <a:solidFill>
                <a:schemeClr val="tx1">
                  <a:lumMod val="15000"/>
                  <a:lumOff val="85000"/>
                </a:schemeClr>
              </a:solidFill>
              <a:round/>
            </a:ln>
            <a:effectLst/>
          </c:spPr>
        </c:majorGridlines>
        <c:numFmt formatCode="#\ ##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11692091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gap"/>
    <c:showDLblsOverMax val="0"/>
  </c:chart>
  <c:spPr>
    <a:solidFill>
      <a:schemeClr val="bg1"/>
    </a:solidFill>
    <a:ln w="9525" cap="flat" cmpd="sng" algn="ctr">
      <a:noFill/>
      <a:round/>
    </a:ln>
    <a:effectLst/>
  </c:spPr>
  <c:txPr>
    <a:bodyPr/>
    <a:lstStyle/>
    <a:p>
      <a:pPr>
        <a:defRPr/>
      </a:pPr>
      <a:endParaRPr lang="sk-SK"/>
    </a:p>
  </c:txPr>
  <c:externalData r:id="rId4">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PHM!$C$29</c:f>
              <c:strCache>
                <c:ptCount val="1"/>
                <c:pt idx="0">
                  <c:v>CNG</c:v>
                </c:pt>
              </c:strCache>
            </c:strRef>
          </c:tx>
          <c:spPr>
            <a:ln w="28575" cap="rnd">
              <a:solidFill>
                <a:schemeClr val="accent4"/>
              </a:solidFill>
              <a:round/>
            </a:ln>
            <a:effectLst/>
          </c:spPr>
          <c:marker>
            <c:symbol val="none"/>
          </c:marker>
          <c:cat>
            <c:numRef>
              <c:f>PHM!$B$30:$B$41</c:f>
              <c:numCache>
                <c:formatCode>mmm\-yy</c:formatCode>
                <c:ptCount val="12"/>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numCache>
            </c:numRef>
          </c:cat>
          <c:val>
            <c:numRef>
              <c:f>PHM!$C$30:$C$41</c:f>
              <c:numCache>
                <c:formatCode>General</c:formatCode>
                <c:ptCount val="12"/>
                <c:pt idx="0">
                  <c:v>1.6140000000000001</c:v>
                </c:pt>
                <c:pt idx="1">
                  <c:v>1.601</c:v>
                </c:pt>
                <c:pt idx="2">
                  <c:v>1.6020000000000001</c:v>
                </c:pt>
                <c:pt idx="3">
                  <c:v>1.601</c:v>
                </c:pt>
                <c:pt idx="4">
                  <c:v>1.601</c:v>
                </c:pt>
                <c:pt idx="5">
                  <c:v>1.601</c:v>
                </c:pt>
                <c:pt idx="6">
                  <c:v>1.601</c:v>
                </c:pt>
                <c:pt idx="7">
                  <c:v>1.6020000000000001</c:v>
                </c:pt>
                <c:pt idx="8">
                  <c:v>1.577</c:v>
                </c:pt>
                <c:pt idx="9">
                  <c:v>1.5529999999999999</c:v>
                </c:pt>
                <c:pt idx="10">
                  <c:v>1.552</c:v>
                </c:pt>
                <c:pt idx="11">
                  <c:v>1.552</c:v>
                </c:pt>
              </c:numCache>
            </c:numRef>
          </c:val>
          <c:smooth val="0"/>
          <c:extLst>
            <c:ext xmlns:c16="http://schemas.microsoft.com/office/drawing/2014/chart" uri="{C3380CC4-5D6E-409C-BE32-E72D297353CC}">
              <c16:uniqueId val="{00000000-3935-4BB9-AEF1-2F341FA5A12C}"/>
            </c:ext>
          </c:extLst>
        </c:ser>
        <c:ser>
          <c:idx val="1"/>
          <c:order val="1"/>
          <c:tx>
            <c:strRef>
              <c:f>PHM!$D$29</c:f>
              <c:strCache>
                <c:ptCount val="1"/>
                <c:pt idx="0">
                  <c:v>LNG </c:v>
                </c:pt>
              </c:strCache>
            </c:strRef>
          </c:tx>
          <c:spPr>
            <a:ln w="28575" cap="rnd">
              <a:solidFill>
                <a:schemeClr val="accent2"/>
              </a:solidFill>
              <a:round/>
            </a:ln>
            <a:effectLst/>
          </c:spPr>
          <c:marker>
            <c:symbol val="none"/>
          </c:marker>
          <c:cat>
            <c:numRef>
              <c:f>PHM!$B$30:$B$41</c:f>
              <c:numCache>
                <c:formatCode>mmm\-yy</c:formatCode>
                <c:ptCount val="12"/>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numCache>
            </c:numRef>
          </c:cat>
          <c:val>
            <c:numRef>
              <c:f>PHM!$D$30:$D$41</c:f>
              <c:numCache>
                <c:formatCode>General</c:formatCode>
                <c:ptCount val="12"/>
                <c:pt idx="0">
                  <c:v>1.5569999999999999</c:v>
                </c:pt>
                <c:pt idx="1">
                  <c:v>1.526</c:v>
                </c:pt>
                <c:pt idx="2">
                  <c:v>1.4650000000000001</c:v>
                </c:pt>
                <c:pt idx="3">
                  <c:v>1.4790000000000001</c:v>
                </c:pt>
                <c:pt idx="4">
                  <c:v>1.5349999999999999</c:v>
                </c:pt>
                <c:pt idx="5">
                  <c:v>1.55</c:v>
                </c:pt>
                <c:pt idx="6">
                  <c:v>1.581</c:v>
                </c:pt>
                <c:pt idx="7">
                  <c:v>1.623</c:v>
                </c:pt>
                <c:pt idx="8">
                  <c:v>1.6879999999999999</c:v>
                </c:pt>
                <c:pt idx="9">
                  <c:v>1.6719999999999999</c:v>
                </c:pt>
                <c:pt idx="10">
                  <c:v>1.64</c:v>
                </c:pt>
                <c:pt idx="11">
                  <c:v>1.675</c:v>
                </c:pt>
              </c:numCache>
            </c:numRef>
          </c:val>
          <c:smooth val="0"/>
          <c:extLst>
            <c:ext xmlns:c16="http://schemas.microsoft.com/office/drawing/2014/chart" uri="{C3380CC4-5D6E-409C-BE32-E72D297353CC}">
              <c16:uniqueId val="{00000001-3935-4BB9-AEF1-2F341FA5A12C}"/>
            </c:ext>
          </c:extLst>
        </c:ser>
        <c:ser>
          <c:idx val="2"/>
          <c:order val="2"/>
          <c:tx>
            <c:strRef>
              <c:f>PHM!$E$29</c:f>
              <c:strCache>
                <c:ptCount val="1"/>
                <c:pt idx="0">
                  <c:v>bioLNG</c:v>
                </c:pt>
              </c:strCache>
            </c:strRef>
          </c:tx>
          <c:spPr>
            <a:ln w="28575" cap="rnd">
              <a:solidFill>
                <a:schemeClr val="accent6"/>
              </a:solidFill>
              <a:round/>
            </a:ln>
            <a:effectLst/>
          </c:spPr>
          <c:marker>
            <c:symbol val="none"/>
          </c:marker>
          <c:cat>
            <c:numRef>
              <c:f>PHM!$B$30:$B$41</c:f>
              <c:numCache>
                <c:formatCode>mmm\-yy</c:formatCode>
                <c:ptCount val="12"/>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numCache>
            </c:numRef>
          </c:cat>
          <c:val>
            <c:numRef>
              <c:f>PHM!$E$30:$E$41</c:f>
              <c:numCache>
                <c:formatCode>General</c:formatCode>
                <c:ptCount val="12"/>
                <c:pt idx="0">
                  <c:v>2.274</c:v>
                </c:pt>
                <c:pt idx="1">
                  <c:v>2.38</c:v>
                </c:pt>
                <c:pt idx="2">
                  <c:v>2.3929999999999998</c:v>
                </c:pt>
                <c:pt idx="3">
                  <c:v>2.1579999999999999</c:v>
                </c:pt>
                <c:pt idx="4">
                  <c:v>2.4350000000000001</c:v>
                </c:pt>
                <c:pt idx="5">
                  <c:v>2.452</c:v>
                </c:pt>
                <c:pt idx="6">
                  <c:v>2.58</c:v>
                </c:pt>
                <c:pt idx="7">
                  <c:v>2.3660000000000001</c:v>
                </c:pt>
                <c:pt idx="8">
                  <c:v>2.383</c:v>
                </c:pt>
                <c:pt idx="9">
                  <c:v>2.4140000000000001</c:v>
                </c:pt>
                <c:pt idx="10">
                  <c:v>2.3919999999999999</c:v>
                </c:pt>
                <c:pt idx="11">
                  <c:v>2.4540000000000002</c:v>
                </c:pt>
              </c:numCache>
            </c:numRef>
          </c:val>
          <c:smooth val="0"/>
          <c:extLst>
            <c:ext xmlns:c16="http://schemas.microsoft.com/office/drawing/2014/chart" uri="{C3380CC4-5D6E-409C-BE32-E72D297353CC}">
              <c16:uniqueId val="{00000002-3935-4BB9-AEF1-2F341FA5A12C}"/>
            </c:ext>
          </c:extLst>
        </c:ser>
        <c:dLbls>
          <c:showLegendKey val="0"/>
          <c:showVal val="0"/>
          <c:showCatName val="0"/>
          <c:showSerName val="0"/>
          <c:showPercent val="0"/>
          <c:showBubbleSize val="0"/>
        </c:dLbls>
        <c:smooth val="0"/>
        <c:axId val="366667087"/>
        <c:axId val="718168719"/>
      </c:lineChart>
      <c:dateAx>
        <c:axId val="366667087"/>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718168719"/>
        <c:crosses val="autoZero"/>
        <c:auto val="1"/>
        <c:lblOffset val="100"/>
        <c:baseTimeUnit val="months"/>
      </c:dateAx>
      <c:valAx>
        <c:axId val="718168719"/>
        <c:scaling>
          <c:orientation val="minMax"/>
          <c:min val="1.25"/>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36666708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sk-SK"/>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PHM!$C$2</c:f>
              <c:strCache>
                <c:ptCount val="1"/>
                <c:pt idx="0">
                  <c:v>AdBlue (eur/10l)</c:v>
                </c:pt>
              </c:strCache>
            </c:strRef>
          </c:tx>
          <c:spPr>
            <a:ln w="28575" cap="rnd">
              <a:solidFill>
                <a:schemeClr val="accent4"/>
              </a:solidFill>
              <a:round/>
            </a:ln>
            <a:effectLst/>
          </c:spPr>
          <c:marker>
            <c:symbol val="none"/>
          </c:marker>
          <c:cat>
            <c:numRef>
              <c:f>PHM!$B$3:$B$14</c:f>
              <c:numCache>
                <c:formatCode>mmm\-yy</c:formatCode>
                <c:ptCount val="12"/>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numCache>
            </c:numRef>
          </c:cat>
          <c:val>
            <c:numRef>
              <c:f>PHM!$C$3:$C$14</c:f>
              <c:numCache>
                <c:formatCode>General</c:formatCode>
                <c:ptCount val="12"/>
                <c:pt idx="0">
                  <c:v>35.287999999999997</c:v>
                </c:pt>
                <c:pt idx="1">
                  <c:v>35.298999999999999</c:v>
                </c:pt>
                <c:pt idx="2">
                  <c:v>35.174999999999997</c:v>
                </c:pt>
                <c:pt idx="3">
                  <c:v>34.371000000000002</c:v>
                </c:pt>
                <c:pt idx="4">
                  <c:v>34.393999999999998</c:v>
                </c:pt>
                <c:pt idx="5">
                  <c:v>34.360999999999997</c:v>
                </c:pt>
                <c:pt idx="6">
                  <c:v>34.481000000000002</c:v>
                </c:pt>
                <c:pt idx="7">
                  <c:v>34.256999999999998</c:v>
                </c:pt>
                <c:pt idx="8">
                  <c:v>33.51</c:v>
                </c:pt>
                <c:pt idx="9">
                  <c:v>32.908000000000001</c:v>
                </c:pt>
                <c:pt idx="10">
                  <c:v>32.973999999999997</c:v>
                </c:pt>
                <c:pt idx="11">
                  <c:v>32.973999999999997</c:v>
                </c:pt>
              </c:numCache>
            </c:numRef>
          </c:val>
          <c:smooth val="0"/>
          <c:extLst>
            <c:ext xmlns:c16="http://schemas.microsoft.com/office/drawing/2014/chart" uri="{C3380CC4-5D6E-409C-BE32-E72D297353CC}">
              <c16:uniqueId val="{00000000-5288-40CE-A578-23E38EF5C7C0}"/>
            </c:ext>
          </c:extLst>
        </c:ser>
        <c:ser>
          <c:idx val="1"/>
          <c:order val="1"/>
          <c:tx>
            <c:strRef>
              <c:f>PHM!$D$2</c:f>
              <c:strCache>
                <c:ptCount val="1"/>
                <c:pt idx="0">
                  <c:v>Vodík (eur/1kg)</c:v>
                </c:pt>
              </c:strCache>
            </c:strRef>
          </c:tx>
          <c:spPr>
            <a:ln w="28575" cap="rnd">
              <a:solidFill>
                <a:srgbClr val="00B0F0"/>
              </a:solidFill>
              <a:round/>
            </a:ln>
            <a:effectLst/>
          </c:spPr>
          <c:marker>
            <c:symbol val="none"/>
          </c:marker>
          <c:cat>
            <c:numRef>
              <c:f>PHM!$B$3:$B$14</c:f>
              <c:numCache>
                <c:formatCode>mmm\-yy</c:formatCode>
                <c:ptCount val="12"/>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numCache>
            </c:numRef>
          </c:cat>
          <c:val>
            <c:numRef>
              <c:f>PHM!$D$3:$D$14</c:f>
              <c:numCache>
                <c:formatCode>General</c:formatCode>
                <c:ptCount val="12"/>
                <c:pt idx="0">
                  <c:v>21.6</c:v>
                </c:pt>
                <c:pt idx="1">
                  <c:v>21.6</c:v>
                </c:pt>
                <c:pt idx="2">
                  <c:v>21.6</c:v>
                </c:pt>
                <c:pt idx="3">
                  <c:v>21.6</c:v>
                </c:pt>
                <c:pt idx="4">
                  <c:v>21.6</c:v>
                </c:pt>
                <c:pt idx="5">
                  <c:v>21.6</c:v>
                </c:pt>
                <c:pt idx="6">
                  <c:v>21.6</c:v>
                </c:pt>
                <c:pt idx="7">
                  <c:v>21.6</c:v>
                </c:pt>
                <c:pt idx="8">
                  <c:v>21.6</c:v>
                </c:pt>
                <c:pt idx="9">
                  <c:v>21.6</c:v>
                </c:pt>
                <c:pt idx="10">
                  <c:v>21.6</c:v>
                </c:pt>
                <c:pt idx="11">
                  <c:v>21.6</c:v>
                </c:pt>
              </c:numCache>
            </c:numRef>
          </c:val>
          <c:smooth val="0"/>
          <c:extLst>
            <c:ext xmlns:c16="http://schemas.microsoft.com/office/drawing/2014/chart" uri="{C3380CC4-5D6E-409C-BE32-E72D297353CC}">
              <c16:uniqueId val="{00000001-5288-40CE-A578-23E38EF5C7C0}"/>
            </c:ext>
          </c:extLst>
        </c:ser>
        <c:dLbls>
          <c:showLegendKey val="0"/>
          <c:showVal val="0"/>
          <c:showCatName val="0"/>
          <c:showSerName val="0"/>
          <c:showPercent val="0"/>
          <c:showBubbleSize val="0"/>
        </c:dLbls>
        <c:smooth val="0"/>
        <c:axId val="18668448"/>
        <c:axId val="18667488"/>
      </c:lineChart>
      <c:dateAx>
        <c:axId val="18668448"/>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18667488"/>
        <c:crosses val="autoZero"/>
        <c:auto val="1"/>
        <c:lblOffset val="100"/>
        <c:baseTimeUnit val="months"/>
      </c:dateAx>
      <c:valAx>
        <c:axId val="18667488"/>
        <c:scaling>
          <c:orientation val="minMax"/>
          <c:max val="36"/>
          <c:min val="2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186684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5469816272965877E-2"/>
          <c:y val="5.0925925925925923E-2"/>
          <c:w val="0.92511358918151088"/>
          <c:h val="0.65061052151089804"/>
        </c:manualLayout>
      </c:layout>
      <c:barChart>
        <c:barDir val="col"/>
        <c:grouping val="clustered"/>
        <c:varyColors val="0"/>
        <c:ser>
          <c:idx val="1"/>
          <c:order val="1"/>
          <c:tx>
            <c:v>medzimesačne</c:v>
          </c:tx>
          <c:spPr>
            <a:solidFill>
              <a:schemeClr val="accent1">
                <a:lumMod val="75000"/>
              </a:schemeClr>
            </a:solidFill>
            <a:ln>
              <a:solidFill>
                <a:schemeClr val="accent1">
                  <a:lumMod val="75000"/>
                </a:schemeClr>
              </a:solidFill>
            </a:ln>
            <a:effectLst/>
          </c:spPr>
          <c:invertIfNegative val="0"/>
          <c:cat>
            <c:numRef>
              <c:f>inflácia!$C$253:$BJ$253</c:f>
              <c:numCache>
                <c:formatCode>m/d/yyyy</c:formatCode>
                <c:ptCount val="60"/>
                <c:pt idx="0">
                  <c:v>43831</c:v>
                </c:pt>
                <c:pt idx="1">
                  <c:v>43862</c:v>
                </c:pt>
                <c:pt idx="2">
                  <c:v>43891</c:v>
                </c:pt>
                <c:pt idx="3">
                  <c:v>43922</c:v>
                </c:pt>
                <c:pt idx="4">
                  <c:v>43952</c:v>
                </c:pt>
                <c:pt idx="5">
                  <c:v>43983</c:v>
                </c:pt>
                <c:pt idx="6">
                  <c:v>44013</c:v>
                </c:pt>
                <c:pt idx="7">
                  <c:v>44044</c:v>
                </c:pt>
                <c:pt idx="8">
                  <c:v>44075</c:v>
                </c:pt>
                <c:pt idx="9">
                  <c:v>44105</c:v>
                </c:pt>
                <c:pt idx="10">
                  <c:v>44136</c:v>
                </c:pt>
                <c:pt idx="11">
                  <c:v>44166</c:v>
                </c:pt>
                <c:pt idx="12">
                  <c:v>44197</c:v>
                </c:pt>
                <c:pt idx="13">
                  <c:v>44228</c:v>
                </c:pt>
                <c:pt idx="14">
                  <c:v>44256</c:v>
                </c:pt>
                <c:pt idx="15">
                  <c:v>44287</c:v>
                </c:pt>
                <c:pt idx="16">
                  <c:v>44317</c:v>
                </c:pt>
                <c:pt idx="17">
                  <c:v>44348</c:v>
                </c:pt>
                <c:pt idx="18">
                  <c:v>44378</c:v>
                </c:pt>
                <c:pt idx="19">
                  <c:v>44409</c:v>
                </c:pt>
                <c:pt idx="20">
                  <c:v>44440</c:v>
                </c:pt>
                <c:pt idx="21">
                  <c:v>44470</c:v>
                </c:pt>
                <c:pt idx="22">
                  <c:v>44501</c:v>
                </c:pt>
                <c:pt idx="23">
                  <c:v>44531</c:v>
                </c:pt>
                <c:pt idx="24">
                  <c:v>44562</c:v>
                </c:pt>
                <c:pt idx="25">
                  <c:v>44593</c:v>
                </c:pt>
                <c:pt idx="26">
                  <c:v>44621</c:v>
                </c:pt>
                <c:pt idx="27">
                  <c:v>44652</c:v>
                </c:pt>
                <c:pt idx="28">
                  <c:v>44682</c:v>
                </c:pt>
                <c:pt idx="29">
                  <c:v>44713</c:v>
                </c:pt>
                <c:pt idx="30">
                  <c:v>44743</c:v>
                </c:pt>
                <c:pt idx="31">
                  <c:v>44774</c:v>
                </c:pt>
                <c:pt idx="32">
                  <c:v>44805</c:v>
                </c:pt>
                <c:pt idx="33">
                  <c:v>44835</c:v>
                </c:pt>
                <c:pt idx="34">
                  <c:v>44866</c:v>
                </c:pt>
                <c:pt idx="35">
                  <c:v>44896</c:v>
                </c:pt>
                <c:pt idx="36">
                  <c:v>44927</c:v>
                </c:pt>
                <c:pt idx="37">
                  <c:v>44958</c:v>
                </c:pt>
                <c:pt idx="38">
                  <c:v>44986</c:v>
                </c:pt>
                <c:pt idx="39">
                  <c:v>45017</c:v>
                </c:pt>
                <c:pt idx="40">
                  <c:v>45047</c:v>
                </c:pt>
                <c:pt idx="41">
                  <c:v>45078</c:v>
                </c:pt>
                <c:pt idx="42">
                  <c:v>45108</c:v>
                </c:pt>
                <c:pt idx="43">
                  <c:v>45139</c:v>
                </c:pt>
                <c:pt idx="44">
                  <c:v>45170</c:v>
                </c:pt>
                <c:pt idx="45">
                  <c:v>45200</c:v>
                </c:pt>
                <c:pt idx="46">
                  <c:v>45231</c:v>
                </c:pt>
                <c:pt idx="47">
                  <c:v>45261</c:v>
                </c:pt>
                <c:pt idx="48">
                  <c:v>45292</c:v>
                </c:pt>
                <c:pt idx="49">
                  <c:v>45323</c:v>
                </c:pt>
                <c:pt idx="50">
                  <c:v>45352</c:v>
                </c:pt>
                <c:pt idx="51">
                  <c:v>45383</c:v>
                </c:pt>
                <c:pt idx="52">
                  <c:v>45413</c:v>
                </c:pt>
                <c:pt idx="53">
                  <c:v>45444</c:v>
                </c:pt>
                <c:pt idx="54">
                  <c:v>45474</c:v>
                </c:pt>
                <c:pt idx="55">
                  <c:v>45505</c:v>
                </c:pt>
                <c:pt idx="56">
                  <c:v>45536</c:v>
                </c:pt>
                <c:pt idx="57">
                  <c:v>45566</c:v>
                </c:pt>
                <c:pt idx="58">
                  <c:v>45597</c:v>
                </c:pt>
                <c:pt idx="59">
                  <c:v>45627</c:v>
                </c:pt>
              </c:numCache>
            </c:numRef>
          </c:cat>
          <c:val>
            <c:numRef>
              <c:f>inflácia!$C$255:$BJ$255</c:f>
              <c:numCache>
                <c:formatCode>General</c:formatCode>
                <c:ptCount val="60"/>
                <c:pt idx="0">
                  <c:v>1.2999999999999972</c:v>
                </c:pt>
                <c:pt idx="1">
                  <c:v>9.9999999999994316E-2</c:v>
                </c:pt>
                <c:pt idx="2">
                  <c:v>-0.5</c:v>
                </c:pt>
                <c:pt idx="3">
                  <c:v>-0.40000000000000568</c:v>
                </c:pt>
                <c:pt idx="4">
                  <c:v>1.0999999999999943</c:v>
                </c:pt>
                <c:pt idx="5">
                  <c:v>-0.20000000000000284</c:v>
                </c:pt>
                <c:pt idx="6">
                  <c:v>0.20000000000000284</c:v>
                </c:pt>
                <c:pt idx="7">
                  <c:v>0.59999999999999432</c:v>
                </c:pt>
                <c:pt idx="8">
                  <c:v>0</c:v>
                </c:pt>
                <c:pt idx="9">
                  <c:v>2.5999999999999943</c:v>
                </c:pt>
                <c:pt idx="10">
                  <c:v>1.7000000000000028</c:v>
                </c:pt>
                <c:pt idx="11">
                  <c:v>2.0999999999999943</c:v>
                </c:pt>
                <c:pt idx="12">
                  <c:v>0.29999999999999716</c:v>
                </c:pt>
                <c:pt idx="13">
                  <c:v>0.40000000000000568</c:v>
                </c:pt>
                <c:pt idx="14">
                  <c:v>0</c:v>
                </c:pt>
                <c:pt idx="15">
                  <c:v>-0.70000000000000284</c:v>
                </c:pt>
                <c:pt idx="16">
                  <c:v>-1.0999999999999943</c:v>
                </c:pt>
                <c:pt idx="17">
                  <c:v>0</c:v>
                </c:pt>
                <c:pt idx="18">
                  <c:v>0.20000000000000284</c:v>
                </c:pt>
                <c:pt idx="19">
                  <c:v>0.79999999999999716</c:v>
                </c:pt>
                <c:pt idx="20">
                  <c:v>0</c:v>
                </c:pt>
                <c:pt idx="21">
                  <c:v>2.9000000000000057</c:v>
                </c:pt>
                <c:pt idx="22">
                  <c:v>1.5999999999999943</c:v>
                </c:pt>
                <c:pt idx="23">
                  <c:v>1.7999999999999972</c:v>
                </c:pt>
                <c:pt idx="24">
                  <c:v>2.5999999999999943</c:v>
                </c:pt>
                <c:pt idx="25">
                  <c:v>3.7999999999999972</c:v>
                </c:pt>
                <c:pt idx="26">
                  <c:v>2.4000000000000057</c:v>
                </c:pt>
                <c:pt idx="27">
                  <c:v>1.4000000000000057</c:v>
                </c:pt>
                <c:pt idx="28">
                  <c:v>1.4000000000000057</c:v>
                </c:pt>
                <c:pt idx="29">
                  <c:v>2.0999999999999943</c:v>
                </c:pt>
                <c:pt idx="30">
                  <c:v>2.5</c:v>
                </c:pt>
                <c:pt idx="31">
                  <c:v>2</c:v>
                </c:pt>
                <c:pt idx="32">
                  <c:v>1.2000000000000028</c:v>
                </c:pt>
                <c:pt idx="33">
                  <c:v>0.90000000000000568</c:v>
                </c:pt>
                <c:pt idx="34">
                  <c:v>0.40000000000000568</c:v>
                </c:pt>
                <c:pt idx="35">
                  <c:v>-0.20000000000000284</c:v>
                </c:pt>
                <c:pt idx="36">
                  <c:v>0.59999999999999432</c:v>
                </c:pt>
                <c:pt idx="37">
                  <c:v>1.7999999999999972</c:v>
                </c:pt>
                <c:pt idx="38">
                  <c:v>0.5</c:v>
                </c:pt>
                <c:pt idx="39">
                  <c:v>0.5</c:v>
                </c:pt>
                <c:pt idx="40">
                  <c:v>0</c:v>
                </c:pt>
                <c:pt idx="41">
                  <c:v>9.9999999999994316E-2</c:v>
                </c:pt>
                <c:pt idx="42">
                  <c:v>0.20000000000000284</c:v>
                </c:pt>
                <c:pt idx="43">
                  <c:v>0.5</c:v>
                </c:pt>
                <c:pt idx="44">
                  <c:v>1</c:v>
                </c:pt>
                <c:pt idx="45">
                  <c:v>2.0999999999999943</c:v>
                </c:pt>
                <c:pt idx="46">
                  <c:v>0.5</c:v>
                </c:pt>
                <c:pt idx="47">
                  <c:v>0.20000000000000284</c:v>
                </c:pt>
                <c:pt idx="48">
                  <c:v>0.79999999999999716</c:v>
                </c:pt>
                <c:pt idx="49">
                  <c:v>1.2999999999999972</c:v>
                </c:pt>
                <c:pt idx="50">
                  <c:v>-1.5999999999999943</c:v>
                </c:pt>
                <c:pt idx="51">
                  <c:v>-1</c:v>
                </c:pt>
                <c:pt idx="52">
                  <c:v>-1</c:v>
                </c:pt>
                <c:pt idx="53">
                  <c:v>-0.5</c:v>
                </c:pt>
                <c:pt idx="54">
                  <c:v>0.29999999999999716</c:v>
                </c:pt>
                <c:pt idx="55">
                  <c:v>0</c:v>
                </c:pt>
                <c:pt idx="56">
                  <c:v>-0.40000000000000568</c:v>
                </c:pt>
                <c:pt idx="57">
                  <c:v>2.2000000000000002</c:v>
                </c:pt>
                <c:pt idx="58">
                  <c:v>0.6</c:v>
                </c:pt>
                <c:pt idx="59">
                  <c:v>-2.4</c:v>
                </c:pt>
              </c:numCache>
            </c:numRef>
          </c:val>
          <c:extLst>
            <c:ext xmlns:c16="http://schemas.microsoft.com/office/drawing/2014/chart" uri="{C3380CC4-5D6E-409C-BE32-E72D297353CC}">
              <c16:uniqueId val="{00000000-8B47-41EF-97E9-A7F6EC9A5C49}"/>
            </c:ext>
          </c:extLst>
        </c:ser>
        <c:dLbls>
          <c:showLegendKey val="0"/>
          <c:showVal val="0"/>
          <c:showCatName val="0"/>
          <c:showSerName val="0"/>
          <c:showPercent val="0"/>
          <c:showBubbleSize val="0"/>
        </c:dLbls>
        <c:gapWidth val="252"/>
        <c:overlap val="9"/>
        <c:axId val="960750639"/>
        <c:axId val="960765519"/>
      </c:barChart>
      <c:lineChart>
        <c:grouping val="standard"/>
        <c:varyColors val="0"/>
        <c:ser>
          <c:idx val="0"/>
          <c:order val="0"/>
          <c:tx>
            <c:v>medziročne</c:v>
          </c:tx>
          <c:spPr>
            <a:ln w="28575" cap="rnd">
              <a:solidFill>
                <a:schemeClr val="tx1"/>
              </a:solidFill>
              <a:round/>
            </a:ln>
            <a:effectLst/>
          </c:spPr>
          <c:marker>
            <c:symbol val="none"/>
          </c:marker>
          <c:cat>
            <c:numRef>
              <c:f>inflácia!$C$253:$BJ$253</c:f>
              <c:numCache>
                <c:formatCode>m/d/yyyy</c:formatCode>
                <c:ptCount val="60"/>
                <c:pt idx="0">
                  <c:v>43831</c:v>
                </c:pt>
                <c:pt idx="1">
                  <c:v>43862</c:v>
                </c:pt>
                <c:pt idx="2">
                  <c:v>43891</c:v>
                </c:pt>
                <c:pt idx="3">
                  <c:v>43922</c:v>
                </c:pt>
                <c:pt idx="4">
                  <c:v>43952</c:v>
                </c:pt>
                <c:pt idx="5">
                  <c:v>43983</c:v>
                </c:pt>
                <c:pt idx="6">
                  <c:v>44013</c:v>
                </c:pt>
                <c:pt idx="7">
                  <c:v>44044</c:v>
                </c:pt>
                <c:pt idx="8">
                  <c:v>44075</c:v>
                </c:pt>
                <c:pt idx="9">
                  <c:v>44105</c:v>
                </c:pt>
                <c:pt idx="10">
                  <c:v>44136</c:v>
                </c:pt>
                <c:pt idx="11">
                  <c:v>44166</c:v>
                </c:pt>
                <c:pt idx="12">
                  <c:v>44197</c:v>
                </c:pt>
                <c:pt idx="13">
                  <c:v>44228</c:v>
                </c:pt>
                <c:pt idx="14">
                  <c:v>44256</c:v>
                </c:pt>
                <c:pt idx="15">
                  <c:v>44287</c:v>
                </c:pt>
                <c:pt idx="16">
                  <c:v>44317</c:v>
                </c:pt>
                <c:pt idx="17">
                  <c:v>44348</c:v>
                </c:pt>
                <c:pt idx="18">
                  <c:v>44378</c:v>
                </c:pt>
                <c:pt idx="19">
                  <c:v>44409</c:v>
                </c:pt>
                <c:pt idx="20">
                  <c:v>44440</c:v>
                </c:pt>
                <c:pt idx="21">
                  <c:v>44470</c:v>
                </c:pt>
                <c:pt idx="22">
                  <c:v>44501</c:v>
                </c:pt>
                <c:pt idx="23">
                  <c:v>44531</c:v>
                </c:pt>
                <c:pt idx="24">
                  <c:v>44562</c:v>
                </c:pt>
                <c:pt idx="25">
                  <c:v>44593</c:v>
                </c:pt>
                <c:pt idx="26">
                  <c:v>44621</c:v>
                </c:pt>
                <c:pt idx="27">
                  <c:v>44652</c:v>
                </c:pt>
                <c:pt idx="28">
                  <c:v>44682</c:v>
                </c:pt>
                <c:pt idx="29">
                  <c:v>44713</c:v>
                </c:pt>
                <c:pt idx="30">
                  <c:v>44743</c:v>
                </c:pt>
                <c:pt idx="31">
                  <c:v>44774</c:v>
                </c:pt>
                <c:pt idx="32">
                  <c:v>44805</c:v>
                </c:pt>
                <c:pt idx="33">
                  <c:v>44835</c:v>
                </c:pt>
                <c:pt idx="34">
                  <c:v>44866</c:v>
                </c:pt>
                <c:pt idx="35">
                  <c:v>44896</c:v>
                </c:pt>
                <c:pt idx="36">
                  <c:v>44927</c:v>
                </c:pt>
                <c:pt idx="37">
                  <c:v>44958</c:v>
                </c:pt>
                <c:pt idx="38">
                  <c:v>44986</c:v>
                </c:pt>
                <c:pt idx="39">
                  <c:v>45017</c:v>
                </c:pt>
                <c:pt idx="40">
                  <c:v>45047</c:v>
                </c:pt>
                <c:pt idx="41">
                  <c:v>45078</c:v>
                </c:pt>
                <c:pt idx="42">
                  <c:v>45108</c:v>
                </c:pt>
                <c:pt idx="43">
                  <c:v>45139</c:v>
                </c:pt>
                <c:pt idx="44">
                  <c:v>45170</c:v>
                </c:pt>
                <c:pt idx="45">
                  <c:v>45200</c:v>
                </c:pt>
                <c:pt idx="46">
                  <c:v>45231</c:v>
                </c:pt>
                <c:pt idx="47">
                  <c:v>45261</c:v>
                </c:pt>
                <c:pt idx="48">
                  <c:v>45292</c:v>
                </c:pt>
                <c:pt idx="49">
                  <c:v>45323</c:v>
                </c:pt>
                <c:pt idx="50">
                  <c:v>45352</c:v>
                </c:pt>
                <c:pt idx="51">
                  <c:v>45383</c:v>
                </c:pt>
                <c:pt idx="52">
                  <c:v>45413</c:v>
                </c:pt>
                <c:pt idx="53">
                  <c:v>45444</c:v>
                </c:pt>
                <c:pt idx="54">
                  <c:v>45474</c:v>
                </c:pt>
                <c:pt idx="55">
                  <c:v>45505</c:v>
                </c:pt>
                <c:pt idx="56">
                  <c:v>45536</c:v>
                </c:pt>
                <c:pt idx="57">
                  <c:v>45566</c:v>
                </c:pt>
                <c:pt idx="58">
                  <c:v>45597</c:v>
                </c:pt>
                <c:pt idx="59">
                  <c:v>45627</c:v>
                </c:pt>
              </c:numCache>
            </c:numRef>
          </c:cat>
          <c:val>
            <c:numRef>
              <c:f>inflácia!$C$254:$BJ$254</c:f>
              <c:numCache>
                <c:formatCode>General</c:formatCode>
                <c:ptCount val="60"/>
                <c:pt idx="0">
                  <c:v>4.7999999999999972</c:v>
                </c:pt>
                <c:pt idx="1">
                  <c:v>5</c:v>
                </c:pt>
                <c:pt idx="2">
                  <c:v>4</c:v>
                </c:pt>
                <c:pt idx="3">
                  <c:v>4.9000000000000057</c:v>
                </c:pt>
                <c:pt idx="4">
                  <c:v>5.2000000000000028</c:v>
                </c:pt>
                <c:pt idx="5">
                  <c:v>3.0999999999999943</c:v>
                </c:pt>
                <c:pt idx="6">
                  <c:v>2.2000000000000028</c:v>
                </c:pt>
                <c:pt idx="7">
                  <c:v>1.2000000000000028</c:v>
                </c:pt>
                <c:pt idx="8">
                  <c:v>0.40000000000000568</c:v>
                </c:pt>
                <c:pt idx="9">
                  <c:v>1.2000000000000028</c:v>
                </c:pt>
                <c:pt idx="10">
                  <c:v>1</c:v>
                </c:pt>
                <c:pt idx="11">
                  <c:v>0.59999999999999432</c:v>
                </c:pt>
                <c:pt idx="12">
                  <c:v>-0.59999999999999432</c:v>
                </c:pt>
                <c:pt idx="13">
                  <c:v>-0.70000000000000284</c:v>
                </c:pt>
                <c:pt idx="14">
                  <c:v>-1.0999999999999943</c:v>
                </c:pt>
                <c:pt idx="15">
                  <c:v>-1.2999999999999972</c:v>
                </c:pt>
                <c:pt idx="16">
                  <c:v>-0.90000000000000568</c:v>
                </c:pt>
                <c:pt idx="17">
                  <c:v>1.2999999999999972</c:v>
                </c:pt>
                <c:pt idx="18">
                  <c:v>2.7999999999999972</c:v>
                </c:pt>
                <c:pt idx="19">
                  <c:v>3.7000000000000028</c:v>
                </c:pt>
                <c:pt idx="20">
                  <c:v>4.2999999999999972</c:v>
                </c:pt>
                <c:pt idx="21">
                  <c:v>4.2999999999999972</c:v>
                </c:pt>
                <c:pt idx="22">
                  <c:v>4.7999999999999972</c:v>
                </c:pt>
                <c:pt idx="23">
                  <c:v>6.2999999999999972</c:v>
                </c:pt>
                <c:pt idx="24">
                  <c:v>8.4000000000000057</c:v>
                </c:pt>
                <c:pt idx="25">
                  <c:v>9.7999999999999972</c:v>
                </c:pt>
                <c:pt idx="26">
                  <c:v>12</c:v>
                </c:pt>
                <c:pt idx="27">
                  <c:v>14.299999999999997</c:v>
                </c:pt>
                <c:pt idx="28">
                  <c:v>16.599999999999994</c:v>
                </c:pt>
                <c:pt idx="29">
                  <c:v>18.700000000000003</c:v>
                </c:pt>
                <c:pt idx="30">
                  <c:v>19.900000000000006</c:v>
                </c:pt>
                <c:pt idx="31">
                  <c:v>21.599999999999994</c:v>
                </c:pt>
                <c:pt idx="32">
                  <c:v>24.099999999999994</c:v>
                </c:pt>
                <c:pt idx="33">
                  <c:v>26.799999999999997</c:v>
                </c:pt>
                <c:pt idx="34">
                  <c:v>28.699999999999989</c:v>
                </c:pt>
                <c:pt idx="35">
                  <c:v>29</c:v>
                </c:pt>
                <c:pt idx="36">
                  <c:v>28.599999999999994</c:v>
                </c:pt>
                <c:pt idx="37">
                  <c:v>28.599999999999994</c:v>
                </c:pt>
                <c:pt idx="38">
                  <c:v>29</c:v>
                </c:pt>
                <c:pt idx="39">
                  <c:v>26.099999999999994</c:v>
                </c:pt>
                <c:pt idx="40">
                  <c:v>21.900000000000006</c:v>
                </c:pt>
                <c:pt idx="41">
                  <c:v>19</c:v>
                </c:pt>
                <c:pt idx="42">
                  <c:v>16.5</c:v>
                </c:pt>
                <c:pt idx="43">
                  <c:v>13.599999999999994</c:v>
                </c:pt>
                <c:pt idx="44">
                  <c:v>11.299999999999997</c:v>
                </c:pt>
                <c:pt idx="45">
                  <c:v>8.9000000000000057</c:v>
                </c:pt>
                <c:pt idx="46">
                  <c:v>7.5999999999999943</c:v>
                </c:pt>
                <c:pt idx="47">
                  <c:v>6.2999999999999972</c:v>
                </c:pt>
                <c:pt idx="48">
                  <c:v>4.9000000000000057</c:v>
                </c:pt>
                <c:pt idx="49">
                  <c:v>3.2999999999999972</c:v>
                </c:pt>
                <c:pt idx="50">
                  <c:v>0.59999999999999432</c:v>
                </c:pt>
                <c:pt idx="51">
                  <c:v>0</c:v>
                </c:pt>
                <c:pt idx="52">
                  <c:v>0.59999999999999432</c:v>
                </c:pt>
                <c:pt idx="53">
                  <c:v>0.5</c:v>
                </c:pt>
                <c:pt idx="54">
                  <c:v>1.4000000000000057</c:v>
                </c:pt>
                <c:pt idx="55">
                  <c:v>3.2000000000000028</c:v>
                </c:pt>
                <c:pt idx="56">
                  <c:v>3.2000000000000028</c:v>
                </c:pt>
                <c:pt idx="57">
                  <c:v>5.0999999999999996</c:v>
                </c:pt>
                <c:pt idx="58">
                  <c:v>4.9000000000000004</c:v>
                </c:pt>
                <c:pt idx="59">
                  <c:v>2.4</c:v>
                </c:pt>
              </c:numCache>
            </c:numRef>
          </c:val>
          <c:smooth val="0"/>
          <c:extLst>
            <c:ext xmlns:c16="http://schemas.microsoft.com/office/drawing/2014/chart" uri="{C3380CC4-5D6E-409C-BE32-E72D297353CC}">
              <c16:uniqueId val="{00000001-8B47-41EF-97E9-A7F6EC9A5C49}"/>
            </c:ext>
          </c:extLst>
        </c:ser>
        <c:dLbls>
          <c:showLegendKey val="0"/>
          <c:showVal val="0"/>
          <c:showCatName val="0"/>
          <c:showSerName val="0"/>
          <c:showPercent val="0"/>
          <c:showBubbleSize val="0"/>
        </c:dLbls>
        <c:marker val="1"/>
        <c:smooth val="0"/>
        <c:axId val="960750639"/>
        <c:axId val="960765519"/>
      </c:lineChart>
      <c:dateAx>
        <c:axId val="960750639"/>
        <c:scaling>
          <c:orientation val="minMax"/>
          <c:min val="43831"/>
        </c:scaling>
        <c:delete val="0"/>
        <c:axPos val="b"/>
        <c:numFmt formatCode="mm/yy" sourceLinked="0"/>
        <c:majorTickMark val="out"/>
        <c:minorTickMark val="none"/>
        <c:tickLblPos val="low"/>
        <c:spPr>
          <a:noFill/>
          <a:ln w="9525" cap="flat" cmpd="sng" algn="ctr">
            <a:solidFill>
              <a:schemeClr val="bg1">
                <a:lumMod val="85000"/>
              </a:schemeClr>
            </a:solidFill>
            <a:round/>
          </a:ln>
          <a:effectLst/>
        </c:spPr>
        <c:txPr>
          <a:bodyPr rot="-5400000" spcFirstLastPara="1" vertOverflow="ellipsis" wrap="square" anchor="ctr" anchorCtr="1"/>
          <a:lstStyle/>
          <a:p>
            <a:pPr>
              <a:defRPr sz="700" b="0" i="0" u="none" strike="noStrike" kern="1200" baseline="0">
                <a:solidFill>
                  <a:schemeClr val="tx1">
                    <a:lumMod val="65000"/>
                    <a:lumOff val="35000"/>
                  </a:schemeClr>
                </a:solidFill>
                <a:latin typeface="+mn-lt"/>
                <a:ea typeface="+mn-ea"/>
                <a:cs typeface="+mn-cs"/>
              </a:defRPr>
            </a:pPr>
            <a:endParaRPr lang="sk-SK"/>
          </a:p>
        </c:txPr>
        <c:crossAx val="960765519"/>
        <c:crosses val="autoZero"/>
        <c:auto val="1"/>
        <c:lblOffset val="100"/>
        <c:baseTimeUnit val="months"/>
        <c:majorUnit val="6"/>
        <c:majorTimeUnit val="months"/>
        <c:minorUnit val="4"/>
        <c:minorTimeUnit val="months"/>
      </c:dateAx>
      <c:valAx>
        <c:axId val="960765519"/>
        <c:scaling>
          <c:orientation val="minMax"/>
          <c:max val="30"/>
          <c:min val="-3"/>
        </c:scaling>
        <c:delete val="0"/>
        <c:axPos val="l"/>
        <c:majorGridlines>
          <c:spPr>
            <a:ln w="9525" cap="flat" cmpd="sng" algn="ctr">
              <a:solidFill>
                <a:schemeClr val="tx1">
                  <a:alpha val="2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960750639"/>
        <c:crosses val="autoZero"/>
        <c:crossBetween val="between"/>
      </c:valAx>
      <c:spPr>
        <a:noFill/>
        <a:ln>
          <a:noFill/>
        </a:ln>
        <a:effectLst/>
      </c:spPr>
    </c:plotArea>
    <c:legend>
      <c:legendPos val="b"/>
      <c:layout>
        <c:manualLayout>
          <c:xMode val="edge"/>
          <c:yMode val="edge"/>
          <c:x val="0.10016529495476892"/>
          <c:y val="0.92480543192970444"/>
          <c:w val="0.85318398688366337"/>
          <c:h val="7.056487504279355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sk-SK"/>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PHM!$G$2</c:f>
              <c:strCache>
                <c:ptCount val="1"/>
                <c:pt idx="0">
                  <c:v>Elektrická energia AC nabíjanie </c:v>
                </c:pt>
              </c:strCache>
            </c:strRef>
          </c:tx>
          <c:spPr>
            <a:ln w="28575" cap="rnd">
              <a:solidFill>
                <a:srgbClr val="7030A0"/>
              </a:solidFill>
              <a:round/>
            </a:ln>
            <a:effectLst/>
          </c:spPr>
          <c:marker>
            <c:symbol val="none"/>
          </c:marker>
          <c:cat>
            <c:numRef>
              <c:f>PHM!$F$3:$F$14</c:f>
              <c:numCache>
                <c:formatCode>mmm\-yy</c:formatCode>
                <c:ptCount val="12"/>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numCache>
            </c:numRef>
          </c:cat>
          <c:val>
            <c:numRef>
              <c:f>PHM!$G$3:$G$14</c:f>
              <c:numCache>
                <c:formatCode>General</c:formatCode>
                <c:ptCount val="12"/>
                <c:pt idx="0">
                  <c:v>0.41</c:v>
                </c:pt>
                <c:pt idx="1">
                  <c:v>0.41</c:v>
                </c:pt>
                <c:pt idx="2">
                  <c:v>0.41</c:v>
                </c:pt>
                <c:pt idx="3">
                  <c:v>0.41</c:v>
                </c:pt>
                <c:pt idx="4">
                  <c:v>0.41</c:v>
                </c:pt>
                <c:pt idx="5">
                  <c:v>0.41</c:v>
                </c:pt>
                <c:pt idx="6">
                  <c:v>0.41</c:v>
                </c:pt>
                <c:pt idx="7">
                  <c:v>0.41</c:v>
                </c:pt>
                <c:pt idx="8">
                  <c:v>0.41</c:v>
                </c:pt>
                <c:pt idx="9">
                  <c:v>0.41</c:v>
                </c:pt>
                <c:pt idx="10">
                  <c:v>0.41</c:v>
                </c:pt>
                <c:pt idx="11">
                  <c:v>0.41</c:v>
                </c:pt>
              </c:numCache>
            </c:numRef>
          </c:val>
          <c:smooth val="0"/>
          <c:extLst>
            <c:ext xmlns:c16="http://schemas.microsoft.com/office/drawing/2014/chart" uri="{C3380CC4-5D6E-409C-BE32-E72D297353CC}">
              <c16:uniqueId val="{00000000-0588-4898-8D5E-637E406AEFD2}"/>
            </c:ext>
          </c:extLst>
        </c:ser>
        <c:ser>
          <c:idx val="1"/>
          <c:order val="1"/>
          <c:tx>
            <c:strRef>
              <c:f>PHM!$H$2</c:f>
              <c:strCache>
                <c:ptCount val="1"/>
                <c:pt idx="0">
                  <c:v>Elektrická energia DC nabíjanie </c:v>
                </c:pt>
              </c:strCache>
            </c:strRef>
          </c:tx>
          <c:spPr>
            <a:ln w="28575" cap="rnd">
              <a:solidFill>
                <a:srgbClr val="00B050"/>
              </a:solidFill>
              <a:round/>
            </a:ln>
            <a:effectLst/>
          </c:spPr>
          <c:marker>
            <c:symbol val="none"/>
          </c:marker>
          <c:cat>
            <c:numRef>
              <c:f>PHM!$F$3:$F$14</c:f>
              <c:numCache>
                <c:formatCode>mmm\-yy</c:formatCode>
                <c:ptCount val="12"/>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numCache>
            </c:numRef>
          </c:cat>
          <c:val>
            <c:numRef>
              <c:f>PHM!$H$3:$H$14</c:f>
              <c:numCache>
                <c:formatCode>General</c:formatCode>
                <c:ptCount val="12"/>
                <c:pt idx="0">
                  <c:v>0.55000000000000004</c:v>
                </c:pt>
                <c:pt idx="1">
                  <c:v>0.55000000000000004</c:v>
                </c:pt>
                <c:pt idx="2">
                  <c:v>0.55000000000000004</c:v>
                </c:pt>
                <c:pt idx="3">
                  <c:v>0.55000000000000004</c:v>
                </c:pt>
                <c:pt idx="4">
                  <c:v>0.55000000000000004</c:v>
                </c:pt>
                <c:pt idx="5">
                  <c:v>0.55000000000000004</c:v>
                </c:pt>
                <c:pt idx="6">
                  <c:v>0.55000000000000004</c:v>
                </c:pt>
                <c:pt idx="7">
                  <c:v>0.55000000000000004</c:v>
                </c:pt>
                <c:pt idx="8">
                  <c:v>0.55000000000000004</c:v>
                </c:pt>
                <c:pt idx="9">
                  <c:v>0.55000000000000004</c:v>
                </c:pt>
                <c:pt idx="10">
                  <c:v>0.55000000000000004</c:v>
                </c:pt>
                <c:pt idx="11">
                  <c:v>0.55000000000000004</c:v>
                </c:pt>
              </c:numCache>
            </c:numRef>
          </c:val>
          <c:smooth val="0"/>
          <c:extLst>
            <c:ext xmlns:c16="http://schemas.microsoft.com/office/drawing/2014/chart" uri="{C3380CC4-5D6E-409C-BE32-E72D297353CC}">
              <c16:uniqueId val="{00000001-0588-4898-8D5E-637E406AEFD2}"/>
            </c:ext>
          </c:extLst>
        </c:ser>
        <c:ser>
          <c:idx val="2"/>
          <c:order val="2"/>
          <c:tx>
            <c:strRef>
              <c:f>PHM!$I$2</c:f>
              <c:strCache>
                <c:ptCount val="1"/>
                <c:pt idx="0">
                  <c:v>Elektrická energia ultra nabíjanie </c:v>
                </c:pt>
              </c:strCache>
            </c:strRef>
          </c:tx>
          <c:spPr>
            <a:ln w="28575" cap="rnd">
              <a:solidFill>
                <a:srgbClr val="FF0000"/>
              </a:solidFill>
              <a:round/>
            </a:ln>
            <a:effectLst/>
          </c:spPr>
          <c:marker>
            <c:symbol val="none"/>
          </c:marker>
          <c:cat>
            <c:numRef>
              <c:f>PHM!$F$3:$F$14</c:f>
              <c:numCache>
                <c:formatCode>mmm\-yy</c:formatCode>
                <c:ptCount val="12"/>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numCache>
            </c:numRef>
          </c:cat>
          <c:val>
            <c:numRef>
              <c:f>PHM!$I$3:$I$14</c:f>
              <c:numCache>
                <c:formatCode>General</c:formatCode>
                <c:ptCount val="12"/>
                <c:pt idx="0">
                  <c:v>0.69</c:v>
                </c:pt>
                <c:pt idx="1">
                  <c:v>0.69</c:v>
                </c:pt>
                <c:pt idx="2">
                  <c:v>0.69</c:v>
                </c:pt>
                <c:pt idx="3">
                  <c:v>0.69</c:v>
                </c:pt>
                <c:pt idx="4">
                  <c:v>0.69</c:v>
                </c:pt>
                <c:pt idx="5">
                  <c:v>0.69</c:v>
                </c:pt>
                <c:pt idx="6">
                  <c:v>0.69</c:v>
                </c:pt>
                <c:pt idx="7">
                  <c:v>0.69</c:v>
                </c:pt>
                <c:pt idx="8">
                  <c:v>0.69</c:v>
                </c:pt>
                <c:pt idx="9">
                  <c:v>0.69</c:v>
                </c:pt>
                <c:pt idx="10">
                  <c:v>0.69</c:v>
                </c:pt>
                <c:pt idx="11">
                  <c:v>0.69</c:v>
                </c:pt>
              </c:numCache>
            </c:numRef>
          </c:val>
          <c:smooth val="0"/>
          <c:extLst>
            <c:ext xmlns:c16="http://schemas.microsoft.com/office/drawing/2014/chart" uri="{C3380CC4-5D6E-409C-BE32-E72D297353CC}">
              <c16:uniqueId val="{00000002-0588-4898-8D5E-637E406AEFD2}"/>
            </c:ext>
          </c:extLst>
        </c:ser>
        <c:dLbls>
          <c:showLegendKey val="0"/>
          <c:showVal val="0"/>
          <c:showCatName val="0"/>
          <c:showSerName val="0"/>
          <c:showPercent val="0"/>
          <c:showBubbleSize val="0"/>
        </c:dLbls>
        <c:smooth val="0"/>
        <c:axId val="1079495679"/>
        <c:axId val="46835696"/>
      </c:lineChart>
      <c:dateAx>
        <c:axId val="1079495679"/>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46835696"/>
        <c:crosses val="autoZero"/>
        <c:auto val="1"/>
        <c:lblOffset val="100"/>
        <c:baseTimeUnit val="months"/>
      </c:dateAx>
      <c:valAx>
        <c:axId val="46835696"/>
        <c:scaling>
          <c:orientation val="minMax"/>
          <c:min val="0.35000000000000003"/>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1079495679"/>
        <c:crosses val="autoZero"/>
        <c:crossBetween val="between"/>
      </c:valAx>
      <c:spPr>
        <a:noFill/>
        <a:ln>
          <a:noFill/>
        </a:ln>
        <a:effectLst/>
      </c:spPr>
    </c:plotArea>
    <c:legend>
      <c:legendPos val="b"/>
      <c:layout>
        <c:manualLayout>
          <c:xMode val="edge"/>
          <c:yMode val="edge"/>
          <c:x val="7.1218374320806604E-2"/>
          <c:y val="0.81850421722195776"/>
          <c:w val="0.37142818633463359"/>
          <c:h val="0.153026031888362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sk-SK"/>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0"/>
          <c:tx>
            <c:strRef>
              <c:f>'Hárok2 (2)'!$C$54</c:f>
              <c:strCache>
                <c:ptCount val="1"/>
                <c:pt idx="0">
                  <c:v>ODEVY (03.1)</c:v>
                </c:pt>
              </c:strCache>
            </c:strRef>
          </c:tx>
          <c:spPr>
            <a:ln w="28575" cap="rnd">
              <a:solidFill>
                <a:schemeClr val="accent2"/>
              </a:solidFill>
              <a:round/>
            </a:ln>
            <a:effectLst/>
          </c:spPr>
          <c:marker>
            <c:symbol val="none"/>
          </c:marker>
          <c:cat>
            <c:strRef>
              <c:f>'Hárok2 (2)'!$A$67:$A$78</c:f>
              <c:strCache>
                <c:ptCount val="12"/>
                <c:pt idx="0">
                  <c:v>1/2024</c:v>
                </c:pt>
                <c:pt idx="1">
                  <c:v>2/2024</c:v>
                </c:pt>
                <c:pt idx="2">
                  <c:v>3/2024</c:v>
                </c:pt>
                <c:pt idx="3">
                  <c:v>4/2024</c:v>
                </c:pt>
                <c:pt idx="4">
                  <c:v>5/2024</c:v>
                </c:pt>
                <c:pt idx="5">
                  <c:v>6/2024</c:v>
                </c:pt>
                <c:pt idx="6">
                  <c:v>7/2024</c:v>
                </c:pt>
                <c:pt idx="7">
                  <c:v>8/2024</c:v>
                </c:pt>
                <c:pt idx="8">
                  <c:v>9/2024</c:v>
                </c:pt>
                <c:pt idx="9">
                  <c:v>10/2024</c:v>
                </c:pt>
                <c:pt idx="10">
                  <c:v>11/2024</c:v>
                </c:pt>
                <c:pt idx="11">
                  <c:v>12/2024</c:v>
                </c:pt>
              </c:strCache>
              <c:extLst/>
            </c:strRef>
          </c:cat>
          <c:val>
            <c:numRef>
              <c:f>'Hárok2 (2)'!$C$67:$C$78</c:f>
              <c:numCache>
                <c:formatCode>General</c:formatCode>
                <c:ptCount val="12"/>
                <c:pt idx="0">
                  <c:v>-1.2000000000000028</c:v>
                </c:pt>
                <c:pt idx="1">
                  <c:v>-0.20000000000000284</c:v>
                </c:pt>
                <c:pt idx="2">
                  <c:v>1.0999999999999943</c:v>
                </c:pt>
                <c:pt idx="3">
                  <c:v>0.5</c:v>
                </c:pt>
                <c:pt idx="4">
                  <c:v>0.40000000000000568</c:v>
                </c:pt>
                <c:pt idx="5">
                  <c:v>0</c:v>
                </c:pt>
                <c:pt idx="6">
                  <c:v>-0.70000000000000284</c:v>
                </c:pt>
                <c:pt idx="7">
                  <c:v>-9.9999999999994316E-2</c:v>
                </c:pt>
                <c:pt idx="8">
                  <c:v>0.79999999999999716</c:v>
                </c:pt>
                <c:pt idx="9">
                  <c:v>1.2999999999999972</c:v>
                </c:pt>
                <c:pt idx="10">
                  <c:v>0.70000000000000284</c:v>
                </c:pt>
                <c:pt idx="11">
                  <c:v>9.9999999999994316E-2</c:v>
                </c:pt>
              </c:numCache>
              <c:extLst/>
            </c:numRef>
          </c:val>
          <c:smooth val="0"/>
          <c:extLst>
            <c:ext xmlns:c16="http://schemas.microsoft.com/office/drawing/2014/chart" uri="{C3380CC4-5D6E-409C-BE32-E72D297353CC}">
              <c16:uniqueId val="{00000000-8820-42A7-A9CF-4425543E8C60}"/>
            </c:ext>
          </c:extLst>
        </c:ser>
        <c:ser>
          <c:idx val="6"/>
          <c:order val="1"/>
          <c:tx>
            <c:strRef>
              <c:f>'Hárok2 (2)'!$H$54</c:f>
              <c:strCache>
                <c:ptCount val="1"/>
                <c:pt idx="0">
                  <c:v>OBUV (03.2)</c:v>
                </c:pt>
              </c:strCache>
            </c:strRef>
          </c:tx>
          <c:spPr>
            <a:ln w="28575" cap="rnd">
              <a:solidFill>
                <a:schemeClr val="accent1">
                  <a:lumMod val="60000"/>
                </a:schemeClr>
              </a:solidFill>
              <a:round/>
            </a:ln>
            <a:effectLst/>
          </c:spPr>
          <c:marker>
            <c:symbol val="none"/>
          </c:marker>
          <c:cat>
            <c:strRef>
              <c:f>'Hárok2 (2)'!$A$67:$A$78</c:f>
              <c:strCache>
                <c:ptCount val="12"/>
                <c:pt idx="0">
                  <c:v>1/2024</c:v>
                </c:pt>
                <c:pt idx="1">
                  <c:v>2/2024</c:v>
                </c:pt>
                <c:pt idx="2">
                  <c:v>3/2024</c:v>
                </c:pt>
                <c:pt idx="3">
                  <c:v>4/2024</c:v>
                </c:pt>
                <c:pt idx="4">
                  <c:v>5/2024</c:v>
                </c:pt>
                <c:pt idx="5">
                  <c:v>6/2024</c:v>
                </c:pt>
                <c:pt idx="6">
                  <c:v>7/2024</c:v>
                </c:pt>
                <c:pt idx="7">
                  <c:v>8/2024</c:v>
                </c:pt>
                <c:pt idx="8">
                  <c:v>9/2024</c:v>
                </c:pt>
                <c:pt idx="9">
                  <c:v>10/2024</c:v>
                </c:pt>
                <c:pt idx="10">
                  <c:v>11/2024</c:v>
                </c:pt>
                <c:pt idx="11">
                  <c:v>12/2024</c:v>
                </c:pt>
              </c:strCache>
              <c:extLst/>
            </c:strRef>
          </c:cat>
          <c:val>
            <c:numRef>
              <c:f>'Hárok2 (2)'!$H$67:$H$78</c:f>
              <c:numCache>
                <c:formatCode>General</c:formatCode>
                <c:ptCount val="12"/>
                <c:pt idx="0">
                  <c:v>-1.4000000000000057</c:v>
                </c:pt>
                <c:pt idx="1">
                  <c:v>-1.4000000000000057</c:v>
                </c:pt>
                <c:pt idx="2">
                  <c:v>1.5999999999999943</c:v>
                </c:pt>
                <c:pt idx="3">
                  <c:v>0</c:v>
                </c:pt>
                <c:pt idx="4">
                  <c:v>1.7999999999999972</c:v>
                </c:pt>
                <c:pt idx="5">
                  <c:v>-9.9999999999994316E-2</c:v>
                </c:pt>
                <c:pt idx="6">
                  <c:v>-0.59999999999999432</c:v>
                </c:pt>
                <c:pt idx="7">
                  <c:v>-0.79999999999999716</c:v>
                </c:pt>
                <c:pt idx="8">
                  <c:v>0.70000000000000284</c:v>
                </c:pt>
                <c:pt idx="9">
                  <c:v>1.2999999999999972</c:v>
                </c:pt>
                <c:pt idx="10">
                  <c:v>0.5</c:v>
                </c:pt>
                <c:pt idx="11">
                  <c:v>-0.29999999999999716</c:v>
                </c:pt>
              </c:numCache>
              <c:extLst/>
            </c:numRef>
          </c:val>
          <c:smooth val="0"/>
          <c:extLst>
            <c:ext xmlns:c16="http://schemas.microsoft.com/office/drawing/2014/chart" uri="{C3380CC4-5D6E-409C-BE32-E72D297353CC}">
              <c16:uniqueId val="{00000001-8820-42A7-A9CF-4425543E8C60}"/>
            </c:ext>
          </c:extLst>
        </c:ser>
        <c:dLbls>
          <c:showLegendKey val="0"/>
          <c:showVal val="0"/>
          <c:showCatName val="0"/>
          <c:showSerName val="0"/>
          <c:showPercent val="0"/>
          <c:showBubbleSize val="0"/>
        </c:dLbls>
        <c:smooth val="0"/>
        <c:axId val="1805636879"/>
        <c:axId val="1805643599"/>
      </c:lineChart>
      <c:catAx>
        <c:axId val="1805636879"/>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1805643599"/>
        <c:crosses val="autoZero"/>
        <c:auto val="1"/>
        <c:lblAlgn val="ctr"/>
        <c:lblOffset val="100"/>
        <c:noMultiLvlLbl val="0"/>
      </c:catAx>
      <c:valAx>
        <c:axId val="1805643599"/>
        <c:scaling>
          <c:orientation val="minMax"/>
          <c:min val="-1.5"/>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1805636879"/>
        <c:crosses val="autoZero"/>
        <c:crossBetween val="between"/>
      </c:valAx>
      <c:spPr>
        <a:noFill/>
        <a:ln>
          <a:noFill/>
        </a:ln>
        <a:effectLst/>
      </c:spPr>
    </c:plotArea>
    <c:legend>
      <c:legendPos val="b"/>
      <c:layout>
        <c:manualLayout>
          <c:xMode val="edge"/>
          <c:yMode val="edge"/>
          <c:x val="6.1330163240036643E-2"/>
          <c:y val="0.91298928067616503"/>
          <c:w val="0.41402802225894308"/>
          <c:h val="6.418835340523476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sk-SK"/>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0585811316550169E-2"/>
          <c:y val="4.1841004184100417E-2"/>
          <c:w val="0.92430863122595808"/>
          <c:h val="0.48506632562903779"/>
        </c:manualLayout>
      </c:layout>
      <c:lineChart>
        <c:grouping val="standard"/>
        <c:varyColors val="0"/>
        <c:ser>
          <c:idx val="1"/>
          <c:order val="0"/>
          <c:tx>
            <c:strRef>
              <c:f>'Hárok2 (2)'!$C$81</c:f>
              <c:strCache>
                <c:ptCount val="1"/>
                <c:pt idx="0">
                  <c:v>SKUTOČNÉ NÁJOMNÉ ZA BÝVANIE (04.1)</c:v>
                </c:pt>
              </c:strCache>
            </c:strRef>
          </c:tx>
          <c:spPr>
            <a:ln w="28575" cap="rnd">
              <a:solidFill>
                <a:schemeClr val="accent2"/>
              </a:solidFill>
              <a:round/>
            </a:ln>
            <a:effectLst/>
          </c:spPr>
          <c:marker>
            <c:symbol val="none"/>
          </c:marker>
          <c:cat>
            <c:strRef>
              <c:f>'Hárok2 (2)'!$A$94:$A$105</c:f>
              <c:strCache>
                <c:ptCount val="12"/>
                <c:pt idx="0">
                  <c:v>1/2024</c:v>
                </c:pt>
                <c:pt idx="1">
                  <c:v>2/2024</c:v>
                </c:pt>
                <c:pt idx="2">
                  <c:v>3/2024</c:v>
                </c:pt>
                <c:pt idx="3">
                  <c:v>4/2024</c:v>
                </c:pt>
                <c:pt idx="4">
                  <c:v>5/2024</c:v>
                </c:pt>
                <c:pt idx="5">
                  <c:v>6/2024</c:v>
                </c:pt>
                <c:pt idx="6">
                  <c:v>7/2024</c:v>
                </c:pt>
                <c:pt idx="7">
                  <c:v>8/2024</c:v>
                </c:pt>
                <c:pt idx="8">
                  <c:v>9/2024</c:v>
                </c:pt>
                <c:pt idx="9">
                  <c:v>10/2024</c:v>
                </c:pt>
                <c:pt idx="10">
                  <c:v>11/2024</c:v>
                </c:pt>
                <c:pt idx="11">
                  <c:v>12/2024</c:v>
                </c:pt>
              </c:strCache>
            </c:strRef>
          </c:cat>
          <c:val>
            <c:numRef>
              <c:f>'Hárok2 (2)'!$C$94:$C$105</c:f>
              <c:numCache>
                <c:formatCode>General</c:formatCode>
                <c:ptCount val="12"/>
                <c:pt idx="0">
                  <c:v>0.70000000000000284</c:v>
                </c:pt>
                <c:pt idx="1">
                  <c:v>0.90000000000000568</c:v>
                </c:pt>
                <c:pt idx="2">
                  <c:v>0.5</c:v>
                </c:pt>
                <c:pt idx="3">
                  <c:v>2</c:v>
                </c:pt>
                <c:pt idx="4">
                  <c:v>-0.90000000000000568</c:v>
                </c:pt>
                <c:pt idx="5">
                  <c:v>1.7999999999999972</c:v>
                </c:pt>
                <c:pt idx="6">
                  <c:v>0.70000000000000284</c:v>
                </c:pt>
                <c:pt idx="7">
                  <c:v>-9.9999999999994316E-2</c:v>
                </c:pt>
                <c:pt idx="8">
                  <c:v>2.5999999999999943</c:v>
                </c:pt>
                <c:pt idx="9">
                  <c:v>-0.40000000000000568</c:v>
                </c:pt>
                <c:pt idx="10">
                  <c:v>-0.29999999999999716</c:v>
                </c:pt>
                <c:pt idx="11">
                  <c:v>-0.40000000000000568</c:v>
                </c:pt>
              </c:numCache>
            </c:numRef>
          </c:val>
          <c:smooth val="0"/>
          <c:extLst>
            <c:ext xmlns:c16="http://schemas.microsoft.com/office/drawing/2014/chart" uri="{C3380CC4-5D6E-409C-BE32-E72D297353CC}">
              <c16:uniqueId val="{00000000-C61B-4387-B34C-CA4043D95517}"/>
            </c:ext>
          </c:extLst>
        </c:ser>
        <c:ser>
          <c:idx val="3"/>
          <c:order val="1"/>
          <c:tx>
            <c:strRef>
              <c:f>'Hárok2 (2)'!$E$81</c:f>
              <c:strCache>
                <c:ptCount val="1"/>
                <c:pt idx="0">
                  <c:v>IMPUTOVANÉ NÁJOMNÉ ZA BÝVANIE (04.2)</c:v>
                </c:pt>
              </c:strCache>
            </c:strRef>
          </c:tx>
          <c:spPr>
            <a:ln w="28575" cap="rnd">
              <a:solidFill>
                <a:schemeClr val="accent4"/>
              </a:solidFill>
              <a:round/>
            </a:ln>
            <a:effectLst/>
          </c:spPr>
          <c:marker>
            <c:symbol val="none"/>
          </c:marker>
          <c:cat>
            <c:strRef>
              <c:f>'Hárok2 (2)'!$A$94:$A$105</c:f>
              <c:strCache>
                <c:ptCount val="12"/>
                <c:pt idx="0">
                  <c:v>1/2024</c:v>
                </c:pt>
                <c:pt idx="1">
                  <c:v>2/2024</c:v>
                </c:pt>
                <c:pt idx="2">
                  <c:v>3/2024</c:v>
                </c:pt>
                <c:pt idx="3">
                  <c:v>4/2024</c:v>
                </c:pt>
                <c:pt idx="4">
                  <c:v>5/2024</c:v>
                </c:pt>
                <c:pt idx="5">
                  <c:v>6/2024</c:v>
                </c:pt>
                <c:pt idx="6">
                  <c:v>7/2024</c:v>
                </c:pt>
                <c:pt idx="7">
                  <c:v>8/2024</c:v>
                </c:pt>
                <c:pt idx="8">
                  <c:v>9/2024</c:v>
                </c:pt>
                <c:pt idx="9">
                  <c:v>10/2024</c:v>
                </c:pt>
                <c:pt idx="10">
                  <c:v>11/2024</c:v>
                </c:pt>
                <c:pt idx="11">
                  <c:v>12/2024</c:v>
                </c:pt>
              </c:strCache>
            </c:strRef>
          </c:cat>
          <c:val>
            <c:numRef>
              <c:f>'Hárok2 (2)'!$E$94:$E$105</c:f>
              <c:numCache>
                <c:formatCode>General</c:formatCode>
                <c:ptCount val="12"/>
                <c:pt idx="0">
                  <c:v>-0.20000000000000284</c:v>
                </c:pt>
                <c:pt idx="1">
                  <c:v>0</c:v>
                </c:pt>
                <c:pt idx="2">
                  <c:v>0.40000000000000568</c:v>
                </c:pt>
                <c:pt idx="3">
                  <c:v>-0.20000000000000284</c:v>
                </c:pt>
                <c:pt idx="4">
                  <c:v>-0.29999999999999716</c:v>
                </c:pt>
                <c:pt idx="5">
                  <c:v>-9.9999999999994316E-2</c:v>
                </c:pt>
                <c:pt idx="6">
                  <c:v>-9.9999999999994316E-2</c:v>
                </c:pt>
                <c:pt idx="7">
                  <c:v>-9.9999999999994316E-2</c:v>
                </c:pt>
                <c:pt idx="8">
                  <c:v>9.9999999999994316E-2</c:v>
                </c:pt>
                <c:pt idx="9">
                  <c:v>0</c:v>
                </c:pt>
                <c:pt idx="10">
                  <c:v>0.20000000000000284</c:v>
                </c:pt>
                <c:pt idx="11">
                  <c:v>0</c:v>
                </c:pt>
              </c:numCache>
            </c:numRef>
          </c:val>
          <c:smooth val="0"/>
          <c:extLst>
            <c:ext xmlns:c16="http://schemas.microsoft.com/office/drawing/2014/chart" uri="{C3380CC4-5D6E-409C-BE32-E72D297353CC}">
              <c16:uniqueId val="{00000001-C61B-4387-B34C-CA4043D95517}"/>
            </c:ext>
          </c:extLst>
        </c:ser>
        <c:ser>
          <c:idx val="5"/>
          <c:order val="2"/>
          <c:tx>
            <c:strRef>
              <c:f>'Hárok2 (2)'!$G$81</c:f>
              <c:strCache>
                <c:ptCount val="1"/>
                <c:pt idx="0">
                  <c:v>ÚDRŽBA A OPRAVA OBYDLIA (04.3)</c:v>
                </c:pt>
              </c:strCache>
            </c:strRef>
          </c:tx>
          <c:spPr>
            <a:ln w="28575" cap="rnd">
              <a:solidFill>
                <a:schemeClr val="accent6"/>
              </a:solidFill>
              <a:round/>
            </a:ln>
            <a:effectLst/>
          </c:spPr>
          <c:marker>
            <c:symbol val="none"/>
          </c:marker>
          <c:cat>
            <c:strRef>
              <c:f>'Hárok2 (2)'!$A$94:$A$105</c:f>
              <c:strCache>
                <c:ptCount val="12"/>
                <c:pt idx="0">
                  <c:v>1/2024</c:v>
                </c:pt>
                <c:pt idx="1">
                  <c:v>2/2024</c:v>
                </c:pt>
                <c:pt idx="2">
                  <c:v>3/2024</c:v>
                </c:pt>
                <c:pt idx="3">
                  <c:v>4/2024</c:v>
                </c:pt>
                <c:pt idx="4">
                  <c:v>5/2024</c:v>
                </c:pt>
                <c:pt idx="5">
                  <c:v>6/2024</c:v>
                </c:pt>
                <c:pt idx="6">
                  <c:v>7/2024</c:v>
                </c:pt>
                <c:pt idx="7">
                  <c:v>8/2024</c:v>
                </c:pt>
                <c:pt idx="8">
                  <c:v>9/2024</c:v>
                </c:pt>
                <c:pt idx="9">
                  <c:v>10/2024</c:v>
                </c:pt>
                <c:pt idx="10">
                  <c:v>11/2024</c:v>
                </c:pt>
                <c:pt idx="11">
                  <c:v>12/2024</c:v>
                </c:pt>
              </c:strCache>
            </c:strRef>
          </c:cat>
          <c:val>
            <c:numRef>
              <c:f>'Hárok2 (2)'!$G$94:$G$105</c:f>
              <c:numCache>
                <c:formatCode>General</c:formatCode>
                <c:ptCount val="12"/>
                <c:pt idx="0">
                  <c:v>0.70000000000000284</c:v>
                </c:pt>
                <c:pt idx="1">
                  <c:v>0.40000000000000568</c:v>
                </c:pt>
                <c:pt idx="2">
                  <c:v>9.9999999999994316E-2</c:v>
                </c:pt>
                <c:pt idx="3">
                  <c:v>0.20000000000000284</c:v>
                </c:pt>
                <c:pt idx="4">
                  <c:v>9.9999999999994316E-2</c:v>
                </c:pt>
                <c:pt idx="5">
                  <c:v>-0.29999999999999716</c:v>
                </c:pt>
                <c:pt idx="6">
                  <c:v>0.20000000000000284</c:v>
                </c:pt>
                <c:pt idx="7">
                  <c:v>0</c:v>
                </c:pt>
                <c:pt idx="8">
                  <c:v>0.5</c:v>
                </c:pt>
                <c:pt idx="9">
                  <c:v>0.29999999999999716</c:v>
                </c:pt>
                <c:pt idx="10">
                  <c:v>0</c:v>
                </c:pt>
                <c:pt idx="11">
                  <c:v>0.20000000000000284</c:v>
                </c:pt>
              </c:numCache>
            </c:numRef>
          </c:val>
          <c:smooth val="0"/>
          <c:extLst>
            <c:ext xmlns:c16="http://schemas.microsoft.com/office/drawing/2014/chart" uri="{C3380CC4-5D6E-409C-BE32-E72D297353CC}">
              <c16:uniqueId val="{00000002-C61B-4387-B34C-CA4043D95517}"/>
            </c:ext>
          </c:extLst>
        </c:ser>
        <c:ser>
          <c:idx val="8"/>
          <c:order val="3"/>
          <c:tx>
            <c:strRef>
              <c:f>'Hárok2 (2)'!$J$81</c:f>
              <c:strCache>
                <c:ptCount val="1"/>
                <c:pt idx="0">
                  <c:v>DODÁVKA VODY A RÔZNE SLUŽBY TÝKAJÚCE SA OBYDLIA (04.4)</c:v>
                </c:pt>
              </c:strCache>
            </c:strRef>
          </c:tx>
          <c:spPr>
            <a:ln w="28575" cap="rnd">
              <a:solidFill>
                <a:schemeClr val="accent3">
                  <a:lumMod val="60000"/>
                </a:schemeClr>
              </a:solidFill>
              <a:round/>
            </a:ln>
            <a:effectLst/>
          </c:spPr>
          <c:marker>
            <c:symbol val="none"/>
          </c:marker>
          <c:cat>
            <c:strRef>
              <c:f>'Hárok2 (2)'!$A$94:$A$105</c:f>
              <c:strCache>
                <c:ptCount val="12"/>
                <c:pt idx="0">
                  <c:v>1/2024</c:v>
                </c:pt>
                <c:pt idx="1">
                  <c:v>2/2024</c:v>
                </c:pt>
                <c:pt idx="2">
                  <c:v>3/2024</c:v>
                </c:pt>
                <c:pt idx="3">
                  <c:v>4/2024</c:v>
                </c:pt>
                <c:pt idx="4">
                  <c:v>5/2024</c:v>
                </c:pt>
                <c:pt idx="5">
                  <c:v>6/2024</c:v>
                </c:pt>
                <c:pt idx="6">
                  <c:v>7/2024</c:v>
                </c:pt>
                <c:pt idx="7">
                  <c:v>8/2024</c:v>
                </c:pt>
                <c:pt idx="8">
                  <c:v>9/2024</c:v>
                </c:pt>
                <c:pt idx="9">
                  <c:v>10/2024</c:v>
                </c:pt>
                <c:pt idx="10">
                  <c:v>11/2024</c:v>
                </c:pt>
                <c:pt idx="11">
                  <c:v>12/2024</c:v>
                </c:pt>
              </c:strCache>
            </c:strRef>
          </c:cat>
          <c:val>
            <c:numRef>
              <c:f>'Hárok2 (2)'!$J$94:$J$105</c:f>
              <c:numCache>
                <c:formatCode>General</c:formatCode>
                <c:ptCount val="12"/>
                <c:pt idx="0">
                  <c:v>2.2000000000000028</c:v>
                </c:pt>
                <c:pt idx="1">
                  <c:v>0.59999999999999432</c:v>
                </c:pt>
                <c:pt idx="2">
                  <c:v>0.90000000000000568</c:v>
                </c:pt>
                <c:pt idx="3">
                  <c:v>0.20000000000000284</c:v>
                </c:pt>
                <c:pt idx="4">
                  <c:v>0.5</c:v>
                </c:pt>
                <c:pt idx="5">
                  <c:v>0</c:v>
                </c:pt>
                <c:pt idx="6">
                  <c:v>0.5</c:v>
                </c:pt>
                <c:pt idx="7">
                  <c:v>0.79999999999999716</c:v>
                </c:pt>
                <c:pt idx="8">
                  <c:v>0.20000000000000284</c:v>
                </c:pt>
                <c:pt idx="9">
                  <c:v>1.4000000000000057</c:v>
                </c:pt>
                <c:pt idx="10">
                  <c:v>0.20000000000000284</c:v>
                </c:pt>
                <c:pt idx="11">
                  <c:v>0.20000000000000284</c:v>
                </c:pt>
              </c:numCache>
            </c:numRef>
          </c:val>
          <c:smooth val="0"/>
          <c:extLst>
            <c:ext xmlns:c16="http://schemas.microsoft.com/office/drawing/2014/chart" uri="{C3380CC4-5D6E-409C-BE32-E72D297353CC}">
              <c16:uniqueId val="{00000003-C61B-4387-B34C-CA4043D95517}"/>
            </c:ext>
          </c:extLst>
        </c:ser>
        <c:ser>
          <c:idx val="13"/>
          <c:order val="4"/>
          <c:tx>
            <c:strRef>
              <c:f>'Hárok2 (2)'!$O$81</c:f>
              <c:strCache>
                <c:ptCount val="1"/>
                <c:pt idx="0">
                  <c:v>ELEKTRINA, PLYN A OSTATNÉ PALIVÁ (04.5)</c:v>
                </c:pt>
              </c:strCache>
            </c:strRef>
          </c:tx>
          <c:spPr>
            <a:ln w="28575" cap="rnd">
              <a:solidFill>
                <a:schemeClr val="accent2">
                  <a:lumMod val="80000"/>
                  <a:lumOff val="20000"/>
                </a:schemeClr>
              </a:solidFill>
              <a:round/>
            </a:ln>
            <a:effectLst/>
          </c:spPr>
          <c:marker>
            <c:symbol val="none"/>
          </c:marker>
          <c:cat>
            <c:strRef>
              <c:f>'Hárok2 (2)'!$A$94:$A$105</c:f>
              <c:strCache>
                <c:ptCount val="12"/>
                <c:pt idx="0">
                  <c:v>1/2024</c:v>
                </c:pt>
                <c:pt idx="1">
                  <c:v>2/2024</c:v>
                </c:pt>
                <c:pt idx="2">
                  <c:v>3/2024</c:v>
                </c:pt>
                <c:pt idx="3">
                  <c:v>4/2024</c:v>
                </c:pt>
                <c:pt idx="4">
                  <c:v>5/2024</c:v>
                </c:pt>
                <c:pt idx="5">
                  <c:v>6/2024</c:v>
                </c:pt>
                <c:pt idx="6">
                  <c:v>7/2024</c:v>
                </c:pt>
                <c:pt idx="7">
                  <c:v>8/2024</c:v>
                </c:pt>
                <c:pt idx="8">
                  <c:v>9/2024</c:v>
                </c:pt>
                <c:pt idx="9">
                  <c:v>10/2024</c:v>
                </c:pt>
                <c:pt idx="10">
                  <c:v>11/2024</c:v>
                </c:pt>
                <c:pt idx="11">
                  <c:v>12/2024</c:v>
                </c:pt>
              </c:strCache>
            </c:strRef>
          </c:cat>
          <c:val>
            <c:numRef>
              <c:f>'Hárok2 (2)'!$O$94:$O$105</c:f>
              <c:numCache>
                <c:formatCode>General</c:formatCode>
                <c:ptCount val="12"/>
                <c:pt idx="0">
                  <c:v>-0.70000000000000284</c:v>
                </c:pt>
                <c:pt idx="1">
                  <c:v>-9.9999999999994316E-2</c:v>
                </c:pt>
                <c:pt idx="2">
                  <c:v>0.59999999999999432</c:v>
                </c:pt>
                <c:pt idx="3">
                  <c:v>0</c:v>
                </c:pt>
                <c:pt idx="4">
                  <c:v>0</c:v>
                </c:pt>
                <c:pt idx="5">
                  <c:v>0</c:v>
                </c:pt>
                <c:pt idx="6">
                  <c:v>0</c:v>
                </c:pt>
                <c:pt idx="7">
                  <c:v>0</c:v>
                </c:pt>
                <c:pt idx="8">
                  <c:v>0</c:v>
                </c:pt>
                <c:pt idx="9">
                  <c:v>-9.9999999999994316E-2</c:v>
                </c:pt>
                <c:pt idx="10">
                  <c:v>0</c:v>
                </c:pt>
                <c:pt idx="11">
                  <c:v>0.20000000000000284</c:v>
                </c:pt>
              </c:numCache>
            </c:numRef>
          </c:val>
          <c:smooth val="0"/>
          <c:extLst>
            <c:ext xmlns:c16="http://schemas.microsoft.com/office/drawing/2014/chart" uri="{C3380CC4-5D6E-409C-BE32-E72D297353CC}">
              <c16:uniqueId val="{00000004-C61B-4387-B34C-CA4043D95517}"/>
            </c:ext>
          </c:extLst>
        </c:ser>
        <c:ser>
          <c:idx val="14"/>
          <c:order val="5"/>
          <c:tx>
            <c:strRef>
              <c:f>'Hárok2 (2)'!$P$81</c:f>
              <c:strCache>
                <c:ptCount val="1"/>
                <c:pt idx="0">
                  <c:v>Elektrina (04.5.1)</c:v>
                </c:pt>
              </c:strCache>
            </c:strRef>
          </c:tx>
          <c:spPr>
            <a:ln w="28575" cap="rnd">
              <a:solidFill>
                <a:schemeClr val="accent3">
                  <a:lumMod val="80000"/>
                  <a:lumOff val="20000"/>
                </a:schemeClr>
              </a:solidFill>
              <a:round/>
            </a:ln>
            <a:effectLst/>
          </c:spPr>
          <c:marker>
            <c:symbol val="none"/>
          </c:marker>
          <c:cat>
            <c:strRef>
              <c:f>'Hárok2 (2)'!$A$94:$A$105</c:f>
              <c:strCache>
                <c:ptCount val="12"/>
                <c:pt idx="0">
                  <c:v>1/2024</c:v>
                </c:pt>
                <c:pt idx="1">
                  <c:v>2/2024</c:v>
                </c:pt>
                <c:pt idx="2">
                  <c:v>3/2024</c:v>
                </c:pt>
                <c:pt idx="3">
                  <c:v>4/2024</c:v>
                </c:pt>
                <c:pt idx="4">
                  <c:v>5/2024</c:v>
                </c:pt>
                <c:pt idx="5">
                  <c:v>6/2024</c:v>
                </c:pt>
                <c:pt idx="6">
                  <c:v>7/2024</c:v>
                </c:pt>
                <c:pt idx="7">
                  <c:v>8/2024</c:v>
                </c:pt>
                <c:pt idx="8">
                  <c:v>9/2024</c:v>
                </c:pt>
                <c:pt idx="9">
                  <c:v>10/2024</c:v>
                </c:pt>
                <c:pt idx="10">
                  <c:v>11/2024</c:v>
                </c:pt>
                <c:pt idx="11">
                  <c:v>12/2024</c:v>
                </c:pt>
              </c:strCache>
            </c:strRef>
          </c:cat>
          <c:val>
            <c:numRef>
              <c:f>'Hárok2 (2)'!$P$94:$P$105</c:f>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smooth val="0"/>
          <c:extLst>
            <c:ext xmlns:c16="http://schemas.microsoft.com/office/drawing/2014/chart" uri="{C3380CC4-5D6E-409C-BE32-E72D297353CC}">
              <c16:uniqueId val="{00000005-C61B-4387-B34C-CA4043D95517}"/>
            </c:ext>
          </c:extLst>
        </c:ser>
        <c:ser>
          <c:idx val="15"/>
          <c:order val="6"/>
          <c:tx>
            <c:strRef>
              <c:f>'Hárok2 (2)'!$Q$81</c:f>
              <c:strCache>
                <c:ptCount val="1"/>
                <c:pt idx="0">
                  <c:v>Plyn (04.5.2)</c:v>
                </c:pt>
              </c:strCache>
            </c:strRef>
          </c:tx>
          <c:spPr>
            <a:ln w="28575" cap="rnd">
              <a:solidFill>
                <a:schemeClr val="accent4">
                  <a:lumMod val="80000"/>
                  <a:lumOff val="20000"/>
                </a:schemeClr>
              </a:solidFill>
              <a:round/>
            </a:ln>
            <a:effectLst/>
          </c:spPr>
          <c:marker>
            <c:symbol val="none"/>
          </c:marker>
          <c:cat>
            <c:strRef>
              <c:f>'Hárok2 (2)'!$A$94:$A$105</c:f>
              <c:strCache>
                <c:ptCount val="12"/>
                <c:pt idx="0">
                  <c:v>1/2024</c:v>
                </c:pt>
                <c:pt idx="1">
                  <c:v>2/2024</c:v>
                </c:pt>
                <c:pt idx="2">
                  <c:v>3/2024</c:v>
                </c:pt>
                <c:pt idx="3">
                  <c:v>4/2024</c:v>
                </c:pt>
                <c:pt idx="4">
                  <c:v>5/2024</c:v>
                </c:pt>
                <c:pt idx="5">
                  <c:v>6/2024</c:v>
                </c:pt>
                <c:pt idx="6">
                  <c:v>7/2024</c:v>
                </c:pt>
                <c:pt idx="7">
                  <c:v>8/2024</c:v>
                </c:pt>
                <c:pt idx="8">
                  <c:v>9/2024</c:v>
                </c:pt>
                <c:pt idx="9">
                  <c:v>10/2024</c:v>
                </c:pt>
                <c:pt idx="10">
                  <c:v>11/2024</c:v>
                </c:pt>
                <c:pt idx="11">
                  <c:v>12/2024</c:v>
                </c:pt>
              </c:strCache>
            </c:strRef>
          </c:cat>
          <c:val>
            <c:numRef>
              <c:f>'Hárok2 (2)'!$Q$94:$Q$105</c:f>
              <c:numCache>
                <c:formatCode>General</c:formatCode>
                <c:ptCount val="12"/>
                <c:pt idx="0">
                  <c:v>-9.9999999999994316E-2</c:v>
                </c:pt>
                <c:pt idx="1">
                  <c:v>0</c:v>
                </c:pt>
                <c:pt idx="2">
                  <c:v>0</c:v>
                </c:pt>
                <c:pt idx="3">
                  <c:v>0</c:v>
                </c:pt>
                <c:pt idx="4">
                  <c:v>0</c:v>
                </c:pt>
                <c:pt idx="5">
                  <c:v>0</c:v>
                </c:pt>
                <c:pt idx="6">
                  <c:v>0</c:v>
                </c:pt>
                <c:pt idx="7">
                  <c:v>0</c:v>
                </c:pt>
                <c:pt idx="8">
                  <c:v>0</c:v>
                </c:pt>
                <c:pt idx="9">
                  <c:v>0</c:v>
                </c:pt>
                <c:pt idx="10">
                  <c:v>0</c:v>
                </c:pt>
                <c:pt idx="11">
                  <c:v>0</c:v>
                </c:pt>
              </c:numCache>
            </c:numRef>
          </c:val>
          <c:smooth val="0"/>
          <c:extLst>
            <c:ext xmlns:c16="http://schemas.microsoft.com/office/drawing/2014/chart" uri="{C3380CC4-5D6E-409C-BE32-E72D297353CC}">
              <c16:uniqueId val="{00000006-C61B-4387-B34C-CA4043D95517}"/>
            </c:ext>
          </c:extLst>
        </c:ser>
        <c:ser>
          <c:idx val="16"/>
          <c:order val="7"/>
          <c:tx>
            <c:strRef>
              <c:f>'Hárok2 (2)'!$R$81</c:f>
              <c:strCache>
                <c:ptCount val="1"/>
                <c:pt idx="0">
                  <c:v>Pevné palivá (04.5.4)</c:v>
                </c:pt>
              </c:strCache>
            </c:strRef>
          </c:tx>
          <c:spPr>
            <a:ln w="28575" cap="rnd">
              <a:solidFill>
                <a:schemeClr val="accent5">
                  <a:lumMod val="80000"/>
                  <a:lumOff val="20000"/>
                </a:schemeClr>
              </a:solidFill>
              <a:round/>
            </a:ln>
            <a:effectLst/>
          </c:spPr>
          <c:marker>
            <c:symbol val="none"/>
          </c:marker>
          <c:cat>
            <c:strRef>
              <c:f>'Hárok2 (2)'!$A$94:$A$105</c:f>
              <c:strCache>
                <c:ptCount val="12"/>
                <c:pt idx="0">
                  <c:v>1/2024</c:v>
                </c:pt>
                <c:pt idx="1">
                  <c:v>2/2024</c:v>
                </c:pt>
                <c:pt idx="2">
                  <c:v>3/2024</c:v>
                </c:pt>
                <c:pt idx="3">
                  <c:v>4/2024</c:v>
                </c:pt>
                <c:pt idx="4">
                  <c:v>5/2024</c:v>
                </c:pt>
                <c:pt idx="5">
                  <c:v>6/2024</c:v>
                </c:pt>
                <c:pt idx="6">
                  <c:v>7/2024</c:v>
                </c:pt>
                <c:pt idx="7">
                  <c:v>8/2024</c:v>
                </c:pt>
                <c:pt idx="8">
                  <c:v>9/2024</c:v>
                </c:pt>
                <c:pt idx="9">
                  <c:v>10/2024</c:v>
                </c:pt>
                <c:pt idx="10">
                  <c:v>11/2024</c:v>
                </c:pt>
                <c:pt idx="11">
                  <c:v>12/2024</c:v>
                </c:pt>
              </c:strCache>
            </c:strRef>
          </c:cat>
          <c:val>
            <c:numRef>
              <c:f>'Hárok2 (2)'!$R$94:$R$105</c:f>
              <c:numCache>
                <c:formatCode>General</c:formatCode>
                <c:ptCount val="12"/>
                <c:pt idx="0">
                  <c:v>-0.5</c:v>
                </c:pt>
                <c:pt idx="1">
                  <c:v>-0.79999999999999716</c:v>
                </c:pt>
                <c:pt idx="2">
                  <c:v>-0.29999999999999716</c:v>
                </c:pt>
                <c:pt idx="3">
                  <c:v>-0.40000000000000568</c:v>
                </c:pt>
                <c:pt idx="4">
                  <c:v>-9.9999999999994316E-2</c:v>
                </c:pt>
                <c:pt idx="5">
                  <c:v>-9.9999999999994316E-2</c:v>
                </c:pt>
                <c:pt idx="6">
                  <c:v>-0.5</c:v>
                </c:pt>
                <c:pt idx="7">
                  <c:v>-0.29999999999999716</c:v>
                </c:pt>
                <c:pt idx="8">
                  <c:v>-0.29999999999999716</c:v>
                </c:pt>
                <c:pt idx="9">
                  <c:v>-0.59999999999999432</c:v>
                </c:pt>
                <c:pt idx="10">
                  <c:v>0</c:v>
                </c:pt>
                <c:pt idx="11">
                  <c:v>1.7999999999999972</c:v>
                </c:pt>
              </c:numCache>
            </c:numRef>
          </c:val>
          <c:smooth val="0"/>
          <c:extLst>
            <c:ext xmlns:c16="http://schemas.microsoft.com/office/drawing/2014/chart" uri="{C3380CC4-5D6E-409C-BE32-E72D297353CC}">
              <c16:uniqueId val="{00000007-C61B-4387-B34C-CA4043D95517}"/>
            </c:ext>
          </c:extLst>
        </c:ser>
        <c:ser>
          <c:idx val="17"/>
          <c:order val="8"/>
          <c:tx>
            <c:strRef>
              <c:f>'Hárok2 (2)'!$S$81</c:f>
              <c:strCache>
                <c:ptCount val="1"/>
                <c:pt idx="0">
                  <c:v>Tepelná energia (04.5.5)</c:v>
                </c:pt>
              </c:strCache>
            </c:strRef>
          </c:tx>
          <c:spPr>
            <a:ln w="28575" cap="rnd">
              <a:solidFill>
                <a:schemeClr val="accent6">
                  <a:lumMod val="80000"/>
                  <a:lumOff val="20000"/>
                </a:schemeClr>
              </a:solidFill>
              <a:round/>
            </a:ln>
            <a:effectLst/>
          </c:spPr>
          <c:marker>
            <c:symbol val="none"/>
          </c:marker>
          <c:cat>
            <c:strRef>
              <c:f>'Hárok2 (2)'!$A$94:$A$105</c:f>
              <c:strCache>
                <c:ptCount val="12"/>
                <c:pt idx="0">
                  <c:v>1/2024</c:v>
                </c:pt>
                <c:pt idx="1">
                  <c:v>2/2024</c:v>
                </c:pt>
                <c:pt idx="2">
                  <c:v>3/2024</c:v>
                </c:pt>
                <c:pt idx="3">
                  <c:v>4/2024</c:v>
                </c:pt>
                <c:pt idx="4">
                  <c:v>5/2024</c:v>
                </c:pt>
                <c:pt idx="5">
                  <c:v>6/2024</c:v>
                </c:pt>
                <c:pt idx="6">
                  <c:v>7/2024</c:v>
                </c:pt>
                <c:pt idx="7">
                  <c:v>8/2024</c:v>
                </c:pt>
                <c:pt idx="8">
                  <c:v>9/2024</c:v>
                </c:pt>
                <c:pt idx="9">
                  <c:v>10/2024</c:v>
                </c:pt>
                <c:pt idx="10">
                  <c:v>11/2024</c:v>
                </c:pt>
                <c:pt idx="11">
                  <c:v>12/2024</c:v>
                </c:pt>
              </c:strCache>
            </c:strRef>
          </c:cat>
          <c:val>
            <c:numRef>
              <c:f>'Hárok2 (2)'!$S$94:$S$105</c:f>
              <c:numCache>
                <c:formatCode>General</c:formatCode>
                <c:ptCount val="12"/>
                <c:pt idx="0">
                  <c:v>-2.2999999999999972</c:v>
                </c:pt>
                <c:pt idx="1">
                  <c:v>-0.20000000000000284</c:v>
                </c:pt>
                <c:pt idx="2">
                  <c:v>2.5</c:v>
                </c:pt>
                <c:pt idx="3">
                  <c:v>0</c:v>
                </c:pt>
                <c:pt idx="4">
                  <c:v>0</c:v>
                </c:pt>
                <c:pt idx="5">
                  <c:v>0.20000000000000284</c:v>
                </c:pt>
                <c:pt idx="6">
                  <c:v>9.9999999999994316E-2</c:v>
                </c:pt>
                <c:pt idx="7">
                  <c:v>9.9999999999994316E-2</c:v>
                </c:pt>
                <c:pt idx="8">
                  <c:v>0</c:v>
                </c:pt>
                <c:pt idx="9">
                  <c:v>0</c:v>
                </c:pt>
                <c:pt idx="10">
                  <c:v>0</c:v>
                </c:pt>
                <c:pt idx="11">
                  <c:v>0</c:v>
                </c:pt>
              </c:numCache>
            </c:numRef>
          </c:val>
          <c:smooth val="0"/>
          <c:extLst>
            <c:ext xmlns:c16="http://schemas.microsoft.com/office/drawing/2014/chart" uri="{C3380CC4-5D6E-409C-BE32-E72D297353CC}">
              <c16:uniqueId val="{00000008-C61B-4387-B34C-CA4043D95517}"/>
            </c:ext>
          </c:extLst>
        </c:ser>
        <c:dLbls>
          <c:showLegendKey val="0"/>
          <c:showVal val="0"/>
          <c:showCatName val="0"/>
          <c:showSerName val="0"/>
          <c:showPercent val="0"/>
          <c:showBubbleSize val="0"/>
        </c:dLbls>
        <c:smooth val="0"/>
        <c:axId val="1466179632"/>
        <c:axId val="1466190672"/>
      </c:lineChart>
      <c:catAx>
        <c:axId val="1466179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1466190672"/>
        <c:crossesAt val="-3.5"/>
        <c:auto val="1"/>
        <c:lblAlgn val="ctr"/>
        <c:lblOffset val="100"/>
        <c:noMultiLvlLbl val="0"/>
      </c:catAx>
      <c:valAx>
        <c:axId val="1466190672"/>
        <c:scaling>
          <c:orientation val="minMax"/>
          <c:max val="3"/>
          <c:min val="-3"/>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low"/>
        <c:spPr>
          <a:noFill/>
          <a:ln>
            <a:solidFill>
              <a:srgbClr val="7F7F7F"/>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1466179632"/>
        <c:crosses val="autoZero"/>
        <c:crossBetween val="between"/>
      </c:valAx>
      <c:spPr>
        <a:noFill/>
        <a:ln>
          <a:noFill/>
        </a:ln>
        <a:effectLst/>
      </c:spPr>
    </c:plotArea>
    <c:legend>
      <c:legendPos val="b"/>
      <c:layout>
        <c:manualLayout>
          <c:xMode val="edge"/>
          <c:yMode val="edge"/>
          <c:x val="1.2420073914435019E-2"/>
          <c:y val="0.62817813425661084"/>
          <c:w val="0.64247008494016999"/>
          <c:h val="0.3577618507081822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sk-SK"/>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0"/>
          <c:tx>
            <c:strRef>
              <c:f>'Hárok2 (2)'!$C$107</c:f>
              <c:strCache>
                <c:ptCount val="1"/>
                <c:pt idx="0">
                  <c:v>NÁBYTOK A BYTOVÉ ZARIADENIE, KOBERCE A INÉ PODLAHOVÉ KRYTINY (05.1)</c:v>
                </c:pt>
              </c:strCache>
            </c:strRef>
          </c:tx>
          <c:spPr>
            <a:ln w="28575" cap="rnd">
              <a:solidFill>
                <a:schemeClr val="accent2"/>
              </a:solidFill>
              <a:round/>
            </a:ln>
            <a:effectLst/>
          </c:spPr>
          <c:marker>
            <c:symbol val="none"/>
          </c:marker>
          <c:cat>
            <c:strRef>
              <c:f>'Hárok2 (2)'!$A$120:$A$131</c:f>
              <c:strCache>
                <c:ptCount val="12"/>
                <c:pt idx="0">
                  <c:v>1/2024</c:v>
                </c:pt>
                <c:pt idx="1">
                  <c:v>2/2024</c:v>
                </c:pt>
                <c:pt idx="2">
                  <c:v>3/2024</c:v>
                </c:pt>
                <c:pt idx="3">
                  <c:v>4/2024</c:v>
                </c:pt>
                <c:pt idx="4">
                  <c:v>5/2024</c:v>
                </c:pt>
                <c:pt idx="5">
                  <c:v>6/2024</c:v>
                </c:pt>
                <c:pt idx="6">
                  <c:v>7/2024</c:v>
                </c:pt>
                <c:pt idx="7">
                  <c:v>8/2024</c:v>
                </c:pt>
                <c:pt idx="8">
                  <c:v>9/2024</c:v>
                </c:pt>
                <c:pt idx="9">
                  <c:v>10/2024</c:v>
                </c:pt>
                <c:pt idx="10">
                  <c:v>11/2024</c:v>
                </c:pt>
                <c:pt idx="11">
                  <c:v>12/2024</c:v>
                </c:pt>
              </c:strCache>
            </c:strRef>
          </c:cat>
          <c:val>
            <c:numRef>
              <c:f>'Hárok2 (2)'!$C$120:$C$131</c:f>
              <c:numCache>
                <c:formatCode>General</c:formatCode>
                <c:ptCount val="12"/>
                <c:pt idx="0">
                  <c:v>0.59999999999999432</c:v>
                </c:pt>
                <c:pt idx="1">
                  <c:v>1</c:v>
                </c:pt>
                <c:pt idx="2">
                  <c:v>0.79999999999999716</c:v>
                </c:pt>
                <c:pt idx="3">
                  <c:v>-0.40000000000000568</c:v>
                </c:pt>
                <c:pt idx="4">
                  <c:v>-9.9999999999994316E-2</c:v>
                </c:pt>
                <c:pt idx="5">
                  <c:v>0.5</c:v>
                </c:pt>
                <c:pt idx="6">
                  <c:v>0</c:v>
                </c:pt>
                <c:pt idx="7">
                  <c:v>-0.5</c:v>
                </c:pt>
                <c:pt idx="8">
                  <c:v>0</c:v>
                </c:pt>
                <c:pt idx="9">
                  <c:v>-9.9999999999994316E-2</c:v>
                </c:pt>
                <c:pt idx="10">
                  <c:v>0.79999999999999716</c:v>
                </c:pt>
                <c:pt idx="11">
                  <c:v>-9.9999999999994316E-2</c:v>
                </c:pt>
              </c:numCache>
            </c:numRef>
          </c:val>
          <c:smooth val="0"/>
          <c:extLst>
            <c:ext xmlns:c16="http://schemas.microsoft.com/office/drawing/2014/chart" uri="{C3380CC4-5D6E-409C-BE32-E72D297353CC}">
              <c16:uniqueId val="{00000000-427B-4571-BAA8-B1573C0FE800}"/>
            </c:ext>
          </c:extLst>
        </c:ser>
        <c:ser>
          <c:idx val="4"/>
          <c:order val="1"/>
          <c:tx>
            <c:strRef>
              <c:f>'Hárok2 (2)'!$F$107</c:f>
              <c:strCache>
                <c:ptCount val="1"/>
                <c:pt idx="0">
                  <c:v>BYTOVÉ TEXTÍLIE (05.2)</c:v>
                </c:pt>
              </c:strCache>
            </c:strRef>
          </c:tx>
          <c:spPr>
            <a:ln w="28575" cap="rnd">
              <a:solidFill>
                <a:schemeClr val="accent5"/>
              </a:solidFill>
              <a:round/>
            </a:ln>
            <a:effectLst/>
          </c:spPr>
          <c:marker>
            <c:symbol val="none"/>
          </c:marker>
          <c:cat>
            <c:strRef>
              <c:f>'Hárok2 (2)'!$A$120:$A$131</c:f>
              <c:strCache>
                <c:ptCount val="12"/>
                <c:pt idx="0">
                  <c:v>1/2024</c:v>
                </c:pt>
                <c:pt idx="1">
                  <c:v>2/2024</c:v>
                </c:pt>
                <c:pt idx="2">
                  <c:v>3/2024</c:v>
                </c:pt>
                <c:pt idx="3">
                  <c:v>4/2024</c:v>
                </c:pt>
                <c:pt idx="4">
                  <c:v>5/2024</c:v>
                </c:pt>
                <c:pt idx="5">
                  <c:v>6/2024</c:v>
                </c:pt>
                <c:pt idx="6">
                  <c:v>7/2024</c:v>
                </c:pt>
                <c:pt idx="7">
                  <c:v>8/2024</c:v>
                </c:pt>
                <c:pt idx="8">
                  <c:v>9/2024</c:v>
                </c:pt>
                <c:pt idx="9">
                  <c:v>10/2024</c:v>
                </c:pt>
                <c:pt idx="10">
                  <c:v>11/2024</c:v>
                </c:pt>
                <c:pt idx="11">
                  <c:v>12/2024</c:v>
                </c:pt>
              </c:strCache>
            </c:strRef>
          </c:cat>
          <c:val>
            <c:numRef>
              <c:f>'Hárok2 (2)'!$F$120:$F$131</c:f>
              <c:numCache>
                <c:formatCode>General</c:formatCode>
                <c:ptCount val="12"/>
                <c:pt idx="0">
                  <c:v>-0.40000000000000568</c:v>
                </c:pt>
                <c:pt idx="1">
                  <c:v>0.5</c:v>
                </c:pt>
                <c:pt idx="2">
                  <c:v>0.29999999999999716</c:v>
                </c:pt>
                <c:pt idx="3">
                  <c:v>9.9999999999994316E-2</c:v>
                </c:pt>
                <c:pt idx="4">
                  <c:v>0.40000000000000568</c:v>
                </c:pt>
                <c:pt idx="5">
                  <c:v>-0.40000000000000568</c:v>
                </c:pt>
                <c:pt idx="6">
                  <c:v>0.40000000000000568</c:v>
                </c:pt>
                <c:pt idx="7">
                  <c:v>-1</c:v>
                </c:pt>
                <c:pt idx="8">
                  <c:v>0.40000000000000568</c:v>
                </c:pt>
                <c:pt idx="9">
                  <c:v>0.40000000000000568</c:v>
                </c:pt>
                <c:pt idx="10">
                  <c:v>9.9999999999994316E-2</c:v>
                </c:pt>
                <c:pt idx="11">
                  <c:v>-0.20000000000000284</c:v>
                </c:pt>
              </c:numCache>
            </c:numRef>
          </c:val>
          <c:smooth val="0"/>
          <c:extLst>
            <c:ext xmlns:c16="http://schemas.microsoft.com/office/drawing/2014/chart" uri="{C3380CC4-5D6E-409C-BE32-E72D297353CC}">
              <c16:uniqueId val="{00000001-427B-4571-BAA8-B1573C0FE800}"/>
            </c:ext>
          </c:extLst>
        </c:ser>
        <c:ser>
          <c:idx val="6"/>
          <c:order val="2"/>
          <c:tx>
            <c:strRef>
              <c:f>'Hárok2 (2)'!$H$107</c:f>
              <c:strCache>
                <c:ptCount val="1"/>
                <c:pt idx="0">
                  <c:v>DOMÁCE SPOTREBIČE (05.3)</c:v>
                </c:pt>
              </c:strCache>
            </c:strRef>
          </c:tx>
          <c:spPr>
            <a:ln w="28575" cap="rnd">
              <a:solidFill>
                <a:schemeClr val="accent1">
                  <a:lumMod val="60000"/>
                </a:schemeClr>
              </a:solidFill>
              <a:round/>
            </a:ln>
            <a:effectLst/>
          </c:spPr>
          <c:marker>
            <c:symbol val="none"/>
          </c:marker>
          <c:cat>
            <c:strRef>
              <c:f>'Hárok2 (2)'!$A$120:$A$131</c:f>
              <c:strCache>
                <c:ptCount val="12"/>
                <c:pt idx="0">
                  <c:v>1/2024</c:v>
                </c:pt>
                <c:pt idx="1">
                  <c:v>2/2024</c:v>
                </c:pt>
                <c:pt idx="2">
                  <c:v>3/2024</c:v>
                </c:pt>
                <c:pt idx="3">
                  <c:v>4/2024</c:v>
                </c:pt>
                <c:pt idx="4">
                  <c:v>5/2024</c:v>
                </c:pt>
                <c:pt idx="5">
                  <c:v>6/2024</c:v>
                </c:pt>
                <c:pt idx="6">
                  <c:v>7/2024</c:v>
                </c:pt>
                <c:pt idx="7">
                  <c:v>8/2024</c:v>
                </c:pt>
                <c:pt idx="8">
                  <c:v>9/2024</c:v>
                </c:pt>
                <c:pt idx="9">
                  <c:v>10/2024</c:v>
                </c:pt>
                <c:pt idx="10">
                  <c:v>11/2024</c:v>
                </c:pt>
                <c:pt idx="11">
                  <c:v>12/2024</c:v>
                </c:pt>
              </c:strCache>
            </c:strRef>
          </c:cat>
          <c:val>
            <c:numRef>
              <c:f>'Hárok2 (2)'!$H$120:$H$131</c:f>
              <c:numCache>
                <c:formatCode>General</c:formatCode>
                <c:ptCount val="12"/>
                <c:pt idx="0">
                  <c:v>0.29999999999999716</c:v>
                </c:pt>
                <c:pt idx="1">
                  <c:v>0.29999999999999716</c:v>
                </c:pt>
                <c:pt idx="2">
                  <c:v>9.9999999999994316E-2</c:v>
                </c:pt>
                <c:pt idx="3">
                  <c:v>-0.20000000000000284</c:v>
                </c:pt>
                <c:pt idx="4">
                  <c:v>-9.9999999999994316E-2</c:v>
                </c:pt>
                <c:pt idx="5">
                  <c:v>-9.9999999999994316E-2</c:v>
                </c:pt>
                <c:pt idx="6">
                  <c:v>-9.9999999999994316E-2</c:v>
                </c:pt>
                <c:pt idx="7">
                  <c:v>-0.40000000000000568</c:v>
                </c:pt>
                <c:pt idx="8">
                  <c:v>9.9999999999994316E-2</c:v>
                </c:pt>
                <c:pt idx="9">
                  <c:v>0</c:v>
                </c:pt>
                <c:pt idx="10">
                  <c:v>0.5</c:v>
                </c:pt>
                <c:pt idx="11">
                  <c:v>0.20000000000000284</c:v>
                </c:pt>
              </c:numCache>
            </c:numRef>
          </c:val>
          <c:smooth val="0"/>
          <c:extLst>
            <c:ext xmlns:c16="http://schemas.microsoft.com/office/drawing/2014/chart" uri="{C3380CC4-5D6E-409C-BE32-E72D297353CC}">
              <c16:uniqueId val="{00000002-427B-4571-BAA8-B1573C0FE800}"/>
            </c:ext>
          </c:extLst>
        </c:ser>
        <c:ser>
          <c:idx val="10"/>
          <c:order val="3"/>
          <c:tx>
            <c:strRef>
              <c:f>'Hárok2 (2)'!$L$107</c:f>
              <c:strCache>
                <c:ptCount val="1"/>
                <c:pt idx="0">
                  <c:v>VÝROBKY ZO SKLA, STOLNÝ RIAD A POTREBY PRE DOMÁCNOSŤ (05.4)</c:v>
                </c:pt>
              </c:strCache>
            </c:strRef>
          </c:tx>
          <c:spPr>
            <a:ln w="28575" cap="rnd">
              <a:solidFill>
                <a:schemeClr val="accent5">
                  <a:lumMod val="60000"/>
                </a:schemeClr>
              </a:solidFill>
              <a:round/>
            </a:ln>
            <a:effectLst/>
          </c:spPr>
          <c:marker>
            <c:symbol val="none"/>
          </c:marker>
          <c:cat>
            <c:strRef>
              <c:f>'Hárok2 (2)'!$A$120:$A$131</c:f>
              <c:strCache>
                <c:ptCount val="12"/>
                <c:pt idx="0">
                  <c:v>1/2024</c:v>
                </c:pt>
                <c:pt idx="1">
                  <c:v>2/2024</c:v>
                </c:pt>
                <c:pt idx="2">
                  <c:v>3/2024</c:v>
                </c:pt>
                <c:pt idx="3">
                  <c:v>4/2024</c:v>
                </c:pt>
                <c:pt idx="4">
                  <c:v>5/2024</c:v>
                </c:pt>
                <c:pt idx="5">
                  <c:v>6/2024</c:v>
                </c:pt>
                <c:pt idx="6">
                  <c:v>7/2024</c:v>
                </c:pt>
                <c:pt idx="7">
                  <c:v>8/2024</c:v>
                </c:pt>
                <c:pt idx="8">
                  <c:v>9/2024</c:v>
                </c:pt>
                <c:pt idx="9">
                  <c:v>10/2024</c:v>
                </c:pt>
                <c:pt idx="10">
                  <c:v>11/2024</c:v>
                </c:pt>
                <c:pt idx="11">
                  <c:v>12/2024</c:v>
                </c:pt>
              </c:strCache>
            </c:strRef>
          </c:cat>
          <c:val>
            <c:numRef>
              <c:f>'Hárok2 (2)'!$L$120:$L$131</c:f>
              <c:numCache>
                <c:formatCode>General</c:formatCode>
                <c:ptCount val="12"/>
                <c:pt idx="0">
                  <c:v>0.5</c:v>
                </c:pt>
                <c:pt idx="1">
                  <c:v>0.29999999999999716</c:v>
                </c:pt>
                <c:pt idx="2">
                  <c:v>9.9999999999994316E-2</c:v>
                </c:pt>
                <c:pt idx="3">
                  <c:v>0.29999999999999716</c:v>
                </c:pt>
                <c:pt idx="4">
                  <c:v>-9.9999999999994316E-2</c:v>
                </c:pt>
                <c:pt idx="5">
                  <c:v>0.20000000000000284</c:v>
                </c:pt>
                <c:pt idx="6">
                  <c:v>-0.29999999999999716</c:v>
                </c:pt>
                <c:pt idx="7">
                  <c:v>0.5</c:v>
                </c:pt>
                <c:pt idx="8">
                  <c:v>-0.20000000000000284</c:v>
                </c:pt>
                <c:pt idx="9">
                  <c:v>0.29999999999999716</c:v>
                </c:pt>
                <c:pt idx="10">
                  <c:v>-9.9999999999994316E-2</c:v>
                </c:pt>
                <c:pt idx="11">
                  <c:v>-0.40000000000000568</c:v>
                </c:pt>
              </c:numCache>
            </c:numRef>
          </c:val>
          <c:smooth val="0"/>
          <c:extLst>
            <c:ext xmlns:c16="http://schemas.microsoft.com/office/drawing/2014/chart" uri="{C3380CC4-5D6E-409C-BE32-E72D297353CC}">
              <c16:uniqueId val="{00000003-427B-4571-BAA8-B1573C0FE800}"/>
            </c:ext>
          </c:extLst>
        </c:ser>
        <c:ser>
          <c:idx val="12"/>
          <c:order val="4"/>
          <c:tx>
            <c:strRef>
              <c:f>'Hárok2 (2)'!$N$107</c:f>
              <c:strCache>
                <c:ptCount val="1"/>
                <c:pt idx="0">
                  <c:v>NÁSTROJE A NÁRADIE PRE DOM A ZÁHRADU (05.5)</c:v>
                </c:pt>
              </c:strCache>
            </c:strRef>
          </c:tx>
          <c:spPr>
            <a:ln w="28575" cap="rnd">
              <a:solidFill>
                <a:schemeClr val="accent1">
                  <a:lumMod val="80000"/>
                  <a:lumOff val="20000"/>
                </a:schemeClr>
              </a:solidFill>
              <a:round/>
            </a:ln>
            <a:effectLst/>
          </c:spPr>
          <c:marker>
            <c:symbol val="none"/>
          </c:marker>
          <c:cat>
            <c:strRef>
              <c:f>'Hárok2 (2)'!$A$120:$A$131</c:f>
              <c:strCache>
                <c:ptCount val="12"/>
                <c:pt idx="0">
                  <c:v>1/2024</c:v>
                </c:pt>
                <c:pt idx="1">
                  <c:v>2/2024</c:v>
                </c:pt>
                <c:pt idx="2">
                  <c:v>3/2024</c:v>
                </c:pt>
                <c:pt idx="3">
                  <c:v>4/2024</c:v>
                </c:pt>
                <c:pt idx="4">
                  <c:v>5/2024</c:v>
                </c:pt>
                <c:pt idx="5">
                  <c:v>6/2024</c:v>
                </c:pt>
                <c:pt idx="6">
                  <c:v>7/2024</c:v>
                </c:pt>
                <c:pt idx="7">
                  <c:v>8/2024</c:v>
                </c:pt>
                <c:pt idx="8">
                  <c:v>9/2024</c:v>
                </c:pt>
                <c:pt idx="9">
                  <c:v>10/2024</c:v>
                </c:pt>
                <c:pt idx="10">
                  <c:v>11/2024</c:v>
                </c:pt>
                <c:pt idx="11">
                  <c:v>12/2024</c:v>
                </c:pt>
              </c:strCache>
            </c:strRef>
          </c:cat>
          <c:val>
            <c:numRef>
              <c:f>'Hárok2 (2)'!$N$120:$N$131</c:f>
              <c:numCache>
                <c:formatCode>General</c:formatCode>
                <c:ptCount val="12"/>
                <c:pt idx="0">
                  <c:v>-0.20000000000000284</c:v>
                </c:pt>
                <c:pt idx="1">
                  <c:v>-9.9999999999994316E-2</c:v>
                </c:pt>
                <c:pt idx="2">
                  <c:v>-9.9999999999994316E-2</c:v>
                </c:pt>
                <c:pt idx="3">
                  <c:v>0.59999999999999432</c:v>
                </c:pt>
                <c:pt idx="4">
                  <c:v>0.20000000000000284</c:v>
                </c:pt>
                <c:pt idx="5">
                  <c:v>0</c:v>
                </c:pt>
                <c:pt idx="6">
                  <c:v>0.29999999999999716</c:v>
                </c:pt>
                <c:pt idx="7">
                  <c:v>-0.70000000000000284</c:v>
                </c:pt>
                <c:pt idx="8">
                  <c:v>-0.29999999999999716</c:v>
                </c:pt>
                <c:pt idx="9">
                  <c:v>0.59999999999999432</c:v>
                </c:pt>
                <c:pt idx="10">
                  <c:v>0.59999999999999432</c:v>
                </c:pt>
                <c:pt idx="11">
                  <c:v>0.5</c:v>
                </c:pt>
              </c:numCache>
            </c:numRef>
          </c:val>
          <c:smooth val="0"/>
          <c:extLst>
            <c:ext xmlns:c16="http://schemas.microsoft.com/office/drawing/2014/chart" uri="{C3380CC4-5D6E-409C-BE32-E72D297353CC}">
              <c16:uniqueId val="{00000004-427B-4571-BAA8-B1573C0FE800}"/>
            </c:ext>
          </c:extLst>
        </c:ser>
        <c:ser>
          <c:idx val="15"/>
          <c:order val="5"/>
          <c:tx>
            <c:strRef>
              <c:f>'Hárok2 (2)'!$Q$107</c:f>
              <c:strCache>
                <c:ptCount val="1"/>
                <c:pt idx="0">
                  <c:v>TOVARY A SLUŽBY NA BEŽNÚ ÚDRŽBU DOMÁCNOSTI (05.6)</c:v>
                </c:pt>
              </c:strCache>
            </c:strRef>
          </c:tx>
          <c:spPr>
            <a:ln w="28575" cap="rnd">
              <a:solidFill>
                <a:schemeClr val="accent4">
                  <a:lumMod val="80000"/>
                  <a:lumOff val="20000"/>
                </a:schemeClr>
              </a:solidFill>
              <a:round/>
            </a:ln>
            <a:effectLst/>
          </c:spPr>
          <c:marker>
            <c:symbol val="none"/>
          </c:marker>
          <c:cat>
            <c:strRef>
              <c:f>'Hárok2 (2)'!$A$120:$A$131</c:f>
              <c:strCache>
                <c:ptCount val="12"/>
                <c:pt idx="0">
                  <c:v>1/2024</c:v>
                </c:pt>
                <c:pt idx="1">
                  <c:v>2/2024</c:v>
                </c:pt>
                <c:pt idx="2">
                  <c:v>3/2024</c:v>
                </c:pt>
                <c:pt idx="3">
                  <c:v>4/2024</c:v>
                </c:pt>
                <c:pt idx="4">
                  <c:v>5/2024</c:v>
                </c:pt>
                <c:pt idx="5">
                  <c:v>6/2024</c:v>
                </c:pt>
                <c:pt idx="6">
                  <c:v>7/2024</c:v>
                </c:pt>
                <c:pt idx="7">
                  <c:v>8/2024</c:v>
                </c:pt>
                <c:pt idx="8">
                  <c:v>9/2024</c:v>
                </c:pt>
                <c:pt idx="9">
                  <c:v>10/2024</c:v>
                </c:pt>
                <c:pt idx="10">
                  <c:v>11/2024</c:v>
                </c:pt>
                <c:pt idx="11">
                  <c:v>12/2024</c:v>
                </c:pt>
              </c:strCache>
            </c:strRef>
          </c:cat>
          <c:val>
            <c:numRef>
              <c:f>'Hárok2 (2)'!$Q$120:$Q$131</c:f>
              <c:numCache>
                <c:formatCode>General</c:formatCode>
                <c:ptCount val="12"/>
                <c:pt idx="0">
                  <c:v>-1</c:v>
                </c:pt>
                <c:pt idx="1">
                  <c:v>1.5999999999999943</c:v>
                </c:pt>
                <c:pt idx="2">
                  <c:v>0.29999999999999716</c:v>
                </c:pt>
                <c:pt idx="3">
                  <c:v>-0.5</c:v>
                </c:pt>
                <c:pt idx="4">
                  <c:v>-0.5</c:v>
                </c:pt>
                <c:pt idx="5">
                  <c:v>0.70000000000000284</c:v>
                </c:pt>
                <c:pt idx="6">
                  <c:v>-0.29999999999999716</c:v>
                </c:pt>
                <c:pt idx="7">
                  <c:v>-0.5</c:v>
                </c:pt>
                <c:pt idx="8">
                  <c:v>0.29999999999999716</c:v>
                </c:pt>
                <c:pt idx="9">
                  <c:v>1.2000000000000028</c:v>
                </c:pt>
                <c:pt idx="10">
                  <c:v>-0.29999999999999716</c:v>
                </c:pt>
                <c:pt idx="11">
                  <c:v>0.20000000000000284</c:v>
                </c:pt>
              </c:numCache>
            </c:numRef>
          </c:val>
          <c:smooth val="0"/>
          <c:extLst>
            <c:ext xmlns:c16="http://schemas.microsoft.com/office/drawing/2014/chart" uri="{C3380CC4-5D6E-409C-BE32-E72D297353CC}">
              <c16:uniqueId val="{00000005-427B-4571-BAA8-B1573C0FE800}"/>
            </c:ext>
          </c:extLst>
        </c:ser>
        <c:dLbls>
          <c:showLegendKey val="0"/>
          <c:showVal val="0"/>
          <c:showCatName val="0"/>
          <c:showSerName val="0"/>
          <c:showPercent val="0"/>
          <c:showBubbleSize val="0"/>
        </c:dLbls>
        <c:smooth val="0"/>
        <c:axId val="634364976"/>
        <c:axId val="634375056"/>
      </c:lineChart>
      <c:catAx>
        <c:axId val="634364976"/>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634375056"/>
        <c:crosses val="autoZero"/>
        <c:auto val="1"/>
        <c:lblAlgn val="ctr"/>
        <c:lblOffset val="100"/>
        <c:noMultiLvlLbl val="0"/>
      </c:catAx>
      <c:valAx>
        <c:axId val="634375056"/>
        <c:scaling>
          <c:orientation val="minMax"/>
          <c:max val="1.7000000000000002"/>
          <c:min val="-1.1000000000000001"/>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634364976"/>
        <c:crosses val="autoZero"/>
        <c:crossBetween val="between"/>
        <c:majorUnit val="0.4"/>
      </c:valAx>
      <c:spPr>
        <a:noFill/>
        <a:ln>
          <a:noFill/>
        </a:ln>
        <a:effectLst/>
      </c:spPr>
    </c:plotArea>
    <c:legend>
      <c:legendPos val="b"/>
      <c:layout>
        <c:manualLayout>
          <c:xMode val="edge"/>
          <c:yMode val="edge"/>
          <c:x val="2.4692942139507467E-2"/>
          <c:y val="0.59775310512964119"/>
          <c:w val="0.77031056670808995"/>
          <c:h val="0.3794245289517585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0"/>
          <c:tx>
            <c:strRef>
              <c:f>'Hárok2 (2)'!$C$145</c:f>
              <c:strCache>
                <c:ptCount val="1"/>
                <c:pt idx="0">
                  <c:v>ZDRAVOTNÍCKE VÝROBKY, ZDRAVOTNÍCKE POTREBY A ZARIADENIA (06.1)</c:v>
                </c:pt>
              </c:strCache>
            </c:strRef>
          </c:tx>
          <c:spPr>
            <a:ln w="28575" cap="rnd">
              <a:solidFill>
                <a:schemeClr val="accent2"/>
              </a:solidFill>
              <a:round/>
            </a:ln>
            <a:effectLst/>
          </c:spPr>
          <c:marker>
            <c:symbol val="none"/>
          </c:marker>
          <c:cat>
            <c:strRef>
              <c:f>'Hárok2 (2)'!$A$158:$A$169</c:f>
              <c:strCache>
                <c:ptCount val="12"/>
                <c:pt idx="0">
                  <c:v>1/2024</c:v>
                </c:pt>
                <c:pt idx="1">
                  <c:v>2/2024</c:v>
                </c:pt>
                <c:pt idx="2">
                  <c:v>3/2024</c:v>
                </c:pt>
                <c:pt idx="3">
                  <c:v>4/2024</c:v>
                </c:pt>
                <c:pt idx="4">
                  <c:v>5/2024</c:v>
                </c:pt>
                <c:pt idx="5">
                  <c:v>6/2024</c:v>
                </c:pt>
                <c:pt idx="6">
                  <c:v>7/2024</c:v>
                </c:pt>
                <c:pt idx="7">
                  <c:v>8/2024</c:v>
                </c:pt>
                <c:pt idx="8">
                  <c:v>9/2024</c:v>
                </c:pt>
                <c:pt idx="9">
                  <c:v>10/2024</c:v>
                </c:pt>
                <c:pt idx="10">
                  <c:v>11/2024</c:v>
                </c:pt>
                <c:pt idx="11">
                  <c:v>12/2024</c:v>
                </c:pt>
              </c:strCache>
            </c:strRef>
          </c:cat>
          <c:val>
            <c:numRef>
              <c:f>'Hárok2 (2)'!$C$158:$C$169</c:f>
              <c:numCache>
                <c:formatCode>General</c:formatCode>
                <c:ptCount val="12"/>
                <c:pt idx="0">
                  <c:v>1.4000000000000057</c:v>
                </c:pt>
                <c:pt idx="1">
                  <c:v>9.9999999999994316E-2</c:v>
                </c:pt>
                <c:pt idx="2">
                  <c:v>0.29999999999999716</c:v>
                </c:pt>
                <c:pt idx="3">
                  <c:v>1.7999999999999972</c:v>
                </c:pt>
                <c:pt idx="4">
                  <c:v>0.59999999999999432</c:v>
                </c:pt>
                <c:pt idx="5">
                  <c:v>-9.9999999999994316E-2</c:v>
                </c:pt>
                <c:pt idx="6">
                  <c:v>0.90000000000000568</c:v>
                </c:pt>
                <c:pt idx="7">
                  <c:v>-1.2000000000000028</c:v>
                </c:pt>
                <c:pt idx="8">
                  <c:v>-0.29999999999999716</c:v>
                </c:pt>
                <c:pt idx="9">
                  <c:v>1.2999999999999972</c:v>
                </c:pt>
                <c:pt idx="10">
                  <c:v>0.20000000000000284</c:v>
                </c:pt>
                <c:pt idx="11">
                  <c:v>0.70000000000000284</c:v>
                </c:pt>
              </c:numCache>
            </c:numRef>
          </c:val>
          <c:smooth val="0"/>
          <c:extLst>
            <c:ext xmlns:c16="http://schemas.microsoft.com/office/drawing/2014/chart" uri="{C3380CC4-5D6E-409C-BE32-E72D297353CC}">
              <c16:uniqueId val="{00000000-7F6F-4AB6-8E00-6EB16CC7A165}"/>
            </c:ext>
          </c:extLst>
        </c:ser>
        <c:ser>
          <c:idx val="5"/>
          <c:order val="1"/>
          <c:tx>
            <c:strRef>
              <c:f>'Hárok2 (2)'!$G$145</c:f>
              <c:strCache>
                <c:ptCount val="1"/>
                <c:pt idx="0">
                  <c:v>AMBULANTNÉ SLUŽBY (06.2)</c:v>
                </c:pt>
              </c:strCache>
            </c:strRef>
          </c:tx>
          <c:spPr>
            <a:ln w="28575" cap="rnd">
              <a:solidFill>
                <a:schemeClr val="accent6"/>
              </a:solidFill>
              <a:round/>
            </a:ln>
            <a:effectLst/>
          </c:spPr>
          <c:marker>
            <c:symbol val="none"/>
          </c:marker>
          <c:cat>
            <c:strRef>
              <c:f>'Hárok2 (2)'!$A$158:$A$169</c:f>
              <c:strCache>
                <c:ptCount val="12"/>
                <c:pt idx="0">
                  <c:v>1/2024</c:v>
                </c:pt>
                <c:pt idx="1">
                  <c:v>2/2024</c:v>
                </c:pt>
                <c:pt idx="2">
                  <c:v>3/2024</c:v>
                </c:pt>
                <c:pt idx="3">
                  <c:v>4/2024</c:v>
                </c:pt>
                <c:pt idx="4">
                  <c:v>5/2024</c:v>
                </c:pt>
                <c:pt idx="5">
                  <c:v>6/2024</c:v>
                </c:pt>
                <c:pt idx="6">
                  <c:v>7/2024</c:v>
                </c:pt>
                <c:pt idx="7">
                  <c:v>8/2024</c:v>
                </c:pt>
                <c:pt idx="8">
                  <c:v>9/2024</c:v>
                </c:pt>
                <c:pt idx="9">
                  <c:v>10/2024</c:v>
                </c:pt>
                <c:pt idx="10">
                  <c:v>11/2024</c:v>
                </c:pt>
                <c:pt idx="11">
                  <c:v>12/2024</c:v>
                </c:pt>
              </c:strCache>
            </c:strRef>
          </c:cat>
          <c:val>
            <c:numRef>
              <c:f>'Hárok2 (2)'!$G$158:$G$169</c:f>
              <c:numCache>
                <c:formatCode>General</c:formatCode>
                <c:ptCount val="12"/>
                <c:pt idx="0">
                  <c:v>1</c:v>
                </c:pt>
                <c:pt idx="1">
                  <c:v>0.79999999999999716</c:v>
                </c:pt>
                <c:pt idx="2">
                  <c:v>0.5</c:v>
                </c:pt>
                <c:pt idx="3">
                  <c:v>0.40000000000000568</c:v>
                </c:pt>
                <c:pt idx="4">
                  <c:v>0.29999999999999716</c:v>
                </c:pt>
                <c:pt idx="5">
                  <c:v>0.5</c:v>
                </c:pt>
                <c:pt idx="6">
                  <c:v>0.20000000000000284</c:v>
                </c:pt>
                <c:pt idx="7">
                  <c:v>0.20000000000000284</c:v>
                </c:pt>
                <c:pt idx="8">
                  <c:v>0.29999999999999716</c:v>
                </c:pt>
                <c:pt idx="9">
                  <c:v>-0.20000000000000284</c:v>
                </c:pt>
                <c:pt idx="10">
                  <c:v>0.40000000000000568</c:v>
                </c:pt>
                <c:pt idx="11">
                  <c:v>9.9999999999994316E-2</c:v>
                </c:pt>
              </c:numCache>
            </c:numRef>
          </c:val>
          <c:smooth val="0"/>
          <c:extLst>
            <c:ext xmlns:c16="http://schemas.microsoft.com/office/drawing/2014/chart" uri="{C3380CC4-5D6E-409C-BE32-E72D297353CC}">
              <c16:uniqueId val="{00000001-7F6F-4AB6-8E00-6EB16CC7A165}"/>
            </c:ext>
          </c:extLst>
        </c:ser>
        <c:ser>
          <c:idx val="9"/>
          <c:order val="2"/>
          <c:tx>
            <c:strRef>
              <c:f>'Hárok2 (2)'!$K$145</c:f>
              <c:strCache>
                <c:ptCount val="1"/>
                <c:pt idx="0">
                  <c:v>NEMOCNIČNÉ SLUŽBY (06.3)</c:v>
                </c:pt>
              </c:strCache>
            </c:strRef>
          </c:tx>
          <c:spPr>
            <a:ln w="28575" cap="rnd">
              <a:solidFill>
                <a:schemeClr val="accent4">
                  <a:lumMod val="60000"/>
                </a:schemeClr>
              </a:solidFill>
              <a:round/>
            </a:ln>
            <a:effectLst/>
          </c:spPr>
          <c:marker>
            <c:symbol val="none"/>
          </c:marker>
          <c:cat>
            <c:strRef>
              <c:f>'Hárok2 (2)'!$A$158:$A$169</c:f>
              <c:strCache>
                <c:ptCount val="12"/>
                <c:pt idx="0">
                  <c:v>1/2024</c:v>
                </c:pt>
                <c:pt idx="1">
                  <c:v>2/2024</c:v>
                </c:pt>
                <c:pt idx="2">
                  <c:v>3/2024</c:v>
                </c:pt>
                <c:pt idx="3">
                  <c:v>4/2024</c:v>
                </c:pt>
                <c:pt idx="4">
                  <c:v>5/2024</c:v>
                </c:pt>
                <c:pt idx="5">
                  <c:v>6/2024</c:v>
                </c:pt>
                <c:pt idx="6">
                  <c:v>7/2024</c:v>
                </c:pt>
                <c:pt idx="7">
                  <c:v>8/2024</c:v>
                </c:pt>
                <c:pt idx="8">
                  <c:v>9/2024</c:v>
                </c:pt>
                <c:pt idx="9">
                  <c:v>10/2024</c:v>
                </c:pt>
                <c:pt idx="10">
                  <c:v>11/2024</c:v>
                </c:pt>
                <c:pt idx="11">
                  <c:v>12/2024</c:v>
                </c:pt>
              </c:strCache>
            </c:strRef>
          </c:cat>
          <c:val>
            <c:numRef>
              <c:f>'Hárok2 (2)'!$K$158:$K$169</c:f>
              <c:numCache>
                <c:formatCode>General</c:formatCode>
                <c:ptCount val="12"/>
                <c:pt idx="0">
                  <c:v>0.90000000000000568</c:v>
                </c:pt>
                <c:pt idx="1">
                  <c:v>0.40000000000000568</c:v>
                </c:pt>
                <c:pt idx="2">
                  <c:v>2.4000000000000057</c:v>
                </c:pt>
                <c:pt idx="3">
                  <c:v>0</c:v>
                </c:pt>
                <c:pt idx="4">
                  <c:v>0.40000000000000568</c:v>
                </c:pt>
                <c:pt idx="5">
                  <c:v>-9.9999999999994316E-2</c:v>
                </c:pt>
                <c:pt idx="6">
                  <c:v>9.9999999999994316E-2</c:v>
                </c:pt>
                <c:pt idx="7">
                  <c:v>0</c:v>
                </c:pt>
                <c:pt idx="8">
                  <c:v>0</c:v>
                </c:pt>
                <c:pt idx="9">
                  <c:v>0.79999999999999716</c:v>
                </c:pt>
                <c:pt idx="10">
                  <c:v>0</c:v>
                </c:pt>
                <c:pt idx="11">
                  <c:v>0</c:v>
                </c:pt>
              </c:numCache>
            </c:numRef>
          </c:val>
          <c:smooth val="0"/>
          <c:extLst>
            <c:ext xmlns:c16="http://schemas.microsoft.com/office/drawing/2014/chart" uri="{C3380CC4-5D6E-409C-BE32-E72D297353CC}">
              <c16:uniqueId val="{00000002-7F6F-4AB6-8E00-6EB16CC7A165}"/>
            </c:ext>
          </c:extLst>
        </c:ser>
        <c:dLbls>
          <c:showLegendKey val="0"/>
          <c:showVal val="0"/>
          <c:showCatName val="0"/>
          <c:showSerName val="0"/>
          <c:showPercent val="0"/>
          <c:showBubbleSize val="0"/>
        </c:dLbls>
        <c:smooth val="0"/>
        <c:axId val="270058656"/>
        <c:axId val="270059616"/>
      </c:lineChart>
      <c:catAx>
        <c:axId val="270058656"/>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270059616"/>
        <c:crosses val="autoZero"/>
        <c:auto val="1"/>
        <c:lblAlgn val="ctr"/>
        <c:lblOffset val="100"/>
        <c:noMultiLvlLbl val="0"/>
      </c:catAx>
      <c:valAx>
        <c:axId val="270059616"/>
        <c:scaling>
          <c:orientation val="minMax"/>
          <c:max val="2.5"/>
          <c:min val="-1.3"/>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270058656"/>
        <c:crossesAt val="1"/>
        <c:crossBetween val="between"/>
      </c:valAx>
      <c:spPr>
        <a:noFill/>
        <a:ln>
          <a:noFill/>
        </a:ln>
        <a:effectLst/>
      </c:spPr>
    </c:plotArea>
    <c:legend>
      <c:legendPos val="b"/>
      <c:layout>
        <c:manualLayout>
          <c:xMode val="edge"/>
          <c:yMode val="edge"/>
          <c:x val="6.3595234436845671E-2"/>
          <c:y val="0.79027827912988902"/>
          <c:w val="0.69250580240290915"/>
          <c:h val="0.1868950136226313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sk-SK"/>
    </a:p>
  </c:txPr>
  <c:externalData r:id="rId3">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0"/>
          <c:tx>
            <c:strRef>
              <c:f>'Hárok2 (2)'!$C$172</c:f>
              <c:strCache>
                <c:ptCount val="1"/>
                <c:pt idx="0">
                  <c:v>NÁKUP DOPRAVNÝCH PROSTRIEDKOV (07.1)</c:v>
                </c:pt>
              </c:strCache>
            </c:strRef>
          </c:tx>
          <c:spPr>
            <a:ln w="28575" cap="rnd">
              <a:solidFill>
                <a:schemeClr val="accent2"/>
              </a:solidFill>
              <a:round/>
            </a:ln>
            <a:effectLst/>
          </c:spPr>
          <c:marker>
            <c:symbol val="none"/>
          </c:marker>
          <c:cat>
            <c:strRef>
              <c:f>('Hárok2 (2)'!$A$181,'Hárok2 (2)'!$A$185:$A$196)</c:f>
              <c:strCache>
                <c:ptCount val="13"/>
                <c:pt idx="0">
                  <c:v>9/2023</c:v>
                </c:pt>
                <c:pt idx="1">
                  <c:v>1/2024</c:v>
                </c:pt>
                <c:pt idx="2">
                  <c:v>2/2024</c:v>
                </c:pt>
                <c:pt idx="3">
                  <c:v>3/2024</c:v>
                </c:pt>
                <c:pt idx="4">
                  <c:v>4/2024</c:v>
                </c:pt>
                <c:pt idx="5">
                  <c:v>5/2024</c:v>
                </c:pt>
                <c:pt idx="6">
                  <c:v>6/2024</c:v>
                </c:pt>
                <c:pt idx="7">
                  <c:v>7/2024</c:v>
                </c:pt>
                <c:pt idx="8">
                  <c:v>8/2024</c:v>
                </c:pt>
                <c:pt idx="9">
                  <c:v>9/2024</c:v>
                </c:pt>
                <c:pt idx="10">
                  <c:v>10/2024</c:v>
                </c:pt>
                <c:pt idx="11">
                  <c:v>11/2024</c:v>
                </c:pt>
                <c:pt idx="12">
                  <c:v>12/2024</c:v>
                </c:pt>
              </c:strCache>
              <c:extLst/>
            </c:strRef>
          </c:cat>
          <c:val>
            <c:numRef>
              <c:f>('Hárok2 (2)'!$C$181,'Hárok2 (2)'!$C$185:$C$196)</c:f>
              <c:numCache>
                <c:formatCode>General</c:formatCode>
                <c:ptCount val="13"/>
                <c:pt idx="0">
                  <c:v>9.9999999999994316E-2</c:v>
                </c:pt>
                <c:pt idx="1">
                  <c:v>2.2000000000000028</c:v>
                </c:pt>
                <c:pt idx="2">
                  <c:v>-0.20000000000000284</c:v>
                </c:pt>
                <c:pt idx="3">
                  <c:v>0.40000000000000568</c:v>
                </c:pt>
                <c:pt idx="4">
                  <c:v>9.9999999999994316E-2</c:v>
                </c:pt>
                <c:pt idx="5">
                  <c:v>-9.9999999999994316E-2</c:v>
                </c:pt>
                <c:pt idx="6">
                  <c:v>9.9999999999994316E-2</c:v>
                </c:pt>
                <c:pt idx="7">
                  <c:v>0.29999999999999716</c:v>
                </c:pt>
                <c:pt idx="8">
                  <c:v>-1</c:v>
                </c:pt>
                <c:pt idx="9">
                  <c:v>-0.20000000000000284</c:v>
                </c:pt>
                <c:pt idx="10">
                  <c:v>-9.9999999999994316E-2</c:v>
                </c:pt>
                <c:pt idx="11">
                  <c:v>0.40000000000000568</c:v>
                </c:pt>
                <c:pt idx="12">
                  <c:v>-0.40000000000000568</c:v>
                </c:pt>
              </c:numCache>
              <c:extLst/>
            </c:numRef>
          </c:val>
          <c:smooth val="0"/>
          <c:extLst>
            <c:ext xmlns:c16="http://schemas.microsoft.com/office/drawing/2014/chart" uri="{C3380CC4-5D6E-409C-BE32-E72D297353CC}">
              <c16:uniqueId val="{00000000-335C-4BEE-BB9C-AF18F9F07B23}"/>
            </c:ext>
          </c:extLst>
        </c:ser>
        <c:ser>
          <c:idx val="5"/>
          <c:order val="1"/>
          <c:tx>
            <c:strRef>
              <c:f>'Hárok2 (2)'!$G$172</c:f>
              <c:strCache>
                <c:ptCount val="1"/>
                <c:pt idx="0">
                  <c:v>PREVÁDZKOVANIE PROSTRIEDKOV OSOBNEJ DOPRAVY (07.2)</c:v>
                </c:pt>
              </c:strCache>
            </c:strRef>
          </c:tx>
          <c:spPr>
            <a:ln w="28575" cap="rnd">
              <a:solidFill>
                <a:schemeClr val="accent6"/>
              </a:solidFill>
              <a:round/>
            </a:ln>
            <a:effectLst/>
          </c:spPr>
          <c:marker>
            <c:symbol val="none"/>
          </c:marker>
          <c:cat>
            <c:strRef>
              <c:f>('Hárok2 (2)'!$A$181,'Hárok2 (2)'!$A$185:$A$196)</c:f>
              <c:strCache>
                <c:ptCount val="13"/>
                <c:pt idx="0">
                  <c:v>9/2023</c:v>
                </c:pt>
                <c:pt idx="1">
                  <c:v>1/2024</c:v>
                </c:pt>
                <c:pt idx="2">
                  <c:v>2/2024</c:v>
                </c:pt>
                <c:pt idx="3">
                  <c:v>3/2024</c:v>
                </c:pt>
                <c:pt idx="4">
                  <c:v>4/2024</c:v>
                </c:pt>
                <c:pt idx="5">
                  <c:v>5/2024</c:v>
                </c:pt>
                <c:pt idx="6">
                  <c:v>6/2024</c:v>
                </c:pt>
                <c:pt idx="7">
                  <c:v>7/2024</c:v>
                </c:pt>
                <c:pt idx="8">
                  <c:v>8/2024</c:v>
                </c:pt>
                <c:pt idx="9">
                  <c:v>9/2024</c:v>
                </c:pt>
                <c:pt idx="10">
                  <c:v>10/2024</c:v>
                </c:pt>
                <c:pt idx="11">
                  <c:v>11/2024</c:v>
                </c:pt>
                <c:pt idx="12">
                  <c:v>12/2024</c:v>
                </c:pt>
              </c:strCache>
              <c:extLst/>
            </c:strRef>
          </c:cat>
          <c:val>
            <c:numRef>
              <c:f>('Hárok2 (2)'!$G$181,'Hárok2 (2)'!$G$185:$G$196)</c:f>
              <c:numCache>
                <c:formatCode>General</c:formatCode>
                <c:ptCount val="13"/>
                <c:pt idx="0">
                  <c:v>1</c:v>
                </c:pt>
                <c:pt idx="1">
                  <c:v>0.79999999999999716</c:v>
                </c:pt>
                <c:pt idx="2">
                  <c:v>3.4000000000000057</c:v>
                </c:pt>
                <c:pt idx="3">
                  <c:v>0.29999999999999716</c:v>
                </c:pt>
                <c:pt idx="4">
                  <c:v>1.5999999999999943</c:v>
                </c:pt>
                <c:pt idx="5">
                  <c:v>-2.2999999999999972</c:v>
                </c:pt>
                <c:pt idx="6">
                  <c:v>-1.2999999999999972</c:v>
                </c:pt>
                <c:pt idx="7">
                  <c:v>0.70000000000000284</c:v>
                </c:pt>
                <c:pt idx="8">
                  <c:v>-2.0999999999999943</c:v>
                </c:pt>
                <c:pt idx="9">
                  <c:v>-3.2000000000000028</c:v>
                </c:pt>
                <c:pt idx="10">
                  <c:v>0.70000000000000284</c:v>
                </c:pt>
                <c:pt idx="11">
                  <c:v>0.79999999999999716</c:v>
                </c:pt>
                <c:pt idx="12">
                  <c:v>0.59999999999999432</c:v>
                </c:pt>
              </c:numCache>
              <c:extLst/>
            </c:numRef>
          </c:val>
          <c:smooth val="0"/>
          <c:extLst>
            <c:ext xmlns:c16="http://schemas.microsoft.com/office/drawing/2014/chart" uri="{C3380CC4-5D6E-409C-BE32-E72D297353CC}">
              <c16:uniqueId val="{00000001-335C-4BEE-BB9C-AF18F9F07B23}"/>
            </c:ext>
          </c:extLst>
        </c:ser>
        <c:ser>
          <c:idx val="10"/>
          <c:order val="2"/>
          <c:tx>
            <c:strRef>
              <c:f>'Hárok2 (2)'!$L$172</c:f>
              <c:strCache>
                <c:ptCount val="1"/>
                <c:pt idx="0">
                  <c:v>DOPRAVNÉ SLUŽBY (07.3)</c:v>
                </c:pt>
              </c:strCache>
            </c:strRef>
          </c:tx>
          <c:spPr>
            <a:ln w="28575" cap="rnd">
              <a:solidFill>
                <a:schemeClr val="accent5">
                  <a:lumMod val="60000"/>
                </a:schemeClr>
              </a:solidFill>
              <a:round/>
            </a:ln>
            <a:effectLst/>
          </c:spPr>
          <c:marker>
            <c:symbol val="none"/>
          </c:marker>
          <c:cat>
            <c:strRef>
              <c:f>('Hárok2 (2)'!$A$181,'Hárok2 (2)'!$A$185:$A$196)</c:f>
              <c:strCache>
                <c:ptCount val="13"/>
                <c:pt idx="0">
                  <c:v>9/2023</c:v>
                </c:pt>
                <c:pt idx="1">
                  <c:v>1/2024</c:v>
                </c:pt>
                <c:pt idx="2">
                  <c:v>2/2024</c:v>
                </c:pt>
                <c:pt idx="3">
                  <c:v>3/2024</c:v>
                </c:pt>
                <c:pt idx="4">
                  <c:v>4/2024</c:v>
                </c:pt>
                <c:pt idx="5">
                  <c:v>5/2024</c:v>
                </c:pt>
                <c:pt idx="6">
                  <c:v>6/2024</c:v>
                </c:pt>
                <c:pt idx="7">
                  <c:v>7/2024</c:v>
                </c:pt>
                <c:pt idx="8">
                  <c:v>8/2024</c:v>
                </c:pt>
                <c:pt idx="9">
                  <c:v>9/2024</c:v>
                </c:pt>
                <c:pt idx="10">
                  <c:v>10/2024</c:v>
                </c:pt>
                <c:pt idx="11">
                  <c:v>11/2024</c:v>
                </c:pt>
                <c:pt idx="12">
                  <c:v>12/2024</c:v>
                </c:pt>
              </c:strCache>
              <c:extLst/>
            </c:strRef>
          </c:cat>
          <c:val>
            <c:numRef>
              <c:f>('Hárok2 (2)'!$L$181,'Hárok2 (2)'!$L$185:$L$196)</c:f>
              <c:numCache>
                <c:formatCode>General</c:formatCode>
                <c:ptCount val="13"/>
                <c:pt idx="0">
                  <c:v>-0.59999999999999432</c:v>
                </c:pt>
                <c:pt idx="1">
                  <c:v>3</c:v>
                </c:pt>
                <c:pt idx="2">
                  <c:v>6.5999999999999943</c:v>
                </c:pt>
                <c:pt idx="3">
                  <c:v>-1.2000000000000028</c:v>
                </c:pt>
                <c:pt idx="4">
                  <c:v>6.7000000000000028</c:v>
                </c:pt>
                <c:pt idx="5">
                  <c:v>-6.5999999999999943</c:v>
                </c:pt>
                <c:pt idx="6">
                  <c:v>0.59999999999999432</c:v>
                </c:pt>
                <c:pt idx="7">
                  <c:v>1.7000000000000028</c:v>
                </c:pt>
                <c:pt idx="8">
                  <c:v>13</c:v>
                </c:pt>
                <c:pt idx="9">
                  <c:v>-2.0999999999999943</c:v>
                </c:pt>
                <c:pt idx="10">
                  <c:v>-4.7000000000000028</c:v>
                </c:pt>
                <c:pt idx="11">
                  <c:v>1</c:v>
                </c:pt>
                <c:pt idx="12">
                  <c:v>-0.59999999999999432</c:v>
                </c:pt>
              </c:numCache>
              <c:extLst/>
            </c:numRef>
          </c:val>
          <c:smooth val="0"/>
          <c:extLst>
            <c:ext xmlns:c16="http://schemas.microsoft.com/office/drawing/2014/chart" uri="{C3380CC4-5D6E-409C-BE32-E72D297353CC}">
              <c16:uniqueId val="{00000002-335C-4BEE-BB9C-AF18F9F07B23}"/>
            </c:ext>
          </c:extLst>
        </c:ser>
        <c:dLbls>
          <c:showLegendKey val="0"/>
          <c:showVal val="0"/>
          <c:showCatName val="0"/>
          <c:showSerName val="0"/>
          <c:showPercent val="0"/>
          <c:showBubbleSize val="0"/>
        </c:dLbls>
        <c:smooth val="0"/>
        <c:axId val="1536007840"/>
        <c:axId val="1536011200"/>
      </c:lineChart>
      <c:catAx>
        <c:axId val="1536007840"/>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1536011200"/>
        <c:crosses val="autoZero"/>
        <c:auto val="1"/>
        <c:lblAlgn val="ctr"/>
        <c:lblOffset val="100"/>
        <c:noMultiLvlLbl val="0"/>
      </c:catAx>
      <c:valAx>
        <c:axId val="1536011200"/>
        <c:scaling>
          <c:orientation val="minMax"/>
          <c:max val="14"/>
          <c:min val="-7"/>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1536007840"/>
        <c:crossesAt val="1"/>
        <c:crossBetween val="between"/>
      </c:valAx>
      <c:spPr>
        <a:noFill/>
        <a:ln>
          <a:noFill/>
        </a:ln>
        <a:effectLst/>
      </c:spPr>
    </c:plotArea>
    <c:legend>
      <c:legendPos val="b"/>
      <c:layout>
        <c:manualLayout>
          <c:xMode val="edge"/>
          <c:yMode val="edge"/>
          <c:x val="5.5442128275560922E-2"/>
          <c:y val="0.79031816534534549"/>
          <c:w val="0.86172786258615997"/>
          <c:h val="0.2096818346546544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sk-SK"/>
    </a:p>
  </c:txPr>
  <c:externalData r:id="rId3">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0"/>
          <c:tx>
            <c:strRef>
              <c:f>'Hárok2 (2)'!$C$199</c:f>
              <c:strCache>
                <c:ptCount val="1"/>
                <c:pt idx="0">
                  <c:v>POŠTOVÉ SLUŽBY (08.1)</c:v>
                </c:pt>
              </c:strCache>
            </c:strRef>
          </c:tx>
          <c:spPr>
            <a:ln w="28575" cap="rnd">
              <a:solidFill>
                <a:schemeClr val="accent2"/>
              </a:solidFill>
              <a:round/>
            </a:ln>
            <a:effectLst/>
          </c:spPr>
          <c:marker>
            <c:symbol val="none"/>
          </c:marker>
          <c:cat>
            <c:strRef>
              <c:f>'Hárok2 (2)'!$A$212:$A$223</c:f>
              <c:strCache>
                <c:ptCount val="12"/>
                <c:pt idx="0">
                  <c:v>1/2024</c:v>
                </c:pt>
                <c:pt idx="1">
                  <c:v>2/2024</c:v>
                </c:pt>
                <c:pt idx="2">
                  <c:v>3/2024</c:v>
                </c:pt>
                <c:pt idx="3">
                  <c:v>4/2024</c:v>
                </c:pt>
                <c:pt idx="4">
                  <c:v>5/2024</c:v>
                </c:pt>
                <c:pt idx="5">
                  <c:v>6/2024</c:v>
                </c:pt>
                <c:pt idx="6">
                  <c:v>7/2024</c:v>
                </c:pt>
                <c:pt idx="7">
                  <c:v>8/2024</c:v>
                </c:pt>
                <c:pt idx="8">
                  <c:v>9/2024</c:v>
                </c:pt>
                <c:pt idx="9">
                  <c:v>10/2024</c:v>
                </c:pt>
                <c:pt idx="10">
                  <c:v>11/2024</c:v>
                </c:pt>
                <c:pt idx="11">
                  <c:v>12/2024</c:v>
                </c:pt>
              </c:strCache>
            </c:strRef>
          </c:cat>
          <c:val>
            <c:numRef>
              <c:f>'Hárok2 (2)'!$C$212:$C$223</c:f>
              <c:numCache>
                <c:formatCode>General</c:formatCode>
                <c:ptCount val="12"/>
                <c:pt idx="0">
                  <c:v>0</c:v>
                </c:pt>
                <c:pt idx="1">
                  <c:v>0</c:v>
                </c:pt>
                <c:pt idx="2">
                  <c:v>0</c:v>
                </c:pt>
                <c:pt idx="3">
                  <c:v>0</c:v>
                </c:pt>
                <c:pt idx="4">
                  <c:v>0</c:v>
                </c:pt>
                <c:pt idx="5">
                  <c:v>0</c:v>
                </c:pt>
                <c:pt idx="6">
                  <c:v>10</c:v>
                </c:pt>
                <c:pt idx="7">
                  <c:v>0</c:v>
                </c:pt>
                <c:pt idx="8">
                  <c:v>0</c:v>
                </c:pt>
                <c:pt idx="9">
                  <c:v>0</c:v>
                </c:pt>
                <c:pt idx="10">
                  <c:v>0</c:v>
                </c:pt>
                <c:pt idx="11">
                  <c:v>0</c:v>
                </c:pt>
              </c:numCache>
            </c:numRef>
          </c:val>
          <c:smooth val="0"/>
          <c:extLst>
            <c:ext xmlns:c16="http://schemas.microsoft.com/office/drawing/2014/chart" uri="{C3380CC4-5D6E-409C-BE32-E72D297353CC}">
              <c16:uniqueId val="{00000000-D97D-4BD0-85D9-9F747CE1CC49}"/>
            </c:ext>
          </c:extLst>
        </c:ser>
        <c:ser>
          <c:idx val="3"/>
          <c:order val="1"/>
          <c:tx>
            <c:strRef>
              <c:f>'Hárok2 (2)'!$E$199</c:f>
              <c:strCache>
                <c:ptCount val="1"/>
                <c:pt idx="0">
                  <c:v>TELEFÓNNE A FAXOVÉ ZARIADENIA (08.2)</c:v>
                </c:pt>
              </c:strCache>
            </c:strRef>
          </c:tx>
          <c:spPr>
            <a:ln w="28575" cap="rnd">
              <a:solidFill>
                <a:schemeClr val="accent4"/>
              </a:solidFill>
              <a:round/>
            </a:ln>
            <a:effectLst/>
          </c:spPr>
          <c:marker>
            <c:symbol val="none"/>
          </c:marker>
          <c:cat>
            <c:strRef>
              <c:f>'Hárok2 (2)'!$A$212:$A$223</c:f>
              <c:strCache>
                <c:ptCount val="12"/>
                <c:pt idx="0">
                  <c:v>1/2024</c:v>
                </c:pt>
                <c:pt idx="1">
                  <c:v>2/2024</c:v>
                </c:pt>
                <c:pt idx="2">
                  <c:v>3/2024</c:v>
                </c:pt>
                <c:pt idx="3">
                  <c:v>4/2024</c:v>
                </c:pt>
                <c:pt idx="4">
                  <c:v>5/2024</c:v>
                </c:pt>
                <c:pt idx="5">
                  <c:v>6/2024</c:v>
                </c:pt>
                <c:pt idx="6">
                  <c:v>7/2024</c:v>
                </c:pt>
                <c:pt idx="7">
                  <c:v>8/2024</c:v>
                </c:pt>
                <c:pt idx="8">
                  <c:v>9/2024</c:v>
                </c:pt>
                <c:pt idx="9">
                  <c:v>10/2024</c:v>
                </c:pt>
                <c:pt idx="10">
                  <c:v>11/2024</c:v>
                </c:pt>
                <c:pt idx="11">
                  <c:v>12/2024</c:v>
                </c:pt>
              </c:strCache>
            </c:strRef>
          </c:cat>
          <c:val>
            <c:numRef>
              <c:f>'Hárok2 (2)'!$E$212:$E$223</c:f>
              <c:numCache>
                <c:formatCode>General</c:formatCode>
                <c:ptCount val="12"/>
                <c:pt idx="0">
                  <c:v>9.9999999999994316E-2</c:v>
                </c:pt>
                <c:pt idx="1">
                  <c:v>0.29999999999999716</c:v>
                </c:pt>
                <c:pt idx="2">
                  <c:v>0.20000000000000284</c:v>
                </c:pt>
                <c:pt idx="3">
                  <c:v>-1.2000000000000028</c:v>
                </c:pt>
                <c:pt idx="4">
                  <c:v>0.5</c:v>
                </c:pt>
                <c:pt idx="5">
                  <c:v>-0.20000000000000284</c:v>
                </c:pt>
                <c:pt idx="6">
                  <c:v>9.9999999999994316E-2</c:v>
                </c:pt>
                <c:pt idx="7">
                  <c:v>-9.9999999999994316E-2</c:v>
                </c:pt>
                <c:pt idx="8">
                  <c:v>-9.9999999999994316E-2</c:v>
                </c:pt>
                <c:pt idx="9">
                  <c:v>0.20000000000000284</c:v>
                </c:pt>
                <c:pt idx="10">
                  <c:v>-0.59999999999999432</c:v>
                </c:pt>
                <c:pt idx="11">
                  <c:v>0.20000000000000284</c:v>
                </c:pt>
              </c:numCache>
            </c:numRef>
          </c:val>
          <c:smooth val="0"/>
          <c:extLst>
            <c:ext xmlns:c16="http://schemas.microsoft.com/office/drawing/2014/chart" uri="{C3380CC4-5D6E-409C-BE32-E72D297353CC}">
              <c16:uniqueId val="{00000001-D97D-4BD0-85D9-9F747CE1CC49}"/>
            </c:ext>
          </c:extLst>
        </c:ser>
        <c:ser>
          <c:idx val="5"/>
          <c:order val="2"/>
          <c:tx>
            <c:strRef>
              <c:f>'Hárok2 (2)'!$G$199</c:f>
              <c:strCache>
                <c:ptCount val="1"/>
                <c:pt idx="0">
                  <c:v>TELEFÓNNE A FAXOVÉ SLUŽBY (08.3)</c:v>
                </c:pt>
              </c:strCache>
            </c:strRef>
          </c:tx>
          <c:spPr>
            <a:ln w="28575" cap="rnd">
              <a:solidFill>
                <a:schemeClr val="accent6"/>
              </a:solidFill>
              <a:round/>
            </a:ln>
            <a:effectLst/>
          </c:spPr>
          <c:marker>
            <c:symbol val="none"/>
          </c:marker>
          <c:cat>
            <c:strRef>
              <c:f>'Hárok2 (2)'!$A$212:$A$223</c:f>
              <c:strCache>
                <c:ptCount val="12"/>
                <c:pt idx="0">
                  <c:v>1/2024</c:v>
                </c:pt>
                <c:pt idx="1">
                  <c:v>2/2024</c:v>
                </c:pt>
                <c:pt idx="2">
                  <c:v>3/2024</c:v>
                </c:pt>
                <c:pt idx="3">
                  <c:v>4/2024</c:v>
                </c:pt>
                <c:pt idx="4">
                  <c:v>5/2024</c:v>
                </c:pt>
                <c:pt idx="5">
                  <c:v>6/2024</c:v>
                </c:pt>
                <c:pt idx="6">
                  <c:v>7/2024</c:v>
                </c:pt>
                <c:pt idx="7">
                  <c:v>8/2024</c:v>
                </c:pt>
                <c:pt idx="8">
                  <c:v>9/2024</c:v>
                </c:pt>
                <c:pt idx="9">
                  <c:v>10/2024</c:v>
                </c:pt>
                <c:pt idx="10">
                  <c:v>11/2024</c:v>
                </c:pt>
                <c:pt idx="11">
                  <c:v>12/2024</c:v>
                </c:pt>
              </c:strCache>
            </c:strRef>
          </c:cat>
          <c:val>
            <c:numRef>
              <c:f>'Hárok2 (2)'!$G$212:$G$223</c:f>
              <c:numCache>
                <c:formatCode>General</c:formatCode>
                <c:ptCount val="12"/>
                <c:pt idx="0">
                  <c:v>0.79999999999999716</c:v>
                </c:pt>
                <c:pt idx="1">
                  <c:v>0</c:v>
                </c:pt>
                <c:pt idx="2">
                  <c:v>0.5</c:v>
                </c:pt>
                <c:pt idx="3">
                  <c:v>9.9999999999994316E-2</c:v>
                </c:pt>
                <c:pt idx="4">
                  <c:v>0</c:v>
                </c:pt>
                <c:pt idx="5">
                  <c:v>0</c:v>
                </c:pt>
                <c:pt idx="6">
                  <c:v>0.90000000000000568</c:v>
                </c:pt>
                <c:pt idx="7">
                  <c:v>0.40000000000000568</c:v>
                </c:pt>
                <c:pt idx="8">
                  <c:v>0</c:v>
                </c:pt>
                <c:pt idx="9">
                  <c:v>0.40000000000000568</c:v>
                </c:pt>
                <c:pt idx="10">
                  <c:v>0</c:v>
                </c:pt>
                <c:pt idx="11">
                  <c:v>0</c:v>
                </c:pt>
              </c:numCache>
            </c:numRef>
          </c:val>
          <c:smooth val="0"/>
          <c:extLst>
            <c:ext xmlns:c16="http://schemas.microsoft.com/office/drawing/2014/chart" uri="{C3380CC4-5D6E-409C-BE32-E72D297353CC}">
              <c16:uniqueId val="{00000002-D97D-4BD0-85D9-9F747CE1CC49}"/>
            </c:ext>
          </c:extLst>
        </c:ser>
        <c:dLbls>
          <c:showLegendKey val="0"/>
          <c:showVal val="0"/>
          <c:showCatName val="0"/>
          <c:showSerName val="0"/>
          <c:showPercent val="0"/>
          <c:showBubbleSize val="0"/>
        </c:dLbls>
        <c:smooth val="0"/>
        <c:axId val="1535998160"/>
        <c:axId val="1535985680"/>
      </c:lineChart>
      <c:catAx>
        <c:axId val="1535998160"/>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1535985680"/>
        <c:crosses val="autoZero"/>
        <c:auto val="1"/>
        <c:lblAlgn val="ctr"/>
        <c:lblOffset val="100"/>
        <c:noMultiLvlLbl val="0"/>
      </c:catAx>
      <c:valAx>
        <c:axId val="1535985680"/>
        <c:scaling>
          <c:orientation val="minMax"/>
          <c:max val="1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1535998160"/>
        <c:crosses val="autoZero"/>
        <c:crossBetween val="between"/>
      </c:valAx>
      <c:spPr>
        <a:noFill/>
        <a:ln>
          <a:noFill/>
        </a:ln>
        <a:effectLst/>
      </c:spPr>
    </c:plotArea>
    <c:legend>
      <c:legendPos val="b"/>
      <c:layout>
        <c:manualLayout>
          <c:xMode val="edge"/>
          <c:yMode val="edge"/>
          <c:x val="5.6508710118869515E-2"/>
          <c:y val="0.85450651875058026"/>
          <c:w val="0.91208795750924831"/>
          <c:h val="0.1226711153308194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sk-SK"/>
    </a:p>
  </c:txPr>
  <c:externalData r:id="rId3">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0"/>
          <c:tx>
            <c:strRef>
              <c:f>'Hárok2 (2)'!$C$226</c:f>
              <c:strCache>
                <c:ptCount val="1"/>
                <c:pt idx="0">
                  <c:v>AUDIOVIZUÁLNA A FOTOGRAFICKÁ TECHNIKA, ZARIADENIA NA SPRACOVANIE INFORMÁCIÍ (09.1)</c:v>
                </c:pt>
              </c:strCache>
            </c:strRef>
          </c:tx>
          <c:spPr>
            <a:ln w="28575" cap="rnd">
              <a:solidFill>
                <a:schemeClr val="accent2"/>
              </a:solidFill>
              <a:round/>
            </a:ln>
            <a:effectLst/>
          </c:spPr>
          <c:marker>
            <c:symbol val="none"/>
          </c:marker>
          <c:cat>
            <c:strRef>
              <c:f>'Hárok2 (2)'!$A$239:$A$250</c:f>
              <c:strCache>
                <c:ptCount val="12"/>
                <c:pt idx="0">
                  <c:v>1/2024</c:v>
                </c:pt>
                <c:pt idx="1">
                  <c:v>2/2024</c:v>
                </c:pt>
                <c:pt idx="2">
                  <c:v>3/2024</c:v>
                </c:pt>
                <c:pt idx="3">
                  <c:v>4/2024</c:v>
                </c:pt>
                <c:pt idx="4">
                  <c:v>5/2024</c:v>
                </c:pt>
                <c:pt idx="5">
                  <c:v>6/2024</c:v>
                </c:pt>
                <c:pt idx="6">
                  <c:v>7/2024</c:v>
                </c:pt>
                <c:pt idx="7">
                  <c:v>8/2024</c:v>
                </c:pt>
                <c:pt idx="8">
                  <c:v>9/2024</c:v>
                </c:pt>
                <c:pt idx="9">
                  <c:v>10/2024</c:v>
                </c:pt>
                <c:pt idx="10">
                  <c:v>11/2024</c:v>
                </c:pt>
                <c:pt idx="11">
                  <c:v>12/2024</c:v>
                </c:pt>
              </c:strCache>
            </c:strRef>
          </c:cat>
          <c:val>
            <c:numRef>
              <c:f>'Hárok2 (2)'!$C$239:$C$250</c:f>
              <c:numCache>
                <c:formatCode>General</c:formatCode>
                <c:ptCount val="12"/>
                <c:pt idx="0">
                  <c:v>-0.59999999999999432</c:v>
                </c:pt>
                <c:pt idx="1">
                  <c:v>0</c:v>
                </c:pt>
                <c:pt idx="2">
                  <c:v>-0.59999999999999432</c:v>
                </c:pt>
                <c:pt idx="3">
                  <c:v>-0.5</c:v>
                </c:pt>
                <c:pt idx="4">
                  <c:v>-0.90000000000000568</c:v>
                </c:pt>
                <c:pt idx="5">
                  <c:v>-0.29999999999999716</c:v>
                </c:pt>
                <c:pt idx="6">
                  <c:v>-0.79999999999999716</c:v>
                </c:pt>
                <c:pt idx="7">
                  <c:v>-0.5</c:v>
                </c:pt>
                <c:pt idx="8">
                  <c:v>0</c:v>
                </c:pt>
                <c:pt idx="9">
                  <c:v>0.40000000000000568</c:v>
                </c:pt>
                <c:pt idx="10">
                  <c:v>-0.40000000000000568</c:v>
                </c:pt>
                <c:pt idx="11">
                  <c:v>0.20000000000000284</c:v>
                </c:pt>
              </c:numCache>
            </c:numRef>
          </c:val>
          <c:smooth val="0"/>
          <c:extLst>
            <c:ext xmlns:c16="http://schemas.microsoft.com/office/drawing/2014/chart" uri="{C3380CC4-5D6E-409C-BE32-E72D297353CC}">
              <c16:uniqueId val="{00000000-8D0B-4090-A63D-8037B3C7328C}"/>
            </c:ext>
          </c:extLst>
        </c:ser>
        <c:ser>
          <c:idx val="7"/>
          <c:order val="1"/>
          <c:tx>
            <c:strRef>
              <c:f>'Hárok2 (2)'!$I$226</c:f>
              <c:strCache>
                <c:ptCount val="1"/>
                <c:pt idx="0">
                  <c:v>OSTATNÉ VÝZNAMNEJŠIE TOVARY DLHODOBEJ SPOTREBY NA REKREÁCIU A KULTÚRU (09.2)</c:v>
                </c:pt>
              </c:strCache>
            </c:strRef>
          </c:tx>
          <c:spPr>
            <a:ln w="28575" cap="rnd">
              <a:solidFill>
                <a:schemeClr val="accent2">
                  <a:lumMod val="60000"/>
                </a:schemeClr>
              </a:solidFill>
              <a:round/>
            </a:ln>
            <a:effectLst/>
          </c:spPr>
          <c:marker>
            <c:symbol val="none"/>
          </c:marker>
          <c:cat>
            <c:strRef>
              <c:f>'Hárok2 (2)'!$A$239:$A$250</c:f>
              <c:strCache>
                <c:ptCount val="12"/>
                <c:pt idx="0">
                  <c:v>1/2024</c:v>
                </c:pt>
                <c:pt idx="1">
                  <c:v>2/2024</c:v>
                </c:pt>
                <c:pt idx="2">
                  <c:v>3/2024</c:v>
                </c:pt>
                <c:pt idx="3">
                  <c:v>4/2024</c:v>
                </c:pt>
                <c:pt idx="4">
                  <c:v>5/2024</c:v>
                </c:pt>
                <c:pt idx="5">
                  <c:v>6/2024</c:v>
                </c:pt>
                <c:pt idx="6">
                  <c:v>7/2024</c:v>
                </c:pt>
                <c:pt idx="7">
                  <c:v>8/2024</c:v>
                </c:pt>
                <c:pt idx="8">
                  <c:v>9/2024</c:v>
                </c:pt>
                <c:pt idx="9">
                  <c:v>10/2024</c:v>
                </c:pt>
                <c:pt idx="10">
                  <c:v>11/2024</c:v>
                </c:pt>
                <c:pt idx="11">
                  <c:v>12/2024</c:v>
                </c:pt>
              </c:strCache>
            </c:strRef>
          </c:cat>
          <c:val>
            <c:numRef>
              <c:f>'Hárok2 (2)'!$I$239:$I$250</c:f>
              <c:numCache>
                <c:formatCode>General</c:formatCode>
                <c:ptCount val="12"/>
                <c:pt idx="0">
                  <c:v>0.59999999999999432</c:v>
                </c:pt>
                <c:pt idx="1">
                  <c:v>1.7000000000000028</c:v>
                </c:pt>
                <c:pt idx="2">
                  <c:v>-0.40000000000000568</c:v>
                </c:pt>
                <c:pt idx="3">
                  <c:v>0</c:v>
                </c:pt>
                <c:pt idx="4">
                  <c:v>0</c:v>
                </c:pt>
                <c:pt idx="5">
                  <c:v>0</c:v>
                </c:pt>
                <c:pt idx="6">
                  <c:v>0.40000000000000568</c:v>
                </c:pt>
                <c:pt idx="7">
                  <c:v>0.20000000000000284</c:v>
                </c:pt>
                <c:pt idx="8">
                  <c:v>-0.40000000000000568</c:v>
                </c:pt>
                <c:pt idx="9">
                  <c:v>0.79999999999999716</c:v>
                </c:pt>
                <c:pt idx="10">
                  <c:v>0.29999999999999716</c:v>
                </c:pt>
                <c:pt idx="11">
                  <c:v>-0.29999999999999716</c:v>
                </c:pt>
              </c:numCache>
            </c:numRef>
          </c:val>
          <c:smooth val="0"/>
          <c:extLst>
            <c:ext xmlns:c16="http://schemas.microsoft.com/office/drawing/2014/chart" uri="{C3380CC4-5D6E-409C-BE32-E72D297353CC}">
              <c16:uniqueId val="{00000001-8D0B-4090-A63D-8037B3C7328C}"/>
            </c:ext>
          </c:extLst>
        </c:ser>
        <c:ser>
          <c:idx val="9"/>
          <c:order val="2"/>
          <c:tx>
            <c:strRef>
              <c:f>'Hárok2 (2)'!$K$226</c:f>
              <c:strCache>
                <c:ptCount val="1"/>
                <c:pt idx="0">
                  <c:v>OSTATNÉ POTREBY A ZARIADENIA NA REKREÁCIU, DO ZÁHRADY A PRE DOMÁCE ZVIERATÁ (09.3)</c:v>
                </c:pt>
              </c:strCache>
            </c:strRef>
          </c:tx>
          <c:spPr>
            <a:ln w="28575" cap="rnd">
              <a:solidFill>
                <a:schemeClr val="accent4">
                  <a:lumMod val="60000"/>
                </a:schemeClr>
              </a:solidFill>
              <a:round/>
            </a:ln>
            <a:effectLst/>
          </c:spPr>
          <c:marker>
            <c:symbol val="none"/>
          </c:marker>
          <c:cat>
            <c:strRef>
              <c:f>'Hárok2 (2)'!$A$239:$A$250</c:f>
              <c:strCache>
                <c:ptCount val="12"/>
                <c:pt idx="0">
                  <c:v>1/2024</c:v>
                </c:pt>
                <c:pt idx="1">
                  <c:v>2/2024</c:v>
                </c:pt>
                <c:pt idx="2">
                  <c:v>3/2024</c:v>
                </c:pt>
                <c:pt idx="3">
                  <c:v>4/2024</c:v>
                </c:pt>
                <c:pt idx="4">
                  <c:v>5/2024</c:v>
                </c:pt>
                <c:pt idx="5">
                  <c:v>6/2024</c:v>
                </c:pt>
                <c:pt idx="6">
                  <c:v>7/2024</c:v>
                </c:pt>
                <c:pt idx="7">
                  <c:v>8/2024</c:v>
                </c:pt>
                <c:pt idx="8">
                  <c:v>9/2024</c:v>
                </c:pt>
                <c:pt idx="9">
                  <c:v>10/2024</c:v>
                </c:pt>
                <c:pt idx="10">
                  <c:v>11/2024</c:v>
                </c:pt>
                <c:pt idx="11">
                  <c:v>12/2024</c:v>
                </c:pt>
              </c:strCache>
            </c:strRef>
          </c:cat>
          <c:val>
            <c:numRef>
              <c:f>'Hárok2 (2)'!$K$239:$K$250</c:f>
              <c:numCache>
                <c:formatCode>General</c:formatCode>
                <c:ptCount val="12"/>
                <c:pt idx="0">
                  <c:v>-9.9999999999994316E-2</c:v>
                </c:pt>
                <c:pt idx="1">
                  <c:v>0.79999999999999716</c:v>
                </c:pt>
                <c:pt idx="2">
                  <c:v>0.29999999999999716</c:v>
                </c:pt>
                <c:pt idx="3">
                  <c:v>0.40000000000000568</c:v>
                </c:pt>
                <c:pt idx="4">
                  <c:v>-0.29999999999999716</c:v>
                </c:pt>
                <c:pt idx="5">
                  <c:v>0.20000000000000284</c:v>
                </c:pt>
                <c:pt idx="6">
                  <c:v>-0.20000000000000284</c:v>
                </c:pt>
                <c:pt idx="7">
                  <c:v>1.0999999999999943</c:v>
                </c:pt>
                <c:pt idx="8">
                  <c:v>-0.5</c:v>
                </c:pt>
                <c:pt idx="9">
                  <c:v>0.5</c:v>
                </c:pt>
                <c:pt idx="10">
                  <c:v>1</c:v>
                </c:pt>
                <c:pt idx="11">
                  <c:v>0</c:v>
                </c:pt>
              </c:numCache>
            </c:numRef>
          </c:val>
          <c:smooth val="0"/>
          <c:extLst>
            <c:ext xmlns:c16="http://schemas.microsoft.com/office/drawing/2014/chart" uri="{C3380CC4-5D6E-409C-BE32-E72D297353CC}">
              <c16:uniqueId val="{00000002-8D0B-4090-A63D-8037B3C7328C}"/>
            </c:ext>
          </c:extLst>
        </c:ser>
        <c:ser>
          <c:idx val="15"/>
          <c:order val="3"/>
          <c:tx>
            <c:strRef>
              <c:f>'Hárok2 (2)'!$Q$226</c:f>
              <c:strCache>
                <c:ptCount val="1"/>
                <c:pt idx="0">
                  <c:v>REKREAČNÉ SLUŽBY A KULTÚRA (09.4)</c:v>
                </c:pt>
              </c:strCache>
            </c:strRef>
          </c:tx>
          <c:spPr>
            <a:ln w="28575" cap="rnd">
              <a:solidFill>
                <a:schemeClr val="accent4">
                  <a:lumMod val="80000"/>
                  <a:lumOff val="20000"/>
                </a:schemeClr>
              </a:solidFill>
              <a:round/>
            </a:ln>
            <a:effectLst/>
          </c:spPr>
          <c:marker>
            <c:symbol val="none"/>
          </c:marker>
          <c:cat>
            <c:strRef>
              <c:f>'Hárok2 (2)'!$A$239:$A$250</c:f>
              <c:strCache>
                <c:ptCount val="12"/>
                <c:pt idx="0">
                  <c:v>1/2024</c:v>
                </c:pt>
                <c:pt idx="1">
                  <c:v>2/2024</c:v>
                </c:pt>
                <c:pt idx="2">
                  <c:v>3/2024</c:v>
                </c:pt>
                <c:pt idx="3">
                  <c:v>4/2024</c:v>
                </c:pt>
                <c:pt idx="4">
                  <c:v>5/2024</c:v>
                </c:pt>
                <c:pt idx="5">
                  <c:v>6/2024</c:v>
                </c:pt>
                <c:pt idx="6">
                  <c:v>7/2024</c:v>
                </c:pt>
                <c:pt idx="7">
                  <c:v>8/2024</c:v>
                </c:pt>
                <c:pt idx="8">
                  <c:v>9/2024</c:v>
                </c:pt>
                <c:pt idx="9">
                  <c:v>10/2024</c:v>
                </c:pt>
                <c:pt idx="10">
                  <c:v>11/2024</c:v>
                </c:pt>
                <c:pt idx="11">
                  <c:v>12/2024</c:v>
                </c:pt>
              </c:strCache>
            </c:strRef>
          </c:cat>
          <c:val>
            <c:numRef>
              <c:f>'Hárok2 (2)'!$Q$239:$Q$250</c:f>
              <c:numCache>
                <c:formatCode>General</c:formatCode>
                <c:ptCount val="12"/>
                <c:pt idx="0">
                  <c:v>1.4000000000000057</c:v>
                </c:pt>
                <c:pt idx="1">
                  <c:v>0.59999999999999432</c:v>
                </c:pt>
                <c:pt idx="2">
                  <c:v>0.20000000000000284</c:v>
                </c:pt>
                <c:pt idx="3">
                  <c:v>0.5</c:v>
                </c:pt>
                <c:pt idx="4">
                  <c:v>0.59999999999999432</c:v>
                </c:pt>
                <c:pt idx="5">
                  <c:v>0.79999999999999716</c:v>
                </c:pt>
                <c:pt idx="6">
                  <c:v>0.79999999999999716</c:v>
                </c:pt>
                <c:pt idx="7">
                  <c:v>-0.29999999999999716</c:v>
                </c:pt>
                <c:pt idx="8">
                  <c:v>-0.29999999999999716</c:v>
                </c:pt>
                <c:pt idx="9">
                  <c:v>9.9999999999994316E-2</c:v>
                </c:pt>
                <c:pt idx="10">
                  <c:v>0.70000000000000284</c:v>
                </c:pt>
                <c:pt idx="11">
                  <c:v>-9.9999999999994316E-2</c:v>
                </c:pt>
              </c:numCache>
            </c:numRef>
          </c:val>
          <c:smooth val="0"/>
          <c:extLst>
            <c:ext xmlns:c16="http://schemas.microsoft.com/office/drawing/2014/chart" uri="{C3380CC4-5D6E-409C-BE32-E72D297353CC}">
              <c16:uniqueId val="{00000003-8D0B-4090-A63D-8037B3C7328C}"/>
            </c:ext>
          </c:extLst>
        </c:ser>
        <c:ser>
          <c:idx val="18"/>
          <c:order val="4"/>
          <c:tx>
            <c:strRef>
              <c:f>'Hárok2 (2)'!$T$226</c:f>
              <c:strCache>
                <c:ptCount val="1"/>
                <c:pt idx="0">
                  <c:v>NOVINY, KNIHY A KANCELÁRSKE POTREBY (09.5)</c:v>
                </c:pt>
              </c:strCache>
            </c:strRef>
          </c:tx>
          <c:spPr>
            <a:ln w="28575" cap="rnd">
              <a:solidFill>
                <a:schemeClr val="accent1">
                  <a:lumMod val="80000"/>
                </a:schemeClr>
              </a:solidFill>
              <a:round/>
            </a:ln>
            <a:effectLst/>
          </c:spPr>
          <c:marker>
            <c:symbol val="none"/>
          </c:marker>
          <c:cat>
            <c:strRef>
              <c:f>'Hárok2 (2)'!$A$239:$A$250</c:f>
              <c:strCache>
                <c:ptCount val="12"/>
                <c:pt idx="0">
                  <c:v>1/2024</c:v>
                </c:pt>
                <c:pt idx="1">
                  <c:v>2/2024</c:v>
                </c:pt>
                <c:pt idx="2">
                  <c:v>3/2024</c:v>
                </c:pt>
                <c:pt idx="3">
                  <c:v>4/2024</c:v>
                </c:pt>
                <c:pt idx="4">
                  <c:v>5/2024</c:v>
                </c:pt>
                <c:pt idx="5">
                  <c:v>6/2024</c:v>
                </c:pt>
                <c:pt idx="6">
                  <c:v>7/2024</c:v>
                </c:pt>
                <c:pt idx="7">
                  <c:v>8/2024</c:v>
                </c:pt>
                <c:pt idx="8">
                  <c:v>9/2024</c:v>
                </c:pt>
                <c:pt idx="9">
                  <c:v>10/2024</c:v>
                </c:pt>
                <c:pt idx="10">
                  <c:v>11/2024</c:v>
                </c:pt>
                <c:pt idx="11">
                  <c:v>12/2024</c:v>
                </c:pt>
              </c:strCache>
            </c:strRef>
          </c:cat>
          <c:val>
            <c:numRef>
              <c:f>'Hárok2 (2)'!$T$239:$T$250</c:f>
              <c:numCache>
                <c:formatCode>General</c:formatCode>
                <c:ptCount val="12"/>
                <c:pt idx="0">
                  <c:v>2.2000000000000028</c:v>
                </c:pt>
                <c:pt idx="1">
                  <c:v>0.40000000000000568</c:v>
                </c:pt>
                <c:pt idx="2">
                  <c:v>9.9999999999994316E-2</c:v>
                </c:pt>
                <c:pt idx="3">
                  <c:v>0.20000000000000284</c:v>
                </c:pt>
                <c:pt idx="4">
                  <c:v>0.29999999999999716</c:v>
                </c:pt>
                <c:pt idx="5">
                  <c:v>9.9999999999994316E-2</c:v>
                </c:pt>
                <c:pt idx="6">
                  <c:v>9.9999999999994316E-2</c:v>
                </c:pt>
                <c:pt idx="7">
                  <c:v>-9.9999999999994316E-2</c:v>
                </c:pt>
                <c:pt idx="8">
                  <c:v>0</c:v>
                </c:pt>
                <c:pt idx="9">
                  <c:v>0.70000000000000284</c:v>
                </c:pt>
                <c:pt idx="10">
                  <c:v>0.20000000000000284</c:v>
                </c:pt>
                <c:pt idx="11">
                  <c:v>4.2999999999999972</c:v>
                </c:pt>
              </c:numCache>
            </c:numRef>
          </c:val>
          <c:smooth val="0"/>
          <c:extLst>
            <c:ext xmlns:c16="http://schemas.microsoft.com/office/drawing/2014/chart" uri="{C3380CC4-5D6E-409C-BE32-E72D297353CC}">
              <c16:uniqueId val="{00000004-8D0B-4090-A63D-8037B3C7328C}"/>
            </c:ext>
          </c:extLst>
        </c:ser>
        <c:ser>
          <c:idx val="23"/>
          <c:order val="5"/>
          <c:tx>
            <c:strRef>
              <c:f>'Hárok2 (2)'!$Y$226</c:f>
              <c:strCache>
                <c:ptCount val="1"/>
                <c:pt idx="0">
                  <c:v>ORGANIZOVANÉ DOVOLENKOVÉ ZÁJAZDY (09.6)</c:v>
                </c:pt>
              </c:strCache>
            </c:strRef>
          </c:tx>
          <c:spPr>
            <a:ln w="28575" cap="rnd">
              <a:solidFill>
                <a:schemeClr val="accent6">
                  <a:lumMod val="80000"/>
                </a:schemeClr>
              </a:solidFill>
              <a:round/>
            </a:ln>
            <a:effectLst/>
          </c:spPr>
          <c:marker>
            <c:symbol val="none"/>
          </c:marker>
          <c:cat>
            <c:strRef>
              <c:f>'Hárok2 (2)'!$A$239:$A$250</c:f>
              <c:strCache>
                <c:ptCount val="12"/>
                <c:pt idx="0">
                  <c:v>1/2024</c:v>
                </c:pt>
                <c:pt idx="1">
                  <c:v>2/2024</c:v>
                </c:pt>
                <c:pt idx="2">
                  <c:v>3/2024</c:v>
                </c:pt>
                <c:pt idx="3">
                  <c:v>4/2024</c:v>
                </c:pt>
                <c:pt idx="4">
                  <c:v>5/2024</c:v>
                </c:pt>
                <c:pt idx="5">
                  <c:v>6/2024</c:v>
                </c:pt>
                <c:pt idx="6">
                  <c:v>7/2024</c:v>
                </c:pt>
                <c:pt idx="7">
                  <c:v>8/2024</c:v>
                </c:pt>
                <c:pt idx="8">
                  <c:v>9/2024</c:v>
                </c:pt>
                <c:pt idx="9">
                  <c:v>10/2024</c:v>
                </c:pt>
                <c:pt idx="10">
                  <c:v>11/2024</c:v>
                </c:pt>
                <c:pt idx="11">
                  <c:v>12/2024</c:v>
                </c:pt>
              </c:strCache>
            </c:strRef>
          </c:cat>
          <c:val>
            <c:numRef>
              <c:f>'Hárok2 (2)'!$Y$239:$Y$250</c:f>
              <c:numCache>
                <c:formatCode>General</c:formatCode>
                <c:ptCount val="12"/>
                <c:pt idx="0">
                  <c:v>0.90000000000000568</c:v>
                </c:pt>
                <c:pt idx="1">
                  <c:v>0.79999999999999716</c:v>
                </c:pt>
                <c:pt idx="2">
                  <c:v>-0.29999999999999716</c:v>
                </c:pt>
                <c:pt idx="3">
                  <c:v>-0.29999999999999716</c:v>
                </c:pt>
                <c:pt idx="4">
                  <c:v>0.40000000000000568</c:v>
                </c:pt>
                <c:pt idx="5">
                  <c:v>6</c:v>
                </c:pt>
                <c:pt idx="6">
                  <c:v>6.7000000000000028</c:v>
                </c:pt>
                <c:pt idx="7">
                  <c:v>0.79999999999999716</c:v>
                </c:pt>
                <c:pt idx="8">
                  <c:v>-6.5</c:v>
                </c:pt>
                <c:pt idx="9">
                  <c:v>-0.29999999999999716</c:v>
                </c:pt>
                <c:pt idx="10">
                  <c:v>0</c:v>
                </c:pt>
                <c:pt idx="11">
                  <c:v>-9.9999999999994316E-2</c:v>
                </c:pt>
              </c:numCache>
            </c:numRef>
          </c:val>
          <c:smooth val="0"/>
          <c:extLst>
            <c:ext xmlns:c16="http://schemas.microsoft.com/office/drawing/2014/chart" uri="{C3380CC4-5D6E-409C-BE32-E72D297353CC}">
              <c16:uniqueId val="{00000005-8D0B-4090-A63D-8037B3C7328C}"/>
            </c:ext>
          </c:extLst>
        </c:ser>
        <c:dLbls>
          <c:showLegendKey val="0"/>
          <c:showVal val="0"/>
          <c:showCatName val="0"/>
          <c:showSerName val="0"/>
          <c:showPercent val="0"/>
          <c:showBubbleSize val="0"/>
        </c:dLbls>
        <c:smooth val="0"/>
        <c:axId val="418943840"/>
        <c:axId val="418944320"/>
      </c:lineChart>
      <c:catAx>
        <c:axId val="418943840"/>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418944320"/>
        <c:crosses val="autoZero"/>
        <c:auto val="1"/>
        <c:lblAlgn val="ctr"/>
        <c:lblOffset val="100"/>
        <c:noMultiLvlLbl val="0"/>
      </c:catAx>
      <c:valAx>
        <c:axId val="418944320"/>
        <c:scaling>
          <c:orientation val="minMax"/>
          <c:max val="7"/>
          <c:min val="-7"/>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4189438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sk-SK"/>
    </a:p>
  </c:txPr>
  <c:externalData r:id="rId3">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0"/>
          <c:tx>
            <c:strRef>
              <c:f>'Hárok2 (2)'!$C$253</c:f>
              <c:strCache>
                <c:ptCount val="1"/>
                <c:pt idx="0">
                  <c:v>PREDPRIMÁRNE A PRIMÁRNE VZDELÁVANIE (10.1)</c:v>
                </c:pt>
              </c:strCache>
            </c:strRef>
          </c:tx>
          <c:spPr>
            <a:ln w="28575" cap="rnd">
              <a:solidFill>
                <a:schemeClr val="accent2"/>
              </a:solidFill>
              <a:round/>
            </a:ln>
            <a:effectLst/>
          </c:spPr>
          <c:marker>
            <c:symbol val="none"/>
          </c:marker>
          <c:cat>
            <c:strRef>
              <c:f>'Hárok2 (2)'!$A$266:$A$277</c:f>
              <c:strCache>
                <c:ptCount val="12"/>
                <c:pt idx="0">
                  <c:v>1/2024</c:v>
                </c:pt>
                <c:pt idx="1">
                  <c:v>2/2024</c:v>
                </c:pt>
                <c:pt idx="2">
                  <c:v>3/2024</c:v>
                </c:pt>
                <c:pt idx="3">
                  <c:v>4/2024</c:v>
                </c:pt>
                <c:pt idx="4">
                  <c:v>5/2024</c:v>
                </c:pt>
                <c:pt idx="5">
                  <c:v>6/2024</c:v>
                </c:pt>
                <c:pt idx="6">
                  <c:v>7/2024</c:v>
                </c:pt>
                <c:pt idx="7">
                  <c:v>8/2024</c:v>
                </c:pt>
                <c:pt idx="8">
                  <c:v>9/2024</c:v>
                </c:pt>
                <c:pt idx="9">
                  <c:v>10/2024</c:v>
                </c:pt>
                <c:pt idx="10">
                  <c:v>11/2024</c:v>
                </c:pt>
                <c:pt idx="11">
                  <c:v>12/2024</c:v>
                </c:pt>
              </c:strCache>
            </c:strRef>
          </c:cat>
          <c:val>
            <c:numRef>
              <c:f>'Hárok2 (2)'!$C$266:$C$277</c:f>
              <c:numCache>
                <c:formatCode>General</c:formatCode>
                <c:ptCount val="12"/>
                <c:pt idx="0">
                  <c:v>4.2999999999999972</c:v>
                </c:pt>
                <c:pt idx="1">
                  <c:v>3.2999999999999972</c:v>
                </c:pt>
                <c:pt idx="2">
                  <c:v>0</c:v>
                </c:pt>
                <c:pt idx="3">
                  <c:v>1</c:v>
                </c:pt>
                <c:pt idx="4">
                  <c:v>0</c:v>
                </c:pt>
                <c:pt idx="5">
                  <c:v>0</c:v>
                </c:pt>
                <c:pt idx="6">
                  <c:v>0</c:v>
                </c:pt>
                <c:pt idx="7">
                  <c:v>0</c:v>
                </c:pt>
                <c:pt idx="8">
                  <c:v>4.4000000000000057</c:v>
                </c:pt>
                <c:pt idx="9">
                  <c:v>9.9999999999994316E-2</c:v>
                </c:pt>
                <c:pt idx="10">
                  <c:v>0</c:v>
                </c:pt>
                <c:pt idx="11">
                  <c:v>0</c:v>
                </c:pt>
              </c:numCache>
            </c:numRef>
          </c:val>
          <c:smooth val="0"/>
          <c:extLst>
            <c:ext xmlns:c16="http://schemas.microsoft.com/office/drawing/2014/chart" uri="{C3380CC4-5D6E-409C-BE32-E72D297353CC}">
              <c16:uniqueId val="{00000000-3574-4734-9A36-4E9F6DFD5C6E}"/>
            </c:ext>
          </c:extLst>
        </c:ser>
        <c:ser>
          <c:idx val="3"/>
          <c:order val="1"/>
          <c:tx>
            <c:strRef>
              <c:f>'Hárok2 (2)'!$E$253</c:f>
              <c:strCache>
                <c:ptCount val="1"/>
                <c:pt idx="0">
                  <c:v>SEKUNDÁRNE VZDELÁVANIE (10.2)</c:v>
                </c:pt>
              </c:strCache>
            </c:strRef>
          </c:tx>
          <c:spPr>
            <a:ln w="28575" cap="rnd">
              <a:solidFill>
                <a:schemeClr val="accent4"/>
              </a:solidFill>
              <a:round/>
            </a:ln>
            <a:effectLst/>
          </c:spPr>
          <c:marker>
            <c:symbol val="none"/>
          </c:marker>
          <c:cat>
            <c:strRef>
              <c:f>'Hárok2 (2)'!$A$266:$A$277</c:f>
              <c:strCache>
                <c:ptCount val="12"/>
                <c:pt idx="0">
                  <c:v>1/2024</c:v>
                </c:pt>
                <c:pt idx="1">
                  <c:v>2/2024</c:v>
                </c:pt>
                <c:pt idx="2">
                  <c:v>3/2024</c:v>
                </c:pt>
                <c:pt idx="3">
                  <c:v>4/2024</c:v>
                </c:pt>
                <c:pt idx="4">
                  <c:v>5/2024</c:v>
                </c:pt>
                <c:pt idx="5">
                  <c:v>6/2024</c:v>
                </c:pt>
                <c:pt idx="6">
                  <c:v>7/2024</c:v>
                </c:pt>
                <c:pt idx="7">
                  <c:v>8/2024</c:v>
                </c:pt>
                <c:pt idx="8">
                  <c:v>9/2024</c:v>
                </c:pt>
                <c:pt idx="9">
                  <c:v>10/2024</c:v>
                </c:pt>
                <c:pt idx="10">
                  <c:v>11/2024</c:v>
                </c:pt>
                <c:pt idx="11">
                  <c:v>12/2024</c:v>
                </c:pt>
              </c:strCache>
            </c:strRef>
          </c:cat>
          <c:val>
            <c:numRef>
              <c:f>'Hárok2 (2)'!$E$266:$E$277</c:f>
              <c:numCache>
                <c:formatCode>General</c:formatCode>
                <c:ptCount val="12"/>
                <c:pt idx="0">
                  <c:v>1</c:v>
                </c:pt>
                <c:pt idx="1">
                  <c:v>0</c:v>
                </c:pt>
                <c:pt idx="2">
                  <c:v>0</c:v>
                </c:pt>
                <c:pt idx="3">
                  <c:v>0</c:v>
                </c:pt>
                <c:pt idx="4">
                  <c:v>0</c:v>
                </c:pt>
                <c:pt idx="5">
                  <c:v>0</c:v>
                </c:pt>
                <c:pt idx="6">
                  <c:v>0</c:v>
                </c:pt>
                <c:pt idx="7">
                  <c:v>0</c:v>
                </c:pt>
                <c:pt idx="8">
                  <c:v>8.9000000000000057</c:v>
                </c:pt>
                <c:pt idx="9">
                  <c:v>0</c:v>
                </c:pt>
                <c:pt idx="10">
                  <c:v>0</c:v>
                </c:pt>
                <c:pt idx="11">
                  <c:v>0</c:v>
                </c:pt>
              </c:numCache>
            </c:numRef>
          </c:val>
          <c:smooth val="0"/>
          <c:extLst>
            <c:ext xmlns:c16="http://schemas.microsoft.com/office/drawing/2014/chart" uri="{C3380CC4-5D6E-409C-BE32-E72D297353CC}">
              <c16:uniqueId val="{00000001-3574-4734-9A36-4E9F6DFD5C6E}"/>
            </c:ext>
          </c:extLst>
        </c:ser>
        <c:ser>
          <c:idx val="5"/>
          <c:order val="2"/>
          <c:tx>
            <c:strRef>
              <c:f>'Hárok2 (2)'!$G$253</c:f>
              <c:strCache>
                <c:ptCount val="1"/>
                <c:pt idx="0">
                  <c:v>TERCIÁRNE VZDELÁVANIE (10.4)</c:v>
                </c:pt>
              </c:strCache>
            </c:strRef>
          </c:tx>
          <c:spPr>
            <a:ln w="28575" cap="rnd">
              <a:solidFill>
                <a:schemeClr val="accent6"/>
              </a:solidFill>
              <a:round/>
            </a:ln>
            <a:effectLst/>
          </c:spPr>
          <c:marker>
            <c:symbol val="none"/>
          </c:marker>
          <c:cat>
            <c:strRef>
              <c:f>'Hárok2 (2)'!$A$266:$A$277</c:f>
              <c:strCache>
                <c:ptCount val="12"/>
                <c:pt idx="0">
                  <c:v>1/2024</c:v>
                </c:pt>
                <c:pt idx="1">
                  <c:v>2/2024</c:v>
                </c:pt>
                <c:pt idx="2">
                  <c:v>3/2024</c:v>
                </c:pt>
                <c:pt idx="3">
                  <c:v>4/2024</c:v>
                </c:pt>
                <c:pt idx="4">
                  <c:v>5/2024</c:v>
                </c:pt>
                <c:pt idx="5">
                  <c:v>6/2024</c:v>
                </c:pt>
                <c:pt idx="6">
                  <c:v>7/2024</c:v>
                </c:pt>
                <c:pt idx="7">
                  <c:v>8/2024</c:v>
                </c:pt>
                <c:pt idx="8">
                  <c:v>9/2024</c:v>
                </c:pt>
                <c:pt idx="9">
                  <c:v>10/2024</c:v>
                </c:pt>
                <c:pt idx="10">
                  <c:v>11/2024</c:v>
                </c:pt>
                <c:pt idx="11">
                  <c:v>12/2024</c:v>
                </c:pt>
              </c:strCache>
            </c:strRef>
          </c:cat>
          <c:val>
            <c:numRef>
              <c:f>'Hárok2 (2)'!$G$266:$G$277</c:f>
              <c:numCache>
                <c:formatCode>General</c:formatCode>
                <c:ptCount val="12"/>
                <c:pt idx="0">
                  <c:v>0</c:v>
                </c:pt>
                <c:pt idx="1">
                  <c:v>0</c:v>
                </c:pt>
                <c:pt idx="2">
                  <c:v>0</c:v>
                </c:pt>
                <c:pt idx="3">
                  <c:v>0</c:v>
                </c:pt>
                <c:pt idx="4">
                  <c:v>0</c:v>
                </c:pt>
                <c:pt idx="5">
                  <c:v>2.2000000000000028</c:v>
                </c:pt>
                <c:pt idx="6">
                  <c:v>0</c:v>
                </c:pt>
                <c:pt idx="7">
                  <c:v>0</c:v>
                </c:pt>
                <c:pt idx="8">
                  <c:v>0</c:v>
                </c:pt>
                <c:pt idx="9">
                  <c:v>4.4000000000000057</c:v>
                </c:pt>
                <c:pt idx="10">
                  <c:v>0</c:v>
                </c:pt>
                <c:pt idx="11">
                  <c:v>0</c:v>
                </c:pt>
              </c:numCache>
            </c:numRef>
          </c:val>
          <c:smooth val="0"/>
          <c:extLst>
            <c:ext xmlns:c16="http://schemas.microsoft.com/office/drawing/2014/chart" uri="{C3380CC4-5D6E-409C-BE32-E72D297353CC}">
              <c16:uniqueId val="{00000002-3574-4734-9A36-4E9F6DFD5C6E}"/>
            </c:ext>
          </c:extLst>
        </c:ser>
        <c:ser>
          <c:idx val="7"/>
          <c:order val="3"/>
          <c:tx>
            <c:strRef>
              <c:f>'Hárok2 (2)'!$I$253</c:f>
              <c:strCache>
                <c:ptCount val="1"/>
                <c:pt idx="0">
                  <c:v>VZDELÁVANIE, NEDEFINOVATEĽNÉ PODĽA ÚROVNE (10.5)</c:v>
                </c:pt>
              </c:strCache>
            </c:strRef>
          </c:tx>
          <c:spPr>
            <a:ln w="28575" cap="rnd">
              <a:solidFill>
                <a:schemeClr val="accent2">
                  <a:lumMod val="60000"/>
                </a:schemeClr>
              </a:solidFill>
              <a:round/>
            </a:ln>
            <a:effectLst/>
          </c:spPr>
          <c:marker>
            <c:symbol val="none"/>
          </c:marker>
          <c:cat>
            <c:strRef>
              <c:f>'Hárok2 (2)'!$A$266:$A$277</c:f>
              <c:strCache>
                <c:ptCount val="12"/>
                <c:pt idx="0">
                  <c:v>1/2024</c:v>
                </c:pt>
                <c:pt idx="1">
                  <c:v>2/2024</c:v>
                </c:pt>
                <c:pt idx="2">
                  <c:v>3/2024</c:v>
                </c:pt>
                <c:pt idx="3">
                  <c:v>4/2024</c:v>
                </c:pt>
                <c:pt idx="4">
                  <c:v>5/2024</c:v>
                </c:pt>
                <c:pt idx="5">
                  <c:v>6/2024</c:v>
                </c:pt>
                <c:pt idx="6">
                  <c:v>7/2024</c:v>
                </c:pt>
                <c:pt idx="7">
                  <c:v>8/2024</c:v>
                </c:pt>
                <c:pt idx="8">
                  <c:v>9/2024</c:v>
                </c:pt>
                <c:pt idx="9">
                  <c:v>10/2024</c:v>
                </c:pt>
                <c:pt idx="10">
                  <c:v>11/2024</c:v>
                </c:pt>
                <c:pt idx="11">
                  <c:v>12/2024</c:v>
                </c:pt>
              </c:strCache>
            </c:strRef>
          </c:cat>
          <c:val>
            <c:numRef>
              <c:f>'Hárok2 (2)'!$I$266:$I$277</c:f>
              <c:numCache>
                <c:formatCode>General</c:formatCode>
                <c:ptCount val="12"/>
                <c:pt idx="0">
                  <c:v>1.0999999999999943</c:v>
                </c:pt>
                <c:pt idx="1">
                  <c:v>0.70000000000000284</c:v>
                </c:pt>
                <c:pt idx="2">
                  <c:v>-0.20000000000000284</c:v>
                </c:pt>
                <c:pt idx="3">
                  <c:v>0.29999999999999716</c:v>
                </c:pt>
                <c:pt idx="4">
                  <c:v>9.9999999999994316E-2</c:v>
                </c:pt>
                <c:pt idx="5">
                  <c:v>0</c:v>
                </c:pt>
                <c:pt idx="6">
                  <c:v>0</c:v>
                </c:pt>
                <c:pt idx="7">
                  <c:v>0</c:v>
                </c:pt>
                <c:pt idx="8">
                  <c:v>5.5999999999999943</c:v>
                </c:pt>
                <c:pt idx="9">
                  <c:v>9.9999999999994316E-2</c:v>
                </c:pt>
                <c:pt idx="10">
                  <c:v>0.40000000000000568</c:v>
                </c:pt>
                <c:pt idx="11">
                  <c:v>0</c:v>
                </c:pt>
              </c:numCache>
            </c:numRef>
          </c:val>
          <c:smooth val="0"/>
          <c:extLst>
            <c:ext xmlns:c16="http://schemas.microsoft.com/office/drawing/2014/chart" uri="{C3380CC4-5D6E-409C-BE32-E72D297353CC}">
              <c16:uniqueId val="{00000003-3574-4734-9A36-4E9F6DFD5C6E}"/>
            </c:ext>
          </c:extLst>
        </c:ser>
        <c:dLbls>
          <c:showLegendKey val="0"/>
          <c:showVal val="0"/>
          <c:showCatName val="0"/>
          <c:showSerName val="0"/>
          <c:showPercent val="0"/>
          <c:showBubbleSize val="0"/>
        </c:dLbls>
        <c:smooth val="0"/>
        <c:axId val="1081881199"/>
        <c:axId val="1081884079"/>
      </c:lineChart>
      <c:catAx>
        <c:axId val="1081881199"/>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1081884079"/>
        <c:crosses val="autoZero"/>
        <c:auto val="1"/>
        <c:lblAlgn val="ctr"/>
        <c:lblOffset val="100"/>
        <c:noMultiLvlLbl val="0"/>
      </c:catAx>
      <c:valAx>
        <c:axId val="108188407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1081881199"/>
        <c:crosses val="autoZero"/>
        <c:crossBetween val="between"/>
      </c:valAx>
      <c:spPr>
        <a:noFill/>
        <a:ln>
          <a:noFill/>
        </a:ln>
        <a:effectLst/>
      </c:spPr>
    </c:plotArea>
    <c:legend>
      <c:legendPos val="b"/>
      <c:layout>
        <c:manualLayout>
          <c:xMode val="edge"/>
          <c:yMode val="edge"/>
          <c:x val="3.2881271559644563E-2"/>
          <c:y val="0.72612981194011073"/>
          <c:w val="0.91826101333362087"/>
          <c:h val="0.2510478221412890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sk-SK"/>
    </a:p>
  </c:txPr>
  <c:externalData r:id="rId3">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0"/>
          <c:tx>
            <c:strRef>
              <c:f>'Hárok2 (2)'!$C$280</c:f>
              <c:strCache>
                <c:ptCount val="1"/>
                <c:pt idx="0">
                  <c:v>STRAVOVACIE SLUŽBY (11.1)</c:v>
                </c:pt>
              </c:strCache>
            </c:strRef>
          </c:tx>
          <c:spPr>
            <a:ln w="28575" cap="rnd">
              <a:solidFill>
                <a:schemeClr val="accent2"/>
              </a:solidFill>
              <a:round/>
            </a:ln>
            <a:effectLst/>
          </c:spPr>
          <c:marker>
            <c:symbol val="none"/>
          </c:marker>
          <c:cat>
            <c:strRef>
              <c:f>'Hárok2 (2)'!$A$281:$A$304</c:f>
              <c:strCache>
                <c:ptCount val="24"/>
                <c:pt idx="0">
                  <c:v>1/2023</c:v>
                </c:pt>
                <c:pt idx="1">
                  <c:v>2/2023</c:v>
                </c:pt>
                <c:pt idx="2">
                  <c:v>3/2023</c:v>
                </c:pt>
                <c:pt idx="3">
                  <c:v>4/2023</c:v>
                </c:pt>
                <c:pt idx="4">
                  <c:v>5/2023</c:v>
                </c:pt>
                <c:pt idx="5">
                  <c:v>6/2023</c:v>
                </c:pt>
                <c:pt idx="6">
                  <c:v>7/2023</c:v>
                </c:pt>
                <c:pt idx="7">
                  <c:v>8/2023</c:v>
                </c:pt>
                <c:pt idx="8">
                  <c:v>9/2023</c:v>
                </c:pt>
                <c:pt idx="9">
                  <c:v>10/2023</c:v>
                </c:pt>
                <c:pt idx="10">
                  <c:v>11/2023</c:v>
                </c:pt>
                <c:pt idx="11">
                  <c:v>12/2023</c:v>
                </c:pt>
                <c:pt idx="12">
                  <c:v>1/2024</c:v>
                </c:pt>
                <c:pt idx="13">
                  <c:v>2/2024</c:v>
                </c:pt>
                <c:pt idx="14">
                  <c:v>3/2024</c:v>
                </c:pt>
                <c:pt idx="15">
                  <c:v>4/2024</c:v>
                </c:pt>
                <c:pt idx="16">
                  <c:v>5/2024</c:v>
                </c:pt>
                <c:pt idx="17">
                  <c:v>6/2024</c:v>
                </c:pt>
                <c:pt idx="18">
                  <c:v>7/2024</c:v>
                </c:pt>
                <c:pt idx="19">
                  <c:v>8/2024</c:v>
                </c:pt>
                <c:pt idx="20">
                  <c:v>9/2024</c:v>
                </c:pt>
                <c:pt idx="21">
                  <c:v>10/2024</c:v>
                </c:pt>
                <c:pt idx="22">
                  <c:v>11/2024</c:v>
                </c:pt>
                <c:pt idx="23">
                  <c:v>12/2024</c:v>
                </c:pt>
              </c:strCache>
            </c:strRef>
          </c:cat>
          <c:val>
            <c:numRef>
              <c:f>'Hárok2 (2)'!$C$281:$C$304</c:f>
              <c:numCache>
                <c:formatCode>General</c:formatCode>
                <c:ptCount val="24"/>
                <c:pt idx="0">
                  <c:v>6.0999999999999943</c:v>
                </c:pt>
                <c:pt idx="1">
                  <c:v>1.5</c:v>
                </c:pt>
                <c:pt idx="2">
                  <c:v>1.7000000000000028</c:v>
                </c:pt>
                <c:pt idx="3">
                  <c:v>1</c:v>
                </c:pt>
                <c:pt idx="4">
                  <c:v>-4.7999999999999972</c:v>
                </c:pt>
                <c:pt idx="5">
                  <c:v>0.79999999999999716</c:v>
                </c:pt>
                <c:pt idx="6">
                  <c:v>0.5</c:v>
                </c:pt>
                <c:pt idx="7">
                  <c:v>1.0999999999999943</c:v>
                </c:pt>
                <c:pt idx="8">
                  <c:v>0.79999999999999716</c:v>
                </c:pt>
                <c:pt idx="9">
                  <c:v>0.40000000000000568</c:v>
                </c:pt>
                <c:pt idx="10">
                  <c:v>0.20000000000000284</c:v>
                </c:pt>
                <c:pt idx="11">
                  <c:v>0.20000000000000284</c:v>
                </c:pt>
                <c:pt idx="12">
                  <c:v>1.2000000000000028</c:v>
                </c:pt>
                <c:pt idx="13">
                  <c:v>0.40000000000000568</c:v>
                </c:pt>
                <c:pt idx="14">
                  <c:v>0.40000000000000568</c:v>
                </c:pt>
                <c:pt idx="15">
                  <c:v>0.40000000000000568</c:v>
                </c:pt>
                <c:pt idx="16">
                  <c:v>0.5</c:v>
                </c:pt>
                <c:pt idx="17">
                  <c:v>0.29999999999999716</c:v>
                </c:pt>
                <c:pt idx="18">
                  <c:v>0.29999999999999716</c:v>
                </c:pt>
                <c:pt idx="19">
                  <c:v>0.40000000000000568</c:v>
                </c:pt>
                <c:pt idx="20">
                  <c:v>1</c:v>
                </c:pt>
                <c:pt idx="21">
                  <c:v>0.5</c:v>
                </c:pt>
                <c:pt idx="22">
                  <c:v>0.29999999999999716</c:v>
                </c:pt>
                <c:pt idx="23">
                  <c:v>0.20000000000000284</c:v>
                </c:pt>
              </c:numCache>
            </c:numRef>
          </c:val>
          <c:smooth val="0"/>
          <c:extLst>
            <c:ext xmlns:c16="http://schemas.microsoft.com/office/drawing/2014/chart" uri="{C3380CC4-5D6E-409C-BE32-E72D297353CC}">
              <c16:uniqueId val="{00000000-D116-42D9-B40E-0AC598C60E57}"/>
            </c:ext>
          </c:extLst>
        </c:ser>
        <c:ser>
          <c:idx val="4"/>
          <c:order val="1"/>
          <c:tx>
            <c:strRef>
              <c:f>'Hárok2 (2)'!$F$280</c:f>
              <c:strCache>
                <c:ptCount val="1"/>
                <c:pt idx="0">
                  <c:v>UBYTOVACIE SLUŽBY (11.2)</c:v>
                </c:pt>
              </c:strCache>
            </c:strRef>
          </c:tx>
          <c:spPr>
            <a:ln w="28575" cap="rnd">
              <a:solidFill>
                <a:schemeClr val="accent5"/>
              </a:solidFill>
              <a:round/>
            </a:ln>
            <a:effectLst/>
          </c:spPr>
          <c:marker>
            <c:symbol val="none"/>
          </c:marker>
          <c:cat>
            <c:strRef>
              <c:f>'Hárok2 (2)'!$A$281:$A$304</c:f>
              <c:strCache>
                <c:ptCount val="24"/>
                <c:pt idx="0">
                  <c:v>1/2023</c:v>
                </c:pt>
                <c:pt idx="1">
                  <c:v>2/2023</c:v>
                </c:pt>
                <c:pt idx="2">
                  <c:v>3/2023</c:v>
                </c:pt>
                <c:pt idx="3">
                  <c:v>4/2023</c:v>
                </c:pt>
                <c:pt idx="4">
                  <c:v>5/2023</c:v>
                </c:pt>
                <c:pt idx="5">
                  <c:v>6/2023</c:v>
                </c:pt>
                <c:pt idx="6">
                  <c:v>7/2023</c:v>
                </c:pt>
                <c:pt idx="7">
                  <c:v>8/2023</c:v>
                </c:pt>
                <c:pt idx="8">
                  <c:v>9/2023</c:v>
                </c:pt>
                <c:pt idx="9">
                  <c:v>10/2023</c:v>
                </c:pt>
                <c:pt idx="10">
                  <c:v>11/2023</c:v>
                </c:pt>
                <c:pt idx="11">
                  <c:v>12/2023</c:v>
                </c:pt>
                <c:pt idx="12">
                  <c:v>1/2024</c:v>
                </c:pt>
                <c:pt idx="13">
                  <c:v>2/2024</c:v>
                </c:pt>
                <c:pt idx="14">
                  <c:v>3/2024</c:v>
                </c:pt>
                <c:pt idx="15">
                  <c:v>4/2024</c:v>
                </c:pt>
                <c:pt idx="16">
                  <c:v>5/2024</c:v>
                </c:pt>
                <c:pt idx="17">
                  <c:v>6/2024</c:v>
                </c:pt>
                <c:pt idx="18">
                  <c:v>7/2024</c:v>
                </c:pt>
                <c:pt idx="19">
                  <c:v>8/2024</c:v>
                </c:pt>
                <c:pt idx="20">
                  <c:v>9/2024</c:v>
                </c:pt>
                <c:pt idx="21">
                  <c:v>10/2024</c:v>
                </c:pt>
                <c:pt idx="22">
                  <c:v>11/2024</c:v>
                </c:pt>
                <c:pt idx="23">
                  <c:v>12/2024</c:v>
                </c:pt>
              </c:strCache>
            </c:strRef>
          </c:cat>
          <c:val>
            <c:numRef>
              <c:f>'Hárok2 (2)'!$F$281:$F$304</c:f>
              <c:numCache>
                <c:formatCode>General</c:formatCode>
                <c:ptCount val="24"/>
                <c:pt idx="0">
                  <c:v>2.5</c:v>
                </c:pt>
                <c:pt idx="1">
                  <c:v>1.0999999999999943</c:v>
                </c:pt>
                <c:pt idx="2">
                  <c:v>1</c:v>
                </c:pt>
                <c:pt idx="3">
                  <c:v>-0.5</c:v>
                </c:pt>
                <c:pt idx="4">
                  <c:v>1</c:v>
                </c:pt>
                <c:pt idx="5">
                  <c:v>0.5</c:v>
                </c:pt>
                <c:pt idx="6">
                  <c:v>2</c:v>
                </c:pt>
                <c:pt idx="7">
                  <c:v>0.5</c:v>
                </c:pt>
                <c:pt idx="8">
                  <c:v>0.5</c:v>
                </c:pt>
                <c:pt idx="9">
                  <c:v>-0.20000000000000284</c:v>
                </c:pt>
                <c:pt idx="10">
                  <c:v>0.79999999999999716</c:v>
                </c:pt>
                <c:pt idx="11">
                  <c:v>9.9999999999994316E-2</c:v>
                </c:pt>
                <c:pt idx="12">
                  <c:v>1.9000000000000057</c:v>
                </c:pt>
                <c:pt idx="13">
                  <c:v>0.5</c:v>
                </c:pt>
                <c:pt idx="14">
                  <c:v>0.29999999999999716</c:v>
                </c:pt>
                <c:pt idx="15">
                  <c:v>0</c:v>
                </c:pt>
                <c:pt idx="16">
                  <c:v>0.90000000000000568</c:v>
                </c:pt>
                <c:pt idx="17">
                  <c:v>0.59999999999999432</c:v>
                </c:pt>
                <c:pt idx="18">
                  <c:v>0.20000000000000284</c:v>
                </c:pt>
                <c:pt idx="19">
                  <c:v>0.20000000000000284</c:v>
                </c:pt>
                <c:pt idx="20">
                  <c:v>0.40000000000000568</c:v>
                </c:pt>
                <c:pt idx="21">
                  <c:v>-0.20000000000000284</c:v>
                </c:pt>
                <c:pt idx="22">
                  <c:v>0.20000000000000284</c:v>
                </c:pt>
                <c:pt idx="23">
                  <c:v>0</c:v>
                </c:pt>
              </c:numCache>
            </c:numRef>
          </c:val>
          <c:smooth val="0"/>
          <c:extLst>
            <c:ext xmlns:c16="http://schemas.microsoft.com/office/drawing/2014/chart" uri="{C3380CC4-5D6E-409C-BE32-E72D297353CC}">
              <c16:uniqueId val="{00000001-D116-42D9-B40E-0AC598C60E57}"/>
            </c:ext>
          </c:extLst>
        </c:ser>
        <c:dLbls>
          <c:showLegendKey val="0"/>
          <c:showVal val="0"/>
          <c:showCatName val="0"/>
          <c:showSerName val="0"/>
          <c:showPercent val="0"/>
          <c:showBubbleSize val="0"/>
        </c:dLbls>
        <c:smooth val="0"/>
        <c:axId val="273872112"/>
        <c:axId val="1539913024"/>
      </c:lineChart>
      <c:catAx>
        <c:axId val="273872112"/>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1539913024"/>
        <c:crosses val="autoZero"/>
        <c:auto val="1"/>
        <c:lblAlgn val="ctr"/>
        <c:lblOffset val="100"/>
        <c:noMultiLvlLbl val="0"/>
      </c:catAx>
      <c:valAx>
        <c:axId val="1539913024"/>
        <c:scaling>
          <c:orientation val="minMax"/>
          <c:max val="7"/>
          <c:min val="-5"/>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273872112"/>
        <c:crosses val="autoZero"/>
        <c:crossBetween val="between"/>
      </c:valAx>
      <c:spPr>
        <a:noFill/>
        <a:ln>
          <a:noFill/>
        </a:ln>
        <a:effectLst/>
      </c:spPr>
    </c:plotArea>
    <c:legend>
      <c:legendPos val="b"/>
      <c:layout>
        <c:manualLayout>
          <c:xMode val="edge"/>
          <c:yMode val="edge"/>
          <c:x val="2.4846055489212444E-2"/>
          <c:y val="0.91298928067616503"/>
          <c:w val="0.69012284111524747"/>
          <c:h val="6.418835340523476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sk-SK"/>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manualLayout>
          <c:layoutTarget val="inner"/>
          <c:xMode val="edge"/>
          <c:yMode val="edge"/>
          <c:x val="9.6764324081436801E-2"/>
          <c:y val="3.0582779094360777E-2"/>
          <c:w val="0.82777891941329296"/>
          <c:h val="0.74497515480467846"/>
        </c:manualLayout>
      </c:layout>
      <c:areaChart>
        <c:grouping val="percentStacked"/>
        <c:varyColors val="0"/>
        <c:ser>
          <c:idx val="0"/>
          <c:order val="0"/>
          <c:tx>
            <c:strRef>
              <c:f>spolu!$A$47:$C$47</c:f>
              <c:strCache>
                <c:ptCount val="3"/>
                <c:pt idx="0">
                  <c:v>&lt; -1</c:v>
                </c:pt>
              </c:strCache>
            </c:strRef>
          </c:tx>
          <c:spPr>
            <a:solidFill>
              <a:srgbClr val="00B050"/>
            </a:solidFill>
            <a:ln>
              <a:noFill/>
            </a:ln>
            <a:effectLst/>
          </c:spPr>
          <c:cat>
            <c:numRef>
              <c:f>spolu!$R$27:$CG$27</c:f>
              <c:numCache>
                <c:formatCode>m/d/yyyy</c:formatCode>
                <c:ptCount val="68"/>
                <c:pt idx="0">
                  <c:v>43586</c:v>
                </c:pt>
                <c:pt idx="1">
                  <c:v>43617</c:v>
                </c:pt>
                <c:pt idx="2">
                  <c:v>43647</c:v>
                </c:pt>
                <c:pt idx="3">
                  <c:v>43678</c:v>
                </c:pt>
                <c:pt idx="4">
                  <c:v>43709</c:v>
                </c:pt>
                <c:pt idx="5">
                  <c:v>43739</c:v>
                </c:pt>
                <c:pt idx="6">
                  <c:v>43770</c:v>
                </c:pt>
                <c:pt idx="7">
                  <c:v>43800</c:v>
                </c:pt>
                <c:pt idx="8">
                  <c:v>43831</c:v>
                </c:pt>
                <c:pt idx="9">
                  <c:v>43862</c:v>
                </c:pt>
                <c:pt idx="10">
                  <c:v>43891</c:v>
                </c:pt>
                <c:pt idx="11">
                  <c:v>43922</c:v>
                </c:pt>
                <c:pt idx="12">
                  <c:v>43952</c:v>
                </c:pt>
                <c:pt idx="13">
                  <c:v>43983</c:v>
                </c:pt>
                <c:pt idx="14">
                  <c:v>44013</c:v>
                </c:pt>
                <c:pt idx="15">
                  <c:v>44044</c:v>
                </c:pt>
                <c:pt idx="16">
                  <c:v>44075</c:v>
                </c:pt>
                <c:pt idx="17">
                  <c:v>44105</c:v>
                </c:pt>
                <c:pt idx="18">
                  <c:v>44136</c:v>
                </c:pt>
                <c:pt idx="19">
                  <c:v>44166</c:v>
                </c:pt>
                <c:pt idx="20">
                  <c:v>44197</c:v>
                </c:pt>
                <c:pt idx="21">
                  <c:v>44228</c:v>
                </c:pt>
                <c:pt idx="22">
                  <c:v>44256</c:v>
                </c:pt>
                <c:pt idx="23">
                  <c:v>44287</c:v>
                </c:pt>
                <c:pt idx="24">
                  <c:v>44317</c:v>
                </c:pt>
                <c:pt idx="25">
                  <c:v>44348</c:v>
                </c:pt>
                <c:pt idx="26">
                  <c:v>44378</c:v>
                </c:pt>
                <c:pt idx="27">
                  <c:v>44409</c:v>
                </c:pt>
                <c:pt idx="28">
                  <c:v>44440</c:v>
                </c:pt>
                <c:pt idx="29">
                  <c:v>44470</c:v>
                </c:pt>
                <c:pt idx="30">
                  <c:v>44501</c:v>
                </c:pt>
                <c:pt idx="31">
                  <c:v>44531</c:v>
                </c:pt>
                <c:pt idx="32">
                  <c:v>44562</c:v>
                </c:pt>
                <c:pt idx="33">
                  <c:v>44593</c:v>
                </c:pt>
                <c:pt idx="34">
                  <c:v>44621</c:v>
                </c:pt>
                <c:pt idx="35">
                  <c:v>44652</c:v>
                </c:pt>
                <c:pt idx="36">
                  <c:v>44682</c:v>
                </c:pt>
                <c:pt idx="37">
                  <c:v>44713</c:v>
                </c:pt>
                <c:pt idx="38">
                  <c:v>44743</c:v>
                </c:pt>
                <c:pt idx="39">
                  <c:v>44774</c:v>
                </c:pt>
                <c:pt idx="40">
                  <c:v>44805</c:v>
                </c:pt>
                <c:pt idx="41">
                  <c:v>44835</c:v>
                </c:pt>
                <c:pt idx="42">
                  <c:v>44866</c:v>
                </c:pt>
                <c:pt idx="43">
                  <c:v>44896</c:v>
                </c:pt>
                <c:pt idx="44">
                  <c:v>44927</c:v>
                </c:pt>
                <c:pt idx="45">
                  <c:v>44958</c:v>
                </c:pt>
                <c:pt idx="46">
                  <c:v>44986</c:v>
                </c:pt>
                <c:pt idx="47">
                  <c:v>45017</c:v>
                </c:pt>
                <c:pt idx="48">
                  <c:v>45047</c:v>
                </c:pt>
                <c:pt idx="49">
                  <c:v>45078</c:v>
                </c:pt>
                <c:pt idx="50">
                  <c:v>45108</c:v>
                </c:pt>
                <c:pt idx="51">
                  <c:v>45139</c:v>
                </c:pt>
                <c:pt idx="52">
                  <c:v>45170</c:v>
                </c:pt>
                <c:pt idx="53">
                  <c:v>45200</c:v>
                </c:pt>
                <c:pt idx="54">
                  <c:v>45231</c:v>
                </c:pt>
                <c:pt idx="55">
                  <c:v>45261</c:v>
                </c:pt>
                <c:pt idx="56">
                  <c:v>45292</c:v>
                </c:pt>
                <c:pt idx="57">
                  <c:v>45323</c:v>
                </c:pt>
                <c:pt idx="58">
                  <c:v>45352</c:v>
                </c:pt>
                <c:pt idx="59">
                  <c:v>45383</c:v>
                </c:pt>
                <c:pt idx="60">
                  <c:v>45413</c:v>
                </c:pt>
                <c:pt idx="61">
                  <c:v>45444</c:v>
                </c:pt>
                <c:pt idx="62">
                  <c:v>45474</c:v>
                </c:pt>
                <c:pt idx="63">
                  <c:v>45505</c:v>
                </c:pt>
                <c:pt idx="64">
                  <c:v>45536</c:v>
                </c:pt>
                <c:pt idx="65">
                  <c:v>45566</c:v>
                </c:pt>
                <c:pt idx="66">
                  <c:v>45597</c:v>
                </c:pt>
                <c:pt idx="67">
                  <c:v>45627</c:v>
                </c:pt>
              </c:numCache>
            </c:numRef>
          </c:cat>
          <c:val>
            <c:numRef>
              <c:f>spolu!$R$47:$CG$47</c:f>
              <c:numCache>
                <c:formatCode>0.00</c:formatCode>
                <c:ptCount val="68"/>
                <c:pt idx="0">
                  <c:v>0</c:v>
                </c:pt>
                <c:pt idx="1">
                  <c:v>44.444713062663801</c:v>
                </c:pt>
                <c:pt idx="2">
                  <c:v>64.334802636058271</c:v>
                </c:pt>
                <c:pt idx="3">
                  <c:v>64.334802636058271</c:v>
                </c:pt>
                <c:pt idx="4">
                  <c:v>64.334802636058271</c:v>
                </c:pt>
                <c:pt idx="5">
                  <c:v>64.334802636058271</c:v>
                </c:pt>
                <c:pt idx="6">
                  <c:v>109.9497068699757</c:v>
                </c:pt>
                <c:pt idx="7">
                  <c:v>87.234591223378516</c:v>
                </c:pt>
                <c:pt idx="8">
                  <c:v>0</c:v>
                </c:pt>
                <c:pt idx="9">
                  <c:v>0</c:v>
                </c:pt>
                <c:pt idx="10">
                  <c:v>0</c:v>
                </c:pt>
                <c:pt idx="11">
                  <c:v>82.234086492085979</c:v>
                </c:pt>
                <c:pt idx="12">
                  <c:v>0</c:v>
                </c:pt>
                <c:pt idx="13">
                  <c:v>63.790255154458364</c:v>
                </c:pt>
                <c:pt idx="14">
                  <c:v>63.790255154458364</c:v>
                </c:pt>
                <c:pt idx="15">
                  <c:v>341.50536718075193</c:v>
                </c:pt>
                <c:pt idx="16">
                  <c:v>112.35143130345244</c:v>
                </c:pt>
                <c:pt idx="17">
                  <c:v>48.561176148994072</c:v>
                </c:pt>
                <c:pt idx="18">
                  <c:v>48.561176148994072</c:v>
                </c:pt>
                <c:pt idx="19">
                  <c:v>48.561176148994072</c:v>
                </c:pt>
                <c:pt idx="20">
                  <c:v>0</c:v>
                </c:pt>
                <c:pt idx="21">
                  <c:v>0</c:v>
                </c:pt>
                <c:pt idx="22">
                  <c:v>0</c:v>
                </c:pt>
                <c:pt idx="23">
                  <c:v>0</c:v>
                </c:pt>
                <c:pt idx="24">
                  <c:v>0</c:v>
                </c:pt>
                <c:pt idx="25">
                  <c:v>0</c:v>
                </c:pt>
                <c:pt idx="26">
                  <c:v>0</c:v>
                </c:pt>
                <c:pt idx="27">
                  <c:v>55.761583576923627</c:v>
                </c:pt>
                <c:pt idx="28">
                  <c:v>109.23475840958352</c:v>
                </c:pt>
                <c:pt idx="29">
                  <c:v>53.4731748326599</c:v>
                </c:pt>
                <c:pt idx="30">
                  <c:v>53.4731748326599</c:v>
                </c:pt>
                <c:pt idx="31">
                  <c:v>93.013176376467243</c:v>
                </c:pt>
                <c:pt idx="32">
                  <c:v>0</c:v>
                </c:pt>
                <c:pt idx="33">
                  <c:v>0</c:v>
                </c:pt>
                <c:pt idx="34">
                  <c:v>0</c:v>
                </c:pt>
                <c:pt idx="35">
                  <c:v>0</c:v>
                </c:pt>
                <c:pt idx="36">
                  <c:v>0</c:v>
                </c:pt>
                <c:pt idx="37">
                  <c:v>0</c:v>
                </c:pt>
                <c:pt idx="38">
                  <c:v>63.626334344011561</c:v>
                </c:pt>
                <c:pt idx="39">
                  <c:v>63.626334344011561</c:v>
                </c:pt>
                <c:pt idx="40">
                  <c:v>63.626334344011561</c:v>
                </c:pt>
                <c:pt idx="41">
                  <c:v>0</c:v>
                </c:pt>
                <c:pt idx="42">
                  <c:v>0</c:v>
                </c:pt>
                <c:pt idx="43">
                  <c:v>51.620288018801709</c:v>
                </c:pt>
                <c:pt idx="44">
                  <c:v>0</c:v>
                </c:pt>
                <c:pt idx="45">
                  <c:v>0</c:v>
                </c:pt>
                <c:pt idx="46">
                  <c:v>0</c:v>
                </c:pt>
                <c:pt idx="47">
                  <c:v>42.064022506843401</c:v>
                </c:pt>
                <c:pt idx="48">
                  <c:v>42.064022506843401</c:v>
                </c:pt>
                <c:pt idx="49">
                  <c:v>106.38252302057036</c:v>
                </c:pt>
                <c:pt idx="50">
                  <c:v>217.27069682476201</c:v>
                </c:pt>
                <c:pt idx="51">
                  <c:v>259.33471933160541</c:v>
                </c:pt>
                <c:pt idx="52">
                  <c:v>266.15935822713311</c:v>
                </c:pt>
                <c:pt idx="53">
                  <c:v>113.20716191609802</c:v>
                </c:pt>
                <c:pt idx="54">
                  <c:v>48.888661402371064</c:v>
                </c:pt>
                <c:pt idx="55">
                  <c:v>48.888661402371064</c:v>
                </c:pt>
                <c:pt idx="56">
                  <c:v>0</c:v>
                </c:pt>
                <c:pt idx="57">
                  <c:v>0</c:v>
                </c:pt>
                <c:pt idx="58">
                  <c:v>0</c:v>
                </c:pt>
                <c:pt idx="59">
                  <c:v>0</c:v>
                </c:pt>
                <c:pt idx="60">
                  <c:v>50.449861312513718</c:v>
                </c:pt>
                <c:pt idx="61">
                  <c:v>50.449861312513718</c:v>
                </c:pt>
                <c:pt idx="62">
                  <c:v>120.88055151929903</c:v>
                </c:pt>
                <c:pt idx="63">
                  <c:v>36.628395409329002</c:v>
                </c:pt>
                <c:pt idx="64">
                  <c:v>36.628395409329002</c:v>
                </c:pt>
                <c:pt idx="65">
                  <c:v>0</c:v>
                </c:pt>
                <c:pt idx="66">
                  <c:v>0</c:v>
                </c:pt>
                <c:pt idx="67">
                  <c:v>142.93415972020151</c:v>
                </c:pt>
              </c:numCache>
            </c:numRef>
          </c:val>
          <c:extLst>
            <c:ext xmlns:c16="http://schemas.microsoft.com/office/drawing/2014/chart" uri="{C3380CC4-5D6E-409C-BE32-E72D297353CC}">
              <c16:uniqueId val="{00000000-17D7-4F05-9B86-1915BC375517}"/>
            </c:ext>
          </c:extLst>
        </c:ser>
        <c:ser>
          <c:idx val="1"/>
          <c:order val="1"/>
          <c:tx>
            <c:strRef>
              <c:f>spolu!$A$48:$C$48</c:f>
              <c:strCache>
                <c:ptCount val="3"/>
                <c:pt idx="0">
                  <c:v>-1 - 0</c:v>
                </c:pt>
              </c:strCache>
            </c:strRef>
          </c:tx>
          <c:spPr>
            <a:solidFill>
              <a:srgbClr val="92D050"/>
            </a:solidFill>
            <a:ln>
              <a:noFill/>
            </a:ln>
            <a:effectLst/>
          </c:spPr>
          <c:cat>
            <c:numRef>
              <c:f>spolu!$R$27:$CG$27</c:f>
              <c:numCache>
                <c:formatCode>m/d/yyyy</c:formatCode>
                <c:ptCount val="68"/>
                <c:pt idx="0">
                  <c:v>43586</c:v>
                </c:pt>
                <c:pt idx="1">
                  <c:v>43617</c:v>
                </c:pt>
                <c:pt idx="2">
                  <c:v>43647</c:v>
                </c:pt>
                <c:pt idx="3">
                  <c:v>43678</c:v>
                </c:pt>
                <c:pt idx="4">
                  <c:v>43709</c:v>
                </c:pt>
                <c:pt idx="5">
                  <c:v>43739</c:v>
                </c:pt>
                <c:pt idx="6">
                  <c:v>43770</c:v>
                </c:pt>
                <c:pt idx="7">
                  <c:v>43800</c:v>
                </c:pt>
                <c:pt idx="8">
                  <c:v>43831</c:v>
                </c:pt>
                <c:pt idx="9">
                  <c:v>43862</c:v>
                </c:pt>
                <c:pt idx="10">
                  <c:v>43891</c:v>
                </c:pt>
                <c:pt idx="11">
                  <c:v>43922</c:v>
                </c:pt>
                <c:pt idx="12">
                  <c:v>43952</c:v>
                </c:pt>
                <c:pt idx="13">
                  <c:v>43983</c:v>
                </c:pt>
                <c:pt idx="14">
                  <c:v>44013</c:v>
                </c:pt>
                <c:pt idx="15">
                  <c:v>44044</c:v>
                </c:pt>
                <c:pt idx="16">
                  <c:v>44075</c:v>
                </c:pt>
                <c:pt idx="17">
                  <c:v>44105</c:v>
                </c:pt>
                <c:pt idx="18">
                  <c:v>44136</c:v>
                </c:pt>
                <c:pt idx="19">
                  <c:v>44166</c:v>
                </c:pt>
                <c:pt idx="20">
                  <c:v>44197</c:v>
                </c:pt>
                <c:pt idx="21">
                  <c:v>44228</c:v>
                </c:pt>
                <c:pt idx="22">
                  <c:v>44256</c:v>
                </c:pt>
                <c:pt idx="23">
                  <c:v>44287</c:v>
                </c:pt>
                <c:pt idx="24">
                  <c:v>44317</c:v>
                </c:pt>
                <c:pt idx="25">
                  <c:v>44348</c:v>
                </c:pt>
                <c:pt idx="26">
                  <c:v>44378</c:v>
                </c:pt>
                <c:pt idx="27">
                  <c:v>44409</c:v>
                </c:pt>
                <c:pt idx="28">
                  <c:v>44440</c:v>
                </c:pt>
                <c:pt idx="29">
                  <c:v>44470</c:v>
                </c:pt>
                <c:pt idx="30">
                  <c:v>44501</c:v>
                </c:pt>
                <c:pt idx="31">
                  <c:v>44531</c:v>
                </c:pt>
                <c:pt idx="32">
                  <c:v>44562</c:v>
                </c:pt>
                <c:pt idx="33">
                  <c:v>44593</c:v>
                </c:pt>
                <c:pt idx="34">
                  <c:v>44621</c:v>
                </c:pt>
                <c:pt idx="35">
                  <c:v>44652</c:v>
                </c:pt>
                <c:pt idx="36">
                  <c:v>44682</c:v>
                </c:pt>
                <c:pt idx="37">
                  <c:v>44713</c:v>
                </c:pt>
                <c:pt idx="38">
                  <c:v>44743</c:v>
                </c:pt>
                <c:pt idx="39">
                  <c:v>44774</c:v>
                </c:pt>
                <c:pt idx="40">
                  <c:v>44805</c:v>
                </c:pt>
                <c:pt idx="41">
                  <c:v>44835</c:v>
                </c:pt>
                <c:pt idx="42">
                  <c:v>44866</c:v>
                </c:pt>
                <c:pt idx="43">
                  <c:v>44896</c:v>
                </c:pt>
                <c:pt idx="44">
                  <c:v>44927</c:v>
                </c:pt>
                <c:pt idx="45">
                  <c:v>44958</c:v>
                </c:pt>
                <c:pt idx="46">
                  <c:v>44986</c:v>
                </c:pt>
                <c:pt idx="47">
                  <c:v>45017</c:v>
                </c:pt>
                <c:pt idx="48">
                  <c:v>45047</c:v>
                </c:pt>
                <c:pt idx="49">
                  <c:v>45078</c:v>
                </c:pt>
                <c:pt idx="50">
                  <c:v>45108</c:v>
                </c:pt>
                <c:pt idx="51">
                  <c:v>45139</c:v>
                </c:pt>
                <c:pt idx="52">
                  <c:v>45170</c:v>
                </c:pt>
                <c:pt idx="53">
                  <c:v>45200</c:v>
                </c:pt>
                <c:pt idx="54">
                  <c:v>45231</c:v>
                </c:pt>
                <c:pt idx="55">
                  <c:v>45261</c:v>
                </c:pt>
                <c:pt idx="56">
                  <c:v>45292</c:v>
                </c:pt>
                <c:pt idx="57">
                  <c:v>45323</c:v>
                </c:pt>
                <c:pt idx="58">
                  <c:v>45352</c:v>
                </c:pt>
                <c:pt idx="59">
                  <c:v>45383</c:v>
                </c:pt>
                <c:pt idx="60">
                  <c:v>45413</c:v>
                </c:pt>
                <c:pt idx="61">
                  <c:v>45444</c:v>
                </c:pt>
                <c:pt idx="62">
                  <c:v>45474</c:v>
                </c:pt>
                <c:pt idx="63">
                  <c:v>45505</c:v>
                </c:pt>
                <c:pt idx="64">
                  <c:v>45536</c:v>
                </c:pt>
                <c:pt idx="65">
                  <c:v>45566</c:v>
                </c:pt>
                <c:pt idx="66">
                  <c:v>45597</c:v>
                </c:pt>
                <c:pt idx="67">
                  <c:v>45627</c:v>
                </c:pt>
              </c:numCache>
            </c:numRef>
          </c:cat>
          <c:val>
            <c:numRef>
              <c:f>spolu!$R$48:$CG$48</c:f>
              <c:numCache>
                <c:formatCode>General</c:formatCode>
                <c:ptCount val="68"/>
                <c:pt idx="0">
                  <c:v>108.45227409822687</c:v>
                </c:pt>
                <c:pt idx="1">
                  <c:v>264.06602728345723</c:v>
                </c:pt>
                <c:pt idx="2">
                  <c:v>105.62724802502416</c:v>
                </c:pt>
                <c:pt idx="3">
                  <c:v>134.73922804521791</c:v>
                </c:pt>
                <c:pt idx="4">
                  <c:v>64.007561035563072</c:v>
                </c:pt>
                <c:pt idx="5">
                  <c:v>76.846590203322478</c:v>
                </c:pt>
                <c:pt idx="6">
                  <c:v>181.6360244313025</c:v>
                </c:pt>
                <c:pt idx="7">
                  <c:v>562.82654753166719</c:v>
                </c:pt>
                <c:pt idx="8">
                  <c:v>73.259026367239272</c:v>
                </c:pt>
                <c:pt idx="9">
                  <c:v>149.53397508257288</c:v>
                </c:pt>
                <c:pt idx="10">
                  <c:v>168.15573544756856</c:v>
                </c:pt>
                <c:pt idx="11">
                  <c:v>81.653296122252797</c:v>
                </c:pt>
                <c:pt idx="12">
                  <c:v>161.64301755583966</c:v>
                </c:pt>
                <c:pt idx="13">
                  <c:v>295.3060274610994</c:v>
                </c:pt>
                <c:pt idx="14">
                  <c:v>385.56165290239005</c:v>
                </c:pt>
                <c:pt idx="15">
                  <c:v>439.07860110066861</c:v>
                </c:pt>
                <c:pt idx="16">
                  <c:v>448.75200196692145</c:v>
                </c:pt>
                <c:pt idx="17">
                  <c:v>584.61183372754442</c:v>
                </c:pt>
                <c:pt idx="18">
                  <c:v>238.36709104652041</c:v>
                </c:pt>
                <c:pt idx="19">
                  <c:v>509.69797472471618</c:v>
                </c:pt>
                <c:pt idx="20">
                  <c:v>313.83830003541101</c:v>
                </c:pt>
                <c:pt idx="21">
                  <c:v>313.83830003541101</c:v>
                </c:pt>
                <c:pt idx="22">
                  <c:v>227.9035219748003</c:v>
                </c:pt>
                <c:pt idx="23">
                  <c:v>331.90416768898388</c:v>
                </c:pt>
                <c:pt idx="24">
                  <c:v>97.978415263005957</c:v>
                </c:pt>
                <c:pt idx="25">
                  <c:v>40.933955771951901</c:v>
                </c:pt>
                <c:pt idx="26">
                  <c:v>0</c:v>
                </c:pt>
                <c:pt idx="27">
                  <c:v>124.46187298373694</c:v>
                </c:pt>
                <c:pt idx="28">
                  <c:v>99.763850423712739</c:v>
                </c:pt>
                <c:pt idx="29">
                  <c:v>165.01069316531854</c:v>
                </c:pt>
                <c:pt idx="30">
                  <c:v>264.88514548089466</c:v>
                </c:pt>
                <c:pt idx="31">
                  <c:v>295.05425198167489</c:v>
                </c:pt>
                <c:pt idx="32">
                  <c:v>0</c:v>
                </c:pt>
                <c:pt idx="33">
                  <c:v>0</c:v>
                </c:pt>
                <c:pt idx="34">
                  <c:v>0</c:v>
                </c:pt>
                <c:pt idx="35">
                  <c:v>40.290125746384199</c:v>
                </c:pt>
                <c:pt idx="36">
                  <c:v>0</c:v>
                </c:pt>
                <c:pt idx="37">
                  <c:v>63.626334344011561</c:v>
                </c:pt>
                <c:pt idx="38">
                  <c:v>0</c:v>
                </c:pt>
                <c:pt idx="39">
                  <c:v>0</c:v>
                </c:pt>
                <c:pt idx="40">
                  <c:v>0</c:v>
                </c:pt>
                <c:pt idx="41">
                  <c:v>51.620288018801709</c:v>
                </c:pt>
                <c:pt idx="42">
                  <c:v>51.620288018801709</c:v>
                </c:pt>
                <c:pt idx="43">
                  <c:v>0</c:v>
                </c:pt>
                <c:pt idx="44">
                  <c:v>0</c:v>
                </c:pt>
                <c:pt idx="45">
                  <c:v>42.064022506843401</c:v>
                </c:pt>
                <c:pt idx="46">
                  <c:v>42.064022506843401</c:v>
                </c:pt>
                <c:pt idx="47">
                  <c:v>0</c:v>
                </c:pt>
                <c:pt idx="48">
                  <c:v>152.95219631103507</c:v>
                </c:pt>
                <c:pt idx="49">
                  <c:v>225.2675162816264</c:v>
                </c:pt>
                <c:pt idx="50">
                  <c:v>226.51405980281663</c:v>
                </c:pt>
                <c:pt idx="51">
                  <c:v>304.06229615252613</c:v>
                </c:pt>
                <c:pt idx="52">
                  <c:v>165.30945307453277</c:v>
                </c:pt>
                <c:pt idx="53">
                  <c:v>492.77664363553458</c:v>
                </c:pt>
                <c:pt idx="54">
                  <c:v>262.23181190536815</c:v>
                </c:pt>
                <c:pt idx="55">
                  <c:v>368.39681454966467</c:v>
                </c:pt>
                <c:pt idx="56">
                  <c:v>298.65639461472875</c:v>
                </c:pt>
                <c:pt idx="57">
                  <c:v>317.12517242541634</c:v>
                </c:pt>
                <c:pt idx="58">
                  <c:v>313.72269407618688</c:v>
                </c:pt>
                <c:pt idx="59">
                  <c:v>711.56258588402</c:v>
                </c:pt>
                <c:pt idx="60">
                  <c:v>128.26977225432765</c:v>
                </c:pt>
                <c:pt idx="61">
                  <c:v>128.84587774690854</c:v>
                </c:pt>
                <c:pt idx="62">
                  <c:v>91.157191553710575</c:v>
                </c:pt>
                <c:pt idx="63">
                  <c:v>144.71907287878713</c:v>
                </c:pt>
                <c:pt idx="64">
                  <c:v>72.861188654803684</c:v>
                </c:pt>
                <c:pt idx="65">
                  <c:v>261.42103350106942</c:v>
                </c:pt>
                <c:pt idx="66" formatCode="0.00">
                  <c:v>346.32831278950869</c:v>
                </c:pt>
                <c:pt idx="67" formatCode="0.00">
                  <c:v>530.35372643624748</c:v>
                </c:pt>
              </c:numCache>
            </c:numRef>
          </c:val>
          <c:extLst>
            <c:ext xmlns:c16="http://schemas.microsoft.com/office/drawing/2014/chart" uri="{C3380CC4-5D6E-409C-BE32-E72D297353CC}">
              <c16:uniqueId val="{00000001-17D7-4F05-9B86-1915BC375517}"/>
            </c:ext>
          </c:extLst>
        </c:ser>
        <c:ser>
          <c:idx val="2"/>
          <c:order val="2"/>
          <c:tx>
            <c:strRef>
              <c:f>spolu!$A$49:$C$49</c:f>
              <c:strCache>
                <c:ptCount val="3"/>
                <c:pt idx="0">
                  <c:v>0 - 1</c:v>
                </c:pt>
              </c:strCache>
            </c:strRef>
          </c:tx>
          <c:spPr>
            <a:solidFill>
              <a:srgbClr val="FFFF00"/>
            </a:solidFill>
            <a:ln>
              <a:noFill/>
            </a:ln>
            <a:effectLst/>
          </c:spPr>
          <c:cat>
            <c:numRef>
              <c:f>spolu!$R$27:$CG$27</c:f>
              <c:numCache>
                <c:formatCode>m/d/yyyy</c:formatCode>
                <c:ptCount val="68"/>
                <c:pt idx="0">
                  <c:v>43586</c:v>
                </c:pt>
                <c:pt idx="1">
                  <c:v>43617</c:v>
                </c:pt>
                <c:pt idx="2">
                  <c:v>43647</c:v>
                </c:pt>
                <c:pt idx="3">
                  <c:v>43678</c:v>
                </c:pt>
                <c:pt idx="4">
                  <c:v>43709</c:v>
                </c:pt>
                <c:pt idx="5">
                  <c:v>43739</c:v>
                </c:pt>
                <c:pt idx="6">
                  <c:v>43770</c:v>
                </c:pt>
                <c:pt idx="7">
                  <c:v>43800</c:v>
                </c:pt>
                <c:pt idx="8">
                  <c:v>43831</c:v>
                </c:pt>
                <c:pt idx="9">
                  <c:v>43862</c:v>
                </c:pt>
                <c:pt idx="10">
                  <c:v>43891</c:v>
                </c:pt>
                <c:pt idx="11">
                  <c:v>43922</c:v>
                </c:pt>
                <c:pt idx="12">
                  <c:v>43952</c:v>
                </c:pt>
                <c:pt idx="13">
                  <c:v>43983</c:v>
                </c:pt>
                <c:pt idx="14">
                  <c:v>44013</c:v>
                </c:pt>
                <c:pt idx="15">
                  <c:v>44044</c:v>
                </c:pt>
                <c:pt idx="16">
                  <c:v>44075</c:v>
                </c:pt>
                <c:pt idx="17">
                  <c:v>44105</c:v>
                </c:pt>
                <c:pt idx="18">
                  <c:v>44136</c:v>
                </c:pt>
                <c:pt idx="19">
                  <c:v>44166</c:v>
                </c:pt>
                <c:pt idx="20">
                  <c:v>44197</c:v>
                </c:pt>
                <c:pt idx="21">
                  <c:v>44228</c:v>
                </c:pt>
                <c:pt idx="22">
                  <c:v>44256</c:v>
                </c:pt>
                <c:pt idx="23">
                  <c:v>44287</c:v>
                </c:pt>
                <c:pt idx="24">
                  <c:v>44317</c:v>
                </c:pt>
                <c:pt idx="25">
                  <c:v>44348</c:v>
                </c:pt>
                <c:pt idx="26">
                  <c:v>44378</c:v>
                </c:pt>
                <c:pt idx="27">
                  <c:v>44409</c:v>
                </c:pt>
                <c:pt idx="28">
                  <c:v>44440</c:v>
                </c:pt>
                <c:pt idx="29">
                  <c:v>44470</c:v>
                </c:pt>
                <c:pt idx="30">
                  <c:v>44501</c:v>
                </c:pt>
                <c:pt idx="31">
                  <c:v>44531</c:v>
                </c:pt>
                <c:pt idx="32">
                  <c:v>44562</c:v>
                </c:pt>
                <c:pt idx="33">
                  <c:v>44593</c:v>
                </c:pt>
                <c:pt idx="34">
                  <c:v>44621</c:v>
                </c:pt>
                <c:pt idx="35">
                  <c:v>44652</c:v>
                </c:pt>
                <c:pt idx="36">
                  <c:v>44682</c:v>
                </c:pt>
                <c:pt idx="37">
                  <c:v>44713</c:v>
                </c:pt>
                <c:pt idx="38">
                  <c:v>44743</c:v>
                </c:pt>
                <c:pt idx="39">
                  <c:v>44774</c:v>
                </c:pt>
                <c:pt idx="40">
                  <c:v>44805</c:v>
                </c:pt>
                <c:pt idx="41">
                  <c:v>44835</c:v>
                </c:pt>
                <c:pt idx="42">
                  <c:v>44866</c:v>
                </c:pt>
                <c:pt idx="43">
                  <c:v>44896</c:v>
                </c:pt>
                <c:pt idx="44">
                  <c:v>44927</c:v>
                </c:pt>
                <c:pt idx="45">
                  <c:v>44958</c:v>
                </c:pt>
                <c:pt idx="46">
                  <c:v>44986</c:v>
                </c:pt>
                <c:pt idx="47">
                  <c:v>45017</c:v>
                </c:pt>
                <c:pt idx="48">
                  <c:v>45047</c:v>
                </c:pt>
                <c:pt idx="49">
                  <c:v>45078</c:v>
                </c:pt>
                <c:pt idx="50">
                  <c:v>45108</c:v>
                </c:pt>
                <c:pt idx="51">
                  <c:v>45139</c:v>
                </c:pt>
                <c:pt idx="52">
                  <c:v>45170</c:v>
                </c:pt>
                <c:pt idx="53">
                  <c:v>45200</c:v>
                </c:pt>
                <c:pt idx="54">
                  <c:v>45231</c:v>
                </c:pt>
                <c:pt idx="55">
                  <c:v>45261</c:v>
                </c:pt>
                <c:pt idx="56">
                  <c:v>45292</c:v>
                </c:pt>
                <c:pt idx="57">
                  <c:v>45323</c:v>
                </c:pt>
                <c:pt idx="58">
                  <c:v>45352</c:v>
                </c:pt>
                <c:pt idx="59">
                  <c:v>45383</c:v>
                </c:pt>
                <c:pt idx="60">
                  <c:v>45413</c:v>
                </c:pt>
                <c:pt idx="61">
                  <c:v>45444</c:v>
                </c:pt>
                <c:pt idx="62">
                  <c:v>45474</c:v>
                </c:pt>
                <c:pt idx="63">
                  <c:v>45505</c:v>
                </c:pt>
                <c:pt idx="64">
                  <c:v>45536</c:v>
                </c:pt>
                <c:pt idx="65">
                  <c:v>45566</c:v>
                </c:pt>
                <c:pt idx="66">
                  <c:v>45597</c:v>
                </c:pt>
                <c:pt idx="67">
                  <c:v>45627</c:v>
                </c:pt>
              </c:numCache>
            </c:numRef>
          </c:cat>
          <c:val>
            <c:numRef>
              <c:f>spolu!$R$49:$CG$49</c:f>
              <c:numCache>
                <c:formatCode>General</c:formatCode>
                <c:ptCount val="68"/>
                <c:pt idx="0">
                  <c:v>653.92232216510627</c:v>
                </c:pt>
                <c:pt idx="1">
                  <c:v>472.58375431935298</c:v>
                </c:pt>
                <c:pt idx="2">
                  <c:v>611.13244400439157</c:v>
                </c:pt>
                <c:pt idx="3">
                  <c:v>755.3110650848065</c:v>
                </c:pt>
                <c:pt idx="4">
                  <c:v>871.65763632837889</c:v>
                </c:pt>
                <c:pt idx="5">
                  <c:v>817.19892017115831</c:v>
                </c:pt>
                <c:pt idx="6">
                  <c:v>708.41426869872203</c:v>
                </c:pt>
                <c:pt idx="7">
                  <c:v>349.93886124495452</c:v>
                </c:pt>
                <c:pt idx="8">
                  <c:v>629.20449287917484</c:v>
                </c:pt>
                <c:pt idx="9">
                  <c:v>552.92954416384123</c:v>
                </c:pt>
                <c:pt idx="10">
                  <c:v>464.3261181461304</c:v>
                </c:pt>
                <c:pt idx="11">
                  <c:v>723.76118608220872</c:v>
                </c:pt>
                <c:pt idx="12">
                  <c:v>726.00555114070789</c:v>
                </c:pt>
                <c:pt idx="13">
                  <c:v>592.34254123544815</c:v>
                </c:pt>
                <c:pt idx="14">
                  <c:v>497.97885786179506</c:v>
                </c:pt>
                <c:pt idx="15">
                  <c:v>219.41603171857946</c:v>
                </c:pt>
                <c:pt idx="16">
                  <c:v>438.8965667296261</c:v>
                </c:pt>
                <c:pt idx="17">
                  <c:v>366.82699012346154</c:v>
                </c:pt>
                <c:pt idx="18">
                  <c:v>649.28147765002723</c:v>
                </c:pt>
                <c:pt idx="19">
                  <c:v>377.95059397183138</c:v>
                </c:pt>
                <c:pt idx="20">
                  <c:v>630.40011638766532</c:v>
                </c:pt>
                <c:pt idx="21">
                  <c:v>632.68852513192905</c:v>
                </c:pt>
                <c:pt idx="22">
                  <c:v>519.05182651564496</c:v>
                </c:pt>
                <c:pt idx="23">
                  <c:v>508.06435717792863</c:v>
                </c:pt>
                <c:pt idx="24">
                  <c:v>656.55731654314809</c:v>
                </c:pt>
                <c:pt idx="25">
                  <c:v>765.56982691930591</c:v>
                </c:pt>
                <c:pt idx="26">
                  <c:v>835.27893496389356</c:v>
                </c:pt>
                <c:pt idx="27">
                  <c:v>787.8169252112408</c:v>
                </c:pt>
                <c:pt idx="28">
                  <c:v>791.0013911667038</c:v>
                </c:pt>
                <c:pt idx="29">
                  <c:v>749.55651377392292</c:v>
                </c:pt>
                <c:pt idx="30">
                  <c:v>649.68206145834688</c:v>
                </c:pt>
                <c:pt idx="31">
                  <c:v>306.55412262339394</c:v>
                </c:pt>
                <c:pt idx="32">
                  <c:v>419.46658323885936</c:v>
                </c:pt>
                <c:pt idx="33">
                  <c:v>384.43876016271963</c:v>
                </c:pt>
                <c:pt idx="34">
                  <c:v>52.556641500429272</c:v>
                </c:pt>
                <c:pt idx="35">
                  <c:v>161.2183770620079</c:v>
                </c:pt>
                <c:pt idx="36">
                  <c:v>109.3536054050824</c:v>
                </c:pt>
                <c:pt idx="37">
                  <c:v>217.19790239423511</c:v>
                </c:pt>
                <c:pt idx="38">
                  <c:v>275.37943734369566</c:v>
                </c:pt>
                <c:pt idx="39">
                  <c:v>165.56225838256705</c:v>
                </c:pt>
                <c:pt idx="40">
                  <c:v>257.95479887329105</c:v>
                </c:pt>
                <c:pt idx="41">
                  <c:v>195.36693936085857</c:v>
                </c:pt>
                <c:pt idx="42">
                  <c:v>202.23388753550418</c:v>
                </c:pt>
                <c:pt idx="43">
                  <c:v>270.81524046866423</c:v>
                </c:pt>
                <c:pt idx="44">
                  <c:v>182.91359086239183</c:v>
                </c:pt>
                <c:pt idx="45">
                  <c:v>365.06828288505108</c:v>
                </c:pt>
                <c:pt idx="46">
                  <c:v>58.064039931607894</c:v>
                </c:pt>
                <c:pt idx="47">
                  <c:v>261.58382788359671</c:v>
                </c:pt>
                <c:pt idx="48">
                  <c:v>266.80460715721915</c:v>
                </c:pt>
                <c:pt idx="49">
                  <c:v>492.64623002958763</c:v>
                </c:pt>
                <c:pt idx="50">
                  <c:v>473.51133983373575</c:v>
                </c:pt>
                <c:pt idx="51">
                  <c:v>402.78774237955395</c:v>
                </c:pt>
                <c:pt idx="52">
                  <c:v>534.71594656201955</c:v>
                </c:pt>
                <c:pt idx="53">
                  <c:v>394.01619444836729</c:v>
                </c:pt>
                <c:pt idx="54">
                  <c:v>476.93213647825473</c:v>
                </c:pt>
                <c:pt idx="55">
                  <c:v>518.3960235342372</c:v>
                </c:pt>
                <c:pt idx="56">
                  <c:v>510.42435650440626</c:v>
                </c:pt>
                <c:pt idx="57">
                  <c:v>486.73391348207161</c:v>
                </c:pt>
                <c:pt idx="58">
                  <c:v>453.99579103189507</c:v>
                </c:pt>
                <c:pt idx="59">
                  <c:v>177.036450743361</c:v>
                </c:pt>
                <c:pt idx="60">
                  <c:v>785.13976563375263</c:v>
                </c:pt>
                <c:pt idx="61">
                  <c:v>720.79470748765334</c:v>
                </c:pt>
                <c:pt idx="62">
                  <c:v>751.2416690715927</c:v>
                </c:pt>
                <c:pt idx="63">
                  <c:v>722.48075111817877</c:v>
                </c:pt>
                <c:pt idx="64">
                  <c:v>756.89076013155523</c:v>
                </c:pt>
                <c:pt idx="65">
                  <c:v>517.78886152670702</c:v>
                </c:pt>
                <c:pt idx="66">
                  <c:v>351.77007462763959</c:v>
                </c:pt>
                <c:pt idx="67" formatCode="0.00">
                  <c:v>111.98095042861075</c:v>
                </c:pt>
              </c:numCache>
            </c:numRef>
          </c:val>
          <c:extLst>
            <c:ext xmlns:c16="http://schemas.microsoft.com/office/drawing/2014/chart" uri="{C3380CC4-5D6E-409C-BE32-E72D297353CC}">
              <c16:uniqueId val="{00000002-17D7-4F05-9B86-1915BC375517}"/>
            </c:ext>
          </c:extLst>
        </c:ser>
        <c:ser>
          <c:idx val="3"/>
          <c:order val="3"/>
          <c:tx>
            <c:strRef>
              <c:f>spolu!$A$50:$C$50</c:f>
              <c:strCache>
                <c:ptCount val="3"/>
                <c:pt idx="0">
                  <c:v>1 - 2</c:v>
                </c:pt>
              </c:strCache>
            </c:strRef>
          </c:tx>
          <c:spPr>
            <a:solidFill>
              <a:srgbClr val="FF0000"/>
            </a:solidFill>
            <a:ln>
              <a:noFill/>
            </a:ln>
            <a:effectLst/>
          </c:spPr>
          <c:cat>
            <c:numRef>
              <c:f>spolu!$R$27:$CG$27</c:f>
              <c:numCache>
                <c:formatCode>m/d/yyyy</c:formatCode>
                <c:ptCount val="68"/>
                <c:pt idx="0">
                  <c:v>43586</c:v>
                </c:pt>
                <c:pt idx="1">
                  <c:v>43617</c:v>
                </c:pt>
                <c:pt idx="2">
                  <c:v>43647</c:v>
                </c:pt>
                <c:pt idx="3">
                  <c:v>43678</c:v>
                </c:pt>
                <c:pt idx="4">
                  <c:v>43709</c:v>
                </c:pt>
                <c:pt idx="5">
                  <c:v>43739</c:v>
                </c:pt>
                <c:pt idx="6">
                  <c:v>43770</c:v>
                </c:pt>
                <c:pt idx="7">
                  <c:v>43800</c:v>
                </c:pt>
                <c:pt idx="8">
                  <c:v>43831</c:v>
                </c:pt>
                <c:pt idx="9">
                  <c:v>43862</c:v>
                </c:pt>
                <c:pt idx="10">
                  <c:v>43891</c:v>
                </c:pt>
                <c:pt idx="11">
                  <c:v>43922</c:v>
                </c:pt>
                <c:pt idx="12">
                  <c:v>43952</c:v>
                </c:pt>
                <c:pt idx="13">
                  <c:v>43983</c:v>
                </c:pt>
                <c:pt idx="14">
                  <c:v>44013</c:v>
                </c:pt>
                <c:pt idx="15">
                  <c:v>44044</c:v>
                </c:pt>
                <c:pt idx="16">
                  <c:v>44075</c:v>
                </c:pt>
                <c:pt idx="17">
                  <c:v>44105</c:v>
                </c:pt>
                <c:pt idx="18">
                  <c:v>44136</c:v>
                </c:pt>
                <c:pt idx="19">
                  <c:v>44166</c:v>
                </c:pt>
                <c:pt idx="20">
                  <c:v>44197</c:v>
                </c:pt>
                <c:pt idx="21">
                  <c:v>44228</c:v>
                </c:pt>
                <c:pt idx="22">
                  <c:v>44256</c:v>
                </c:pt>
                <c:pt idx="23">
                  <c:v>44287</c:v>
                </c:pt>
                <c:pt idx="24">
                  <c:v>44317</c:v>
                </c:pt>
                <c:pt idx="25">
                  <c:v>44348</c:v>
                </c:pt>
                <c:pt idx="26">
                  <c:v>44378</c:v>
                </c:pt>
                <c:pt idx="27">
                  <c:v>44409</c:v>
                </c:pt>
                <c:pt idx="28">
                  <c:v>44440</c:v>
                </c:pt>
                <c:pt idx="29">
                  <c:v>44470</c:v>
                </c:pt>
                <c:pt idx="30">
                  <c:v>44501</c:v>
                </c:pt>
                <c:pt idx="31">
                  <c:v>44531</c:v>
                </c:pt>
                <c:pt idx="32">
                  <c:v>44562</c:v>
                </c:pt>
                <c:pt idx="33">
                  <c:v>44593</c:v>
                </c:pt>
                <c:pt idx="34">
                  <c:v>44621</c:v>
                </c:pt>
                <c:pt idx="35">
                  <c:v>44652</c:v>
                </c:pt>
                <c:pt idx="36">
                  <c:v>44682</c:v>
                </c:pt>
                <c:pt idx="37">
                  <c:v>44713</c:v>
                </c:pt>
                <c:pt idx="38">
                  <c:v>44743</c:v>
                </c:pt>
                <c:pt idx="39">
                  <c:v>44774</c:v>
                </c:pt>
                <c:pt idx="40">
                  <c:v>44805</c:v>
                </c:pt>
                <c:pt idx="41">
                  <c:v>44835</c:v>
                </c:pt>
                <c:pt idx="42">
                  <c:v>44866</c:v>
                </c:pt>
                <c:pt idx="43">
                  <c:v>44896</c:v>
                </c:pt>
                <c:pt idx="44">
                  <c:v>44927</c:v>
                </c:pt>
                <c:pt idx="45">
                  <c:v>44958</c:v>
                </c:pt>
                <c:pt idx="46">
                  <c:v>44986</c:v>
                </c:pt>
                <c:pt idx="47">
                  <c:v>45017</c:v>
                </c:pt>
                <c:pt idx="48">
                  <c:v>45047</c:v>
                </c:pt>
                <c:pt idx="49">
                  <c:v>45078</c:v>
                </c:pt>
                <c:pt idx="50">
                  <c:v>45108</c:v>
                </c:pt>
                <c:pt idx="51">
                  <c:v>45139</c:v>
                </c:pt>
                <c:pt idx="52">
                  <c:v>45170</c:v>
                </c:pt>
                <c:pt idx="53">
                  <c:v>45200</c:v>
                </c:pt>
                <c:pt idx="54">
                  <c:v>45231</c:v>
                </c:pt>
                <c:pt idx="55">
                  <c:v>45261</c:v>
                </c:pt>
                <c:pt idx="56">
                  <c:v>45292</c:v>
                </c:pt>
                <c:pt idx="57">
                  <c:v>45323</c:v>
                </c:pt>
                <c:pt idx="58">
                  <c:v>45352</c:v>
                </c:pt>
                <c:pt idx="59">
                  <c:v>45383</c:v>
                </c:pt>
                <c:pt idx="60">
                  <c:v>45413</c:v>
                </c:pt>
                <c:pt idx="61">
                  <c:v>45444</c:v>
                </c:pt>
                <c:pt idx="62">
                  <c:v>45474</c:v>
                </c:pt>
                <c:pt idx="63">
                  <c:v>45505</c:v>
                </c:pt>
                <c:pt idx="64">
                  <c:v>45536</c:v>
                </c:pt>
                <c:pt idx="65">
                  <c:v>45566</c:v>
                </c:pt>
                <c:pt idx="66">
                  <c:v>45597</c:v>
                </c:pt>
                <c:pt idx="67">
                  <c:v>45627</c:v>
                </c:pt>
              </c:numCache>
            </c:numRef>
          </c:cat>
          <c:val>
            <c:numRef>
              <c:f>spolu!$R$50:$CG$50</c:f>
              <c:numCache>
                <c:formatCode>General</c:formatCode>
                <c:ptCount val="68"/>
                <c:pt idx="0">
                  <c:v>237.62540373666707</c:v>
                </c:pt>
                <c:pt idx="1">
                  <c:v>218.9055053345262</c:v>
                </c:pt>
                <c:pt idx="2">
                  <c:v>173.29060110060868</c:v>
                </c:pt>
                <c:pt idx="3">
                  <c:v>45.614904233917514</c:v>
                </c:pt>
                <c:pt idx="4">
                  <c:v>0</c:v>
                </c:pt>
                <c:pt idx="5">
                  <c:v>41.619686989461115</c:v>
                </c:pt>
                <c:pt idx="6">
                  <c:v>0</c:v>
                </c:pt>
                <c:pt idx="7">
                  <c:v>0</c:v>
                </c:pt>
                <c:pt idx="8">
                  <c:v>297.53648075358592</c:v>
                </c:pt>
                <c:pt idx="9">
                  <c:v>248.97530460459188</c:v>
                </c:pt>
                <c:pt idx="10">
                  <c:v>318.95697025730703</c:v>
                </c:pt>
                <c:pt idx="11">
                  <c:v>48.56117614899415</c:v>
                </c:pt>
                <c:pt idx="12">
                  <c:v>63.790255154458464</c:v>
                </c:pt>
                <c:pt idx="13">
                  <c:v>0</c:v>
                </c:pt>
                <c:pt idx="14">
                  <c:v>52.669234081356535</c:v>
                </c:pt>
                <c:pt idx="15">
                  <c:v>0</c:v>
                </c:pt>
                <c:pt idx="16">
                  <c:v>0</c:v>
                </c:pt>
                <c:pt idx="17">
                  <c:v>0</c:v>
                </c:pt>
                <c:pt idx="18">
                  <c:v>0</c:v>
                </c:pt>
                <c:pt idx="19">
                  <c:v>63.79025515445835</c:v>
                </c:pt>
                <c:pt idx="20">
                  <c:v>55.761583576923613</c:v>
                </c:pt>
                <c:pt idx="21">
                  <c:v>0</c:v>
                </c:pt>
                <c:pt idx="22">
                  <c:v>148.77475995339091</c:v>
                </c:pt>
                <c:pt idx="23">
                  <c:v>55.761583576923613</c:v>
                </c:pt>
                <c:pt idx="24">
                  <c:v>31.959618228098634</c:v>
                </c:pt>
                <c:pt idx="25">
                  <c:v>84.261458899158697</c:v>
                </c:pt>
                <c:pt idx="26">
                  <c:v>111.24789020344656</c:v>
                </c:pt>
                <c:pt idx="27">
                  <c:v>31.959618228098634</c:v>
                </c:pt>
                <c:pt idx="28">
                  <c:v>0</c:v>
                </c:pt>
                <c:pt idx="29">
                  <c:v>31.959618228098634</c:v>
                </c:pt>
                <c:pt idx="30">
                  <c:v>0</c:v>
                </c:pt>
                <c:pt idx="31">
                  <c:v>273.41883079036529</c:v>
                </c:pt>
                <c:pt idx="32">
                  <c:v>297.2363371585684</c:v>
                </c:pt>
                <c:pt idx="33">
                  <c:v>280.64387221590653</c:v>
                </c:pt>
                <c:pt idx="34">
                  <c:v>693.51419664658192</c:v>
                </c:pt>
                <c:pt idx="35">
                  <c:v>491.71243041525963</c:v>
                </c:pt>
                <c:pt idx="36">
                  <c:v>280.66126842186219</c:v>
                </c:pt>
                <c:pt idx="37">
                  <c:v>138.90528730309325</c:v>
                </c:pt>
                <c:pt idx="38">
                  <c:v>80.723752353632676</c:v>
                </c:pt>
                <c:pt idx="39">
                  <c:v>334.76337546551611</c:v>
                </c:pt>
                <c:pt idx="40">
                  <c:v>110.04630660638611</c:v>
                </c:pt>
                <c:pt idx="41">
                  <c:v>277.84784370183019</c:v>
                </c:pt>
                <c:pt idx="42">
                  <c:v>212.80379708391482</c:v>
                </c:pt>
                <c:pt idx="43">
                  <c:v>379.93603839232355</c:v>
                </c:pt>
                <c:pt idx="44">
                  <c:v>423.5054959967639</c:v>
                </c:pt>
                <c:pt idx="45">
                  <c:v>133.67574627012806</c:v>
                </c:pt>
                <c:pt idx="46">
                  <c:v>643.11394187704525</c:v>
                </c:pt>
                <c:pt idx="47">
                  <c:v>539.03382196630287</c:v>
                </c:pt>
                <c:pt idx="48">
                  <c:v>504.3639318885879</c:v>
                </c:pt>
                <c:pt idx="49">
                  <c:v>92.99982712952999</c:v>
                </c:pt>
                <c:pt idx="50">
                  <c:v>0</c:v>
                </c:pt>
                <c:pt idx="51">
                  <c:v>0</c:v>
                </c:pt>
                <c:pt idx="52">
                  <c:v>33.815242136314396</c:v>
                </c:pt>
                <c:pt idx="53">
                  <c:v>0</c:v>
                </c:pt>
                <c:pt idx="54">
                  <c:v>211.94739021400596</c:v>
                </c:pt>
                <c:pt idx="55">
                  <c:v>0</c:v>
                </c:pt>
                <c:pt idx="56">
                  <c:v>120.48855867407963</c:v>
                </c:pt>
                <c:pt idx="57">
                  <c:v>0</c:v>
                </c:pt>
                <c:pt idx="58">
                  <c:v>106.57129100619136</c:v>
                </c:pt>
                <c:pt idx="59">
                  <c:v>36.140600799406002</c:v>
                </c:pt>
                <c:pt idx="60">
                  <c:v>36.140600799406002</c:v>
                </c:pt>
                <c:pt idx="61">
                  <c:v>99.909553452924456</c:v>
                </c:pt>
                <c:pt idx="62">
                  <c:v>0</c:v>
                </c:pt>
                <c:pt idx="63">
                  <c:v>25.741090386919723</c:v>
                </c:pt>
                <c:pt idx="64">
                  <c:v>63.188965597526703</c:v>
                </c:pt>
                <c:pt idx="65">
                  <c:v>133.61965580431217</c:v>
                </c:pt>
                <c:pt idx="66">
                  <c:v>0</c:v>
                </c:pt>
                <c:pt idx="67" formatCode="0.00">
                  <c:v>214.73116341494028</c:v>
                </c:pt>
              </c:numCache>
            </c:numRef>
          </c:val>
          <c:extLst>
            <c:ext xmlns:c16="http://schemas.microsoft.com/office/drawing/2014/chart" uri="{C3380CC4-5D6E-409C-BE32-E72D297353CC}">
              <c16:uniqueId val="{00000003-17D7-4F05-9B86-1915BC375517}"/>
            </c:ext>
          </c:extLst>
        </c:ser>
        <c:ser>
          <c:idx val="4"/>
          <c:order val="4"/>
          <c:tx>
            <c:strRef>
              <c:f>spolu!$A$51:$C$51</c:f>
              <c:strCache>
                <c:ptCount val="3"/>
                <c:pt idx="0">
                  <c:v>2 - 3</c:v>
                </c:pt>
              </c:strCache>
            </c:strRef>
          </c:tx>
          <c:spPr>
            <a:solidFill>
              <a:srgbClr val="C00000"/>
            </a:solidFill>
            <a:ln>
              <a:noFill/>
            </a:ln>
            <a:effectLst/>
          </c:spPr>
          <c:cat>
            <c:numRef>
              <c:f>spolu!$R$27:$CG$27</c:f>
              <c:numCache>
                <c:formatCode>m/d/yyyy</c:formatCode>
                <c:ptCount val="68"/>
                <c:pt idx="0">
                  <c:v>43586</c:v>
                </c:pt>
                <c:pt idx="1">
                  <c:v>43617</c:v>
                </c:pt>
                <c:pt idx="2">
                  <c:v>43647</c:v>
                </c:pt>
                <c:pt idx="3">
                  <c:v>43678</c:v>
                </c:pt>
                <c:pt idx="4">
                  <c:v>43709</c:v>
                </c:pt>
                <c:pt idx="5">
                  <c:v>43739</c:v>
                </c:pt>
                <c:pt idx="6">
                  <c:v>43770</c:v>
                </c:pt>
                <c:pt idx="7">
                  <c:v>43800</c:v>
                </c:pt>
                <c:pt idx="8">
                  <c:v>43831</c:v>
                </c:pt>
                <c:pt idx="9">
                  <c:v>43862</c:v>
                </c:pt>
                <c:pt idx="10">
                  <c:v>43891</c:v>
                </c:pt>
                <c:pt idx="11">
                  <c:v>43922</c:v>
                </c:pt>
                <c:pt idx="12">
                  <c:v>43952</c:v>
                </c:pt>
                <c:pt idx="13">
                  <c:v>43983</c:v>
                </c:pt>
                <c:pt idx="14">
                  <c:v>44013</c:v>
                </c:pt>
                <c:pt idx="15">
                  <c:v>44044</c:v>
                </c:pt>
                <c:pt idx="16">
                  <c:v>44075</c:v>
                </c:pt>
                <c:pt idx="17">
                  <c:v>44105</c:v>
                </c:pt>
                <c:pt idx="18">
                  <c:v>44136</c:v>
                </c:pt>
                <c:pt idx="19">
                  <c:v>44166</c:v>
                </c:pt>
                <c:pt idx="20">
                  <c:v>44197</c:v>
                </c:pt>
                <c:pt idx="21">
                  <c:v>44228</c:v>
                </c:pt>
                <c:pt idx="22">
                  <c:v>44256</c:v>
                </c:pt>
                <c:pt idx="23">
                  <c:v>44287</c:v>
                </c:pt>
                <c:pt idx="24">
                  <c:v>44317</c:v>
                </c:pt>
                <c:pt idx="25">
                  <c:v>44348</c:v>
                </c:pt>
                <c:pt idx="26">
                  <c:v>44378</c:v>
                </c:pt>
                <c:pt idx="27">
                  <c:v>44409</c:v>
                </c:pt>
                <c:pt idx="28">
                  <c:v>44440</c:v>
                </c:pt>
                <c:pt idx="29">
                  <c:v>44470</c:v>
                </c:pt>
                <c:pt idx="30">
                  <c:v>44501</c:v>
                </c:pt>
                <c:pt idx="31">
                  <c:v>44531</c:v>
                </c:pt>
                <c:pt idx="32">
                  <c:v>44562</c:v>
                </c:pt>
                <c:pt idx="33">
                  <c:v>44593</c:v>
                </c:pt>
                <c:pt idx="34">
                  <c:v>44621</c:v>
                </c:pt>
                <c:pt idx="35">
                  <c:v>44652</c:v>
                </c:pt>
                <c:pt idx="36">
                  <c:v>44682</c:v>
                </c:pt>
                <c:pt idx="37">
                  <c:v>44713</c:v>
                </c:pt>
                <c:pt idx="38">
                  <c:v>44743</c:v>
                </c:pt>
                <c:pt idx="39">
                  <c:v>44774</c:v>
                </c:pt>
                <c:pt idx="40">
                  <c:v>44805</c:v>
                </c:pt>
                <c:pt idx="41">
                  <c:v>44835</c:v>
                </c:pt>
                <c:pt idx="42">
                  <c:v>44866</c:v>
                </c:pt>
                <c:pt idx="43">
                  <c:v>44896</c:v>
                </c:pt>
                <c:pt idx="44">
                  <c:v>44927</c:v>
                </c:pt>
                <c:pt idx="45">
                  <c:v>44958</c:v>
                </c:pt>
                <c:pt idx="46">
                  <c:v>44986</c:v>
                </c:pt>
                <c:pt idx="47">
                  <c:v>45017</c:v>
                </c:pt>
                <c:pt idx="48">
                  <c:v>45047</c:v>
                </c:pt>
                <c:pt idx="49">
                  <c:v>45078</c:v>
                </c:pt>
                <c:pt idx="50">
                  <c:v>45108</c:v>
                </c:pt>
                <c:pt idx="51">
                  <c:v>45139</c:v>
                </c:pt>
                <c:pt idx="52">
                  <c:v>45170</c:v>
                </c:pt>
                <c:pt idx="53">
                  <c:v>45200</c:v>
                </c:pt>
                <c:pt idx="54">
                  <c:v>45231</c:v>
                </c:pt>
                <c:pt idx="55">
                  <c:v>45261</c:v>
                </c:pt>
                <c:pt idx="56">
                  <c:v>45292</c:v>
                </c:pt>
                <c:pt idx="57">
                  <c:v>45323</c:v>
                </c:pt>
                <c:pt idx="58">
                  <c:v>45352</c:v>
                </c:pt>
                <c:pt idx="59">
                  <c:v>45383</c:v>
                </c:pt>
                <c:pt idx="60">
                  <c:v>45413</c:v>
                </c:pt>
                <c:pt idx="61">
                  <c:v>45444</c:v>
                </c:pt>
                <c:pt idx="62">
                  <c:v>45474</c:v>
                </c:pt>
                <c:pt idx="63">
                  <c:v>45505</c:v>
                </c:pt>
                <c:pt idx="64">
                  <c:v>45536</c:v>
                </c:pt>
                <c:pt idx="65">
                  <c:v>45566</c:v>
                </c:pt>
                <c:pt idx="66">
                  <c:v>45597</c:v>
                </c:pt>
                <c:pt idx="67">
                  <c:v>45627</c:v>
                </c:pt>
              </c:numCache>
            </c:numRef>
          </c:cat>
          <c:val>
            <c:numRef>
              <c:f>spolu!$R$51:$CG$51</c:f>
              <c:numCache>
                <c:formatCode>General</c:formatCode>
                <c:ptCount val="68"/>
                <c:pt idx="0">
                  <c:v>0</c:v>
                </c:pt>
                <c:pt idx="1">
                  <c:v>0</c:v>
                </c:pt>
                <c:pt idx="2">
                  <c:v>45.614904233917514</c:v>
                </c:pt>
                <c:pt idx="3">
                  <c:v>0</c:v>
                </c:pt>
                <c:pt idx="4">
                  <c:v>0</c:v>
                </c:pt>
                <c:pt idx="5">
                  <c:v>0</c:v>
                </c:pt>
                <c:pt idx="6">
                  <c:v>0</c:v>
                </c:pt>
                <c:pt idx="7">
                  <c:v>0</c:v>
                </c:pt>
                <c:pt idx="8">
                  <c:v>0</c:v>
                </c:pt>
                <c:pt idx="9">
                  <c:v>0</c:v>
                </c:pt>
                <c:pt idx="10">
                  <c:v>0</c:v>
                </c:pt>
                <c:pt idx="11">
                  <c:v>63.79025515445835</c:v>
                </c:pt>
                <c:pt idx="12">
                  <c:v>0</c:v>
                </c:pt>
                <c:pt idx="13">
                  <c:v>0</c:v>
                </c:pt>
                <c:pt idx="14">
                  <c:v>0</c:v>
                </c:pt>
                <c:pt idx="15">
                  <c:v>0</c:v>
                </c:pt>
                <c:pt idx="16">
                  <c:v>0</c:v>
                </c:pt>
                <c:pt idx="17">
                  <c:v>0</c:v>
                </c:pt>
                <c:pt idx="18">
                  <c:v>63.790255154458237</c:v>
                </c:pt>
                <c:pt idx="19">
                  <c:v>0</c:v>
                </c:pt>
                <c:pt idx="20">
                  <c:v>0</c:v>
                </c:pt>
                <c:pt idx="21">
                  <c:v>53.473174832659879</c:v>
                </c:pt>
                <c:pt idx="22">
                  <c:v>0</c:v>
                </c:pt>
                <c:pt idx="23">
                  <c:v>0</c:v>
                </c:pt>
                <c:pt idx="24">
                  <c:v>55.761583576923613</c:v>
                </c:pt>
                <c:pt idx="25">
                  <c:v>55.761583576923613</c:v>
                </c:pt>
                <c:pt idx="26">
                  <c:v>0</c:v>
                </c:pt>
                <c:pt idx="27">
                  <c:v>0</c:v>
                </c:pt>
                <c:pt idx="28">
                  <c:v>0</c:v>
                </c:pt>
                <c:pt idx="29">
                  <c:v>0</c:v>
                </c:pt>
                <c:pt idx="30">
                  <c:v>31.959618228098634</c:v>
                </c:pt>
                <c:pt idx="31">
                  <c:v>0</c:v>
                </c:pt>
                <c:pt idx="32">
                  <c:v>247.57115073121929</c:v>
                </c:pt>
                <c:pt idx="33">
                  <c:v>235.56510440600937</c:v>
                </c:pt>
                <c:pt idx="34">
                  <c:v>63.234238382369767</c:v>
                </c:pt>
                <c:pt idx="35">
                  <c:v>243.15273243233651</c:v>
                </c:pt>
                <c:pt idx="36">
                  <c:v>396.15494799347209</c:v>
                </c:pt>
                <c:pt idx="37">
                  <c:v>178.1341282803711</c:v>
                </c:pt>
                <c:pt idx="38">
                  <c:v>280.90832563065874</c:v>
                </c:pt>
                <c:pt idx="39">
                  <c:v>400.32210293655237</c:v>
                </c:pt>
                <c:pt idx="40">
                  <c:v>568.37256017631103</c:v>
                </c:pt>
                <c:pt idx="41">
                  <c:v>475.1649289185093</c:v>
                </c:pt>
                <c:pt idx="42">
                  <c:v>333.02981153786357</c:v>
                </c:pt>
                <c:pt idx="43">
                  <c:v>97.316217296294781</c:v>
                </c:pt>
                <c:pt idx="44">
                  <c:v>240.62871682980904</c:v>
                </c:pt>
                <c:pt idx="45">
                  <c:v>358.05230022855619</c:v>
                </c:pt>
                <c:pt idx="46">
                  <c:v>71.500261093426388</c:v>
                </c:pt>
                <c:pt idx="47">
                  <c:v>92.99982712952999</c:v>
                </c:pt>
                <c:pt idx="48">
                  <c:v>33.815242136314396</c:v>
                </c:pt>
                <c:pt idx="49">
                  <c:v>0</c:v>
                </c:pt>
                <c:pt idx="50">
                  <c:v>48.888661402371099</c:v>
                </c:pt>
                <c:pt idx="51">
                  <c:v>0</c:v>
                </c:pt>
                <c:pt idx="52">
                  <c:v>0</c:v>
                </c:pt>
                <c:pt idx="53">
                  <c:v>0</c:v>
                </c:pt>
                <c:pt idx="54">
                  <c:v>0</c:v>
                </c:pt>
                <c:pt idx="55">
                  <c:v>0</c:v>
                </c:pt>
                <c:pt idx="56">
                  <c:v>0</c:v>
                </c:pt>
                <c:pt idx="57">
                  <c:v>196.14091409251205</c:v>
                </c:pt>
                <c:pt idx="58">
                  <c:v>125.71022388572669</c:v>
                </c:pt>
                <c:pt idx="59">
                  <c:v>75.260362573213001</c:v>
                </c:pt>
                <c:pt idx="60">
                  <c:v>0</c:v>
                </c:pt>
                <c:pt idx="61">
                  <c:v>0</c:v>
                </c:pt>
                <c:pt idx="62">
                  <c:v>0</c:v>
                </c:pt>
                <c:pt idx="63">
                  <c:v>0</c:v>
                </c:pt>
                <c:pt idx="64">
                  <c:v>0</c:v>
                </c:pt>
                <c:pt idx="65">
                  <c:v>0</c:v>
                </c:pt>
                <c:pt idx="66">
                  <c:v>214.73116341494028</c:v>
                </c:pt>
                <c:pt idx="67" formatCode="0.00">
                  <c:v>0</c:v>
                </c:pt>
              </c:numCache>
            </c:numRef>
          </c:val>
          <c:extLst>
            <c:ext xmlns:c16="http://schemas.microsoft.com/office/drawing/2014/chart" uri="{C3380CC4-5D6E-409C-BE32-E72D297353CC}">
              <c16:uniqueId val="{00000004-17D7-4F05-9B86-1915BC375517}"/>
            </c:ext>
          </c:extLst>
        </c:ser>
        <c:ser>
          <c:idx val="5"/>
          <c:order val="5"/>
          <c:tx>
            <c:strRef>
              <c:f>spolu!$A$52:$C$52</c:f>
              <c:strCache>
                <c:ptCount val="3"/>
                <c:pt idx="0">
                  <c:v>3 - 4</c:v>
                </c:pt>
              </c:strCache>
            </c:strRef>
          </c:tx>
          <c:spPr>
            <a:solidFill>
              <a:srgbClr val="800000"/>
            </a:solidFill>
            <a:ln w="25400">
              <a:noFill/>
            </a:ln>
            <a:effectLst/>
          </c:spPr>
          <c:cat>
            <c:numRef>
              <c:f>spolu!$R$27:$CG$27</c:f>
              <c:numCache>
                <c:formatCode>m/d/yyyy</c:formatCode>
                <c:ptCount val="68"/>
                <c:pt idx="0">
                  <c:v>43586</c:v>
                </c:pt>
                <c:pt idx="1">
                  <c:v>43617</c:v>
                </c:pt>
                <c:pt idx="2">
                  <c:v>43647</c:v>
                </c:pt>
                <c:pt idx="3">
                  <c:v>43678</c:v>
                </c:pt>
                <c:pt idx="4">
                  <c:v>43709</c:v>
                </c:pt>
                <c:pt idx="5">
                  <c:v>43739</c:v>
                </c:pt>
                <c:pt idx="6">
                  <c:v>43770</c:v>
                </c:pt>
                <c:pt idx="7">
                  <c:v>43800</c:v>
                </c:pt>
                <c:pt idx="8">
                  <c:v>43831</c:v>
                </c:pt>
                <c:pt idx="9">
                  <c:v>43862</c:v>
                </c:pt>
                <c:pt idx="10">
                  <c:v>43891</c:v>
                </c:pt>
                <c:pt idx="11">
                  <c:v>43922</c:v>
                </c:pt>
                <c:pt idx="12">
                  <c:v>43952</c:v>
                </c:pt>
                <c:pt idx="13">
                  <c:v>43983</c:v>
                </c:pt>
                <c:pt idx="14">
                  <c:v>44013</c:v>
                </c:pt>
                <c:pt idx="15">
                  <c:v>44044</c:v>
                </c:pt>
                <c:pt idx="16">
                  <c:v>44075</c:v>
                </c:pt>
                <c:pt idx="17">
                  <c:v>44105</c:v>
                </c:pt>
                <c:pt idx="18">
                  <c:v>44136</c:v>
                </c:pt>
                <c:pt idx="19">
                  <c:v>44166</c:v>
                </c:pt>
                <c:pt idx="20">
                  <c:v>44197</c:v>
                </c:pt>
                <c:pt idx="21">
                  <c:v>44228</c:v>
                </c:pt>
                <c:pt idx="22">
                  <c:v>44256</c:v>
                </c:pt>
                <c:pt idx="23">
                  <c:v>44287</c:v>
                </c:pt>
                <c:pt idx="24">
                  <c:v>44317</c:v>
                </c:pt>
                <c:pt idx="25">
                  <c:v>44348</c:v>
                </c:pt>
                <c:pt idx="26">
                  <c:v>44378</c:v>
                </c:pt>
                <c:pt idx="27">
                  <c:v>44409</c:v>
                </c:pt>
                <c:pt idx="28">
                  <c:v>44440</c:v>
                </c:pt>
                <c:pt idx="29">
                  <c:v>44470</c:v>
                </c:pt>
                <c:pt idx="30">
                  <c:v>44501</c:v>
                </c:pt>
                <c:pt idx="31">
                  <c:v>44531</c:v>
                </c:pt>
                <c:pt idx="32">
                  <c:v>44562</c:v>
                </c:pt>
                <c:pt idx="33">
                  <c:v>44593</c:v>
                </c:pt>
                <c:pt idx="34">
                  <c:v>44621</c:v>
                </c:pt>
                <c:pt idx="35">
                  <c:v>44652</c:v>
                </c:pt>
                <c:pt idx="36">
                  <c:v>44682</c:v>
                </c:pt>
                <c:pt idx="37">
                  <c:v>44713</c:v>
                </c:pt>
                <c:pt idx="38">
                  <c:v>44743</c:v>
                </c:pt>
                <c:pt idx="39">
                  <c:v>44774</c:v>
                </c:pt>
                <c:pt idx="40">
                  <c:v>44805</c:v>
                </c:pt>
                <c:pt idx="41">
                  <c:v>44835</c:v>
                </c:pt>
                <c:pt idx="42">
                  <c:v>44866</c:v>
                </c:pt>
                <c:pt idx="43">
                  <c:v>44896</c:v>
                </c:pt>
                <c:pt idx="44">
                  <c:v>44927</c:v>
                </c:pt>
                <c:pt idx="45">
                  <c:v>44958</c:v>
                </c:pt>
                <c:pt idx="46">
                  <c:v>44986</c:v>
                </c:pt>
                <c:pt idx="47">
                  <c:v>45017</c:v>
                </c:pt>
                <c:pt idx="48">
                  <c:v>45047</c:v>
                </c:pt>
                <c:pt idx="49">
                  <c:v>45078</c:v>
                </c:pt>
                <c:pt idx="50">
                  <c:v>45108</c:v>
                </c:pt>
                <c:pt idx="51">
                  <c:v>45139</c:v>
                </c:pt>
                <c:pt idx="52">
                  <c:v>45170</c:v>
                </c:pt>
                <c:pt idx="53">
                  <c:v>45200</c:v>
                </c:pt>
                <c:pt idx="54">
                  <c:v>45231</c:v>
                </c:pt>
                <c:pt idx="55">
                  <c:v>45261</c:v>
                </c:pt>
                <c:pt idx="56">
                  <c:v>45292</c:v>
                </c:pt>
                <c:pt idx="57">
                  <c:v>45323</c:v>
                </c:pt>
                <c:pt idx="58">
                  <c:v>45352</c:v>
                </c:pt>
                <c:pt idx="59">
                  <c:v>45383</c:v>
                </c:pt>
                <c:pt idx="60">
                  <c:v>45413</c:v>
                </c:pt>
                <c:pt idx="61">
                  <c:v>45444</c:v>
                </c:pt>
                <c:pt idx="62">
                  <c:v>45474</c:v>
                </c:pt>
                <c:pt idx="63">
                  <c:v>45505</c:v>
                </c:pt>
                <c:pt idx="64">
                  <c:v>45536</c:v>
                </c:pt>
                <c:pt idx="65">
                  <c:v>45566</c:v>
                </c:pt>
                <c:pt idx="66">
                  <c:v>45597</c:v>
                </c:pt>
                <c:pt idx="67">
                  <c:v>45627</c:v>
                </c:pt>
              </c:numCache>
            </c:numRef>
          </c:cat>
          <c:val>
            <c:numRef>
              <c:f>spolu!$R$52:$CG$52</c:f>
              <c:numCache>
                <c:formatCode>General</c:formatCode>
                <c:ptCount val="68"/>
                <c:pt idx="0">
                  <c:v>0</c:v>
                </c:pt>
                <c:pt idx="1">
                  <c:v>0</c:v>
                </c:pt>
                <c:pt idx="2">
                  <c:v>0</c:v>
                </c:pt>
                <c:pt idx="3">
                  <c:v>0</c:v>
                </c:pt>
                <c:pt idx="4">
                  <c:v>0</c:v>
                </c:pt>
                <c:pt idx="5">
                  <c:v>0</c:v>
                </c:pt>
                <c:pt idx="6">
                  <c:v>0</c:v>
                </c:pt>
                <c:pt idx="7">
                  <c:v>0</c:v>
                </c:pt>
                <c:pt idx="8">
                  <c:v>0</c:v>
                </c:pt>
                <c:pt idx="9">
                  <c:v>48.561176148994036</c:v>
                </c:pt>
                <c:pt idx="10">
                  <c:v>0</c:v>
                </c:pt>
                <c:pt idx="11">
                  <c:v>0</c:v>
                </c:pt>
                <c:pt idx="12">
                  <c:v>48.561176148994036</c:v>
                </c:pt>
                <c:pt idx="13">
                  <c:v>48.561176148994036</c:v>
                </c:pt>
                <c:pt idx="14">
                  <c:v>0</c:v>
                </c:pt>
                <c:pt idx="15">
                  <c:v>0</c:v>
                </c:pt>
                <c:pt idx="16">
                  <c:v>0</c:v>
                </c:pt>
                <c:pt idx="17">
                  <c:v>0</c:v>
                </c:pt>
                <c:pt idx="18">
                  <c:v>0</c:v>
                </c:pt>
                <c:pt idx="19">
                  <c:v>0</c:v>
                </c:pt>
                <c:pt idx="20">
                  <c:v>0</c:v>
                </c:pt>
                <c:pt idx="21">
                  <c:v>0</c:v>
                </c:pt>
                <c:pt idx="22">
                  <c:v>0</c:v>
                </c:pt>
                <c:pt idx="23">
                  <c:v>0</c:v>
                </c:pt>
                <c:pt idx="24">
                  <c:v>53.473174832659879</c:v>
                </c:pt>
                <c:pt idx="25">
                  <c:v>53.473174832659879</c:v>
                </c:pt>
                <c:pt idx="26">
                  <c:v>53.473174832659879</c:v>
                </c:pt>
                <c:pt idx="27">
                  <c:v>0</c:v>
                </c:pt>
                <c:pt idx="28">
                  <c:v>0</c:v>
                </c:pt>
                <c:pt idx="29">
                  <c:v>0</c:v>
                </c:pt>
                <c:pt idx="30">
                  <c:v>0</c:v>
                </c:pt>
                <c:pt idx="31">
                  <c:v>31.959618228098634</c:v>
                </c:pt>
                <c:pt idx="32">
                  <c:v>35.725928871352721</c:v>
                </c:pt>
                <c:pt idx="33">
                  <c:v>35.725928871352721</c:v>
                </c:pt>
                <c:pt idx="34">
                  <c:v>127.06858912660732</c:v>
                </c:pt>
                <c:pt idx="35">
                  <c:v>0</c:v>
                </c:pt>
                <c:pt idx="36">
                  <c:v>178.10424930823035</c:v>
                </c:pt>
                <c:pt idx="37">
                  <c:v>188.30616949870569</c:v>
                </c:pt>
                <c:pt idx="38">
                  <c:v>263.6362214566484</c:v>
                </c:pt>
                <c:pt idx="39">
                  <c:v>0</c:v>
                </c:pt>
                <c:pt idx="40">
                  <c:v>0</c:v>
                </c:pt>
                <c:pt idx="41">
                  <c:v>0</c:v>
                </c:pt>
                <c:pt idx="42">
                  <c:v>200.31221582391549</c:v>
                </c:pt>
                <c:pt idx="43">
                  <c:v>200.31221582391549</c:v>
                </c:pt>
                <c:pt idx="44">
                  <c:v>152.9521963110351</c:v>
                </c:pt>
                <c:pt idx="45">
                  <c:v>36.821147595694242</c:v>
                </c:pt>
                <c:pt idx="46">
                  <c:v>84.118086481655837</c:v>
                </c:pt>
                <c:pt idx="47">
                  <c:v>0</c:v>
                </c:pt>
                <c:pt idx="48">
                  <c:v>0</c:v>
                </c:pt>
                <c:pt idx="49">
                  <c:v>82.703903538685495</c:v>
                </c:pt>
                <c:pt idx="50">
                  <c:v>33.815242136314396</c:v>
                </c:pt>
                <c:pt idx="51">
                  <c:v>33.815242136314396</c:v>
                </c:pt>
                <c:pt idx="52">
                  <c:v>0</c:v>
                </c:pt>
                <c:pt idx="53">
                  <c:v>0</c:v>
                </c:pt>
                <c:pt idx="54">
                  <c:v>0</c:v>
                </c:pt>
                <c:pt idx="55">
                  <c:v>64.318500513726917</c:v>
                </c:pt>
                <c:pt idx="56">
                  <c:v>0</c:v>
                </c:pt>
                <c:pt idx="57">
                  <c:v>0</c:v>
                </c:pt>
                <c:pt idx="58">
                  <c:v>0</c:v>
                </c:pt>
                <c:pt idx="59">
                  <c:v>0</c:v>
                </c:pt>
                <c:pt idx="60">
                  <c:v>0</c:v>
                </c:pt>
                <c:pt idx="61">
                  <c:v>0</c:v>
                </c:pt>
                <c:pt idx="62">
                  <c:v>36.720587855397753</c:v>
                </c:pt>
                <c:pt idx="63">
                  <c:v>0</c:v>
                </c:pt>
                <c:pt idx="64">
                  <c:v>0</c:v>
                </c:pt>
                <c:pt idx="65">
                  <c:v>0</c:v>
                </c:pt>
                <c:pt idx="66">
                  <c:v>87.170449167911443</c:v>
                </c:pt>
                <c:pt idx="67" formatCode="0.00">
                  <c:v>0</c:v>
                </c:pt>
              </c:numCache>
            </c:numRef>
          </c:val>
          <c:extLst>
            <c:ext xmlns:c16="http://schemas.microsoft.com/office/drawing/2014/chart" uri="{C3380CC4-5D6E-409C-BE32-E72D297353CC}">
              <c16:uniqueId val="{00000005-17D7-4F05-9B86-1915BC375517}"/>
            </c:ext>
          </c:extLst>
        </c:ser>
        <c:ser>
          <c:idx val="6"/>
          <c:order val="6"/>
          <c:tx>
            <c:strRef>
              <c:f>spolu!$A$53:$C$53</c:f>
              <c:strCache>
                <c:ptCount val="3"/>
                <c:pt idx="0">
                  <c:v>&gt;4</c:v>
                </c:pt>
              </c:strCache>
            </c:strRef>
          </c:tx>
          <c:spPr>
            <a:solidFill>
              <a:schemeClr val="tx1"/>
            </a:solidFill>
            <a:ln w="25400">
              <a:noFill/>
            </a:ln>
            <a:effectLst/>
          </c:spPr>
          <c:cat>
            <c:numRef>
              <c:f>spolu!$R$27:$CG$27</c:f>
              <c:numCache>
                <c:formatCode>m/d/yyyy</c:formatCode>
                <c:ptCount val="68"/>
                <c:pt idx="0">
                  <c:v>43586</c:v>
                </c:pt>
                <c:pt idx="1">
                  <c:v>43617</c:v>
                </c:pt>
                <c:pt idx="2">
                  <c:v>43647</c:v>
                </c:pt>
                <c:pt idx="3">
                  <c:v>43678</c:v>
                </c:pt>
                <c:pt idx="4">
                  <c:v>43709</c:v>
                </c:pt>
                <c:pt idx="5">
                  <c:v>43739</c:v>
                </c:pt>
                <c:pt idx="6">
                  <c:v>43770</c:v>
                </c:pt>
                <c:pt idx="7">
                  <c:v>43800</c:v>
                </c:pt>
                <c:pt idx="8">
                  <c:v>43831</c:v>
                </c:pt>
                <c:pt idx="9">
                  <c:v>43862</c:v>
                </c:pt>
                <c:pt idx="10">
                  <c:v>43891</c:v>
                </c:pt>
                <c:pt idx="11">
                  <c:v>43922</c:v>
                </c:pt>
                <c:pt idx="12">
                  <c:v>43952</c:v>
                </c:pt>
                <c:pt idx="13">
                  <c:v>43983</c:v>
                </c:pt>
                <c:pt idx="14">
                  <c:v>44013</c:v>
                </c:pt>
                <c:pt idx="15">
                  <c:v>44044</c:v>
                </c:pt>
                <c:pt idx="16">
                  <c:v>44075</c:v>
                </c:pt>
                <c:pt idx="17">
                  <c:v>44105</c:v>
                </c:pt>
                <c:pt idx="18">
                  <c:v>44136</c:v>
                </c:pt>
                <c:pt idx="19">
                  <c:v>44166</c:v>
                </c:pt>
                <c:pt idx="20">
                  <c:v>44197</c:v>
                </c:pt>
                <c:pt idx="21">
                  <c:v>44228</c:v>
                </c:pt>
                <c:pt idx="22">
                  <c:v>44256</c:v>
                </c:pt>
                <c:pt idx="23">
                  <c:v>44287</c:v>
                </c:pt>
                <c:pt idx="24">
                  <c:v>44317</c:v>
                </c:pt>
                <c:pt idx="25">
                  <c:v>44348</c:v>
                </c:pt>
                <c:pt idx="26">
                  <c:v>44378</c:v>
                </c:pt>
                <c:pt idx="27">
                  <c:v>44409</c:v>
                </c:pt>
                <c:pt idx="28">
                  <c:v>44440</c:v>
                </c:pt>
                <c:pt idx="29">
                  <c:v>44470</c:v>
                </c:pt>
                <c:pt idx="30">
                  <c:v>44501</c:v>
                </c:pt>
                <c:pt idx="31">
                  <c:v>44531</c:v>
                </c:pt>
                <c:pt idx="32">
                  <c:v>44562</c:v>
                </c:pt>
                <c:pt idx="33">
                  <c:v>44593</c:v>
                </c:pt>
                <c:pt idx="34">
                  <c:v>44621</c:v>
                </c:pt>
                <c:pt idx="35">
                  <c:v>44652</c:v>
                </c:pt>
                <c:pt idx="36">
                  <c:v>44682</c:v>
                </c:pt>
                <c:pt idx="37">
                  <c:v>44713</c:v>
                </c:pt>
                <c:pt idx="38">
                  <c:v>44743</c:v>
                </c:pt>
                <c:pt idx="39">
                  <c:v>44774</c:v>
                </c:pt>
                <c:pt idx="40">
                  <c:v>44805</c:v>
                </c:pt>
                <c:pt idx="41">
                  <c:v>44835</c:v>
                </c:pt>
                <c:pt idx="42">
                  <c:v>44866</c:v>
                </c:pt>
                <c:pt idx="43">
                  <c:v>44896</c:v>
                </c:pt>
                <c:pt idx="44">
                  <c:v>44927</c:v>
                </c:pt>
                <c:pt idx="45">
                  <c:v>44958</c:v>
                </c:pt>
                <c:pt idx="46">
                  <c:v>44986</c:v>
                </c:pt>
                <c:pt idx="47">
                  <c:v>45017</c:v>
                </c:pt>
                <c:pt idx="48">
                  <c:v>45047</c:v>
                </c:pt>
                <c:pt idx="49">
                  <c:v>45078</c:v>
                </c:pt>
                <c:pt idx="50">
                  <c:v>45108</c:v>
                </c:pt>
                <c:pt idx="51">
                  <c:v>45139</c:v>
                </c:pt>
                <c:pt idx="52">
                  <c:v>45170</c:v>
                </c:pt>
                <c:pt idx="53">
                  <c:v>45200</c:v>
                </c:pt>
                <c:pt idx="54">
                  <c:v>45231</c:v>
                </c:pt>
                <c:pt idx="55">
                  <c:v>45261</c:v>
                </c:pt>
                <c:pt idx="56">
                  <c:v>45292</c:v>
                </c:pt>
                <c:pt idx="57">
                  <c:v>45323</c:v>
                </c:pt>
                <c:pt idx="58">
                  <c:v>45352</c:v>
                </c:pt>
                <c:pt idx="59">
                  <c:v>45383</c:v>
                </c:pt>
                <c:pt idx="60">
                  <c:v>45413</c:v>
                </c:pt>
                <c:pt idx="61">
                  <c:v>45444</c:v>
                </c:pt>
                <c:pt idx="62">
                  <c:v>45474</c:v>
                </c:pt>
                <c:pt idx="63">
                  <c:v>45505</c:v>
                </c:pt>
                <c:pt idx="64">
                  <c:v>45536</c:v>
                </c:pt>
                <c:pt idx="65">
                  <c:v>45566</c:v>
                </c:pt>
                <c:pt idx="66">
                  <c:v>45597</c:v>
                </c:pt>
                <c:pt idx="67">
                  <c:v>45627</c:v>
                </c:pt>
              </c:numCache>
            </c:numRef>
          </c:cat>
          <c:val>
            <c:numRef>
              <c:f>spolu!$R$53:$CG$53</c:f>
              <c:numCache>
                <c:formatCode>General</c:formatCode>
                <c:ptCount val="68"/>
                <c:pt idx="0">
                  <c:v>0</c:v>
                </c:pt>
                <c:pt idx="1">
                  <c:v>0</c:v>
                </c:pt>
                <c:pt idx="2">
                  <c:v>0</c:v>
                </c:pt>
                <c:pt idx="3">
                  <c:v>0</c:v>
                </c:pt>
                <c:pt idx="4">
                  <c:v>0</c:v>
                </c:pt>
                <c:pt idx="5">
                  <c:v>0</c:v>
                </c:pt>
                <c:pt idx="6">
                  <c:v>0</c:v>
                </c:pt>
                <c:pt idx="7">
                  <c:v>0</c:v>
                </c:pt>
                <c:pt idx="8">
                  <c:v>0</c:v>
                </c:pt>
                <c:pt idx="9">
                  <c:v>0</c:v>
                </c:pt>
                <c:pt idx="10">
                  <c:v>48.561176148994036</c:v>
                </c:pt>
                <c:pt idx="11">
                  <c:v>0</c:v>
                </c:pt>
                <c:pt idx="12">
                  <c:v>0</c:v>
                </c:pt>
                <c:pt idx="13">
                  <c:v>0</c:v>
                </c:pt>
                <c:pt idx="14">
                  <c:v>0</c:v>
                </c:pt>
                <c:pt idx="15">
                  <c:v>0</c:v>
                </c:pt>
                <c:pt idx="16">
                  <c:v>0</c:v>
                </c:pt>
                <c:pt idx="17">
                  <c:v>0</c:v>
                </c:pt>
                <c:pt idx="18">
                  <c:v>0</c:v>
                </c:pt>
                <c:pt idx="19">
                  <c:v>0</c:v>
                </c:pt>
                <c:pt idx="20">
                  <c:v>0</c:v>
                </c:pt>
                <c:pt idx="21">
                  <c:v>0</c:v>
                </c:pt>
                <c:pt idx="22">
                  <c:v>104.26989155616388</c:v>
                </c:pt>
                <c:pt idx="23">
                  <c:v>104.26989155616388</c:v>
                </c:pt>
                <c:pt idx="24">
                  <c:v>104.26989155616388</c:v>
                </c:pt>
                <c:pt idx="25">
                  <c:v>0</c:v>
                </c:pt>
                <c:pt idx="26">
                  <c:v>0</c:v>
                </c:pt>
                <c:pt idx="27">
                  <c:v>0</c:v>
                </c:pt>
                <c:pt idx="28">
                  <c:v>0</c:v>
                </c:pt>
                <c:pt idx="29">
                  <c:v>0</c:v>
                </c:pt>
                <c:pt idx="30">
                  <c:v>0</c:v>
                </c:pt>
                <c:pt idx="31">
                  <c:v>0</c:v>
                </c:pt>
                <c:pt idx="32">
                  <c:v>0</c:v>
                </c:pt>
                <c:pt idx="33">
                  <c:v>63.626334344011752</c:v>
                </c:pt>
                <c:pt idx="34">
                  <c:v>63.626334344011752</c:v>
                </c:pt>
                <c:pt idx="35">
                  <c:v>63.626334344011525</c:v>
                </c:pt>
                <c:pt idx="36">
                  <c:v>35.725928871352721</c:v>
                </c:pt>
                <c:pt idx="37">
                  <c:v>213.8301781795833</c:v>
                </c:pt>
                <c:pt idx="38">
                  <c:v>35.725928871352949</c:v>
                </c:pt>
                <c:pt idx="39">
                  <c:v>35.725928871352721</c:v>
                </c:pt>
                <c:pt idx="40">
                  <c:v>0</c:v>
                </c:pt>
                <c:pt idx="41">
                  <c:v>0</c:v>
                </c:pt>
                <c:pt idx="42">
                  <c:v>0</c:v>
                </c:pt>
                <c:pt idx="43">
                  <c:v>0</c:v>
                </c:pt>
                <c:pt idx="44">
                  <c:v>0</c:v>
                </c:pt>
                <c:pt idx="45">
                  <c:v>64.318500513726917</c:v>
                </c:pt>
                <c:pt idx="46">
                  <c:v>101.13964810942127</c:v>
                </c:pt>
                <c:pt idx="47">
                  <c:v>64.318500513727031</c:v>
                </c:pt>
                <c:pt idx="48">
                  <c:v>0</c:v>
                </c:pt>
                <c:pt idx="49">
                  <c:v>0</c:v>
                </c:pt>
                <c:pt idx="50">
                  <c:v>0</c:v>
                </c:pt>
                <c:pt idx="51">
                  <c:v>0</c:v>
                </c:pt>
                <c:pt idx="52">
                  <c:v>0</c:v>
                </c:pt>
                <c:pt idx="53">
                  <c:v>0</c:v>
                </c:pt>
                <c:pt idx="54">
                  <c:v>0</c:v>
                </c:pt>
                <c:pt idx="55">
                  <c:v>0</c:v>
                </c:pt>
                <c:pt idx="56">
                  <c:v>70.430690206785357</c:v>
                </c:pt>
                <c:pt idx="57">
                  <c:v>0</c:v>
                </c:pt>
                <c:pt idx="58">
                  <c:v>0</c:v>
                </c:pt>
                <c:pt idx="59">
                  <c:v>0</c:v>
                </c:pt>
                <c:pt idx="60">
                  <c:v>0</c:v>
                </c:pt>
                <c:pt idx="61">
                  <c:v>0</c:v>
                </c:pt>
                <c:pt idx="62">
                  <c:v>0</c:v>
                </c:pt>
                <c:pt idx="63">
                  <c:v>70.430690206785357</c:v>
                </c:pt>
                <c:pt idx="64">
                  <c:v>70.430690206785357</c:v>
                </c:pt>
                <c:pt idx="65">
                  <c:v>87.170449167911443</c:v>
                </c:pt>
                <c:pt idx="66">
                  <c:v>0</c:v>
                </c:pt>
                <c:pt idx="67" formatCode="0.00">
                  <c:v>0</c:v>
                </c:pt>
              </c:numCache>
            </c:numRef>
          </c:val>
          <c:extLst>
            <c:ext xmlns:c16="http://schemas.microsoft.com/office/drawing/2014/chart" uri="{C3380CC4-5D6E-409C-BE32-E72D297353CC}">
              <c16:uniqueId val="{00000006-17D7-4F05-9B86-1915BC375517}"/>
            </c:ext>
          </c:extLst>
        </c:ser>
        <c:dLbls>
          <c:showLegendKey val="0"/>
          <c:showVal val="0"/>
          <c:showCatName val="0"/>
          <c:showSerName val="0"/>
          <c:showPercent val="0"/>
          <c:showBubbleSize val="0"/>
        </c:dLbls>
        <c:axId val="866976752"/>
        <c:axId val="866981344"/>
      </c:areaChart>
      <c:dateAx>
        <c:axId val="866976752"/>
        <c:scaling>
          <c:orientation val="minMax"/>
          <c:min val="43678"/>
        </c:scaling>
        <c:delete val="0"/>
        <c:axPos val="b"/>
        <c:numFmt formatCode="mmm\-yy" sourceLinked="0"/>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700" b="0" i="0" u="none" strike="noStrike" kern="1200" baseline="0">
                <a:solidFill>
                  <a:schemeClr val="tx1"/>
                </a:solidFill>
                <a:latin typeface="Calibri Light" panose="020F0302020204030204" pitchFamily="34" charset="0"/>
                <a:ea typeface="+mn-ea"/>
                <a:cs typeface="Calibri Light" panose="020F0302020204030204" pitchFamily="34" charset="0"/>
              </a:defRPr>
            </a:pPr>
            <a:endParaRPr lang="sk-SK"/>
          </a:p>
        </c:txPr>
        <c:crossAx val="866981344"/>
        <c:crosses val="autoZero"/>
        <c:auto val="1"/>
        <c:lblOffset val="100"/>
        <c:baseTimeUnit val="months"/>
        <c:majorUnit val="4"/>
        <c:majorTimeUnit val="months"/>
      </c:dateAx>
      <c:valAx>
        <c:axId val="8669813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solidFill>
                <a:latin typeface="Calibri Light" panose="020F0302020204030204" pitchFamily="34" charset="0"/>
                <a:ea typeface="+mn-ea"/>
                <a:cs typeface="Calibri Light" panose="020F0302020204030204" pitchFamily="34" charset="0"/>
              </a:defRPr>
            </a:pPr>
            <a:endParaRPr lang="sk-SK"/>
          </a:p>
        </c:txPr>
        <c:crossAx val="866976752"/>
        <c:crosses val="autoZero"/>
        <c:crossBetween val="midCat"/>
      </c:valAx>
      <c:spPr>
        <a:noFill/>
        <a:ln>
          <a:noFill/>
        </a:ln>
        <a:effectLst/>
      </c:spPr>
    </c:plotArea>
    <c:legend>
      <c:legendPos val="b"/>
      <c:layout>
        <c:manualLayout>
          <c:xMode val="edge"/>
          <c:yMode val="edge"/>
          <c:x val="0.12026827286164384"/>
          <c:y val="0.91008434625283496"/>
          <c:w val="0.74822107333333809"/>
          <c:h val="8.9072551189978436E-2"/>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Calibri Light" panose="020F0302020204030204" pitchFamily="34" charset="0"/>
              <a:ea typeface="+mn-ea"/>
              <a:cs typeface="Calibri Light" panose="020F0302020204030204" pitchFamily="34" charset="0"/>
            </a:defRPr>
          </a:pPr>
          <a:endParaRPr lang="sk-SK"/>
        </a:p>
      </c:txPr>
    </c:legend>
    <c:plotVisOnly val="1"/>
    <c:dispBlanksAs val="zero"/>
    <c:showDLblsOverMax val="0"/>
  </c:chart>
  <c:spPr>
    <a:solidFill>
      <a:schemeClr val="bg1"/>
    </a:solidFill>
    <a:ln w="9525" cap="flat" cmpd="sng" algn="ctr">
      <a:noFill/>
      <a:round/>
    </a:ln>
    <a:effectLst/>
  </c:spPr>
  <c:txPr>
    <a:bodyPr/>
    <a:lstStyle/>
    <a:p>
      <a:pPr>
        <a:defRPr sz="700">
          <a:solidFill>
            <a:schemeClr val="tx1"/>
          </a:solidFill>
          <a:latin typeface="Calibri Light" panose="020F0302020204030204" pitchFamily="34" charset="0"/>
          <a:cs typeface="Calibri Light" panose="020F0302020204030204" pitchFamily="34" charset="0"/>
        </a:defRPr>
      </a:pPr>
      <a:endParaRPr lang="sk-SK"/>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551239525777141"/>
          <c:y val="5.3349798212137596E-2"/>
          <c:w val="0.82950123456790126"/>
          <c:h val="0.61845290172061829"/>
        </c:manualLayout>
      </c:layout>
      <c:lineChart>
        <c:grouping val="standard"/>
        <c:varyColors val="0"/>
        <c:ser>
          <c:idx val="0"/>
          <c:order val="0"/>
          <c:tx>
            <c:strRef>
              <c:f>Chlieb!$H$3</c:f>
              <c:strCache>
                <c:ptCount val="1"/>
                <c:pt idx="0">
                  <c:v>SK</c:v>
                </c:pt>
              </c:strCache>
            </c:strRef>
          </c:tx>
          <c:spPr>
            <a:ln w="19050" cap="rnd">
              <a:solidFill>
                <a:schemeClr val="accent1"/>
              </a:solidFill>
              <a:round/>
            </a:ln>
            <a:effectLst/>
          </c:spPr>
          <c:marker>
            <c:symbol val="none"/>
          </c:marker>
          <c:dPt>
            <c:idx val="33"/>
            <c:marker>
              <c:symbol val="none"/>
            </c:marker>
            <c:bubble3D val="0"/>
            <c:extLst>
              <c:ext xmlns:c16="http://schemas.microsoft.com/office/drawing/2014/chart" uri="{C3380CC4-5D6E-409C-BE32-E72D297353CC}">
                <c16:uniqueId val="{00000000-CA8F-479F-8934-FFD400FDE7A5}"/>
              </c:ext>
            </c:extLst>
          </c:dPt>
          <c:cat>
            <c:numRef>
              <c:f>Chlieb!$G$4:$G$47</c:f>
              <c:numCache>
                <c:formatCode>m/d/yyyy</c:formatCode>
                <c:ptCount val="44"/>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pt idx="17">
                  <c:v>44713</c:v>
                </c:pt>
                <c:pt idx="18">
                  <c:v>44743</c:v>
                </c:pt>
                <c:pt idx="19">
                  <c:v>44774</c:v>
                </c:pt>
                <c:pt idx="20">
                  <c:v>44805</c:v>
                </c:pt>
                <c:pt idx="21">
                  <c:v>44835</c:v>
                </c:pt>
                <c:pt idx="22">
                  <c:v>44866</c:v>
                </c:pt>
                <c:pt idx="23">
                  <c:v>44896</c:v>
                </c:pt>
                <c:pt idx="24">
                  <c:v>44927</c:v>
                </c:pt>
                <c:pt idx="25">
                  <c:v>44958</c:v>
                </c:pt>
                <c:pt idx="26">
                  <c:v>44986</c:v>
                </c:pt>
                <c:pt idx="27">
                  <c:v>45017</c:v>
                </c:pt>
                <c:pt idx="28">
                  <c:v>45047</c:v>
                </c:pt>
                <c:pt idx="29">
                  <c:v>45078</c:v>
                </c:pt>
                <c:pt idx="30">
                  <c:v>45108</c:v>
                </c:pt>
                <c:pt idx="31">
                  <c:v>45139</c:v>
                </c:pt>
                <c:pt idx="32">
                  <c:v>45170</c:v>
                </c:pt>
                <c:pt idx="33">
                  <c:v>45200</c:v>
                </c:pt>
                <c:pt idx="34">
                  <c:v>45231</c:v>
                </c:pt>
                <c:pt idx="35">
                  <c:v>45261</c:v>
                </c:pt>
                <c:pt idx="36">
                  <c:v>45292</c:v>
                </c:pt>
                <c:pt idx="37">
                  <c:v>45323</c:v>
                </c:pt>
                <c:pt idx="38">
                  <c:v>45352</c:v>
                </c:pt>
                <c:pt idx="39">
                  <c:v>45383</c:v>
                </c:pt>
                <c:pt idx="40">
                  <c:v>45413</c:v>
                </c:pt>
                <c:pt idx="41">
                  <c:v>45444</c:v>
                </c:pt>
                <c:pt idx="42">
                  <c:v>45474</c:v>
                </c:pt>
                <c:pt idx="43">
                  <c:v>45505</c:v>
                </c:pt>
              </c:numCache>
            </c:numRef>
          </c:cat>
          <c:val>
            <c:numRef>
              <c:f>Chlieb!$H$4:$H$47</c:f>
              <c:numCache>
                <c:formatCode>#,##0</c:formatCode>
                <c:ptCount val="44"/>
                <c:pt idx="0">
                  <c:v>165.14099999999999</c:v>
                </c:pt>
                <c:pt idx="1">
                  <c:v>167.565</c:v>
                </c:pt>
                <c:pt idx="2">
                  <c:v>184.07419999999999</c:v>
                </c:pt>
                <c:pt idx="3">
                  <c:v>186.99770000000001</c:v>
                </c:pt>
                <c:pt idx="4">
                  <c:v>182.9845</c:v>
                </c:pt>
                <c:pt idx="5">
                  <c:v>182.852</c:v>
                </c:pt>
                <c:pt idx="6">
                  <c:v>186.18350000000001</c:v>
                </c:pt>
                <c:pt idx="7">
                  <c:v>185.94</c:v>
                </c:pt>
                <c:pt idx="8">
                  <c:v>192.1677</c:v>
                </c:pt>
                <c:pt idx="9">
                  <c:v>198.41679999999999</c:v>
                </c:pt>
                <c:pt idx="10">
                  <c:v>207.59569999999999</c:v>
                </c:pt>
                <c:pt idx="11">
                  <c:v>227.77520000000001</c:v>
                </c:pt>
                <c:pt idx="12">
                  <c:v>262.60969999999998</c:v>
                </c:pt>
                <c:pt idx="13">
                  <c:v>264.2679</c:v>
                </c:pt>
                <c:pt idx="14">
                  <c:v>277.83260000000001</c:v>
                </c:pt>
                <c:pt idx="15">
                  <c:v>337.25700000000001</c:v>
                </c:pt>
                <c:pt idx="16">
                  <c:v>366.70839999999998</c:v>
                </c:pt>
                <c:pt idx="17">
                  <c:v>345.661</c:v>
                </c:pt>
                <c:pt idx="18">
                  <c:v>320.98419999999999</c:v>
                </c:pt>
                <c:pt idx="19">
                  <c:v>311.74259999999998</c:v>
                </c:pt>
                <c:pt idx="20">
                  <c:v>325.43830000000003</c:v>
                </c:pt>
                <c:pt idx="21">
                  <c:v>327.94319999999999</c:v>
                </c:pt>
                <c:pt idx="22">
                  <c:v>331.30070000000001</c:v>
                </c:pt>
                <c:pt idx="23">
                  <c:v>329.22</c:v>
                </c:pt>
                <c:pt idx="24">
                  <c:v>321.05419999999998</c:v>
                </c:pt>
                <c:pt idx="25">
                  <c:v>298.41109999999998</c:v>
                </c:pt>
                <c:pt idx="26">
                  <c:v>273.35230000000001</c:v>
                </c:pt>
                <c:pt idx="27">
                  <c:v>270.56270000000001</c:v>
                </c:pt>
                <c:pt idx="28">
                  <c:v>235.26740000000001</c:v>
                </c:pt>
                <c:pt idx="29">
                  <c:v>215.68899999999999</c:v>
                </c:pt>
                <c:pt idx="30">
                  <c:v>189.91900000000001</c:v>
                </c:pt>
                <c:pt idx="31">
                  <c:v>187.06739999999999</c:v>
                </c:pt>
                <c:pt idx="32">
                  <c:v>203.59030000000001</c:v>
                </c:pt>
                <c:pt idx="33">
                  <c:v>212.3287</c:v>
                </c:pt>
                <c:pt idx="34">
                  <c:v>191.887</c:v>
                </c:pt>
                <c:pt idx="35">
                  <c:v>212.26320000000001</c:v>
                </c:pt>
                <c:pt idx="36">
                  <c:v>262.33</c:v>
                </c:pt>
                <c:pt idx="37">
                  <c:v>211.6824</c:v>
                </c:pt>
                <c:pt idx="38">
                  <c:v>190.74209999999999</c:v>
                </c:pt>
                <c:pt idx="39">
                  <c:v>183.22909999999999</c:v>
                </c:pt>
                <c:pt idx="40">
                  <c:v>182.8475</c:v>
                </c:pt>
                <c:pt idx="41">
                  <c:v>177.89</c:v>
                </c:pt>
                <c:pt idx="42">
                  <c:v>194.61869999999999</c:v>
                </c:pt>
                <c:pt idx="43">
                  <c:v>201.3921</c:v>
                </c:pt>
              </c:numCache>
            </c:numRef>
          </c:val>
          <c:smooth val="0"/>
          <c:extLst>
            <c:ext xmlns:c16="http://schemas.microsoft.com/office/drawing/2014/chart" uri="{C3380CC4-5D6E-409C-BE32-E72D297353CC}">
              <c16:uniqueId val="{00000001-CA8F-479F-8934-FFD400FDE7A5}"/>
            </c:ext>
          </c:extLst>
        </c:ser>
        <c:ser>
          <c:idx val="1"/>
          <c:order val="1"/>
          <c:tx>
            <c:strRef>
              <c:f>Chlieb!$I$3</c:f>
              <c:strCache>
                <c:ptCount val="1"/>
                <c:pt idx="0">
                  <c:v>CZ</c:v>
                </c:pt>
              </c:strCache>
            </c:strRef>
          </c:tx>
          <c:spPr>
            <a:ln w="19050" cap="rnd">
              <a:solidFill>
                <a:srgbClr val="1AA380"/>
              </a:solidFill>
              <a:round/>
            </a:ln>
            <a:effectLst/>
          </c:spPr>
          <c:marker>
            <c:symbol val="none"/>
          </c:marker>
          <c:dPt>
            <c:idx val="33"/>
            <c:marker>
              <c:symbol val="none"/>
            </c:marker>
            <c:bubble3D val="0"/>
            <c:extLst>
              <c:ext xmlns:c16="http://schemas.microsoft.com/office/drawing/2014/chart" uri="{C3380CC4-5D6E-409C-BE32-E72D297353CC}">
                <c16:uniqueId val="{00000002-CA8F-479F-8934-FFD400FDE7A5}"/>
              </c:ext>
            </c:extLst>
          </c:dPt>
          <c:dPt>
            <c:idx val="36"/>
            <c:marker>
              <c:symbol val="none"/>
            </c:marker>
            <c:bubble3D val="0"/>
            <c:extLst>
              <c:ext xmlns:c16="http://schemas.microsoft.com/office/drawing/2014/chart" uri="{C3380CC4-5D6E-409C-BE32-E72D297353CC}">
                <c16:uniqueId val="{00000003-CA8F-479F-8934-FFD400FDE7A5}"/>
              </c:ext>
            </c:extLst>
          </c:dPt>
          <c:cat>
            <c:numRef>
              <c:f>Chlieb!$G$4:$G$47</c:f>
              <c:numCache>
                <c:formatCode>m/d/yyyy</c:formatCode>
                <c:ptCount val="44"/>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pt idx="17">
                  <c:v>44713</c:v>
                </c:pt>
                <c:pt idx="18">
                  <c:v>44743</c:v>
                </c:pt>
                <c:pt idx="19">
                  <c:v>44774</c:v>
                </c:pt>
                <c:pt idx="20">
                  <c:v>44805</c:v>
                </c:pt>
                <c:pt idx="21">
                  <c:v>44835</c:v>
                </c:pt>
                <c:pt idx="22">
                  <c:v>44866</c:v>
                </c:pt>
                <c:pt idx="23">
                  <c:v>44896</c:v>
                </c:pt>
                <c:pt idx="24">
                  <c:v>44927</c:v>
                </c:pt>
                <c:pt idx="25">
                  <c:v>44958</c:v>
                </c:pt>
                <c:pt idx="26">
                  <c:v>44986</c:v>
                </c:pt>
                <c:pt idx="27">
                  <c:v>45017</c:v>
                </c:pt>
                <c:pt idx="28">
                  <c:v>45047</c:v>
                </c:pt>
                <c:pt idx="29">
                  <c:v>45078</c:v>
                </c:pt>
                <c:pt idx="30">
                  <c:v>45108</c:v>
                </c:pt>
                <c:pt idx="31">
                  <c:v>45139</c:v>
                </c:pt>
                <c:pt idx="32">
                  <c:v>45170</c:v>
                </c:pt>
                <c:pt idx="33">
                  <c:v>45200</c:v>
                </c:pt>
                <c:pt idx="34">
                  <c:v>45231</c:v>
                </c:pt>
                <c:pt idx="35">
                  <c:v>45261</c:v>
                </c:pt>
                <c:pt idx="36">
                  <c:v>45292</c:v>
                </c:pt>
                <c:pt idx="37">
                  <c:v>45323</c:v>
                </c:pt>
                <c:pt idx="38">
                  <c:v>45352</c:v>
                </c:pt>
                <c:pt idx="39">
                  <c:v>45383</c:v>
                </c:pt>
                <c:pt idx="40">
                  <c:v>45413</c:v>
                </c:pt>
                <c:pt idx="41">
                  <c:v>45444</c:v>
                </c:pt>
                <c:pt idx="42">
                  <c:v>45474</c:v>
                </c:pt>
                <c:pt idx="43">
                  <c:v>45505</c:v>
                </c:pt>
              </c:numCache>
            </c:numRef>
          </c:cat>
          <c:val>
            <c:numRef>
              <c:f>Chlieb!$I$4:$I$47</c:f>
              <c:numCache>
                <c:formatCode>#,##0</c:formatCode>
                <c:ptCount val="44"/>
                <c:pt idx="0">
                  <c:v>188.0737</c:v>
                </c:pt>
                <c:pt idx="1">
                  <c:v>198.68600000000001</c:v>
                </c:pt>
                <c:pt idx="2">
                  <c:v>205.61949999999999</c:v>
                </c:pt>
                <c:pt idx="3">
                  <c:v>204.3049</c:v>
                </c:pt>
                <c:pt idx="4">
                  <c:v>213.63630000000001</c:v>
                </c:pt>
                <c:pt idx="5">
                  <c:v>214.6644</c:v>
                </c:pt>
                <c:pt idx="6">
                  <c:v>202.31960000000001</c:v>
                </c:pt>
                <c:pt idx="7">
                  <c:v>199.97319999999999</c:v>
                </c:pt>
                <c:pt idx="8">
                  <c:v>210.99109999999999</c:v>
                </c:pt>
                <c:pt idx="9">
                  <c:v>218.61240000000001</c:v>
                </c:pt>
                <c:pt idx="10">
                  <c:v>240.6293</c:v>
                </c:pt>
                <c:pt idx="11">
                  <c:v>256.15539999999999</c:v>
                </c:pt>
                <c:pt idx="12">
                  <c:v>266.55500000000001</c:v>
                </c:pt>
                <c:pt idx="13">
                  <c:v>271.31349999999998</c:v>
                </c:pt>
                <c:pt idx="14">
                  <c:v>306.04719999999998</c:v>
                </c:pt>
                <c:pt idx="15">
                  <c:v>360.12630000000001</c:v>
                </c:pt>
                <c:pt idx="16">
                  <c:v>361.1003</c:v>
                </c:pt>
                <c:pt idx="17">
                  <c:v>366.4436</c:v>
                </c:pt>
                <c:pt idx="18">
                  <c:v>355.03390000000002</c:v>
                </c:pt>
                <c:pt idx="19">
                  <c:v>334.74</c:v>
                </c:pt>
                <c:pt idx="20">
                  <c:v>340.40260000000001</c:v>
                </c:pt>
                <c:pt idx="21">
                  <c:v>330.9479</c:v>
                </c:pt>
                <c:pt idx="22">
                  <c:v>328.91050000000001</c:v>
                </c:pt>
                <c:pt idx="23">
                  <c:v>331.17700000000002</c:v>
                </c:pt>
                <c:pt idx="24">
                  <c:v>325.21370000000002</c:v>
                </c:pt>
                <c:pt idx="25">
                  <c:v>307.54289999999997</c:v>
                </c:pt>
                <c:pt idx="26">
                  <c:v>278.45319999999998</c:v>
                </c:pt>
                <c:pt idx="27">
                  <c:v>257.91849999999999</c:v>
                </c:pt>
                <c:pt idx="28">
                  <c:v>257.47669999999999</c:v>
                </c:pt>
                <c:pt idx="29">
                  <c:v>240.37520000000001</c:v>
                </c:pt>
                <c:pt idx="30">
                  <c:v>221.78579999999999</c:v>
                </c:pt>
                <c:pt idx="31">
                  <c:v>224.1438</c:v>
                </c:pt>
                <c:pt idx="32">
                  <c:v>219.4983</c:v>
                </c:pt>
                <c:pt idx="33">
                  <c:v>218.4229</c:v>
                </c:pt>
                <c:pt idx="34">
                  <c:v>213.26570000000001</c:v>
                </c:pt>
                <c:pt idx="35">
                  <c:v>212.39279999999999</c:v>
                </c:pt>
                <c:pt idx="36">
                  <c:v>208.7552</c:v>
                </c:pt>
                <c:pt idx="37">
                  <c:v>192.5504</c:v>
                </c:pt>
                <c:pt idx="38">
                  <c:v>186.0635</c:v>
                </c:pt>
                <c:pt idx="39">
                  <c:v>186.30070000000001</c:v>
                </c:pt>
                <c:pt idx="40">
                  <c:v>188.93299999999999</c:v>
                </c:pt>
                <c:pt idx="41">
                  <c:v>193.1591</c:v>
                </c:pt>
                <c:pt idx="42">
                  <c:v>194.90819999999999</c:v>
                </c:pt>
                <c:pt idx="43">
                  <c:v>196.90549999999999</c:v>
                </c:pt>
              </c:numCache>
            </c:numRef>
          </c:val>
          <c:smooth val="0"/>
          <c:extLst>
            <c:ext xmlns:c16="http://schemas.microsoft.com/office/drawing/2014/chart" uri="{C3380CC4-5D6E-409C-BE32-E72D297353CC}">
              <c16:uniqueId val="{00000004-CA8F-479F-8934-FFD400FDE7A5}"/>
            </c:ext>
          </c:extLst>
        </c:ser>
        <c:ser>
          <c:idx val="2"/>
          <c:order val="2"/>
          <c:tx>
            <c:strRef>
              <c:f>Chlieb!$J$3</c:f>
              <c:strCache>
                <c:ptCount val="1"/>
                <c:pt idx="0">
                  <c:v>HU</c:v>
                </c:pt>
              </c:strCache>
            </c:strRef>
          </c:tx>
          <c:spPr>
            <a:ln w="19050" cap="rnd">
              <a:solidFill>
                <a:srgbClr val="F2CA6D"/>
              </a:solidFill>
              <a:round/>
            </a:ln>
            <a:effectLst/>
          </c:spPr>
          <c:marker>
            <c:symbol val="none"/>
          </c:marker>
          <c:dPt>
            <c:idx val="33"/>
            <c:marker>
              <c:symbol val="none"/>
            </c:marker>
            <c:bubble3D val="0"/>
            <c:extLst>
              <c:ext xmlns:c16="http://schemas.microsoft.com/office/drawing/2014/chart" uri="{C3380CC4-5D6E-409C-BE32-E72D297353CC}">
                <c16:uniqueId val="{00000005-CA8F-479F-8934-FFD400FDE7A5}"/>
              </c:ext>
            </c:extLst>
          </c:dPt>
          <c:dPt>
            <c:idx val="36"/>
            <c:marker>
              <c:symbol val="none"/>
            </c:marker>
            <c:bubble3D val="0"/>
            <c:extLst>
              <c:ext xmlns:c16="http://schemas.microsoft.com/office/drawing/2014/chart" uri="{C3380CC4-5D6E-409C-BE32-E72D297353CC}">
                <c16:uniqueId val="{00000006-CA8F-479F-8934-FFD400FDE7A5}"/>
              </c:ext>
            </c:extLst>
          </c:dPt>
          <c:cat>
            <c:numRef>
              <c:f>Chlieb!$G$4:$G$47</c:f>
              <c:numCache>
                <c:formatCode>m/d/yyyy</c:formatCode>
                <c:ptCount val="44"/>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pt idx="17">
                  <c:v>44713</c:v>
                </c:pt>
                <c:pt idx="18">
                  <c:v>44743</c:v>
                </c:pt>
                <c:pt idx="19">
                  <c:v>44774</c:v>
                </c:pt>
                <c:pt idx="20">
                  <c:v>44805</c:v>
                </c:pt>
                <c:pt idx="21">
                  <c:v>44835</c:v>
                </c:pt>
                <c:pt idx="22">
                  <c:v>44866</c:v>
                </c:pt>
                <c:pt idx="23">
                  <c:v>44896</c:v>
                </c:pt>
                <c:pt idx="24">
                  <c:v>44927</c:v>
                </c:pt>
                <c:pt idx="25">
                  <c:v>44958</c:v>
                </c:pt>
                <c:pt idx="26">
                  <c:v>44986</c:v>
                </c:pt>
                <c:pt idx="27">
                  <c:v>45017</c:v>
                </c:pt>
                <c:pt idx="28">
                  <c:v>45047</c:v>
                </c:pt>
                <c:pt idx="29">
                  <c:v>45078</c:v>
                </c:pt>
                <c:pt idx="30">
                  <c:v>45108</c:v>
                </c:pt>
                <c:pt idx="31">
                  <c:v>45139</c:v>
                </c:pt>
                <c:pt idx="32">
                  <c:v>45170</c:v>
                </c:pt>
                <c:pt idx="33">
                  <c:v>45200</c:v>
                </c:pt>
                <c:pt idx="34">
                  <c:v>45231</c:v>
                </c:pt>
                <c:pt idx="35">
                  <c:v>45261</c:v>
                </c:pt>
                <c:pt idx="36">
                  <c:v>45292</c:v>
                </c:pt>
                <c:pt idx="37">
                  <c:v>45323</c:v>
                </c:pt>
                <c:pt idx="38">
                  <c:v>45352</c:v>
                </c:pt>
                <c:pt idx="39">
                  <c:v>45383</c:v>
                </c:pt>
                <c:pt idx="40">
                  <c:v>45413</c:v>
                </c:pt>
                <c:pt idx="41">
                  <c:v>45444</c:v>
                </c:pt>
                <c:pt idx="42">
                  <c:v>45474</c:v>
                </c:pt>
                <c:pt idx="43">
                  <c:v>45505</c:v>
                </c:pt>
              </c:numCache>
            </c:numRef>
          </c:cat>
          <c:val>
            <c:numRef>
              <c:f>Chlieb!$J$4:$J$47</c:f>
              <c:numCache>
                <c:formatCode>#,##0</c:formatCode>
                <c:ptCount val="44"/>
                <c:pt idx="0">
                  <c:v>187.7927333333333</c:v>
                </c:pt>
                <c:pt idx="1">
                  <c:v>198.06540000000001</c:v>
                </c:pt>
                <c:pt idx="2">
                  <c:v>194.61806666666669</c:v>
                </c:pt>
                <c:pt idx="3">
                  <c:v>196.2228666666667</c:v>
                </c:pt>
                <c:pt idx="4">
                  <c:v>206.65010000000001</c:v>
                </c:pt>
                <c:pt idx="5">
                  <c:v>198.97616666666659</c:v>
                </c:pt>
                <c:pt idx="6">
                  <c:v>181.12073333333331</c:v>
                </c:pt>
                <c:pt idx="7">
                  <c:v>209.80806666666669</c:v>
                </c:pt>
                <c:pt idx="8">
                  <c:v>220.68260000000001</c:v>
                </c:pt>
                <c:pt idx="9">
                  <c:v>237.12569999999999</c:v>
                </c:pt>
                <c:pt idx="10">
                  <c:v>264.54366666666658</c:v>
                </c:pt>
                <c:pt idx="11">
                  <c:v>276.11320000000001</c:v>
                </c:pt>
                <c:pt idx="12">
                  <c:v>283.50816666666668</c:v>
                </c:pt>
                <c:pt idx="13">
                  <c:v>284.65913333333327</c:v>
                </c:pt>
                <c:pt idx="14">
                  <c:v>304.16140000000001</c:v>
                </c:pt>
                <c:pt idx="15">
                  <c:v>324.83556666666669</c:v>
                </c:pt>
                <c:pt idx="16">
                  <c:v>347.56880000000001</c:v>
                </c:pt>
                <c:pt idx="17">
                  <c:v>345.16896666666668</c:v>
                </c:pt>
                <c:pt idx="18">
                  <c:v>334.35776666666669</c:v>
                </c:pt>
                <c:pt idx="19">
                  <c:v>342.27926666666667</c:v>
                </c:pt>
                <c:pt idx="20">
                  <c:v>336.74509999999998</c:v>
                </c:pt>
                <c:pt idx="21">
                  <c:v>328.22536666666667</c:v>
                </c:pt>
                <c:pt idx="22">
                  <c:v>325.31389999999999</c:v>
                </c:pt>
                <c:pt idx="23">
                  <c:v>312.52123333333333</c:v>
                </c:pt>
                <c:pt idx="24">
                  <c:v>286.86396666666673</c:v>
                </c:pt>
                <c:pt idx="25">
                  <c:v>270.87956666666668</c:v>
                </c:pt>
                <c:pt idx="26">
                  <c:v>241.59460000000001</c:v>
                </c:pt>
                <c:pt idx="27">
                  <c:v>222.60329999999999</c:v>
                </c:pt>
                <c:pt idx="28">
                  <c:v>196.82263333333341</c:v>
                </c:pt>
                <c:pt idx="29">
                  <c:v>180.01176666666669</c:v>
                </c:pt>
                <c:pt idx="30">
                  <c:v>164.99996666666669</c:v>
                </c:pt>
                <c:pt idx="31">
                  <c:v>171.96623333333329</c:v>
                </c:pt>
                <c:pt idx="32">
                  <c:v>176.95463333333331</c:v>
                </c:pt>
                <c:pt idx="33">
                  <c:v>170.80286666666669</c:v>
                </c:pt>
                <c:pt idx="34">
                  <c:v>176.2885</c:v>
                </c:pt>
                <c:pt idx="35">
                  <c:v>171.90177499999999</c:v>
                </c:pt>
                <c:pt idx="36">
                  <c:v>169.04220000000001</c:v>
                </c:pt>
                <c:pt idx="37">
                  <c:v>168.13550000000001</c:v>
                </c:pt>
                <c:pt idx="38">
                  <c:v>160.37593333333331</c:v>
                </c:pt>
                <c:pt idx="39">
                  <c:v>162.1650333333333</c:v>
                </c:pt>
                <c:pt idx="40">
                  <c:v>183.05549999999999</c:v>
                </c:pt>
                <c:pt idx="41">
                  <c:v>177.06663333333341</c:v>
                </c:pt>
                <c:pt idx="42">
                  <c:v>178.61296666666669</c:v>
                </c:pt>
                <c:pt idx="43">
                  <c:v>189.21449999999999</c:v>
                </c:pt>
              </c:numCache>
            </c:numRef>
          </c:val>
          <c:smooth val="0"/>
          <c:extLst>
            <c:ext xmlns:c16="http://schemas.microsoft.com/office/drawing/2014/chart" uri="{C3380CC4-5D6E-409C-BE32-E72D297353CC}">
              <c16:uniqueId val="{00000007-CA8F-479F-8934-FFD400FDE7A5}"/>
            </c:ext>
          </c:extLst>
        </c:ser>
        <c:ser>
          <c:idx val="3"/>
          <c:order val="3"/>
          <c:tx>
            <c:strRef>
              <c:f>Chlieb!$K$3</c:f>
              <c:strCache>
                <c:ptCount val="1"/>
                <c:pt idx="0">
                  <c:v>PL</c:v>
                </c:pt>
              </c:strCache>
            </c:strRef>
          </c:tx>
          <c:spPr>
            <a:ln w="19050" cap="rnd">
              <a:solidFill>
                <a:srgbClr val="E85477"/>
              </a:solidFill>
              <a:round/>
            </a:ln>
            <a:effectLst/>
          </c:spPr>
          <c:marker>
            <c:symbol val="none"/>
          </c:marker>
          <c:dPt>
            <c:idx val="33"/>
            <c:marker>
              <c:symbol val="none"/>
            </c:marker>
            <c:bubble3D val="0"/>
            <c:extLst>
              <c:ext xmlns:c16="http://schemas.microsoft.com/office/drawing/2014/chart" uri="{C3380CC4-5D6E-409C-BE32-E72D297353CC}">
                <c16:uniqueId val="{00000008-CA8F-479F-8934-FFD400FDE7A5}"/>
              </c:ext>
            </c:extLst>
          </c:dPt>
          <c:dPt>
            <c:idx val="36"/>
            <c:marker>
              <c:symbol val="none"/>
            </c:marker>
            <c:bubble3D val="0"/>
            <c:extLst>
              <c:ext xmlns:c16="http://schemas.microsoft.com/office/drawing/2014/chart" uri="{C3380CC4-5D6E-409C-BE32-E72D297353CC}">
                <c16:uniqueId val="{00000009-CA8F-479F-8934-FFD400FDE7A5}"/>
              </c:ext>
            </c:extLst>
          </c:dPt>
          <c:cat>
            <c:numRef>
              <c:f>Chlieb!$G$4:$G$47</c:f>
              <c:numCache>
                <c:formatCode>m/d/yyyy</c:formatCode>
                <c:ptCount val="44"/>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pt idx="17">
                  <c:v>44713</c:v>
                </c:pt>
                <c:pt idx="18">
                  <c:v>44743</c:v>
                </c:pt>
                <c:pt idx="19">
                  <c:v>44774</c:v>
                </c:pt>
                <c:pt idx="20">
                  <c:v>44805</c:v>
                </c:pt>
                <c:pt idx="21">
                  <c:v>44835</c:v>
                </c:pt>
                <c:pt idx="22">
                  <c:v>44866</c:v>
                </c:pt>
                <c:pt idx="23">
                  <c:v>44896</c:v>
                </c:pt>
                <c:pt idx="24">
                  <c:v>44927</c:v>
                </c:pt>
                <c:pt idx="25">
                  <c:v>44958</c:v>
                </c:pt>
                <c:pt idx="26">
                  <c:v>44986</c:v>
                </c:pt>
                <c:pt idx="27">
                  <c:v>45017</c:v>
                </c:pt>
                <c:pt idx="28">
                  <c:v>45047</c:v>
                </c:pt>
                <c:pt idx="29">
                  <c:v>45078</c:v>
                </c:pt>
                <c:pt idx="30">
                  <c:v>45108</c:v>
                </c:pt>
                <c:pt idx="31">
                  <c:v>45139</c:v>
                </c:pt>
                <c:pt idx="32">
                  <c:v>45170</c:v>
                </c:pt>
                <c:pt idx="33">
                  <c:v>45200</c:v>
                </c:pt>
                <c:pt idx="34">
                  <c:v>45231</c:v>
                </c:pt>
                <c:pt idx="35">
                  <c:v>45261</c:v>
                </c:pt>
                <c:pt idx="36">
                  <c:v>45292</c:v>
                </c:pt>
                <c:pt idx="37">
                  <c:v>45323</c:v>
                </c:pt>
                <c:pt idx="38">
                  <c:v>45352</c:v>
                </c:pt>
                <c:pt idx="39">
                  <c:v>45383</c:v>
                </c:pt>
                <c:pt idx="40">
                  <c:v>45413</c:v>
                </c:pt>
                <c:pt idx="41">
                  <c:v>45444</c:v>
                </c:pt>
                <c:pt idx="42">
                  <c:v>45474</c:v>
                </c:pt>
                <c:pt idx="43">
                  <c:v>45505</c:v>
                </c:pt>
              </c:numCache>
            </c:numRef>
          </c:cat>
          <c:val>
            <c:numRef>
              <c:f>Chlieb!$K$4:$K$47</c:f>
              <c:numCache>
                <c:formatCode>#,##0</c:formatCode>
                <c:ptCount val="44"/>
                <c:pt idx="0">
                  <c:v>198.7621</c:v>
                </c:pt>
                <c:pt idx="1">
                  <c:v>211.42609999999999</c:v>
                </c:pt>
                <c:pt idx="2">
                  <c:v>210.5385</c:v>
                </c:pt>
                <c:pt idx="3">
                  <c:v>209.72756666666669</c:v>
                </c:pt>
                <c:pt idx="4">
                  <c:v>215.2750666666667</c:v>
                </c:pt>
                <c:pt idx="5">
                  <c:v>215.72883333333331</c:v>
                </c:pt>
                <c:pt idx="6">
                  <c:v>211.03603333333331</c:v>
                </c:pt>
                <c:pt idx="8">
                  <c:v>221.0812</c:v>
                </c:pt>
                <c:pt idx="9">
                  <c:v>233.56379999999999</c:v>
                </c:pt>
                <c:pt idx="10">
                  <c:v>259.40989999999999</c:v>
                </c:pt>
                <c:pt idx="11">
                  <c:v>283.19319999999999</c:v>
                </c:pt>
                <c:pt idx="12">
                  <c:v>285.06979999999999</c:v>
                </c:pt>
                <c:pt idx="13">
                  <c:v>281.19420000000002</c:v>
                </c:pt>
                <c:pt idx="14">
                  <c:v>321.69310000000002</c:v>
                </c:pt>
                <c:pt idx="15">
                  <c:v>355.12220000000002</c:v>
                </c:pt>
                <c:pt idx="16">
                  <c:v>367.67110000000002</c:v>
                </c:pt>
                <c:pt idx="17">
                  <c:v>365.9348</c:v>
                </c:pt>
                <c:pt idx="18">
                  <c:v>335.86079999999998</c:v>
                </c:pt>
                <c:pt idx="19">
                  <c:v>327.11700000000002</c:v>
                </c:pt>
                <c:pt idx="20">
                  <c:v>321.1902</c:v>
                </c:pt>
                <c:pt idx="21">
                  <c:v>329.9846</c:v>
                </c:pt>
                <c:pt idx="22">
                  <c:v>333.14670000000001</c:v>
                </c:pt>
                <c:pt idx="23">
                  <c:v>317.75850000000003</c:v>
                </c:pt>
                <c:pt idx="24">
                  <c:v>294.94569999999999</c:v>
                </c:pt>
                <c:pt idx="25">
                  <c:v>280.25959999999998</c:v>
                </c:pt>
                <c:pt idx="26">
                  <c:v>260.18729999999999</c:v>
                </c:pt>
                <c:pt idx="27">
                  <c:v>248.37729999999999</c:v>
                </c:pt>
                <c:pt idx="28">
                  <c:v>217.69810000000001</c:v>
                </c:pt>
                <c:pt idx="29">
                  <c:v>219.37219999999999</c:v>
                </c:pt>
                <c:pt idx="30">
                  <c:v>221.93350000000001</c:v>
                </c:pt>
                <c:pt idx="31">
                  <c:v>211.08160000000001</c:v>
                </c:pt>
                <c:pt idx="32">
                  <c:v>210.64959999999999</c:v>
                </c:pt>
                <c:pt idx="33">
                  <c:v>214.13120000000001</c:v>
                </c:pt>
                <c:pt idx="34">
                  <c:v>215.8449</c:v>
                </c:pt>
                <c:pt idx="35">
                  <c:v>220.72229999999999</c:v>
                </c:pt>
                <c:pt idx="36">
                  <c:v>208.33619999999999</c:v>
                </c:pt>
                <c:pt idx="37">
                  <c:v>197.02369999999999</c:v>
                </c:pt>
                <c:pt idx="38">
                  <c:v>189.9188</c:v>
                </c:pt>
                <c:pt idx="39">
                  <c:v>187.50120000000001</c:v>
                </c:pt>
                <c:pt idx="40">
                  <c:v>202.23500000000001</c:v>
                </c:pt>
                <c:pt idx="41">
                  <c:v>222.39340000000001</c:v>
                </c:pt>
                <c:pt idx="42">
                  <c:v>204.5429</c:v>
                </c:pt>
                <c:pt idx="43">
                  <c:v>202.8571</c:v>
                </c:pt>
              </c:numCache>
            </c:numRef>
          </c:val>
          <c:smooth val="0"/>
          <c:extLst>
            <c:ext xmlns:c16="http://schemas.microsoft.com/office/drawing/2014/chart" uri="{C3380CC4-5D6E-409C-BE32-E72D297353CC}">
              <c16:uniqueId val="{0000000A-CA8F-479F-8934-FFD400FDE7A5}"/>
            </c:ext>
          </c:extLst>
        </c:ser>
        <c:ser>
          <c:idx val="4"/>
          <c:order val="4"/>
          <c:tx>
            <c:strRef>
              <c:f>Chlieb!$L$3</c:f>
              <c:strCache>
                <c:ptCount val="1"/>
                <c:pt idx="0">
                  <c:v>AT</c:v>
                </c:pt>
              </c:strCache>
            </c:strRef>
          </c:tx>
          <c:spPr>
            <a:ln w="19050" cap="rnd">
              <a:solidFill>
                <a:sysClr val="windowText" lastClr="000000"/>
              </a:solidFill>
              <a:round/>
            </a:ln>
            <a:effectLst/>
          </c:spPr>
          <c:marker>
            <c:symbol val="none"/>
          </c:marker>
          <c:dPt>
            <c:idx val="36"/>
            <c:marker>
              <c:symbol val="none"/>
            </c:marker>
            <c:bubble3D val="0"/>
            <c:extLst>
              <c:ext xmlns:c16="http://schemas.microsoft.com/office/drawing/2014/chart" uri="{C3380CC4-5D6E-409C-BE32-E72D297353CC}">
                <c16:uniqueId val="{0000000B-CA8F-479F-8934-FFD400FDE7A5}"/>
              </c:ext>
            </c:extLst>
          </c:dPt>
          <c:cat>
            <c:numRef>
              <c:f>Chlieb!$G$4:$G$47</c:f>
              <c:numCache>
                <c:formatCode>m/d/yyyy</c:formatCode>
                <c:ptCount val="44"/>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pt idx="17">
                  <c:v>44713</c:v>
                </c:pt>
                <c:pt idx="18">
                  <c:v>44743</c:v>
                </c:pt>
                <c:pt idx="19">
                  <c:v>44774</c:v>
                </c:pt>
                <c:pt idx="20">
                  <c:v>44805</c:v>
                </c:pt>
                <c:pt idx="21">
                  <c:v>44835</c:v>
                </c:pt>
                <c:pt idx="22">
                  <c:v>44866</c:v>
                </c:pt>
                <c:pt idx="23">
                  <c:v>44896</c:v>
                </c:pt>
                <c:pt idx="24">
                  <c:v>44927</c:v>
                </c:pt>
                <c:pt idx="25">
                  <c:v>44958</c:v>
                </c:pt>
                <c:pt idx="26">
                  <c:v>44986</c:v>
                </c:pt>
                <c:pt idx="27">
                  <c:v>45017</c:v>
                </c:pt>
                <c:pt idx="28">
                  <c:v>45047</c:v>
                </c:pt>
                <c:pt idx="29">
                  <c:v>45078</c:v>
                </c:pt>
                <c:pt idx="30">
                  <c:v>45108</c:v>
                </c:pt>
                <c:pt idx="31">
                  <c:v>45139</c:v>
                </c:pt>
                <c:pt idx="32">
                  <c:v>45170</c:v>
                </c:pt>
                <c:pt idx="33">
                  <c:v>45200</c:v>
                </c:pt>
                <c:pt idx="34">
                  <c:v>45231</c:v>
                </c:pt>
                <c:pt idx="35">
                  <c:v>45261</c:v>
                </c:pt>
                <c:pt idx="36">
                  <c:v>45292</c:v>
                </c:pt>
                <c:pt idx="37">
                  <c:v>45323</c:v>
                </c:pt>
                <c:pt idx="38">
                  <c:v>45352</c:v>
                </c:pt>
                <c:pt idx="39">
                  <c:v>45383</c:v>
                </c:pt>
                <c:pt idx="40">
                  <c:v>45413</c:v>
                </c:pt>
                <c:pt idx="41">
                  <c:v>45444</c:v>
                </c:pt>
                <c:pt idx="42">
                  <c:v>45474</c:v>
                </c:pt>
                <c:pt idx="43">
                  <c:v>45505</c:v>
                </c:pt>
              </c:numCache>
            </c:numRef>
          </c:cat>
          <c:val>
            <c:numRef>
              <c:f>Chlieb!$L$4:$L$47</c:f>
              <c:numCache>
                <c:formatCode>#,##0</c:formatCode>
                <c:ptCount val="44"/>
                <c:pt idx="0">
                  <c:v>198.33335</c:v>
                </c:pt>
                <c:pt idx="1">
                  <c:v>199.25</c:v>
                </c:pt>
                <c:pt idx="2">
                  <c:v>205.625</c:v>
                </c:pt>
                <c:pt idx="3">
                  <c:v>207.5</c:v>
                </c:pt>
                <c:pt idx="4">
                  <c:v>219.5</c:v>
                </c:pt>
                <c:pt idx="5">
                  <c:v>223.25</c:v>
                </c:pt>
                <c:pt idx="6">
                  <c:v>215.5</c:v>
                </c:pt>
                <c:pt idx="7">
                  <c:v>223.44395</c:v>
                </c:pt>
                <c:pt idx="8">
                  <c:v>245.26390000000001</c:v>
                </c:pt>
                <c:pt idx="9">
                  <c:v>259</c:v>
                </c:pt>
                <c:pt idx="10">
                  <c:v>303.64585</c:v>
                </c:pt>
                <c:pt idx="11">
                  <c:v>315.3125</c:v>
                </c:pt>
                <c:pt idx="12">
                  <c:v>314.125</c:v>
                </c:pt>
                <c:pt idx="13">
                  <c:v>305.41665</c:v>
                </c:pt>
                <c:pt idx="14">
                  <c:v>371.36365000000001</c:v>
                </c:pt>
                <c:pt idx="15">
                  <c:v>385.0729</c:v>
                </c:pt>
                <c:pt idx="16">
                  <c:v>374.75</c:v>
                </c:pt>
                <c:pt idx="17">
                  <c:v>362.5</c:v>
                </c:pt>
                <c:pt idx="18">
                  <c:v>349</c:v>
                </c:pt>
                <c:pt idx="19">
                  <c:v>343.87099999999998</c:v>
                </c:pt>
                <c:pt idx="20">
                  <c:v>339.75</c:v>
                </c:pt>
                <c:pt idx="21">
                  <c:v>348.91174999999998</c:v>
                </c:pt>
                <c:pt idx="22">
                  <c:v>351.09375</c:v>
                </c:pt>
                <c:pt idx="23">
                  <c:v>331.36360000000002</c:v>
                </c:pt>
                <c:pt idx="24">
                  <c:v>323.88889999999998</c:v>
                </c:pt>
                <c:pt idx="25">
                  <c:v>288.45240000000001</c:v>
                </c:pt>
                <c:pt idx="26">
                  <c:v>261.84210000000002</c:v>
                </c:pt>
                <c:pt idx="27">
                  <c:v>236.33330000000001</c:v>
                </c:pt>
                <c:pt idx="28">
                  <c:v>204.7647</c:v>
                </c:pt>
                <c:pt idx="29">
                  <c:v>205.51</c:v>
                </c:pt>
                <c:pt idx="30">
                  <c:v>200.3125</c:v>
                </c:pt>
                <c:pt idx="31">
                  <c:v>218.77500000000001</c:v>
                </c:pt>
                <c:pt idx="32">
                  <c:v>222.5</c:v>
                </c:pt>
                <c:pt idx="33">
                  <c:v>228.5</c:v>
                </c:pt>
                <c:pt idx="34">
                  <c:v>224.28</c:v>
                </c:pt>
                <c:pt idx="35">
                  <c:v>219.6765</c:v>
                </c:pt>
                <c:pt idx="36">
                  <c:v>223.33330000000001</c:v>
                </c:pt>
                <c:pt idx="37">
                  <c:v>213.33330000000001</c:v>
                </c:pt>
                <c:pt idx="38">
                  <c:v>195.83335</c:v>
                </c:pt>
                <c:pt idx="39">
                  <c:v>192.25</c:v>
                </c:pt>
                <c:pt idx="40">
                  <c:v>201.25</c:v>
                </c:pt>
                <c:pt idx="41">
                  <c:v>220.75</c:v>
                </c:pt>
                <c:pt idx="42">
                  <c:v>205</c:v>
                </c:pt>
                <c:pt idx="43">
                  <c:v>216.27780000000001</c:v>
                </c:pt>
              </c:numCache>
            </c:numRef>
          </c:val>
          <c:smooth val="0"/>
          <c:extLst>
            <c:ext xmlns:c16="http://schemas.microsoft.com/office/drawing/2014/chart" uri="{C3380CC4-5D6E-409C-BE32-E72D297353CC}">
              <c16:uniqueId val="{0000000C-CA8F-479F-8934-FFD400FDE7A5}"/>
            </c:ext>
          </c:extLst>
        </c:ser>
        <c:ser>
          <c:idx val="5"/>
          <c:order val="5"/>
          <c:tx>
            <c:strRef>
              <c:f>Chlieb!$M$3</c:f>
              <c:strCache>
                <c:ptCount val="1"/>
                <c:pt idx="0">
                  <c:v>DE</c:v>
                </c:pt>
              </c:strCache>
            </c:strRef>
          </c:tx>
          <c:spPr>
            <a:ln w="19050" cap="rnd">
              <a:solidFill>
                <a:schemeClr val="accent6"/>
              </a:solidFill>
              <a:round/>
            </a:ln>
            <a:effectLst/>
          </c:spPr>
          <c:marker>
            <c:symbol val="none"/>
          </c:marker>
          <c:dPt>
            <c:idx val="33"/>
            <c:marker>
              <c:symbol val="none"/>
            </c:marker>
            <c:bubble3D val="0"/>
            <c:extLst>
              <c:ext xmlns:c16="http://schemas.microsoft.com/office/drawing/2014/chart" uri="{C3380CC4-5D6E-409C-BE32-E72D297353CC}">
                <c16:uniqueId val="{0000000D-CA8F-479F-8934-FFD400FDE7A5}"/>
              </c:ext>
            </c:extLst>
          </c:dPt>
          <c:dPt>
            <c:idx val="36"/>
            <c:marker>
              <c:symbol val="none"/>
            </c:marker>
            <c:bubble3D val="0"/>
            <c:extLst>
              <c:ext xmlns:c16="http://schemas.microsoft.com/office/drawing/2014/chart" uri="{C3380CC4-5D6E-409C-BE32-E72D297353CC}">
                <c16:uniqueId val="{0000000E-CA8F-479F-8934-FFD400FDE7A5}"/>
              </c:ext>
            </c:extLst>
          </c:dPt>
          <c:cat>
            <c:numRef>
              <c:f>Chlieb!$G$4:$G$47</c:f>
              <c:numCache>
                <c:formatCode>m/d/yyyy</c:formatCode>
                <c:ptCount val="44"/>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pt idx="17">
                  <c:v>44713</c:v>
                </c:pt>
                <c:pt idx="18">
                  <c:v>44743</c:v>
                </c:pt>
                <c:pt idx="19">
                  <c:v>44774</c:v>
                </c:pt>
                <c:pt idx="20">
                  <c:v>44805</c:v>
                </c:pt>
                <c:pt idx="21">
                  <c:v>44835</c:v>
                </c:pt>
                <c:pt idx="22">
                  <c:v>44866</c:v>
                </c:pt>
                <c:pt idx="23">
                  <c:v>44896</c:v>
                </c:pt>
                <c:pt idx="24">
                  <c:v>44927</c:v>
                </c:pt>
                <c:pt idx="25">
                  <c:v>44958</c:v>
                </c:pt>
                <c:pt idx="26">
                  <c:v>44986</c:v>
                </c:pt>
                <c:pt idx="27">
                  <c:v>45017</c:v>
                </c:pt>
                <c:pt idx="28">
                  <c:v>45047</c:v>
                </c:pt>
                <c:pt idx="29">
                  <c:v>45078</c:v>
                </c:pt>
                <c:pt idx="30">
                  <c:v>45108</c:v>
                </c:pt>
                <c:pt idx="31">
                  <c:v>45139</c:v>
                </c:pt>
                <c:pt idx="32">
                  <c:v>45170</c:v>
                </c:pt>
                <c:pt idx="33">
                  <c:v>45200</c:v>
                </c:pt>
                <c:pt idx="34">
                  <c:v>45231</c:v>
                </c:pt>
                <c:pt idx="35">
                  <c:v>45261</c:v>
                </c:pt>
                <c:pt idx="36">
                  <c:v>45292</c:v>
                </c:pt>
                <c:pt idx="37">
                  <c:v>45323</c:v>
                </c:pt>
                <c:pt idx="38">
                  <c:v>45352</c:v>
                </c:pt>
                <c:pt idx="39">
                  <c:v>45383</c:v>
                </c:pt>
                <c:pt idx="40">
                  <c:v>45413</c:v>
                </c:pt>
                <c:pt idx="41">
                  <c:v>45444</c:v>
                </c:pt>
                <c:pt idx="42">
                  <c:v>45474</c:v>
                </c:pt>
                <c:pt idx="43">
                  <c:v>45505</c:v>
                </c:pt>
              </c:numCache>
            </c:numRef>
          </c:cat>
          <c:val>
            <c:numRef>
              <c:f>Chlieb!$M$4:$M$47</c:f>
              <c:numCache>
                <c:formatCode>#,##0</c:formatCode>
                <c:ptCount val="44"/>
                <c:pt idx="0">
                  <c:v>217.75302500000001</c:v>
                </c:pt>
                <c:pt idx="1">
                  <c:v>223.00892857142861</c:v>
                </c:pt>
                <c:pt idx="2">
                  <c:v>228.4669714285715</c:v>
                </c:pt>
                <c:pt idx="3">
                  <c:v>220.219075</c:v>
                </c:pt>
                <c:pt idx="4">
                  <c:v>240.25315714285711</c:v>
                </c:pt>
                <c:pt idx="5">
                  <c:v>225.97148571428571</c:v>
                </c:pt>
                <c:pt idx="6">
                  <c:v>211.26647142857141</c:v>
                </c:pt>
                <c:pt idx="7">
                  <c:v>228.82508571428571</c:v>
                </c:pt>
                <c:pt idx="8">
                  <c:v>233.41158333333331</c:v>
                </c:pt>
                <c:pt idx="9">
                  <c:v>266.59754285714291</c:v>
                </c:pt>
                <c:pt idx="10">
                  <c:v>289.23704285714291</c:v>
                </c:pt>
                <c:pt idx="11">
                  <c:v>292.98051666666669</c:v>
                </c:pt>
                <c:pt idx="12">
                  <c:v>287.15708333333328</c:v>
                </c:pt>
                <c:pt idx="13">
                  <c:v>285.08640000000003</c:v>
                </c:pt>
                <c:pt idx="14">
                  <c:v>404.47629999999998</c:v>
                </c:pt>
                <c:pt idx="15">
                  <c:v>407.25</c:v>
                </c:pt>
                <c:pt idx="16">
                  <c:v>401.265625</c:v>
                </c:pt>
                <c:pt idx="17">
                  <c:v>375.1092666666666</c:v>
                </c:pt>
                <c:pt idx="18">
                  <c:v>331.96642000000003</c:v>
                </c:pt>
                <c:pt idx="19">
                  <c:v>335.31812000000002</c:v>
                </c:pt>
                <c:pt idx="20">
                  <c:v>337.09271666666672</c:v>
                </c:pt>
                <c:pt idx="21">
                  <c:v>344.41142000000002</c:v>
                </c:pt>
                <c:pt idx="22">
                  <c:v>330.73436666666669</c:v>
                </c:pt>
                <c:pt idx="23">
                  <c:v>316.65294999999998</c:v>
                </c:pt>
                <c:pt idx="24">
                  <c:v>299.79154999999997</c:v>
                </c:pt>
                <c:pt idx="25">
                  <c:v>290.05521666666669</c:v>
                </c:pt>
                <c:pt idx="26">
                  <c:v>263.51495714285721</c:v>
                </c:pt>
                <c:pt idx="27">
                  <c:v>246.07488000000001</c:v>
                </c:pt>
                <c:pt idx="28">
                  <c:v>225.51666</c:v>
                </c:pt>
                <c:pt idx="29">
                  <c:v>228.01516000000001</c:v>
                </c:pt>
                <c:pt idx="30">
                  <c:v>230.32051999999999</c:v>
                </c:pt>
                <c:pt idx="31">
                  <c:v>238.58779999999999</c:v>
                </c:pt>
                <c:pt idx="32">
                  <c:v>234.33177499999999</c:v>
                </c:pt>
                <c:pt idx="33">
                  <c:v>227.27879999999999</c:v>
                </c:pt>
                <c:pt idx="34">
                  <c:v>224.16741999999999</c:v>
                </c:pt>
                <c:pt idx="35">
                  <c:v>221.92136666666659</c:v>
                </c:pt>
                <c:pt idx="36">
                  <c:v>217.19725</c:v>
                </c:pt>
                <c:pt idx="37">
                  <c:v>193.78434285714289</c:v>
                </c:pt>
                <c:pt idx="38">
                  <c:v>182.4637142857143</c:v>
                </c:pt>
                <c:pt idx="39">
                  <c:v>193.73143999999999</c:v>
                </c:pt>
                <c:pt idx="40">
                  <c:v>226.01535000000001</c:v>
                </c:pt>
                <c:pt idx="41">
                  <c:v>225.01563333333331</c:v>
                </c:pt>
                <c:pt idx="42">
                  <c:v>212.05833333333331</c:v>
                </c:pt>
                <c:pt idx="43">
                  <c:v>217.08284</c:v>
                </c:pt>
              </c:numCache>
            </c:numRef>
          </c:val>
          <c:smooth val="0"/>
          <c:extLst>
            <c:ext xmlns:c16="http://schemas.microsoft.com/office/drawing/2014/chart" uri="{C3380CC4-5D6E-409C-BE32-E72D297353CC}">
              <c16:uniqueId val="{0000000F-CA8F-479F-8934-FFD400FDE7A5}"/>
            </c:ext>
          </c:extLst>
        </c:ser>
        <c:ser>
          <c:idx val="6"/>
          <c:order val="6"/>
          <c:tx>
            <c:strRef>
              <c:f>Chlieb!$N$3</c:f>
              <c:strCache>
                <c:ptCount val="1"/>
                <c:pt idx="0">
                  <c:v>SK</c:v>
                </c:pt>
              </c:strCache>
            </c:strRef>
          </c:tx>
          <c:spPr>
            <a:ln w="28575" cap="rnd">
              <a:noFill/>
              <a:round/>
            </a:ln>
            <a:effectLst/>
          </c:spPr>
          <c:marker>
            <c:symbol val="circle"/>
            <c:size val="3"/>
            <c:spPr>
              <a:solidFill>
                <a:srgbClr val="2EAAE1"/>
              </a:solidFill>
              <a:ln w="9525">
                <a:solidFill>
                  <a:srgbClr val="2EAAE1"/>
                </a:solidFill>
              </a:ln>
              <a:effectLst/>
            </c:spPr>
          </c:marker>
          <c:cat>
            <c:numRef>
              <c:f>Chlieb!$G$4:$G$47</c:f>
              <c:numCache>
                <c:formatCode>m/d/yyyy</c:formatCode>
                <c:ptCount val="44"/>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pt idx="17">
                  <c:v>44713</c:v>
                </c:pt>
                <c:pt idx="18">
                  <c:v>44743</c:v>
                </c:pt>
                <c:pt idx="19">
                  <c:v>44774</c:v>
                </c:pt>
                <c:pt idx="20">
                  <c:v>44805</c:v>
                </c:pt>
                <c:pt idx="21">
                  <c:v>44835</c:v>
                </c:pt>
                <c:pt idx="22">
                  <c:v>44866</c:v>
                </c:pt>
                <c:pt idx="23">
                  <c:v>44896</c:v>
                </c:pt>
                <c:pt idx="24">
                  <c:v>44927</c:v>
                </c:pt>
                <c:pt idx="25">
                  <c:v>44958</c:v>
                </c:pt>
                <c:pt idx="26">
                  <c:v>44986</c:v>
                </c:pt>
                <c:pt idx="27">
                  <c:v>45017</c:v>
                </c:pt>
                <c:pt idx="28">
                  <c:v>45047</c:v>
                </c:pt>
                <c:pt idx="29">
                  <c:v>45078</c:v>
                </c:pt>
                <c:pt idx="30">
                  <c:v>45108</c:v>
                </c:pt>
                <c:pt idx="31">
                  <c:v>45139</c:v>
                </c:pt>
                <c:pt idx="32">
                  <c:v>45170</c:v>
                </c:pt>
                <c:pt idx="33">
                  <c:v>45200</c:v>
                </c:pt>
                <c:pt idx="34">
                  <c:v>45231</c:v>
                </c:pt>
                <c:pt idx="35">
                  <c:v>45261</c:v>
                </c:pt>
                <c:pt idx="36">
                  <c:v>45292</c:v>
                </c:pt>
                <c:pt idx="37">
                  <c:v>45323</c:v>
                </c:pt>
                <c:pt idx="38">
                  <c:v>45352</c:v>
                </c:pt>
                <c:pt idx="39">
                  <c:v>45383</c:v>
                </c:pt>
                <c:pt idx="40">
                  <c:v>45413</c:v>
                </c:pt>
                <c:pt idx="41">
                  <c:v>45444</c:v>
                </c:pt>
                <c:pt idx="42">
                  <c:v>45474</c:v>
                </c:pt>
                <c:pt idx="43">
                  <c:v>45505</c:v>
                </c:pt>
              </c:numCache>
            </c:numRef>
          </c:cat>
          <c:val>
            <c:numRef>
              <c:f>Chlieb!$N$4:$N$47</c:f>
              <c:numCache>
                <c:formatCode>General</c:formatCode>
                <c:ptCount val="44"/>
                <c:pt idx="43" formatCode="#,##0">
                  <c:v>201.3921</c:v>
                </c:pt>
              </c:numCache>
            </c:numRef>
          </c:val>
          <c:smooth val="0"/>
          <c:extLst>
            <c:ext xmlns:c16="http://schemas.microsoft.com/office/drawing/2014/chart" uri="{C3380CC4-5D6E-409C-BE32-E72D297353CC}">
              <c16:uniqueId val="{00000010-CA8F-479F-8934-FFD400FDE7A5}"/>
            </c:ext>
          </c:extLst>
        </c:ser>
        <c:ser>
          <c:idx val="7"/>
          <c:order val="7"/>
          <c:tx>
            <c:strRef>
              <c:f>Chlieb!$O$3</c:f>
              <c:strCache>
                <c:ptCount val="1"/>
                <c:pt idx="0">
                  <c:v>CZ</c:v>
                </c:pt>
              </c:strCache>
            </c:strRef>
          </c:tx>
          <c:spPr>
            <a:ln w="28575" cap="rnd">
              <a:noFill/>
              <a:round/>
            </a:ln>
            <a:effectLst/>
          </c:spPr>
          <c:marker>
            <c:symbol val="circle"/>
            <c:size val="3"/>
            <c:spPr>
              <a:solidFill>
                <a:srgbClr val="1AA380"/>
              </a:solidFill>
              <a:ln w="9525">
                <a:solidFill>
                  <a:srgbClr val="1AA380"/>
                </a:solidFill>
              </a:ln>
              <a:effectLst/>
            </c:spPr>
          </c:marker>
          <c:cat>
            <c:numRef>
              <c:f>Chlieb!$G$4:$G$47</c:f>
              <c:numCache>
                <c:formatCode>m/d/yyyy</c:formatCode>
                <c:ptCount val="44"/>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pt idx="17">
                  <c:v>44713</c:v>
                </c:pt>
                <c:pt idx="18">
                  <c:v>44743</c:v>
                </c:pt>
                <c:pt idx="19">
                  <c:v>44774</c:v>
                </c:pt>
                <c:pt idx="20">
                  <c:v>44805</c:v>
                </c:pt>
                <c:pt idx="21">
                  <c:v>44835</c:v>
                </c:pt>
                <c:pt idx="22">
                  <c:v>44866</c:v>
                </c:pt>
                <c:pt idx="23">
                  <c:v>44896</c:v>
                </c:pt>
                <c:pt idx="24">
                  <c:v>44927</c:v>
                </c:pt>
                <c:pt idx="25">
                  <c:v>44958</c:v>
                </c:pt>
                <c:pt idx="26">
                  <c:v>44986</c:v>
                </c:pt>
                <c:pt idx="27">
                  <c:v>45017</c:v>
                </c:pt>
                <c:pt idx="28">
                  <c:v>45047</c:v>
                </c:pt>
                <c:pt idx="29">
                  <c:v>45078</c:v>
                </c:pt>
                <c:pt idx="30">
                  <c:v>45108</c:v>
                </c:pt>
                <c:pt idx="31">
                  <c:v>45139</c:v>
                </c:pt>
                <c:pt idx="32">
                  <c:v>45170</c:v>
                </c:pt>
                <c:pt idx="33">
                  <c:v>45200</c:v>
                </c:pt>
                <c:pt idx="34">
                  <c:v>45231</c:v>
                </c:pt>
                <c:pt idx="35">
                  <c:v>45261</c:v>
                </c:pt>
                <c:pt idx="36">
                  <c:v>45292</c:v>
                </c:pt>
                <c:pt idx="37">
                  <c:v>45323</c:v>
                </c:pt>
                <c:pt idx="38">
                  <c:v>45352</c:v>
                </c:pt>
                <c:pt idx="39">
                  <c:v>45383</c:v>
                </c:pt>
                <c:pt idx="40">
                  <c:v>45413</c:v>
                </c:pt>
                <c:pt idx="41">
                  <c:v>45444</c:v>
                </c:pt>
                <c:pt idx="42">
                  <c:v>45474</c:v>
                </c:pt>
                <c:pt idx="43">
                  <c:v>45505</c:v>
                </c:pt>
              </c:numCache>
            </c:numRef>
          </c:cat>
          <c:val>
            <c:numRef>
              <c:f>Chlieb!$O$4:$O$47</c:f>
              <c:numCache>
                <c:formatCode>General</c:formatCode>
                <c:ptCount val="44"/>
                <c:pt idx="43" formatCode="#,##0">
                  <c:v>196.90549999999999</c:v>
                </c:pt>
              </c:numCache>
            </c:numRef>
          </c:val>
          <c:smooth val="0"/>
          <c:extLst>
            <c:ext xmlns:c16="http://schemas.microsoft.com/office/drawing/2014/chart" uri="{C3380CC4-5D6E-409C-BE32-E72D297353CC}">
              <c16:uniqueId val="{00000011-CA8F-479F-8934-FFD400FDE7A5}"/>
            </c:ext>
          </c:extLst>
        </c:ser>
        <c:ser>
          <c:idx val="8"/>
          <c:order val="8"/>
          <c:tx>
            <c:strRef>
              <c:f>Chlieb!$P$3</c:f>
              <c:strCache>
                <c:ptCount val="1"/>
                <c:pt idx="0">
                  <c:v>HU</c:v>
                </c:pt>
              </c:strCache>
            </c:strRef>
          </c:tx>
          <c:spPr>
            <a:ln w="28575" cap="rnd">
              <a:noFill/>
              <a:round/>
            </a:ln>
            <a:effectLst/>
          </c:spPr>
          <c:marker>
            <c:symbol val="circle"/>
            <c:size val="3"/>
            <c:spPr>
              <a:solidFill>
                <a:srgbClr val="F2CA6D"/>
              </a:solidFill>
              <a:ln w="9525">
                <a:solidFill>
                  <a:srgbClr val="F2CA6D"/>
                </a:solidFill>
              </a:ln>
              <a:effectLst/>
            </c:spPr>
          </c:marker>
          <c:cat>
            <c:numRef>
              <c:f>Chlieb!$G$4:$G$47</c:f>
              <c:numCache>
                <c:formatCode>m/d/yyyy</c:formatCode>
                <c:ptCount val="44"/>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pt idx="17">
                  <c:v>44713</c:v>
                </c:pt>
                <c:pt idx="18">
                  <c:v>44743</c:v>
                </c:pt>
                <c:pt idx="19">
                  <c:v>44774</c:v>
                </c:pt>
                <c:pt idx="20">
                  <c:v>44805</c:v>
                </c:pt>
                <c:pt idx="21">
                  <c:v>44835</c:v>
                </c:pt>
                <c:pt idx="22">
                  <c:v>44866</c:v>
                </c:pt>
                <c:pt idx="23">
                  <c:v>44896</c:v>
                </c:pt>
                <c:pt idx="24">
                  <c:v>44927</c:v>
                </c:pt>
                <c:pt idx="25">
                  <c:v>44958</c:v>
                </c:pt>
                <c:pt idx="26">
                  <c:v>44986</c:v>
                </c:pt>
                <c:pt idx="27">
                  <c:v>45017</c:v>
                </c:pt>
                <c:pt idx="28">
                  <c:v>45047</c:v>
                </c:pt>
                <c:pt idx="29">
                  <c:v>45078</c:v>
                </c:pt>
                <c:pt idx="30">
                  <c:v>45108</c:v>
                </c:pt>
                <c:pt idx="31">
                  <c:v>45139</c:v>
                </c:pt>
                <c:pt idx="32">
                  <c:v>45170</c:v>
                </c:pt>
                <c:pt idx="33">
                  <c:v>45200</c:v>
                </c:pt>
                <c:pt idx="34">
                  <c:v>45231</c:v>
                </c:pt>
                <c:pt idx="35">
                  <c:v>45261</c:v>
                </c:pt>
                <c:pt idx="36">
                  <c:v>45292</c:v>
                </c:pt>
                <c:pt idx="37">
                  <c:v>45323</c:v>
                </c:pt>
                <c:pt idx="38">
                  <c:v>45352</c:v>
                </c:pt>
                <c:pt idx="39">
                  <c:v>45383</c:v>
                </c:pt>
                <c:pt idx="40">
                  <c:v>45413</c:v>
                </c:pt>
                <c:pt idx="41">
                  <c:v>45444</c:v>
                </c:pt>
                <c:pt idx="42">
                  <c:v>45474</c:v>
                </c:pt>
                <c:pt idx="43">
                  <c:v>45505</c:v>
                </c:pt>
              </c:numCache>
            </c:numRef>
          </c:cat>
          <c:val>
            <c:numRef>
              <c:f>Chlieb!$P$4:$P$47</c:f>
              <c:numCache>
                <c:formatCode>General</c:formatCode>
                <c:ptCount val="44"/>
                <c:pt idx="43" formatCode="#,##0">
                  <c:v>189.21449999999999</c:v>
                </c:pt>
              </c:numCache>
            </c:numRef>
          </c:val>
          <c:smooth val="0"/>
          <c:extLst>
            <c:ext xmlns:c16="http://schemas.microsoft.com/office/drawing/2014/chart" uri="{C3380CC4-5D6E-409C-BE32-E72D297353CC}">
              <c16:uniqueId val="{00000012-CA8F-479F-8934-FFD400FDE7A5}"/>
            </c:ext>
          </c:extLst>
        </c:ser>
        <c:ser>
          <c:idx val="9"/>
          <c:order val="9"/>
          <c:tx>
            <c:strRef>
              <c:f>Chlieb!$Q$3</c:f>
              <c:strCache>
                <c:ptCount val="1"/>
                <c:pt idx="0">
                  <c:v>PL</c:v>
                </c:pt>
              </c:strCache>
            </c:strRef>
          </c:tx>
          <c:spPr>
            <a:ln w="28575" cap="rnd">
              <a:noFill/>
              <a:round/>
            </a:ln>
            <a:effectLst/>
          </c:spPr>
          <c:marker>
            <c:symbol val="circle"/>
            <c:size val="3"/>
            <c:spPr>
              <a:solidFill>
                <a:srgbClr val="E85477"/>
              </a:solidFill>
              <a:ln w="9525">
                <a:solidFill>
                  <a:srgbClr val="E85477"/>
                </a:solidFill>
              </a:ln>
              <a:effectLst/>
            </c:spPr>
          </c:marker>
          <c:cat>
            <c:numRef>
              <c:f>Chlieb!$G$4:$G$47</c:f>
              <c:numCache>
                <c:formatCode>m/d/yyyy</c:formatCode>
                <c:ptCount val="44"/>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pt idx="17">
                  <c:v>44713</c:v>
                </c:pt>
                <c:pt idx="18">
                  <c:v>44743</c:v>
                </c:pt>
                <c:pt idx="19">
                  <c:v>44774</c:v>
                </c:pt>
                <c:pt idx="20">
                  <c:v>44805</c:v>
                </c:pt>
                <c:pt idx="21">
                  <c:v>44835</c:v>
                </c:pt>
                <c:pt idx="22">
                  <c:v>44866</c:v>
                </c:pt>
                <c:pt idx="23">
                  <c:v>44896</c:v>
                </c:pt>
                <c:pt idx="24">
                  <c:v>44927</c:v>
                </c:pt>
                <c:pt idx="25">
                  <c:v>44958</c:v>
                </c:pt>
                <c:pt idx="26">
                  <c:v>44986</c:v>
                </c:pt>
                <c:pt idx="27">
                  <c:v>45017</c:v>
                </c:pt>
                <c:pt idx="28">
                  <c:v>45047</c:v>
                </c:pt>
                <c:pt idx="29">
                  <c:v>45078</c:v>
                </c:pt>
                <c:pt idx="30">
                  <c:v>45108</c:v>
                </c:pt>
                <c:pt idx="31">
                  <c:v>45139</c:v>
                </c:pt>
                <c:pt idx="32">
                  <c:v>45170</c:v>
                </c:pt>
                <c:pt idx="33">
                  <c:v>45200</c:v>
                </c:pt>
                <c:pt idx="34">
                  <c:v>45231</c:v>
                </c:pt>
                <c:pt idx="35">
                  <c:v>45261</c:v>
                </c:pt>
                <c:pt idx="36">
                  <c:v>45292</c:v>
                </c:pt>
                <c:pt idx="37">
                  <c:v>45323</c:v>
                </c:pt>
                <c:pt idx="38">
                  <c:v>45352</c:v>
                </c:pt>
                <c:pt idx="39">
                  <c:v>45383</c:v>
                </c:pt>
                <c:pt idx="40">
                  <c:v>45413</c:v>
                </c:pt>
                <c:pt idx="41">
                  <c:v>45444</c:v>
                </c:pt>
                <c:pt idx="42">
                  <c:v>45474</c:v>
                </c:pt>
                <c:pt idx="43">
                  <c:v>45505</c:v>
                </c:pt>
              </c:numCache>
            </c:numRef>
          </c:cat>
          <c:val>
            <c:numRef>
              <c:f>Chlieb!$Q$4:$Q$47</c:f>
              <c:numCache>
                <c:formatCode>General</c:formatCode>
                <c:ptCount val="44"/>
                <c:pt idx="43" formatCode="#,##0">
                  <c:v>202.8571</c:v>
                </c:pt>
              </c:numCache>
            </c:numRef>
          </c:val>
          <c:smooth val="0"/>
          <c:extLst>
            <c:ext xmlns:c16="http://schemas.microsoft.com/office/drawing/2014/chart" uri="{C3380CC4-5D6E-409C-BE32-E72D297353CC}">
              <c16:uniqueId val="{00000013-CA8F-479F-8934-FFD400FDE7A5}"/>
            </c:ext>
          </c:extLst>
        </c:ser>
        <c:ser>
          <c:idx val="10"/>
          <c:order val="10"/>
          <c:tx>
            <c:strRef>
              <c:f>Chlieb!$R$3</c:f>
              <c:strCache>
                <c:ptCount val="1"/>
                <c:pt idx="0">
                  <c:v>AT</c:v>
                </c:pt>
              </c:strCache>
            </c:strRef>
          </c:tx>
          <c:spPr>
            <a:ln w="28575" cap="rnd">
              <a:noFill/>
              <a:round/>
            </a:ln>
            <a:effectLst/>
          </c:spPr>
          <c:marker>
            <c:symbol val="circle"/>
            <c:size val="3"/>
            <c:spPr>
              <a:solidFill>
                <a:sysClr val="windowText" lastClr="000000"/>
              </a:solidFill>
              <a:ln w="9525">
                <a:solidFill>
                  <a:sysClr val="windowText" lastClr="000000"/>
                </a:solidFill>
              </a:ln>
              <a:effectLst/>
            </c:spPr>
          </c:marker>
          <c:cat>
            <c:numRef>
              <c:f>Chlieb!$G$4:$G$47</c:f>
              <c:numCache>
                <c:formatCode>m/d/yyyy</c:formatCode>
                <c:ptCount val="44"/>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pt idx="17">
                  <c:v>44713</c:v>
                </c:pt>
                <c:pt idx="18">
                  <c:v>44743</c:v>
                </c:pt>
                <c:pt idx="19">
                  <c:v>44774</c:v>
                </c:pt>
                <c:pt idx="20">
                  <c:v>44805</c:v>
                </c:pt>
                <c:pt idx="21">
                  <c:v>44835</c:v>
                </c:pt>
                <c:pt idx="22">
                  <c:v>44866</c:v>
                </c:pt>
                <c:pt idx="23">
                  <c:v>44896</c:v>
                </c:pt>
                <c:pt idx="24">
                  <c:v>44927</c:v>
                </c:pt>
                <c:pt idx="25">
                  <c:v>44958</c:v>
                </c:pt>
                <c:pt idx="26">
                  <c:v>44986</c:v>
                </c:pt>
                <c:pt idx="27">
                  <c:v>45017</c:v>
                </c:pt>
                <c:pt idx="28">
                  <c:v>45047</c:v>
                </c:pt>
                <c:pt idx="29">
                  <c:v>45078</c:v>
                </c:pt>
                <c:pt idx="30">
                  <c:v>45108</c:v>
                </c:pt>
                <c:pt idx="31">
                  <c:v>45139</c:v>
                </c:pt>
                <c:pt idx="32">
                  <c:v>45170</c:v>
                </c:pt>
                <c:pt idx="33">
                  <c:v>45200</c:v>
                </c:pt>
                <c:pt idx="34">
                  <c:v>45231</c:v>
                </c:pt>
                <c:pt idx="35">
                  <c:v>45261</c:v>
                </c:pt>
                <c:pt idx="36">
                  <c:v>45292</c:v>
                </c:pt>
                <c:pt idx="37">
                  <c:v>45323</c:v>
                </c:pt>
                <c:pt idx="38">
                  <c:v>45352</c:v>
                </c:pt>
                <c:pt idx="39">
                  <c:v>45383</c:v>
                </c:pt>
                <c:pt idx="40">
                  <c:v>45413</c:v>
                </c:pt>
                <c:pt idx="41">
                  <c:v>45444</c:v>
                </c:pt>
                <c:pt idx="42">
                  <c:v>45474</c:v>
                </c:pt>
                <c:pt idx="43">
                  <c:v>45505</c:v>
                </c:pt>
              </c:numCache>
            </c:numRef>
          </c:cat>
          <c:val>
            <c:numRef>
              <c:f>Chlieb!$R$4:$R$47</c:f>
              <c:numCache>
                <c:formatCode>General</c:formatCode>
                <c:ptCount val="44"/>
                <c:pt idx="43" formatCode="#,##0">
                  <c:v>216.27780000000001</c:v>
                </c:pt>
              </c:numCache>
            </c:numRef>
          </c:val>
          <c:smooth val="0"/>
          <c:extLst>
            <c:ext xmlns:c16="http://schemas.microsoft.com/office/drawing/2014/chart" uri="{C3380CC4-5D6E-409C-BE32-E72D297353CC}">
              <c16:uniqueId val="{00000014-CA8F-479F-8934-FFD400FDE7A5}"/>
            </c:ext>
          </c:extLst>
        </c:ser>
        <c:ser>
          <c:idx val="11"/>
          <c:order val="11"/>
          <c:tx>
            <c:strRef>
              <c:f>Chlieb!$S$3</c:f>
              <c:strCache>
                <c:ptCount val="1"/>
                <c:pt idx="0">
                  <c:v>DE</c:v>
                </c:pt>
              </c:strCache>
            </c:strRef>
          </c:tx>
          <c:spPr>
            <a:ln w="28575" cap="rnd">
              <a:noFill/>
              <a:round/>
            </a:ln>
            <a:effectLst/>
          </c:spPr>
          <c:marker>
            <c:symbol val="circle"/>
            <c:size val="3"/>
            <c:spPr>
              <a:solidFill>
                <a:srgbClr val="7F7F7F"/>
              </a:solidFill>
              <a:ln w="9525">
                <a:solidFill>
                  <a:srgbClr val="7F7F7F"/>
                </a:solidFill>
              </a:ln>
              <a:effectLst/>
            </c:spPr>
          </c:marker>
          <c:cat>
            <c:numRef>
              <c:f>Chlieb!$G$4:$G$47</c:f>
              <c:numCache>
                <c:formatCode>m/d/yyyy</c:formatCode>
                <c:ptCount val="44"/>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pt idx="17">
                  <c:v>44713</c:v>
                </c:pt>
                <c:pt idx="18">
                  <c:v>44743</c:v>
                </c:pt>
                <c:pt idx="19">
                  <c:v>44774</c:v>
                </c:pt>
                <c:pt idx="20">
                  <c:v>44805</c:v>
                </c:pt>
                <c:pt idx="21">
                  <c:v>44835</c:v>
                </c:pt>
                <c:pt idx="22">
                  <c:v>44866</c:v>
                </c:pt>
                <c:pt idx="23">
                  <c:v>44896</c:v>
                </c:pt>
                <c:pt idx="24">
                  <c:v>44927</c:v>
                </c:pt>
                <c:pt idx="25">
                  <c:v>44958</c:v>
                </c:pt>
                <c:pt idx="26">
                  <c:v>44986</c:v>
                </c:pt>
                <c:pt idx="27">
                  <c:v>45017</c:v>
                </c:pt>
                <c:pt idx="28">
                  <c:v>45047</c:v>
                </c:pt>
                <c:pt idx="29">
                  <c:v>45078</c:v>
                </c:pt>
                <c:pt idx="30">
                  <c:v>45108</c:v>
                </c:pt>
                <c:pt idx="31">
                  <c:v>45139</c:v>
                </c:pt>
                <c:pt idx="32">
                  <c:v>45170</c:v>
                </c:pt>
                <c:pt idx="33">
                  <c:v>45200</c:v>
                </c:pt>
                <c:pt idx="34">
                  <c:v>45231</c:v>
                </c:pt>
                <c:pt idx="35">
                  <c:v>45261</c:v>
                </c:pt>
                <c:pt idx="36">
                  <c:v>45292</c:v>
                </c:pt>
                <c:pt idx="37">
                  <c:v>45323</c:v>
                </c:pt>
                <c:pt idx="38">
                  <c:v>45352</c:v>
                </c:pt>
                <c:pt idx="39">
                  <c:v>45383</c:v>
                </c:pt>
                <c:pt idx="40">
                  <c:v>45413</c:v>
                </c:pt>
                <c:pt idx="41">
                  <c:v>45444</c:v>
                </c:pt>
                <c:pt idx="42">
                  <c:v>45474</c:v>
                </c:pt>
                <c:pt idx="43">
                  <c:v>45505</c:v>
                </c:pt>
              </c:numCache>
            </c:numRef>
          </c:cat>
          <c:val>
            <c:numRef>
              <c:f>Chlieb!$S$4:$S$47</c:f>
              <c:numCache>
                <c:formatCode>General</c:formatCode>
                <c:ptCount val="44"/>
                <c:pt idx="43" formatCode="#,##0">
                  <c:v>217.08284</c:v>
                </c:pt>
              </c:numCache>
            </c:numRef>
          </c:val>
          <c:smooth val="0"/>
          <c:extLst>
            <c:ext xmlns:c16="http://schemas.microsoft.com/office/drawing/2014/chart" uri="{C3380CC4-5D6E-409C-BE32-E72D297353CC}">
              <c16:uniqueId val="{00000015-CA8F-479F-8934-FFD400FDE7A5}"/>
            </c:ext>
          </c:extLst>
        </c:ser>
        <c:dLbls>
          <c:showLegendKey val="0"/>
          <c:showVal val="0"/>
          <c:showCatName val="0"/>
          <c:showSerName val="0"/>
          <c:showPercent val="0"/>
          <c:showBubbleSize val="0"/>
        </c:dLbls>
        <c:smooth val="0"/>
        <c:axId val="545542928"/>
        <c:axId val="545543256"/>
      </c:lineChart>
      <c:dateAx>
        <c:axId val="545542928"/>
        <c:scaling>
          <c:orientation val="minMax"/>
        </c:scaling>
        <c:delete val="0"/>
        <c:axPos val="b"/>
        <c:numFmt formatCode="m/yy" sourceLinked="0"/>
        <c:majorTickMark val="none"/>
        <c:minorTickMark val="none"/>
        <c:tickLblPos val="nextTo"/>
        <c:spPr>
          <a:noFill/>
          <a:ln w="12700" cap="flat" cmpd="sng" algn="ctr">
            <a:solidFill>
              <a:srgbClr val="7F7F7F"/>
            </a:solidFill>
            <a:round/>
          </a:ln>
          <a:effectLst/>
        </c:spPr>
        <c:txPr>
          <a:bodyPr rot="-2700000" spcFirstLastPara="1" vertOverflow="ellipsis" wrap="square" anchor="ctr" anchorCtr="1"/>
          <a:lstStyle/>
          <a:p>
            <a:pPr>
              <a:defRPr sz="900" b="0" i="0" u="none" strike="noStrike" kern="1200" baseline="0">
                <a:solidFill>
                  <a:schemeClr val="tx1">
                    <a:lumMod val="85000"/>
                    <a:lumOff val="15000"/>
                  </a:schemeClr>
                </a:solidFill>
                <a:latin typeface="+mn-lt"/>
                <a:ea typeface="+mn-ea"/>
                <a:cs typeface="+mn-cs"/>
              </a:defRPr>
            </a:pPr>
            <a:endParaRPr lang="sk-SK"/>
          </a:p>
        </c:txPr>
        <c:crossAx val="545543256"/>
        <c:crosses val="autoZero"/>
        <c:auto val="1"/>
        <c:lblOffset val="100"/>
        <c:baseTimeUnit val="months"/>
        <c:majorUnit val="3"/>
        <c:majorTimeUnit val="months"/>
      </c:dateAx>
      <c:valAx>
        <c:axId val="545543256"/>
        <c:scaling>
          <c:orientation val="minMax"/>
        </c:scaling>
        <c:delete val="0"/>
        <c:axPos val="l"/>
        <c:majorGridlines>
          <c:spPr>
            <a:ln w="9525" cap="flat" cmpd="sng" algn="ctr">
              <a:solidFill>
                <a:srgbClr val="7F7F7F">
                  <a:alpha val="25098"/>
                </a:srgbClr>
              </a:solidFill>
              <a:prstDash val="sysDot"/>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85000"/>
                    <a:lumOff val="15000"/>
                  </a:schemeClr>
                </a:solidFill>
                <a:latin typeface="+mn-lt"/>
                <a:ea typeface="+mn-ea"/>
                <a:cs typeface="+mn-cs"/>
              </a:defRPr>
            </a:pPr>
            <a:endParaRPr lang="sk-SK"/>
          </a:p>
        </c:txPr>
        <c:crossAx val="545542928"/>
        <c:crosses val="autoZero"/>
        <c:crossBetween val="midCat"/>
      </c:valAx>
      <c:spPr>
        <a:noFill/>
        <a:ln>
          <a:noFill/>
        </a:ln>
        <a:effectLst/>
      </c:spPr>
    </c:plotArea>
    <c:legend>
      <c:legendPos val="b"/>
      <c:legendEntry>
        <c:idx val="6"/>
        <c:delete val="1"/>
      </c:legendEntry>
      <c:legendEntry>
        <c:idx val="7"/>
        <c:delete val="1"/>
      </c:legendEntry>
      <c:legendEntry>
        <c:idx val="8"/>
        <c:delete val="1"/>
      </c:legendEntry>
      <c:legendEntry>
        <c:idx val="9"/>
        <c:delete val="1"/>
      </c:legendEntry>
      <c:legendEntry>
        <c:idx val="10"/>
        <c:delete val="1"/>
      </c:legendEntry>
      <c:legendEntry>
        <c:idx val="11"/>
        <c:delete val="1"/>
      </c:legendEntry>
      <c:layout>
        <c:manualLayout>
          <c:xMode val="edge"/>
          <c:yMode val="edge"/>
          <c:x val="0.241814069033149"/>
          <c:y val="0.80255862625014995"/>
          <c:w val="0.51637186193370199"/>
          <c:h val="0.1647616351877583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85000"/>
                  <a:lumOff val="15000"/>
                </a:schemeClr>
              </a:solidFill>
              <a:latin typeface="+mn-lt"/>
              <a:ea typeface="+mn-ea"/>
              <a:cs typeface="+mn-cs"/>
            </a:defRPr>
          </a:pPr>
          <a:endParaRPr lang="sk-SK"/>
        </a:p>
      </c:txPr>
    </c:legend>
    <c:plotVisOnly val="1"/>
    <c:dispBlanksAs val="gap"/>
    <c:showDLblsOverMax val="0"/>
  </c:chart>
  <c:spPr>
    <a:solidFill>
      <a:sysClr val="window" lastClr="FFFFFF"/>
    </a:solidFill>
    <a:ln w="9525" cap="flat" cmpd="sng" algn="ctr">
      <a:noFill/>
      <a:round/>
    </a:ln>
    <a:effectLst/>
  </c:spPr>
  <c:txPr>
    <a:bodyPr/>
    <a:lstStyle/>
    <a:p>
      <a:pPr>
        <a:defRPr>
          <a:solidFill>
            <a:schemeClr val="tx1">
              <a:lumMod val="85000"/>
              <a:lumOff val="15000"/>
            </a:schemeClr>
          </a:solidFill>
        </a:defRPr>
      </a:pPr>
      <a:endParaRPr lang="sk-SK"/>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551239525777141"/>
          <c:y val="6.6967858525880983E-2"/>
          <c:w val="0.8311871313115563"/>
          <c:h val="0.80017641237468262"/>
        </c:manualLayout>
      </c:layout>
      <c:lineChart>
        <c:grouping val="standard"/>
        <c:varyColors val="0"/>
        <c:ser>
          <c:idx val="0"/>
          <c:order val="0"/>
          <c:spPr>
            <a:ln w="19050" cap="rnd">
              <a:solidFill>
                <a:schemeClr val="accent1"/>
              </a:solidFill>
              <a:round/>
            </a:ln>
            <a:effectLst/>
          </c:spPr>
          <c:marker>
            <c:symbol val="none"/>
          </c:marker>
          <c:dPt>
            <c:idx val="33"/>
            <c:marker>
              <c:symbol val="none"/>
            </c:marker>
            <c:bubble3D val="0"/>
            <c:extLst>
              <c:ext xmlns:c16="http://schemas.microsoft.com/office/drawing/2014/chart" uri="{C3380CC4-5D6E-409C-BE32-E72D297353CC}">
                <c16:uniqueId val="{00000000-E2BC-4D9C-BE94-C1B37DDE8382}"/>
              </c:ext>
            </c:extLst>
          </c:dPt>
          <c:cat>
            <c:numRef>
              <c:f>'spot plyn'!$A$881:$A$2417</c:f>
              <c:numCache>
                <c:formatCode>m/d/yyyy</c:formatCode>
                <c:ptCount val="1537"/>
                <c:pt idx="0">
                  <c:v>44200</c:v>
                </c:pt>
                <c:pt idx="1">
                  <c:v>44201</c:v>
                </c:pt>
                <c:pt idx="2">
                  <c:v>44202</c:v>
                </c:pt>
                <c:pt idx="3">
                  <c:v>44203</c:v>
                </c:pt>
                <c:pt idx="4">
                  <c:v>44204</c:v>
                </c:pt>
                <c:pt idx="5">
                  <c:v>44207</c:v>
                </c:pt>
                <c:pt idx="6">
                  <c:v>44208</c:v>
                </c:pt>
                <c:pt idx="7">
                  <c:v>44209</c:v>
                </c:pt>
                <c:pt idx="8">
                  <c:v>44210</c:v>
                </c:pt>
                <c:pt idx="9">
                  <c:v>44211</c:v>
                </c:pt>
                <c:pt idx="10">
                  <c:v>44214</c:v>
                </c:pt>
                <c:pt idx="11">
                  <c:v>44215</c:v>
                </c:pt>
                <c:pt idx="12">
                  <c:v>44216</c:v>
                </c:pt>
                <c:pt idx="13">
                  <c:v>44217</c:v>
                </c:pt>
                <c:pt idx="14">
                  <c:v>44218</c:v>
                </c:pt>
                <c:pt idx="15">
                  <c:v>44221</c:v>
                </c:pt>
                <c:pt idx="16">
                  <c:v>44222</c:v>
                </c:pt>
                <c:pt idx="17">
                  <c:v>44223</c:v>
                </c:pt>
                <c:pt idx="18">
                  <c:v>44224</c:v>
                </c:pt>
                <c:pt idx="19">
                  <c:v>44225</c:v>
                </c:pt>
                <c:pt idx="20">
                  <c:v>44228</c:v>
                </c:pt>
                <c:pt idx="21">
                  <c:v>44229</c:v>
                </c:pt>
                <c:pt idx="22">
                  <c:v>44230</c:v>
                </c:pt>
                <c:pt idx="23">
                  <c:v>44231</c:v>
                </c:pt>
                <c:pt idx="24">
                  <c:v>44232</c:v>
                </c:pt>
                <c:pt idx="25">
                  <c:v>44235</c:v>
                </c:pt>
                <c:pt idx="26">
                  <c:v>44236</c:v>
                </c:pt>
                <c:pt idx="27">
                  <c:v>44237</c:v>
                </c:pt>
                <c:pt idx="28">
                  <c:v>44238</c:v>
                </c:pt>
                <c:pt idx="29">
                  <c:v>44239</c:v>
                </c:pt>
                <c:pt idx="30">
                  <c:v>44242</c:v>
                </c:pt>
                <c:pt idx="31">
                  <c:v>44243</c:v>
                </c:pt>
                <c:pt idx="32">
                  <c:v>44244</c:v>
                </c:pt>
                <c:pt idx="33">
                  <c:v>44245</c:v>
                </c:pt>
                <c:pt idx="34">
                  <c:v>44246</c:v>
                </c:pt>
                <c:pt idx="35">
                  <c:v>44249</c:v>
                </c:pt>
                <c:pt idx="36">
                  <c:v>44250</c:v>
                </c:pt>
                <c:pt idx="37">
                  <c:v>44251</c:v>
                </c:pt>
                <c:pt idx="38">
                  <c:v>44252</c:v>
                </c:pt>
                <c:pt idx="39">
                  <c:v>44253</c:v>
                </c:pt>
                <c:pt idx="40">
                  <c:v>44256</c:v>
                </c:pt>
                <c:pt idx="41">
                  <c:v>44257</c:v>
                </c:pt>
                <c:pt idx="42">
                  <c:v>44258</c:v>
                </c:pt>
                <c:pt idx="43">
                  <c:v>44259</c:v>
                </c:pt>
                <c:pt idx="44">
                  <c:v>44260</c:v>
                </c:pt>
                <c:pt idx="45">
                  <c:v>44263</c:v>
                </c:pt>
                <c:pt idx="46">
                  <c:v>44264</c:v>
                </c:pt>
                <c:pt idx="47">
                  <c:v>44265</c:v>
                </c:pt>
                <c:pt idx="48">
                  <c:v>44266</c:v>
                </c:pt>
                <c:pt idx="49">
                  <c:v>44267</c:v>
                </c:pt>
                <c:pt idx="50">
                  <c:v>44270</c:v>
                </c:pt>
                <c:pt idx="51">
                  <c:v>44271</c:v>
                </c:pt>
                <c:pt idx="52">
                  <c:v>44272</c:v>
                </c:pt>
                <c:pt idx="53">
                  <c:v>44273</c:v>
                </c:pt>
                <c:pt idx="54">
                  <c:v>44274</c:v>
                </c:pt>
                <c:pt idx="55">
                  <c:v>44277</c:v>
                </c:pt>
                <c:pt idx="56">
                  <c:v>44278</c:v>
                </c:pt>
                <c:pt idx="57">
                  <c:v>44279</c:v>
                </c:pt>
                <c:pt idx="58">
                  <c:v>44280</c:v>
                </c:pt>
                <c:pt idx="59">
                  <c:v>44281</c:v>
                </c:pt>
                <c:pt idx="60">
                  <c:v>44284</c:v>
                </c:pt>
                <c:pt idx="61">
                  <c:v>44285</c:v>
                </c:pt>
                <c:pt idx="62">
                  <c:v>44286</c:v>
                </c:pt>
                <c:pt idx="63">
                  <c:v>44287</c:v>
                </c:pt>
                <c:pt idx="64">
                  <c:v>44292</c:v>
                </c:pt>
                <c:pt idx="65">
                  <c:v>44293</c:v>
                </c:pt>
                <c:pt idx="66">
                  <c:v>44294</c:v>
                </c:pt>
                <c:pt idx="67">
                  <c:v>44295</c:v>
                </c:pt>
                <c:pt idx="68">
                  <c:v>44298</c:v>
                </c:pt>
                <c:pt idx="69">
                  <c:v>44299</c:v>
                </c:pt>
                <c:pt idx="70">
                  <c:v>44300</c:v>
                </c:pt>
                <c:pt idx="71">
                  <c:v>44301</c:v>
                </c:pt>
                <c:pt idx="72">
                  <c:v>44302</c:v>
                </c:pt>
                <c:pt idx="73">
                  <c:v>44305</c:v>
                </c:pt>
                <c:pt idx="74">
                  <c:v>44306</c:v>
                </c:pt>
                <c:pt idx="75">
                  <c:v>44307</c:v>
                </c:pt>
                <c:pt idx="76">
                  <c:v>44308</c:v>
                </c:pt>
                <c:pt idx="77">
                  <c:v>44309</c:v>
                </c:pt>
                <c:pt idx="78">
                  <c:v>44312</c:v>
                </c:pt>
                <c:pt idx="79">
                  <c:v>44313</c:v>
                </c:pt>
                <c:pt idx="80">
                  <c:v>44314</c:v>
                </c:pt>
                <c:pt idx="81">
                  <c:v>44315</c:v>
                </c:pt>
                <c:pt idx="82">
                  <c:v>44316</c:v>
                </c:pt>
                <c:pt idx="83">
                  <c:v>44319</c:v>
                </c:pt>
                <c:pt idx="84">
                  <c:v>44320</c:v>
                </c:pt>
                <c:pt idx="85">
                  <c:v>44321</c:v>
                </c:pt>
                <c:pt idx="86">
                  <c:v>44322</c:v>
                </c:pt>
                <c:pt idx="87">
                  <c:v>44323</c:v>
                </c:pt>
                <c:pt idx="88">
                  <c:v>44326</c:v>
                </c:pt>
                <c:pt idx="89">
                  <c:v>44327</c:v>
                </c:pt>
                <c:pt idx="90">
                  <c:v>44328</c:v>
                </c:pt>
                <c:pt idx="91">
                  <c:v>44329</c:v>
                </c:pt>
                <c:pt idx="92">
                  <c:v>44330</c:v>
                </c:pt>
                <c:pt idx="93">
                  <c:v>44333</c:v>
                </c:pt>
                <c:pt idx="94">
                  <c:v>44334</c:v>
                </c:pt>
                <c:pt idx="95">
                  <c:v>44335</c:v>
                </c:pt>
                <c:pt idx="96">
                  <c:v>44336</c:v>
                </c:pt>
                <c:pt idx="97">
                  <c:v>44337</c:v>
                </c:pt>
                <c:pt idx="98">
                  <c:v>44340</c:v>
                </c:pt>
                <c:pt idx="99">
                  <c:v>44341</c:v>
                </c:pt>
                <c:pt idx="100">
                  <c:v>44342</c:v>
                </c:pt>
                <c:pt idx="101">
                  <c:v>44343</c:v>
                </c:pt>
                <c:pt idx="102">
                  <c:v>44344</c:v>
                </c:pt>
                <c:pt idx="103">
                  <c:v>44347</c:v>
                </c:pt>
                <c:pt idx="104">
                  <c:v>44348</c:v>
                </c:pt>
                <c:pt idx="105">
                  <c:v>44349</c:v>
                </c:pt>
                <c:pt idx="106">
                  <c:v>44350</c:v>
                </c:pt>
                <c:pt idx="107">
                  <c:v>44351</c:v>
                </c:pt>
                <c:pt idx="108">
                  <c:v>44354</c:v>
                </c:pt>
                <c:pt idx="109">
                  <c:v>44355</c:v>
                </c:pt>
                <c:pt idx="110">
                  <c:v>44356</c:v>
                </c:pt>
                <c:pt idx="111">
                  <c:v>44357</c:v>
                </c:pt>
                <c:pt idx="112">
                  <c:v>44358</c:v>
                </c:pt>
                <c:pt idx="113">
                  <c:v>44361</c:v>
                </c:pt>
                <c:pt idx="114">
                  <c:v>44362</c:v>
                </c:pt>
                <c:pt idx="115">
                  <c:v>44363</c:v>
                </c:pt>
                <c:pt idx="116">
                  <c:v>44364</c:v>
                </c:pt>
                <c:pt idx="117">
                  <c:v>44365</c:v>
                </c:pt>
                <c:pt idx="118">
                  <c:v>44368</c:v>
                </c:pt>
                <c:pt idx="119">
                  <c:v>44369</c:v>
                </c:pt>
                <c:pt idx="120">
                  <c:v>44370</c:v>
                </c:pt>
                <c:pt idx="121">
                  <c:v>44371</c:v>
                </c:pt>
                <c:pt idx="122">
                  <c:v>44372</c:v>
                </c:pt>
                <c:pt idx="123">
                  <c:v>44375</c:v>
                </c:pt>
                <c:pt idx="124">
                  <c:v>44376</c:v>
                </c:pt>
                <c:pt idx="125">
                  <c:v>44377</c:v>
                </c:pt>
                <c:pt idx="126">
                  <c:v>44378</c:v>
                </c:pt>
                <c:pt idx="127">
                  <c:v>44379</c:v>
                </c:pt>
                <c:pt idx="128">
                  <c:v>44382</c:v>
                </c:pt>
                <c:pt idx="129">
                  <c:v>44383</c:v>
                </c:pt>
                <c:pt idx="130">
                  <c:v>44384</c:v>
                </c:pt>
                <c:pt idx="131">
                  <c:v>44385</c:v>
                </c:pt>
                <c:pt idx="132">
                  <c:v>44386</c:v>
                </c:pt>
                <c:pt idx="133">
                  <c:v>44389</c:v>
                </c:pt>
                <c:pt idx="134">
                  <c:v>44390</c:v>
                </c:pt>
                <c:pt idx="135">
                  <c:v>44391</c:v>
                </c:pt>
                <c:pt idx="136">
                  <c:v>44392</c:v>
                </c:pt>
                <c:pt idx="137">
                  <c:v>44393</c:v>
                </c:pt>
                <c:pt idx="138">
                  <c:v>44396</c:v>
                </c:pt>
                <c:pt idx="139">
                  <c:v>44397</c:v>
                </c:pt>
                <c:pt idx="140">
                  <c:v>44398</c:v>
                </c:pt>
                <c:pt idx="141">
                  <c:v>44399</c:v>
                </c:pt>
                <c:pt idx="142">
                  <c:v>44400</c:v>
                </c:pt>
                <c:pt idx="143">
                  <c:v>44403</c:v>
                </c:pt>
                <c:pt idx="144">
                  <c:v>44404</c:v>
                </c:pt>
                <c:pt idx="145">
                  <c:v>44405</c:v>
                </c:pt>
                <c:pt idx="146">
                  <c:v>44406</c:v>
                </c:pt>
                <c:pt idx="147">
                  <c:v>44407</c:v>
                </c:pt>
                <c:pt idx="148">
                  <c:v>44410</c:v>
                </c:pt>
                <c:pt idx="149">
                  <c:v>44411</c:v>
                </c:pt>
                <c:pt idx="150">
                  <c:v>44412</c:v>
                </c:pt>
                <c:pt idx="151">
                  <c:v>44413</c:v>
                </c:pt>
                <c:pt idx="152">
                  <c:v>44414</c:v>
                </c:pt>
                <c:pt idx="153">
                  <c:v>44417</c:v>
                </c:pt>
                <c:pt idx="154">
                  <c:v>44418</c:v>
                </c:pt>
                <c:pt idx="155">
                  <c:v>44419</c:v>
                </c:pt>
                <c:pt idx="156">
                  <c:v>44420</c:v>
                </c:pt>
                <c:pt idx="157">
                  <c:v>44421</c:v>
                </c:pt>
                <c:pt idx="158">
                  <c:v>44424</c:v>
                </c:pt>
                <c:pt idx="159">
                  <c:v>44425</c:v>
                </c:pt>
                <c:pt idx="160">
                  <c:v>44426</c:v>
                </c:pt>
                <c:pt idx="161">
                  <c:v>44427</c:v>
                </c:pt>
                <c:pt idx="162">
                  <c:v>44428</c:v>
                </c:pt>
                <c:pt idx="163">
                  <c:v>44431</c:v>
                </c:pt>
                <c:pt idx="164">
                  <c:v>44432</c:v>
                </c:pt>
                <c:pt idx="165">
                  <c:v>44433</c:v>
                </c:pt>
                <c:pt idx="166">
                  <c:v>44434</c:v>
                </c:pt>
                <c:pt idx="167">
                  <c:v>44435</c:v>
                </c:pt>
                <c:pt idx="168">
                  <c:v>44438</c:v>
                </c:pt>
                <c:pt idx="169">
                  <c:v>44439</c:v>
                </c:pt>
                <c:pt idx="170">
                  <c:v>44440</c:v>
                </c:pt>
                <c:pt idx="171">
                  <c:v>44441</c:v>
                </c:pt>
                <c:pt idx="172">
                  <c:v>44442</c:v>
                </c:pt>
                <c:pt idx="173">
                  <c:v>44445</c:v>
                </c:pt>
                <c:pt idx="174">
                  <c:v>44446</c:v>
                </c:pt>
                <c:pt idx="175">
                  <c:v>44447</c:v>
                </c:pt>
                <c:pt idx="176">
                  <c:v>44448</c:v>
                </c:pt>
                <c:pt idx="177">
                  <c:v>44449</c:v>
                </c:pt>
                <c:pt idx="178">
                  <c:v>44452</c:v>
                </c:pt>
                <c:pt idx="179">
                  <c:v>44453</c:v>
                </c:pt>
                <c:pt idx="180">
                  <c:v>44454</c:v>
                </c:pt>
                <c:pt idx="181">
                  <c:v>44455</c:v>
                </c:pt>
                <c:pt idx="182">
                  <c:v>44456</c:v>
                </c:pt>
                <c:pt idx="183">
                  <c:v>44459</c:v>
                </c:pt>
                <c:pt idx="184">
                  <c:v>44460</c:v>
                </c:pt>
                <c:pt idx="185">
                  <c:v>44461</c:v>
                </c:pt>
                <c:pt idx="186">
                  <c:v>44462</c:v>
                </c:pt>
                <c:pt idx="187">
                  <c:v>44463</c:v>
                </c:pt>
                <c:pt idx="188">
                  <c:v>44466</c:v>
                </c:pt>
                <c:pt idx="189">
                  <c:v>44467</c:v>
                </c:pt>
                <c:pt idx="190">
                  <c:v>44468</c:v>
                </c:pt>
                <c:pt idx="191">
                  <c:v>44469</c:v>
                </c:pt>
                <c:pt idx="192">
                  <c:v>44470</c:v>
                </c:pt>
                <c:pt idx="193">
                  <c:v>44473</c:v>
                </c:pt>
                <c:pt idx="194">
                  <c:v>44474</c:v>
                </c:pt>
                <c:pt idx="195">
                  <c:v>44475</c:v>
                </c:pt>
                <c:pt idx="196">
                  <c:v>44476</c:v>
                </c:pt>
                <c:pt idx="197">
                  <c:v>44477</c:v>
                </c:pt>
                <c:pt idx="198">
                  <c:v>44480</c:v>
                </c:pt>
                <c:pt idx="199">
                  <c:v>44481</c:v>
                </c:pt>
                <c:pt idx="200">
                  <c:v>44482</c:v>
                </c:pt>
                <c:pt idx="201">
                  <c:v>44483</c:v>
                </c:pt>
                <c:pt idx="202">
                  <c:v>44484</c:v>
                </c:pt>
                <c:pt idx="203">
                  <c:v>44487</c:v>
                </c:pt>
                <c:pt idx="204">
                  <c:v>44488</c:v>
                </c:pt>
                <c:pt idx="205">
                  <c:v>44489</c:v>
                </c:pt>
                <c:pt idx="206">
                  <c:v>44490</c:v>
                </c:pt>
                <c:pt idx="207">
                  <c:v>44491</c:v>
                </c:pt>
                <c:pt idx="208">
                  <c:v>44494</c:v>
                </c:pt>
                <c:pt idx="209">
                  <c:v>44495</c:v>
                </c:pt>
                <c:pt idx="210">
                  <c:v>44496</c:v>
                </c:pt>
                <c:pt idx="211">
                  <c:v>44497</c:v>
                </c:pt>
                <c:pt idx="212">
                  <c:v>44498</c:v>
                </c:pt>
                <c:pt idx="213">
                  <c:v>44501</c:v>
                </c:pt>
                <c:pt idx="214">
                  <c:v>44502</c:v>
                </c:pt>
                <c:pt idx="215">
                  <c:v>44503</c:v>
                </c:pt>
                <c:pt idx="216">
                  <c:v>44504</c:v>
                </c:pt>
                <c:pt idx="217">
                  <c:v>44505</c:v>
                </c:pt>
                <c:pt idx="218">
                  <c:v>44508</c:v>
                </c:pt>
                <c:pt idx="219">
                  <c:v>44509</c:v>
                </c:pt>
                <c:pt idx="220">
                  <c:v>44510</c:v>
                </c:pt>
                <c:pt idx="221">
                  <c:v>44511</c:v>
                </c:pt>
                <c:pt idx="222">
                  <c:v>44512</c:v>
                </c:pt>
                <c:pt idx="223">
                  <c:v>44515</c:v>
                </c:pt>
                <c:pt idx="224">
                  <c:v>44516</c:v>
                </c:pt>
                <c:pt idx="225">
                  <c:v>44517</c:v>
                </c:pt>
                <c:pt idx="226">
                  <c:v>44518</c:v>
                </c:pt>
                <c:pt idx="227">
                  <c:v>44519</c:v>
                </c:pt>
                <c:pt idx="228">
                  <c:v>44522</c:v>
                </c:pt>
                <c:pt idx="229">
                  <c:v>44523</c:v>
                </c:pt>
                <c:pt idx="230">
                  <c:v>44524</c:v>
                </c:pt>
                <c:pt idx="231">
                  <c:v>44525</c:v>
                </c:pt>
                <c:pt idx="232">
                  <c:v>44526</c:v>
                </c:pt>
                <c:pt idx="233">
                  <c:v>44529</c:v>
                </c:pt>
                <c:pt idx="234">
                  <c:v>44530</c:v>
                </c:pt>
                <c:pt idx="235">
                  <c:v>44531</c:v>
                </c:pt>
                <c:pt idx="236">
                  <c:v>44532</c:v>
                </c:pt>
                <c:pt idx="237">
                  <c:v>44533</c:v>
                </c:pt>
                <c:pt idx="238">
                  <c:v>44536</c:v>
                </c:pt>
                <c:pt idx="239">
                  <c:v>44537</c:v>
                </c:pt>
                <c:pt idx="240">
                  <c:v>44538</c:v>
                </c:pt>
                <c:pt idx="241">
                  <c:v>44539</c:v>
                </c:pt>
                <c:pt idx="242">
                  <c:v>44540</c:v>
                </c:pt>
                <c:pt idx="243">
                  <c:v>44543</c:v>
                </c:pt>
                <c:pt idx="244">
                  <c:v>44544</c:v>
                </c:pt>
                <c:pt idx="245">
                  <c:v>44545</c:v>
                </c:pt>
                <c:pt idx="246">
                  <c:v>44546</c:v>
                </c:pt>
                <c:pt idx="247">
                  <c:v>44547</c:v>
                </c:pt>
                <c:pt idx="248">
                  <c:v>44550</c:v>
                </c:pt>
                <c:pt idx="249">
                  <c:v>44551</c:v>
                </c:pt>
                <c:pt idx="250">
                  <c:v>44552</c:v>
                </c:pt>
                <c:pt idx="251">
                  <c:v>44553</c:v>
                </c:pt>
                <c:pt idx="252">
                  <c:v>44554</c:v>
                </c:pt>
                <c:pt idx="253">
                  <c:v>44557</c:v>
                </c:pt>
                <c:pt idx="254">
                  <c:v>44559</c:v>
                </c:pt>
                <c:pt idx="255">
                  <c:v>44560</c:v>
                </c:pt>
                <c:pt idx="256">
                  <c:v>44561</c:v>
                </c:pt>
                <c:pt idx="257">
                  <c:v>44564</c:v>
                </c:pt>
                <c:pt idx="258">
                  <c:v>44565</c:v>
                </c:pt>
                <c:pt idx="259">
                  <c:v>44566</c:v>
                </c:pt>
                <c:pt idx="260">
                  <c:v>44567</c:v>
                </c:pt>
                <c:pt idx="261">
                  <c:v>44568</c:v>
                </c:pt>
                <c:pt idx="262">
                  <c:v>44571</c:v>
                </c:pt>
                <c:pt idx="263">
                  <c:v>44572</c:v>
                </c:pt>
                <c:pt idx="264">
                  <c:v>44573</c:v>
                </c:pt>
                <c:pt idx="265">
                  <c:v>44574</c:v>
                </c:pt>
                <c:pt idx="266">
                  <c:v>44575</c:v>
                </c:pt>
                <c:pt idx="267">
                  <c:v>44578</c:v>
                </c:pt>
                <c:pt idx="268">
                  <c:v>44579</c:v>
                </c:pt>
                <c:pt idx="269">
                  <c:v>44580</c:v>
                </c:pt>
                <c:pt idx="270">
                  <c:v>44581</c:v>
                </c:pt>
                <c:pt idx="271">
                  <c:v>44582</c:v>
                </c:pt>
                <c:pt idx="272">
                  <c:v>44585</c:v>
                </c:pt>
                <c:pt idx="273">
                  <c:v>44586</c:v>
                </c:pt>
                <c:pt idx="274">
                  <c:v>44587</c:v>
                </c:pt>
                <c:pt idx="275">
                  <c:v>44588</c:v>
                </c:pt>
                <c:pt idx="276">
                  <c:v>44589</c:v>
                </c:pt>
                <c:pt idx="277">
                  <c:v>44592</c:v>
                </c:pt>
                <c:pt idx="278">
                  <c:v>44593</c:v>
                </c:pt>
                <c:pt idx="279">
                  <c:v>44594</c:v>
                </c:pt>
                <c:pt idx="280">
                  <c:v>44595</c:v>
                </c:pt>
                <c:pt idx="281">
                  <c:v>44596</c:v>
                </c:pt>
                <c:pt idx="282">
                  <c:v>44599</c:v>
                </c:pt>
                <c:pt idx="283">
                  <c:v>44600</c:v>
                </c:pt>
                <c:pt idx="284">
                  <c:v>44601</c:v>
                </c:pt>
                <c:pt idx="285">
                  <c:v>44602</c:v>
                </c:pt>
                <c:pt idx="286">
                  <c:v>44603</c:v>
                </c:pt>
                <c:pt idx="287">
                  <c:v>44606</c:v>
                </c:pt>
                <c:pt idx="288">
                  <c:v>44607</c:v>
                </c:pt>
                <c:pt idx="289">
                  <c:v>44608</c:v>
                </c:pt>
                <c:pt idx="290">
                  <c:v>44609</c:v>
                </c:pt>
                <c:pt idx="291">
                  <c:v>44610</c:v>
                </c:pt>
                <c:pt idx="292">
                  <c:v>44613</c:v>
                </c:pt>
                <c:pt idx="293">
                  <c:v>44614</c:v>
                </c:pt>
                <c:pt idx="294">
                  <c:v>44615</c:v>
                </c:pt>
                <c:pt idx="295">
                  <c:v>44616</c:v>
                </c:pt>
                <c:pt idx="296">
                  <c:v>44617</c:v>
                </c:pt>
                <c:pt idx="297">
                  <c:v>44620</c:v>
                </c:pt>
                <c:pt idx="298">
                  <c:v>44621</c:v>
                </c:pt>
                <c:pt idx="299">
                  <c:v>44622</c:v>
                </c:pt>
                <c:pt idx="300">
                  <c:v>44623</c:v>
                </c:pt>
                <c:pt idx="301">
                  <c:v>44624</c:v>
                </c:pt>
                <c:pt idx="302">
                  <c:v>44627</c:v>
                </c:pt>
                <c:pt idx="303">
                  <c:v>44628</c:v>
                </c:pt>
                <c:pt idx="304">
                  <c:v>44629</c:v>
                </c:pt>
                <c:pt idx="305">
                  <c:v>44630</c:v>
                </c:pt>
                <c:pt idx="306">
                  <c:v>44631</c:v>
                </c:pt>
                <c:pt idx="307">
                  <c:v>44634</c:v>
                </c:pt>
                <c:pt idx="308">
                  <c:v>44635</c:v>
                </c:pt>
                <c:pt idx="309">
                  <c:v>44636</c:v>
                </c:pt>
                <c:pt idx="310">
                  <c:v>44637</c:v>
                </c:pt>
                <c:pt idx="311">
                  <c:v>44638</c:v>
                </c:pt>
                <c:pt idx="312">
                  <c:v>44641</c:v>
                </c:pt>
                <c:pt idx="313">
                  <c:v>44642</c:v>
                </c:pt>
                <c:pt idx="314">
                  <c:v>44643</c:v>
                </c:pt>
                <c:pt idx="315">
                  <c:v>44644</c:v>
                </c:pt>
                <c:pt idx="316">
                  <c:v>44645</c:v>
                </c:pt>
                <c:pt idx="317">
                  <c:v>44648</c:v>
                </c:pt>
                <c:pt idx="318">
                  <c:v>44649</c:v>
                </c:pt>
                <c:pt idx="319">
                  <c:v>44650</c:v>
                </c:pt>
                <c:pt idx="320">
                  <c:v>44651</c:v>
                </c:pt>
                <c:pt idx="321">
                  <c:v>44652</c:v>
                </c:pt>
                <c:pt idx="322">
                  <c:v>44655</c:v>
                </c:pt>
                <c:pt idx="323">
                  <c:v>44656</c:v>
                </c:pt>
                <c:pt idx="324">
                  <c:v>44657</c:v>
                </c:pt>
                <c:pt idx="325">
                  <c:v>44658</c:v>
                </c:pt>
                <c:pt idx="326">
                  <c:v>44659</c:v>
                </c:pt>
                <c:pt idx="327">
                  <c:v>44662</c:v>
                </c:pt>
                <c:pt idx="328">
                  <c:v>44663</c:v>
                </c:pt>
                <c:pt idx="329">
                  <c:v>44664</c:v>
                </c:pt>
                <c:pt idx="330">
                  <c:v>44665</c:v>
                </c:pt>
                <c:pt idx="331">
                  <c:v>44670</c:v>
                </c:pt>
                <c:pt idx="332">
                  <c:v>44671</c:v>
                </c:pt>
                <c:pt idx="333">
                  <c:v>44672</c:v>
                </c:pt>
                <c:pt idx="334">
                  <c:v>44673</c:v>
                </c:pt>
                <c:pt idx="335">
                  <c:v>44676</c:v>
                </c:pt>
                <c:pt idx="336">
                  <c:v>44677</c:v>
                </c:pt>
                <c:pt idx="337">
                  <c:v>44678</c:v>
                </c:pt>
                <c:pt idx="338">
                  <c:v>44679</c:v>
                </c:pt>
                <c:pt idx="339">
                  <c:v>44680</c:v>
                </c:pt>
                <c:pt idx="340">
                  <c:v>44683</c:v>
                </c:pt>
                <c:pt idx="341">
                  <c:v>44684</c:v>
                </c:pt>
                <c:pt idx="342">
                  <c:v>44685</c:v>
                </c:pt>
                <c:pt idx="343">
                  <c:v>44686</c:v>
                </c:pt>
                <c:pt idx="344">
                  <c:v>44687</c:v>
                </c:pt>
                <c:pt idx="345">
                  <c:v>44690</c:v>
                </c:pt>
                <c:pt idx="346">
                  <c:v>44691</c:v>
                </c:pt>
                <c:pt idx="347">
                  <c:v>44692</c:v>
                </c:pt>
                <c:pt idx="348">
                  <c:v>44693</c:v>
                </c:pt>
                <c:pt idx="349">
                  <c:v>44694</c:v>
                </c:pt>
                <c:pt idx="350">
                  <c:v>44697</c:v>
                </c:pt>
                <c:pt idx="351">
                  <c:v>44698</c:v>
                </c:pt>
                <c:pt idx="352">
                  <c:v>44699</c:v>
                </c:pt>
                <c:pt idx="353">
                  <c:v>44700</c:v>
                </c:pt>
                <c:pt idx="354">
                  <c:v>44701</c:v>
                </c:pt>
                <c:pt idx="355">
                  <c:v>44704</c:v>
                </c:pt>
                <c:pt idx="356">
                  <c:v>44705</c:v>
                </c:pt>
                <c:pt idx="357">
                  <c:v>44706</c:v>
                </c:pt>
                <c:pt idx="358">
                  <c:v>44707</c:v>
                </c:pt>
                <c:pt idx="359">
                  <c:v>44708</c:v>
                </c:pt>
                <c:pt idx="360">
                  <c:v>44711</c:v>
                </c:pt>
                <c:pt idx="361">
                  <c:v>44712</c:v>
                </c:pt>
                <c:pt idx="362">
                  <c:v>44713</c:v>
                </c:pt>
                <c:pt idx="363">
                  <c:v>44715</c:v>
                </c:pt>
                <c:pt idx="364">
                  <c:v>44718</c:v>
                </c:pt>
                <c:pt idx="365">
                  <c:v>44719</c:v>
                </c:pt>
                <c:pt idx="366">
                  <c:v>44720</c:v>
                </c:pt>
                <c:pt idx="367">
                  <c:v>44721</c:v>
                </c:pt>
                <c:pt idx="368">
                  <c:v>44722</c:v>
                </c:pt>
                <c:pt idx="369">
                  <c:v>44725</c:v>
                </c:pt>
                <c:pt idx="370">
                  <c:v>44726</c:v>
                </c:pt>
                <c:pt idx="371">
                  <c:v>44727</c:v>
                </c:pt>
                <c:pt idx="372">
                  <c:v>44728</c:v>
                </c:pt>
                <c:pt idx="373">
                  <c:v>44729</c:v>
                </c:pt>
                <c:pt idx="374">
                  <c:v>44732</c:v>
                </c:pt>
                <c:pt idx="375">
                  <c:v>44733</c:v>
                </c:pt>
                <c:pt idx="376">
                  <c:v>44734</c:v>
                </c:pt>
                <c:pt idx="377">
                  <c:v>44735</c:v>
                </c:pt>
                <c:pt idx="378">
                  <c:v>44736</c:v>
                </c:pt>
                <c:pt idx="379">
                  <c:v>44739</c:v>
                </c:pt>
                <c:pt idx="380">
                  <c:v>44740</c:v>
                </c:pt>
                <c:pt idx="381">
                  <c:v>44741</c:v>
                </c:pt>
                <c:pt idx="382">
                  <c:v>44742</c:v>
                </c:pt>
                <c:pt idx="383">
                  <c:v>44743</c:v>
                </c:pt>
                <c:pt idx="384">
                  <c:v>44746</c:v>
                </c:pt>
                <c:pt idx="385">
                  <c:v>44747</c:v>
                </c:pt>
                <c:pt idx="386">
                  <c:v>44748</c:v>
                </c:pt>
                <c:pt idx="387">
                  <c:v>44749</c:v>
                </c:pt>
                <c:pt idx="388">
                  <c:v>44750</c:v>
                </c:pt>
                <c:pt idx="389">
                  <c:v>44753</c:v>
                </c:pt>
                <c:pt idx="390">
                  <c:v>44754</c:v>
                </c:pt>
                <c:pt idx="391">
                  <c:v>44755</c:v>
                </c:pt>
                <c:pt idx="392">
                  <c:v>44756</c:v>
                </c:pt>
                <c:pt idx="393">
                  <c:v>44757</c:v>
                </c:pt>
                <c:pt idx="394">
                  <c:v>44758</c:v>
                </c:pt>
                <c:pt idx="395">
                  <c:v>44759</c:v>
                </c:pt>
                <c:pt idx="396">
                  <c:v>44760</c:v>
                </c:pt>
                <c:pt idx="397">
                  <c:v>44761</c:v>
                </c:pt>
                <c:pt idx="398">
                  <c:v>44762</c:v>
                </c:pt>
                <c:pt idx="399">
                  <c:v>44763</c:v>
                </c:pt>
                <c:pt idx="400">
                  <c:v>44764</c:v>
                </c:pt>
                <c:pt idx="401">
                  <c:v>44765</c:v>
                </c:pt>
                <c:pt idx="402">
                  <c:v>44766</c:v>
                </c:pt>
                <c:pt idx="403">
                  <c:v>44767</c:v>
                </c:pt>
                <c:pt idx="404">
                  <c:v>44768</c:v>
                </c:pt>
                <c:pt idx="405">
                  <c:v>44769</c:v>
                </c:pt>
                <c:pt idx="406">
                  <c:v>44770</c:v>
                </c:pt>
                <c:pt idx="407">
                  <c:v>44771</c:v>
                </c:pt>
                <c:pt idx="408">
                  <c:v>44772</c:v>
                </c:pt>
                <c:pt idx="409">
                  <c:v>44773</c:v>
                </c:pt>
                <c:pt idx="410">
                  <c:v>44774</c:v>
                </c:pt>
                <c:pt idx="411">
                  <c:v>44775</c:v>
                </c:pt>
                <c:pt idx="412">
                  <c:v>44776</c:v>
                </c:pt>
                <c:pt idx="413">
                  <c:v>44777</c:v>
                </c:pt>
                <c:pt idx="414">
                  <c:v>44778</c:v>
                </c:pt>
                <c:pt idx="415">
                  <c:v>44779</c:v>
                </c:pt>
                <c:pt idx="416">
                  <c:v>44780</c:v>
                </c:pt>
                <c:pt idx="417">
                  <c:v>44781</c:v>
                </c:pt>
                <c:pt idx="418">
                  <c:v>44782</c:v>
                </c:pt>
                <c:pt idx="419">
                  <c:v>44783</c:v>
                </c:pt>
                <c:pt idx="420">
                  <c:v>44784</c:v>
                </c:pt>
                <c:pt idx="421">
                  <c:v>44785</c:v>
                </c:pt>
                <c:pt idx="422">
                  <c:v>44786</c:v>
                </c:pt>
                <c:pt idx="423">
                  <c:v>44787</c:v>
                </c:pt>
                <c:pt idx="424">
                  <c:v>44788</c:v>
                </c:pt>
                <c:pt idx="425">
                  <c:v>44789</c:v>
                </c:pt>
                <c:pt idx="426">
                  <c:v>44790</c:v>
                </c:pt>
                <c:pt idx="427">
                  <c:v>44791</c:v>
                </c:pt>
                <c:pt idx="428">
                  <c:v>44792</c:v>
                </c:pt>
                <c:pt idx="429">
                  <c:v>44793</c:v>
                </c:pt>
                <c:pt idx="430">
                  <c:v>44794</c:v>
                </c:pt>
                <c:pt idx="431">
                  <c:v>44795</c:v>
                </c:pt>
                <c:pt idx="432">
                  <c:v>44796</c:v>
                </c:pt>
                <c:pt idx="433">
                  <c:v>44797</c:v>
                </c:pt>
                <c:pt idx="434">
                  <c:v>44798</c:v>
                </c:pt>
                <c:pt idx="435">
                  <c:v>44799</c:v>
                </c:pt>
                <c:pt idx="436">
                  <c:v>44800</c:v>
                </c:pt>
                <c:pt idx="437">
                  <c:v>44801</c:v>
                </c:pt>
                <c:pt idx="438">
                  <c:v>44802</c:v>
                </c:pt>
                <c:pt idx="439">
                  <c:v>44803</c:v>
                </c:pt>
                <c:pt idx="440">
                  <c:v>44804</c:v>
                </c:pt>
                <c:pt idx="441">
                  <c:v>44805</c:v>
                </c:pt>
                <c:pt idx="442">
                  <c:v>44806</c:v>
                </c:pt>
                <c:pt idx="443">
                  <c:v>44807</c:v>
                </c:pt>
                <c:pt idx="444">
                  <c:v>44808</c:v>
                </c:pt>
                <c:pt idx="445">
                  <c:v>44809</c:v>
                </c:pt>
                <c:pt idx="446">
                  <c:v>44810</c:v>
                </c:pt>
                <c:pt idx="447">
                  <c:v>44811</c:v>
                </c:pt>
                <c:pt idx="448">
                  <c:v>44812</c:v>
                </c:pt>
                <c:pt idx="449">
                  <c:v>44813</c:v>
                </c:pt>
                <c:pt idx="450">
                  <c:v>44814</c:v>
                </c:pt>
                <c:pt idx="451">
                  <c:v>44815</c:v>
                </c:pt>
                <c:pt idx="452">
                  <c:v>44816</c:v>
                </c:pt>
                <c:pt idx="453">
                  <c:v>44817</c:v>
                </c:pt>
                <c:pt idx="454">
                  <c:v>44818</c:v>
                </c:pt>
                <c:pt idx="455">
                  <c:v>44819</c:v>
                </c:pt>
                <c:pt idx="456">
                  <c:v>44820</c:v>
                </c:pt>
                <c:pt idx="457">
                  <c:v>44821</c:v>
                </c:pt>
                <c:pt idx="458">
                  <c:v>44822</c:v>
                </c:pt>
                <c:pt idx="459">
                  <c:v>44823</c:v>
                </c:pt>
                <c:pt idx="460">
                  <c:v>44824</c:v>
                </c:pt>
                <c:pt idx="461">
                  <c:v>44825</c:v>
                </c:pt>
                <c:pt idx="462">
                  <c:v>44826</c:v>
                </c:pt>
                <c:pt idx="463">
                  <c:v>44827</c:v>
                </c:pt>
                <c:pt idx="464">
                  <c:v>44828</c:v>
                </c:pt>
                <c:pt idx="465">
                  <c:v>44829</c:v>
                </c:pt>
                <c:pt idx="466">
                  <c:v>44830</c:v>
                </c:pt>
                <c:pt idx="467">
                  <c:v>44831</c:v>
                </c:pt>
                <c:pt idx="468">
                  <c:v>44832</c:v>
                </c:pt>
                <c:pt idx="469">
                  <c:v>44833</c:v>
                </c:pt>
                <c:pt idx="470">
                  <c:v>44834</c:v>
                </c:pt>
                <c:pt idx="471">
                  <c:v>44835</c:v>
                </c:pt>
                <c:pt idx="472">
                  <c:v>44836</c:v>
                </c:pt>
                <c:pt idx="473">
                  <c:v>44837</c:v>
                </c:pt>
                <c:pt idx="474">
                  <c:v>44838</c:v>
                </c:pt>
                <c:pt idx="475">
                  <c:v>44839</c:v>
                </c:pt>
                <c:pt idx="476">
                  <c:v>44840</c:v>
                </c:pt>
                <c:pt idx="477">
                  <c:v>44841</c:v>
                </c:pt>
                <c:pt idx="478">
                  <c:v>44842</c:v>
                </c:pt>
                <c:pt idx="479">
                  <c:v>44843</c:v>
                </c:pt>
                <c:pt idx="480">
                  <c:v>44844</c:v>
                </c:pt>
                <c:pt idx="481">
                  <c:v>44845</c:v>
                </c:pt>
                <c:pt idx="482">
                  <c:v>44846</c:v>
                </c:pt>
                <c:pt idx="483">
                  <c:v>44847</c:v>
                </c:pt>
                <c:pt idx="484">
                  <c:v>44848</c:v>
                </c:pt>
                <c:pt idx="485">
                  <c:v>44849</c:v>
                </c:pt>
                <c:pt idx="486">
                  <c:v>44850</c:v>
                </c:pt>
                <c:pt idx="487">
                  <c:v>44851</c:v>
                </c:pt>
                <c:pt idx="488">
                  <c:v>44852</c:v>
                </c:pt>
                <c:pt idx="489">
                  <c:v>44853</c:v>
                </c:pt>
                <c:pt idx="490">
                  <c:v>44854</c:v>
                </c:pt>
                <c:pt idx="491">
                  <c:v>44855</c:v>
                </c:pt>
                <c:pt idx="492">
                  <c:v>44856</c:v>
                </c:pt>
                <c:pt idx="493">
                  <c:v>44857</c:v>
                </c:pt>
                <c:pt idx="494">
                  <c:v>44858</c:v>
                </c:pt>
                <c:pt idx="495">
                  <c:v>44859</c:v>
                </c:pt>
                <c:pt idx="496">
                  <c:v>44860</c:v>
                </c:pt>
                <c:pt idx="497">
                  <c:v>44861</c:v>
                </c:pt>
                <c:pt idx="498">
                  <c:v>44862</c:v>
                </c:pt>
                <c:pt idx="499">
                  <c:v>44863</c:v>
                </c:pt>
                <c:pt idx="500">
                  <c:v>44864</c:v>
                </c:pt>
                <c:pt idx="501">
                  <c:v>44865</c:v>
                </c:pt>
                <c:pt idx="502">
                  <c:v>44866</c:v>
                </c:pt>
                <c:pt idx="503">
                  <c:v>44867</c:v>
                </c:pt>
                <c:pt idx="504">
                  <c:v>44868</c:v>
                </c:pt>
                <c:pt idx="505">
                  <c:v>44869</c:v>
                </c:pt>
                <c:pt idx="506">
                  <c:v>44870</c:v>
                </c:pt>
                <c:pt idx="507">
                  <c:v>44871</c:v>
                </c:pt>
                <c:pt idx="508">
                  <c:v>44872</c:v>
                </c:pt>
                <c:pt idx="509">
                  <c:v>44873</c:v>
                </c:pt>
                <c:pt idx="510">
                  <c:v>44874</c:v>
                </c:pt>
                <c:pt idx="511">
                  <c:v>44875</c:v>
                </c:pt>
                <c:pt idx="512">
                  <c:v>44876</c:v>
                </c:pt>
                <c:pt idx="513">
                  <c:v>44877</c:v>
                </c:pt>
                <c:pt idx="514">
                  <c:v>44878</c:v>
                </c:pt>
                <c:pt idx="515">
                  <c:v>44879</c:v>
                </c:pt>
                <c:pt idx="516">
                  <c:v>44880</c:v>
                </c:pt>
                <c:pt idx="517">
                  <c:v>44881</c:v>
                </c:pt>
                <c:pt idx="518">
                  <c:v>44882</c:v>
                </c:pt>
                <c:pt idx="519">
                  <c:v>44883</c:v>
                </c:pt>
                <c:pt idx="520">
                  <c:v>44884</c:v>
                </c:pt>
                <c:pt idx="521">
                  <c:v>44885</c:v>
                </c:pt>
                <c:pt idx="522">
                  <c:v>44886</c:v>
                </c:pt>
                <c:pt idx="523">
                  <c:v>44887</c:v>
                </c:pt>
                <c:pt idx="524">
                  <c:v>44888</c:v>
                </c:pt>
                <c:pt idx="525">
                  <c:v>44889</c:v>
                </c:pt>
                <c:pt idx="526">
                  <c:v>44890</c:v>
                </c:pt>
                <c:pt idx="527">
                  <c:v>44891</c:v>
                </c:pt>
                <c:pt idx="528">
                  <c:v>44892</c:v>
                </c:pt>
                <c:pt idx="529">
                  <c:v>44893</c:v>
                </c:pt>
                <c:pt idx="530">
                  <c:v>44894</c:v>
                </c:pt>
                <c:pt idx="531">
                  <c:v>44895</c:v>
                </c:pt>
                <c:pt idx="532">
                  <c:v>44896</c:v>
                </c:pt>
                <c:pt idx="533">
                  <c:v>44897</c:v>
                </c:pt>
                <c:pt idx="534">
                  <c:v>44898</c:v>
                </c:pt>
                <c:pt idx="535">
                  <c:v>44899</c:v>
                </c:pt>
                <c:pt idx="536">
                  <c:v>44900</c:v>
                </c:pt>
                <c:pt idx="537">
                  <c:v>44901</c:v>
                </c:pt>
                <c:pt idx="538">
                  <c:v>44902</c:v>
                </c:pt>
                <c:pt idx="539">
                  <c:v>44903</c:v>
                </c:pt>
                <c:pt idx="540">
                  <c:v>44904</c:v>
                </c:pt>
                <c:pt idx="541">
                  <c:v>44905</c:v>
                </c:pt>
                <c:pt idx="542">
                  <c:v>44906</c:v>
                </c:pt>
                <c:pt idx="543">
                  <c:v>44907</c:v>
                </c:pt>
                <c:pt idx="544">
                  <c:v>44908</c:v>
                </c:pt>
                <c:pt idx="545">
                  <c:v>44909</c:v>
                </c:pt>
                <c:pt idx="546">
                  <c:v>44910</c:v>
                </c:pt>
                <c:pt idx="547">
                  <c:v>44911</c:v>
                </c:pt>
                <c:pt idx="548">
                  <c:v>44912</c:v>
                </c:pt>
                <c:pt idx="549">
                  <c:v>44913</c:v>
                </c:pt>
                <c:pt idx="550">
                  <c:v>44914</c:v>
                </c:pt>
                <c:pt idx="551">
                  <c:v>44915</c:v>
                </c:pt>
                <c:pt idx="552">
                  <c:v>44916</c:v>
                </c:pt>
                <c:pt idx="553">
                  <c:v>44917</c:v>
                </c:pt>
                <c:pt idx="554">
                  <c:v>44918</c:v>
                </c:pt>
                <c:pt idx="555">
                  <c:v>44919</c:v>
                </c:pt>
                <c:pt idx="556">
                  <c:v>44920</c:v>
                </c:pt>
                <c:pt idx="557">
                  <c:v>44921</c:v>
                </c:pt>
                <c:pt idx="558">
                  <c:v>44922</c:v>
                </c:pt>
                <c:pt idx="559">
                  <c:v>44923</c:v>
                </c:pt>
                <c:pt idx="560">
                  <c:v>44924</c:v>
                </c:pt>
                <c:pt idx="561">
                  <c:v>44925</c:v>
                </c:pt>
                <c:pt idx="562">
                  <c:v>44926</c:v>
                </c:pt>
                <c:pt idx="563">
                  <c:v>44927</c:v>
                </c:pt>
                <c:pt idx="564">
                  <c:v>44928</c:v>
                </c:pt>
                <c:pt idx="565">
                  <c:v>44929</c:v>
                </c:pt>
                <c:pt idx="566">
                  <c:v>44930</c:v>
                </c:pt>
                <c:pt idx="567">
                  <c:v>44931</c:v>
                </c:pt>
                <c:pt idx="568">
                  <c:v>44932</c:v>
                </c:pt>
                <c:pt idx="569">
                  <c:v>44933</c:v>
                </c:pt>
                <c:pt idx="570">
                  <c:v>44934</c:v>
                </c:pt>
                <c:pt idx="571">
                  <c:v>44935</c:v>
                </c:pt>
                <c:pt idx="572">
                  <c:v>44936</c:v>
                </c:pt>
                <c:pt idx="573">
                  <c:v>44937</c:v>
                </c:pt>
                <c:pt idx="574">
                  <c:v>44938</c:v>
                </c:pt>
                <c:pt idx="575">
                  <c:v>44939</c:v>
                </c:pt>
                <c:pt idx="576">
                  <c:v>44940</c:v>
                </c:pt>
                <c:pt idx="577">
                  <c:v>44941</c:v>
                </c:pt>
                <c:pt idx="578">
                  <c:v>44942</c:v>
                </c:pt>
                <c:pt idx="579">
                  <c:v>44943</c:v>
                </c:pt>
                <c:pt idx="580">
                  <c:v>44944</c:v>
                </c:pt>
                <c:pt idx="581">
                  <c:v>44945</c:v>
                </c:pt>
                <c:pt idx="582">
                  <c:v>44946</c:v>
                </c:pt>
                <c:pt idx="583">
                  <c:v>44947</c:v>
                </c:pt>
                <c:pt idx="584">
                  <c:v>44948</c:v>
                </c:pt>
                <c:pt idx="585">
                  <c:v>44949</c:v>
                </c:pt>
                <c:pt idx="586">
                  <c:v>44950</c:v>
                </c:pt>
                <c:pt idx="587">
                  <c:v>44951</c:v>
                </c:pt>
                <c:pt idx="588">
                  <c:v>44952</c:v>
                </c:pt>
                <c:pt idx="589">
                  <c:v>44953</c:v>
                </c:pt>
                <c:pt idx="590">
                  <c:v>44954</c:v>
                </c:pt>
                <c:pt idx="591">
                  <c:v>44955</c:v>
                </c:pt>
                <c:pt idx="592">
                  <c:v>44956</c:v>
                </c:pt>
                <c:pt idx="593">
                  <c:v>44957</c:v>
                </c:pt>
                <c:pt idx="594">
                  <c:v>44958</c:v>
                </c:pt>
                <c:pt idx="595">
                  <c:v>44959</c:v>
                </c:pt>
                <c:pt idx="596">
                  <c:v>44960</c:v>
                </c:pt>
                <c:pt idx="597">
                  <c:v>44961</c:v>
                </c:pt>
                <c:pt idx="598">
                  <c:v>44962</c:v>
                </c:pt>
                <c:pt idx="599">
                  <c:v>44963</c:v>
                </c:pt>
                <c:pt idx="600">
                  <c:v>44964</c:v>
                </c:pt>
                <c:pt idx="601">
                  <c:v>44965</c:v>
                </c:pt>
                <c:pt idx="602">
                  <c:v>44966</c:v>
                </c:pt>
                <c:pt idx="603">
                  <c:v>44967</c:v>
                </c:pt>
                <c:pt idx="604">
                  <c:v>44968</c:v>
                </c:pt>
                <c:pt idx="605">
                  <c:v>44969</c:v>
                </c:pt>
                <c:pt idx="606">
                  <c:v>44970</c:v>
                </c:pt>
                <c:pt idx="607">
                  <c:v>44971</c:v>
                </c:pt>
                <c:pt idx="608">
                  <c:v>44972</c:v>
                </c:pt>
                <c:pt idx="609">
                  <c:v>44973</c:v>
                </c:pt>
                <c:pt idx="610">
                  <c:v>44974</c:v>
                </c:pt>
                <c:pt idx="611">
                  <c:v>44975</c:v>
                </c:pt>
                <c:pt idx="612">
                  <c:v>44976</c:v>
                </c:pt>
                <c:pt idx="613">
                  <c:v>44977</c:v>
                </c:pt>
                <c:pt idx="614">
                  <c:v>44978</c:v>
                </c:pt>
                <c:pt idx="615">
                  <c:v>44979</c:v>
                </c:pt>
                <c:pt idx="616">
                  <c:v>44980</c:v>
                </c:pt>
                <c:pt idx="617">
                  <c:v>44981</c:v>
                </c:pt>
                <c:pt idx="618">
                  <c:v>44982</c:v>
                </c:pt>
                <c:pt idx="619">
                  <c:v>44983</c:v>
                </c:pt>
                <c:pt idx="620">
                  <c:v>44984</c:v>
                </c:pt>
                <c:pt idx="621">
                  <c:v>44985</c:v>
                </c:pt>
                <c:pt idx="622">
                  <c:v>44986</c:v>
                </c:pt>
                <c:pt idx="623">
                  <c:v>44987</c:v>
                </c:pt>
                <c:pt idx="624">
                  <c:v>44988</c:v>
                </c:pt>
                <c:pt idx="625">
                  <c:v>44989</c:v>
                </c:pt>
                <c:pt idx="626">
                  <c:v>44990</c:v>
                </c:pt>
                <c:pt idx="627">
                  <c:v>44991</c:v>
                </c:pt>
                <c:pt idx="628">
                  <c:v>44992</c:v>
                </c:pt>
                <c:pt idx="629">
                  <c:v>44993</c:v>
                </c:pt>
                <c:pt idx="630">
                  <c:v>44994</c:v>
                </c:pt>
                <c:pt idx="631">
                  <c:v>44995</c:v>
                </c:pt>
                <c:pt idx="632">
                  <c:v>44996</c:v>
                </c:pt>
                <c:pt idx="633">
                  <c:v>44997</c:v>
                </c:pt>
                <c:pt idx="634">
                  <c:v>44998</c:v>
                </c:pt>
                <c:pt idx="635">
                  <c:v>44999</c:v>
                </c:pt>
                <c:pt idx="636">
                  <c:v>45000</c:v>
                </c:pt>
                <c:pt idx="637">
                  <c:v>45001</c:v>
                </c:pt>
                <c:pt idx="638">
                  <c:v>45002</c:v>
                </c:pt>
                <c:pt idx="639">
                  <c:v>45003</c:v>
                </c:pt>
                <c:pt idx="640">
                  <c:v>45004</c:v>
                </c:pt>
                <c:pt idx="641">
                  <c:v>45005</c:v>
                </c:pt>
                <c:pt idx="642">
                  <c:v>45006</c:v>
                </c:pt>
                <c:pt idx="643">
                  <c:v>45007</c:v>
                </c:pt>
                <c:pt idx="644">
                  <c:v>45008</c:v>
                </c:pt>
                <c:pt idx="645">
                  <c:v>45009</c:v>
                </c:pt>
                <c:pt idx="646">
                  <c:v>45010</c:v>
                </c:pt>
                <c:pt idx="647">
                  <c:v>45011</c:v>
                </c:pt>
                <c:pt idx="648">
                  <c:v>45012</c:v>
                </c:pt>
                <c:pt idx="649">
                  <c:v>45013</c:v>
                </c:pt>
                <c:pt idx="650">
                  <c:v>45014</c:v>
                </c:pt>
                <c:pt idx="651">
                  <c:v>45015</c:v>
                </c:pt>
                <c:pt idx="652">
                  <c:v>45016</c:v>
                </c:pt>
                <c:pt idx="653">
                  <c:v>45017</c:v>
                </c:pt>
                <c:pt idx="654">
                  <c:v>45018</c:v>
                </c:pt>
                <c:pt idx="655">
                  <c:v>45019</c:v>
                </c:pt>
                <c:pt idx="656">
                  <c:v>45020</c:v>
                </c:pt>
                <c:pt idx="657">
                  <c:v>45021</c:v>
                </c:pt>
                <c:pt idx="658">
                  <c:v>45022</c:v>
                </c:pt>
                <c:pt idx="659">
                  <c:v>45023</c:v>
                </c:pt>
                <c:pt idx="660">
                  <c:v>45024</c:v>
                </c:pt>
                <c:pt idx="661">
                  <c:v>45025</c:v>
                </c:pt>
                <c:pt idx="662">
                  <c:v>45026</c:v>
                </c:pt>
                <c:pt idx="663">
                  <c:v>45027</c:v>
                </c:pt>
                <c:pt idx="664">
                  <c:v>45028</c:v>
                </c:pt>
                <c:pt idx="665">
                  <c:v>45029</c:v>
                </c:pt>
                <c:pt idx="666">
                  <c:v>45030</c:v>
                </c:pt>
                <c:pt idx="667">
                  <c:v>45031</c:v>
                </c:pt>
                <c:pt idx="668">
                  <c:v>45032</c:v>
                </c:pt>
                <c:pt idx="669">
                  <c:v>45033</c:v>
                </c:pt>
                <c:pt idx="670">
                  <c:v>45034</c:v>
                </c:pt>
                <c:pt idx="671">
                  <c:v>45035</c:v>
                </c:pt>
                <c:pt idx="672">
                  <c:v>45036</c:v>
                </c:pt>
                <c:pt idx="673">
                  <c:v>45037</c:v>
                </c:pt>
                <c:pt idx="674">
                  <c:v>45038</c:v>
                </c:pt>
                <c:pt idx="675">
                  <c:v>45039</c:v>
                </c:pt>
                <c:pt idx="676">
                  <c:v>45040</c:v>
                </c:pt>
                <c:pt idx="677">
                  <c:v>45041</c:v>
                </c:pt>
                <c:pt idx="678">
                  <c:v>45042</c:v>
                </c:pt>
                <c:pt idx="679">
                  <c:v>45043</c:v>
                </c:pt>
                <c:pt idx="680">
                  <c:v>45044</c:v>
                </c:pt>
                <c:pt idx="681">
                  <c:v>45045</c:v>
                </c:pt>
                <c:pt idx="682">
                  <c:v>45046</c:v>
                </c:pt>
                <c:pt idx="683">
                  <c:v>45047</c:v>
                </c:pt>
                <c:pt idx="684">
                  <c:v>45048</c:v>
                </c:pt>
                <c:pt idx="685">
                  <c:v>45049</c:v>
                </c:pt>
                <c:pt idx="686">
                  <c:v>45050</c:v>
                </c:pt>
                <c:pt idx="687">
                  <c:v>45051</c:v>
                </c:pt>
                <c:pt idx="688">
                  <c:v>45052</c:v>
                </c:pt>
                <c:pt idx="689">
                  <c:v>45053</c:v>
                </c:pt>
                <c:pt idx="690">
                  <c:v>45054</c:v>
                </c:pt>
                <c:pt idx="691">
                  <c:v>45055</c:v>
                </c:pt>
                <c:pt idx="692">
                  <c:v>45056</c:v>
                </c:pt>
                <c:pt idx="693">
                  <c:v>45057</c:v>
                </c:pt>
                <c:pt idx="694">
                  <c:v>45058</c:v>
                </c:pt>
                <c:pt idx="695">
                  <c:v>45059</c:v>
                </c:pt>
                <c:pt idx="696">
                  <c:v>45060</c:v>
                </c:pt>
                <c:pt idx="697">
                  <c:v>45061</c:v>
                </c:pt>
                <c:pt idx="698">
                  <c:v>45062</c:v>
                </c:pt>
                <c:pt idx="699">
                  <c:v>45063</c:v>
                </c:pt>
                <c:pt idx="700">
                  <c:v>45064</c:v>
                </c:pt>
                <c:pt idx="701">
                  <c:v>45065</c:v>
                </c:pt>
                <c:pt idx="702">
                  <c:v>45066</c:v>
                </c:pt>
                <c:pt idx="703">
                  <c:v>45067</c:v>
                </c:pt>
                <c:pt idx="704">
                  <c:v>45068</c:v>
                </c:pt>
                <c:pt idx="705">
                  <c:v>45069</c:v>
                </c:pt>
                <c:pt idx="706">
                  <c:v>45070</c:v>
                </c:pt>
                <c:pt idx="707">
                  <c:v>45071</c:v>
                </c:pt>
                <c:pt idx="708">
                  <c:v>45072</c:v>
                </c:pt>
                <c:pt idx="709">
                  <c:v>45073</c:v>
                </c:pt>
                <c:pt idx="710">
                  <c:v>45074</c:v>
                </c:pt>
                <c:pt idx="711">
                  <c:v>45075</c:v>
                </c:pt>
                <c:pt idx="712">
                  <c:v>45076</c:v>
                </c:pt>
                <c:pt idx="713">
                  <c:v>45077</c:v>
                </c:pt>
                <c:pt idx="714">
                  <c:v>45078</c:v>
                </c:pt>
                <c:pt idx="715">
                  <c:v>45079</c:v>
                </c:pt>
                <c:pt idx="716">
                  <c:v>45080</c:v>
                </c:pt>
                <c:pt idx="717">
                  <c:v>45081</c:v>
                </c:pt>
                <c:pt idx="718">
                  <c:v>45082</c:v>
                </c:pt>
                <c:pt idx="719">
                  <c:v>45083</c:v>
                </c:pt>
                <c:pt idx="720">
                  <c:v>45084</c:v>
                </c:pt>
                <c:pt idx="721">
                  <c:v>45085</c:v>
                </c:pt>
                <c:pt idx="722">
                  <c:v>45086</c:v>
                </c:pt>
                <c:pt idx="723">
                  <c:v>45087</c:v>
                </c:pt>
                <c:pt idx="724">
                  <c:v>45088</c:v>
                </c:pt>
                <c:pt idx="725">
                  <c:v>45089</c:v>
                </c:pt>
                <c:pt idx="726">
                  <c:v>45090</c:v>
                </c:pt>
                <c:pt idx="727">
                  <c:v>45091</c:v>
                </c:pt>
                <c:pt idx="728">
                  <c:v>45092</c:v>
                </c:pt>
                <c:pt idx="729">
                  <c:v>45093</c:v>
                </c:pt>
                <c:pt idx="730">
                  <c:v>45094</c:v>
                </c:pt>
                <c:pt idx="731">
                  <c:v>45095</c:v>
                </c:pt>
                <c:pt idx="732">
                  <c:v>45096</c:v>
                </c:pt>
                <c:pt idx="733">
                  <c:v>45097</c:v>
                </c:pt>
                <c:pt idx="734">
                  <c:v>45098</c:v>
                </c:pt>
                <c:pt idx="735">
                  <c:v>45099</c:v>
                </c:pt>
                <c:pt idx="736">
                  <c:v>45100</c:v>
                </c:pt>
                <c:pt idx="737">
                  <c:v>45101</c:v>
                </c:pt>
                <c:pt idx="738">
                  <c:v>45102</c:v>
                </c:pt>
                <c:pt idx="739">
                  <c:v>45103</c:v>
                </c:pt>
                <c:pt idx="740">
                  <c:v>45104</c:v>
                </c:pt>
                <c:pt idx="741">
                  <c:v>45105</c:v>
                </c:pt>
                <c:pt idx="742">
                  <c:v>45106</c:v>
                </c:pt>
                <c:pt idx="743">
                  <c:v>45107</c:v>
                </c:pt>
                <c:pt idx="744">
                  <c:v>45108</c:v>
                </c:pt>
                <c:pt idx="745">
                  <c:v>45109</c:v>
                </c:pt>
                <c:pt idx="746">
                  <c:v>45110</c:v>
                </c:pt>
                <c:pt idx="747">
                  <c:v>45111</c:v>
                </c:pt>
                <c:pt idx="748">
                  <c:v>45112</c:v>
                </c:pt>
                <c:pt idx="749">
                  <c:v>45113</c:v>
                </c:pt>
                <c:pt idx="750">
                  <c:v>45114</c:v>
                </c:pt>
                <c:pt idx="751">
                  <c:v>45115</c:v>
                </c:pt>
                <c:pt idx="752">
                  <c:v>45116</c:v>
                </c:pt>
                <c:pt idx="753">
                  <c:v>45117</c:v>
                </c:pt>
                <c:pt idx="754">
                  <c:v>45118</c:v>
                </c:pt>
                <c:pt idx="755">
                  <c:v>45119</c:v>
                </c:pt>
                <c:pt idx="756">
                  <c:v>45120</c:v>
                </c:pt>
                <c:pt idx="757">
                  <c:v>45121</c:v>
                </c:pt>
                <c:pt idx="758">
                  <c:v>45122</c:v>
                </c:pt>
                <c:pt idx="759">
                  <c:v>45123</c:v>
                </c:pt>
                <c:pt idx="760">
                  <c:v>45124</c:v>
                </c:pt>
                <c:pt idx="761">
                  <c:v>45125</c:v>
                </c:pt>
                <c:pt idx="762">
                  <c:v>45126</c:v>
                </c:pt>
                <c:pt idx="763">
                  <c:v>45127</c:v>
                </c:pt>
                <c:pt idx="764">
                  <c:v>45128</c:v>
                </c:pt>
                <c:pt idx="765">
                  <c:v>45129</c:v>
                </c:pt>
                <c:pt idx="766">
                  <c:v>45130</c:v>
                </c:pt>
                <c:pt idx="767">
                  <c:v>45131</c:v>
                </c:pt>
                <c:pt idx="768">
                  <c:v>45132</c:v>
                </c:pt>
                <c:pt idx="769">
                  <c:v>45133</c:v>
                </c:pt>
                <c:pt idx="770">
                  <c:v>45134</c:v>
                </c:pt>
                <c:pt idx="771">
                  <c:v>45135</c:v>
                </c:pt>
                <c:pt idx="772">
                  <c:v>45136</c:v>
                </c:pt>
                <c:pt idx="773">
                  <c:v>45137</c:v>
                </c:pt>
                <c:pt idx="774">
                  <c:v>45138</c:v>
                </c:pt>
                <c:pt idx="775">
                  <c:v>45139</c:v>
                </c:pt>
                <c:pt idx="776">
                  <c:v>45140</c:v>
                </c:pt>
                <c:pt idx="777">
                  <c:v>45141</c:v>
                </c:pt>
                <c:pt idx="778">
                  <c:v>45142</c:v>
                </c:pt>
                <c:pt idx="779">
                  <c:v>45143</c:v>
                </c:pt>
                <c:pt idx="780">
                  <c:v>45144</c:v>
                </c:pt>
                <c:pt idx="781">
                  <c:v>45145</c:v>
                </c:pt>
                <c:pt idx="782">
                  <c:v>45146</c:v>
                </c:pt>
                <c:pt idx="783">
                  <c:v>45147</c:v>
                </c:pt>
                <c:pt idx="784">
                  <c:v>45148</c:v>
                </c:pt>
                <c:pt idx="785">
                  <c:v>45149</c:v>
                </c:pt>
                <c:pt idx="786">
                  <c:v>45150</c:v>
                </c:pt>
                <c:pt idx="787">
                  <c:v>45151</c:v>
                </c:pt>
                <c:pt idx="788">
                  <c:v>45152</c:v>
                </c:pt>
                <c:pt idx="789">
                  <c:v>45153</c:v>
                </c:pt>
                <c:pt idx="790">
                  <c:v>45154</c:v>
                </c:pt>
                <c:pt idx="791">
                  <c:v>45155</c:v>
                </c:pt>
                <c:pt idx="792">
                  <c:v>45156</c:v>
                </c:pt>
                <c:pt idx="793">
                  <c:v>45157</c:v>
                </c:pt>
                <c:pt idx="794">
                  <c:v>45158</c:v>
                </c:pt>
                <c:pt idx="795">
                  <c:v>45159</c:v>
                </c:pt>
                <c:pt idx="796">
                  <c:v>45160</c:v>
                </c:pt>
                <c:pt idx="797">
                  <c:v>45161</c:v>
                </c:pt>
                <c:pt idx="798">
                  <c:v>45162</c:v>
                </c:pt>
                <c:pt idx="799">
                  <c:v>45163</c:v>
                </c:pt>
                <c:pt idx="800">
                  <c:v>45164</c:v>
                </c:pt>
                <c:pt idx="801">
                  <c:v>45165</c:v>
                </c:pt>
                <c:pt idx="802">
                  <c:v>45166</c:v>
                </c:pt>
                <c:pt idx="803">
                  <c:v>45167</c:v>
                </c:pt>
                <c:pt idx="804">
                  <c:v>45168</c:v>
                </c:pt>
                <c:pt idx="805">
                  <c:v>45169</c:v>
                </c:pt>
                <c:pt idx="806">
                  <c:v>45170</c:v>
                </c:pt>
                <c:pt idx="807">
                  <c:v>45171</c:v>
                </c:pt>
                <c:pt idx="808">
                  <c:v>45172</c:v>
                </c:pt>
                <c:pt idx="809">
                  <c:v>45173</c:v>
                </c:pt>
                <c:pt idx="810">
                  <c:v>45174</c:v>
                </c:pt>
                <c:pt idx="811">
                  <c:v>45175</c:v>
                </c:pt>
                <c:pt idx="812">
                  <c:v>45176</c:v>
                </c:pt>
                <c:pt idx="813">
                  <c:v>45177</c:v>
                </c:pt>
                <c:pt idx="814">
                  <c:v>45178</c:v>
                </c:pt>
                <c:pt idx="815">
                  <c:v>45179</c:v>
                </c:pt>
                <c:pt idx="816">
                  <c:v>45180</c:v>
                </c:pt>
                <c:pt idx="817">
                  <c:v>45181</c:v>
                </c:pt>
                <c:pt idx="818">
                  <c:v>45182</c:v>
                </c:pt>
                <c:pt idx="819">
                  <c:v>45183</c:v>
                </c:pt>
                <c:pt idx="820">
                  <c:v>45184</c:v>
                </c:pt>
                <c:pt idx="821">
                  <c:v>45185</c:v>
                </c:pt>
                <c:pt idx="822">
                  <c:v>45186</c:v>
                </c:pt>
                <c:pt idx="823">
                  <c:v>45187</c:v>
                </c:pt>
                <c:pt idx="824">
                  <c:v>45188</c:v>
                </c:pt>
                <c:pt idx="825">
                  <c:v>45189</c:v>
                </c:pt>
                <c:pt idx="826">
                  <c:v>45190</c:v>
                </c:pt>
                <c:pt idx="827">
                  <c:v>45191</c:v>
                </c:pt>
                <c:pt idx="828">
                  <c:v>45192</c:v>
                </c:pt>
                <c:pt idx="829">
                  <c:v>45193</c:v>
                </c:pt>
                <c:pt idx="830">
                  <c:v>45194</c:v>
                </c:pt>
                <c:pt idx="831">
                  <c:v>45195</c:v>
                </c:pt>
                <c:pt idx="832">
                  <c:v>45196</c:v>
                </c:pt>
                <c:pt idx="833">
                  <c:v>45197</c:v>
                </c:pt>
                <c:pt idx="834">
                  <c:v>45198</c:v>
                </c:pt>
                <c:pt idx="835">
                  <c:v>45199</c:v>
                </c:pt>
                <c:pt idx="836">
                  <c:v>45200</c:v>
                </c:pt>
                <c:pt idx="837">
                  <c:v>45201</c:v>
                </c:pt>
                <c:pt idx="838">
                  <c:v>45202</c:v>
                </c:pt>
                <c:pt idx="839">
                  <c:v>45203</c:v>
                </c:pt>
                <c:pt idx="840">
                  <c:v>45204</c:v>
                </c:pt>
                <c:pt idx="841">
                  <c:v>45205</c:v>
                </c:pt>
                <c:pt idx="842">
                  <c:v>45206</c:v>
                </c:pt>
                <c:pt idx="843">
                  <c:v>45207</c:v>
                </c:pt>
                <c:pt idx="844">
                  <c:v>45208</c:v>
                </c:pt>
                <c:pt idx="845">
                  <c:v>45209</c:v>
                </c:pt>
                <c:pt idx="846">
                  <c:v>45210</c:v>
                </c:pt>
                <c:pt idx="847">
                  <c:v>45211</c:v>
                </c:pt>
                <c:pt idx="848">
                  <c:v>45212</c:v>
                </c:pt>
                <c:pt idx="849">
                  <c:v>45213</c:v>
                </c:pt>
                <c:pt idx="850">
                  <c:v>45214</c:v>
                </c:pt>
                <c:pt idx="851">
                  <c:v>45215</c:v>
                </c:pt>
                <c:pt idx="852">
                  <c:v>45216</c:v>
                </c:pt>
                <c:pt idx="853">
                  <c:v>45217</c:v>
                </c:pt>
                <c:pt idx="854">
                  <c:v>45218</c:v>
                </c:pt>
                <c:pt idx="855">
                  <c:v>45219</c:v>
                </c:pt>
                <c:pt idx="856">
                  <c:v>45220</c:v>
                </c:pt>
                <c:pt idx="857">
                  <c:v>45221</c:v>
                </c:pt>
                <c:pt idx="858">
                  <c:v>45222</c:v>
                </c:pt>
                <c:pt idx="859">
                  <c:v>45223</c:v>
                </c:pt>
                <c:pt idx="860">
                  <c:v>45224</c:v>
                </c:pt>
                <c:pt idx="861">
                  <c:v>45225</c:v>
                </c:pt>
                <c:pt idx="862">
                  <c:v>45226</c:v>
                </c:pt>
                <c:pt idx="863">
                  <c:v>45227</c:v>
                </c:pt>
                <c:pt idx="864">
                  <c:v>45228</c:v>
                </c:pt>
                <c:pt idx="865">
                  <c:v>45229</c:v>
                </c:pt>
                <c:pt idx="866">
                  <c:v>45230</c:v>
                </c:pt>
                <c:pt idx="867">
                  <c:v>45231</c:v>
                </c:pt>
                <c:pt idx="868">
                  <c:v>45232</c:v>
                </c:pt>
                <c:pt idx="869">
                  <c:v>45233</c:v>
                </c:pt>
                <c:pt idx="870">
                  <c:v>45234</c:v>
                </c:pt>
                <c:pt idx="871">
                  <c:v>45235</c:v>
                </c:pt>
                <c:pt idx="872">
                  <c:v>45236</c:v>
                </c:pt>
                <c:pt idx="873">
                  <c:v>45237</c:v>
                </c:pt>
                <c:pt idx="874">
                  <c:v>45238</c:v>
                </c:pt>
                <c:pt idx="875">
                  <c:v>45239</c:v>
                </c:pt>
                <c:pt idx="876">
                  <c:v>45240</c:v>
                </c:pt>
                <c:pt idx="877">
                  <c:v>45241</c:v>
                </c:pt>
                <c:pt idx="878">
                  <c:v>45242</c:v>
                </c:pt>
                <c:pt idx="879">
                  <c:v>45243</c:v>
                </c:pt>
                <c:pt idx="880">
                  <c:v>45244</c:v>
                </c:pt>
                <c:pt idx="881">
                  <c:v>45245</c:v>
                </c:pt>
                <c:pt idx="882">
                  <c:v>45246</c:v>
                </c:pt>
                <c:pt idx="883">
                  <c:v>45247</c:v>
                </c:pt>
                <c:pt idx="884">
                  <c:v>45248</c:v>
                </c:pt>
                <c:pt idx="885">
                  <c:v>45249</c:v>
                </c:pt>
                <c:pt idx="886">
                  <c:v>45250</c:v>
                </c:pt>
                <c:pt idx="887">
                  <c:v>45251</c:v>
                </c:pt>
                <c:pt idx="888">
                  <c:v>45252</c:v>
                </c:pt>
                <c:pt idx="889">
                  <c:v>45253</c:v>
                </c:pt>
                <c:pt idx="890">
                  <c:v>45254</c:v>
                </c:pt>
                <c:pt idx="891">
                  <c:v>45255</c:v>
                </c:pt>
                <c:pt idx="892">
                  <c:v>45256</c:v>
                </c:pt>
                <c:pt idx="893">
                  <c:v>45257</c:v>
                </c:pt>
                <c:pt idx="894">
                  <c:v>45258</c:v>
                </c:pt>
                <c:pt idx="895">
                  <c:v>45259</c:v>
                </c:pt>
                <c:pt idx="896">
                  <c:v>45260</c:v>
                </c:pt>
                <c:pt idx="897">
                  <c:v>45261</c:v>
                </c:pt>
                <c:pt idx="898">
                  <c:v>45262</c:v>
                </c:pt>
                <c:pt idx="899">
                  <c:v>45263</c:v>
                </c:pt>
                <c:pt idx="900">
                  <c:v>45264</c:v>
                </c:pt>
                <c:pt idx="901">
                  <c:v>45265</c:v>
                </c:pt>
                <c:pt idx="902">
                  <c:v>45266</c:v>
                </c:pt>
                <c:pt idx="903">
                  <c:v>45267</c:v>
                </c:pt>
                <c:pt idx="904">
                  <c:v>45268</c:v>
                </c:pt>
                <c:pt idx="905">
                  <c:v>45269</c:v>
                </c:pt>
                <c:pt idx="906">
                  <c:v>45270</c:v>
                </c:pt>
                <c:pt idx="907">
                  <c:v>45271</c:v>
                </c:pt>
                <c:pt idx="908">
                  <c:v>45272</c:v>
                </c:pt>
                <c:pt idx="909">
                  <c:v>45273</c:v>
                </c:pt>
                <c:pt idx="910">
                  <c:v>45274</c:v>
                </c:pt>
                <c:pt idx="911">
                  <c:v>45275</c:v>
                </c:pt>
                <c:pt idx="912">
                  <c:v>45276</c:v>
                </c:pt>
                <c:pt idx="913">
                  <c:v>45277</c:v>
                </c:pt>
                <c:pt idx="914">
                  <c:v>45278</c:v>
                </c:pt>
                <c:pt idx="915">
                  <c:v>45279</c:v>
                </c:pt>
                <c:pt idx="916">
                  <c:v>45280</c:v>
                </c:pt>
                <c:pt idx="917">
                  <c:v>45281</c:v>
                </c:pt>
                <c:pt idx="918">
                  <c:v>45282</c:v>
                </c:pt>
                <c:pt idx="919">
                  <c:v>45283</c:v>
                </c:pt>
                <c:pt idx="920">
                  <c:v>45284</c:v>
                </c:pt>
                <c:pt idx="921">
                  <c:v>45285</c:v>
                </c:pt>
                <c:pt idx="922">
                  <c:v>45286</c:v>
                </c:pt>
                <c:pt idx="923">
                  <c:v>45287</c:v>
                </c:pt>
                <c:pt idx="924">
                  <c:v>45288</c:v>
                </c:pt>
                <c:pt idx="925">
                  <c:v>45289</c:v>
                </c:pt>
                <c:pt idx="926">
                  <c:v>45290</c:v>
                </c:pt>
                <c:pt idx="927">
                  <c:v>45291</c:v>
                </c:pt>
                <c:pt idx="928">
                  <c:v>45292</c:v>
                </c:pt>
                <c:pt idx="929">
                  <c:v>45293</c:v>
                </c:pt>
                <c:pt idx="930">
                  <c:v>45294</c:v>
                </c:pt>
                <c:pt idx="931">
                  <c:v>45295</c:v>
                </c:pt>
                <c:pt idx="932">
                  <c:v>45296</c:v>
                </c:pt>
                <c:pt idx="933">
                  <c:v>45297</c:v>
                </c:pt>
                <c:pt idx="934">
                  <c:v>45298</c:v>
                </c:pt>
                <c:pt idx="935">
                  <c:v>45299</c:v>
                </c:pt>
                <c:pt idx="936">
                  <c:v>45300</c:v>
                </c:pt>
                <c:pt idx="937">
                  <c:v>45301</c:v>
                </c:pt>
                <c:pt idx="938">
                  <c:v>45302</c:v>
                </c:pt>
                <c:pt idx="939">
                  <c:v>45303</c:v>
                </c:pt>
                <c:pt idx="940">
                  <c:v>45304</c:v>
                </c:pt>
                <c:pt idx="941">
                  <c:v>45305</c:v>
                </c:pt>
                <c:pt idx="942">
                  <c:v>45306</c:v>
                </c:pt>
                <c:pt idx="943">
                  <c:v>45307</c:v>
                </c:pt>
                <c:pt idx="944">
                  <c:v>45308</c:v>
                </c:pt>
                <c:pt idx="945">
                  <c:v>45309</c:v>
                </c:pt>
                <c:pt idx="946">
                  <c:v>45310</c:v>
                </c:pt>
                <c:pt idx="947">
                  <c:v>45311</c:v>
                </c:pt>
                <c:pt idx="948">
                  <c:v>45312</c:v>
                </c:pt>
                <c:pt idx="949">
                  <c:v>45313</c:v>
                </c:pt>
                <c:pt idx="950">
                  <c:v>45314</c:v>
                </c:pt>
                <c:pt idx="951">
                  <c:v>45315</c:v>
                </c:pt>
                <c:pt idx="952">
                  <c:v>45316</c:v>
                </c:pt>
                <c:pt idx="953">
                  <c:v>45317</c:v>
                </c:pt>
                <c:pt idx="954">
                  <c:v>45318</c:v>
                </c:pt>
                <c:pt idx="955">
                  <c:v>45319</c:v>
                </c:pt>
                <c:pt idx="956">
                  <c:v>45320</c:v>
                </c:pt>
                <c:pt idx="957">
                  <c:v>45321</c:v>
                </c:pt>
                <c:pt idx="958">
                  <c:v>45322</c:v>
                </c:pt>
                <c:pt idx="959">
                  <c:v>45323</c:v>
                </c:pt>
                <c:pt idx="960">
                  <c:v>45324</c:v>
                </c:pt>
                <c:pt idx="961">
                  <c:v>45325</c:v>
                </c:pt>
                <c:pt idx="962">
                  <c:v>45326</c:v>
                </c:pt>
                <c:pt idx="963">
                  <c:v>45327</c:v>
                </c:pt>
                <c:pt idx="964">
                  <c:v>45328</c:v>
                </c:pt>
                <c:pt idx="965">
                  <c:v>45329</c:v>
                </c:pt>
                <c:pt idx="966">
                  <c:v>45330</c:v>
                </c:pt>
                <c:pt idx="967">
                  <c:v>45331</c:v>
                </c:pt>
                <c:pt idx="968">
                  <c:v>45332</c:v>
                </c:pt>
                <c:pt idx="969">
                  <c:v>45333</c:v>
                </c:pt>
                <c:pt idx="970">
                  <c:v>45334</c:v>
                </c:pt>
                <c:pt idx="971">
                  <c:v>45335</c:v>
                </c:pt>
                <c:pt idx="972">
                  <c:v>45336</c:v>
                </c:pt>
                <c:pt idx="973">
                  <c:v>45337</c:v>
                </c:pt>
                <c:pt idx="974">
                  <c:v>45338</c:v>
                </c:pt>
                <c:pt idx="975">
                  <c:v>45339</c:v>
                </c:pt>
                <c:pt idx="976">
                  <c:v>45340</c:v>
                </c:pt>
                <c:pt idx="977">
                  <c:v>45341</c:v>
                </c:pt>
                <c:pt idx="978">
                  <c:v>45342</c:v>
                </c:pt>
                <c:pt idx="979">
                  <c:v>45343</c:v>
                </c:pt>
                <c:pt idx="980">
                  <c:v>45344</c:v>
                </c:pt>
                <c:pt idx="981">
                  <c:v>45345</c:v>
                </c:pt>
                <c:pt idx="982">
                  <c:v>45346</c:v>
                </c:pt>
                <c:pt idx="983">
                  <c:v>45347</c:v>
                </c:pt>
                <c:pt idx="984">
                  <c:v>45348</c:v>
                </c:pt>
                <c:pt idx="985">
                  <c:v>45349</c:v>
                </c:pt>
                <c:pt idx="986">
                  <c:v>45350</c:v>
                </c:pt>
                <c:pt idx="987">
                  <c:v>45351</c:v>
                </c:pt>
                <c:pt idx="988">
                  <c:v>45352</c:v>
                </c:pt>
                <c:pt idx="989">
                  <c:v>45353</c:v>
                </c:pt>
                <c:pt idx="990">
                  <c:v>45354</c:v>
                </c:pt>
                <c:pt idx="991">
                  <c:v>45355</c:v>
                </c:pt>
                <c:pt idx="992">
                  <c:v>45356</c:v>
                </c:pt>
                <c:pt idx="993">
                  <c:v>45357</c:v>
                </c:pt>
                <c:pt idx="994">
                  <c:v>45358</c:v>
                </c:pt>
                <c:pt idx="995">
                  <c:v>45359</c:v>
                </c:pt>
                <c:pt idx="996">
                  <c:v>45360</c:v>
                </c:pt>
                <c:pt idx="997">
                  <c:v>45361</c:v>
                </c:pt>
                <c:pt idx="998">
                  <c:v>45362</c:v>
                </c:pt>
                <c:pt idx="999">
                  <c:v>45363</c:v>
                </c:pt>
                <c:pt idx="1000">
                  <c:v>45364</c:v>
                </c:pt>
                <c:pt idx="1001">
                  <c:v>45365</c:v>
                </c:pt>
                <c:pt idx="1002">
                  <c:v>45366</c:v>
                </c:pt>
                <c:pt idx="1003">
                  <c:v>45367</c:v>
                </c:pt>
                <c:pt idx="1004">
                  <c:v>45368</c:v>
                </c:pt>
                <c:pt idx="1005">
                  <c:v>45369</c:v>
                </c:pt>
                <c:pt idx="1006">
                  <c:v>45370</c:v>
                </c:pt>
                <c:pt idx="1007">
                  <c:v>45371</c:v>
                </c:pt>
                <c:pt idx="1008">
                  <c:v>45372</c:v>
                </c:pt>
                <c:pt idx="1009">
                  <c:v>45373</c:v>
                </c:pt>
                <c:pt idx="1010">
                  <c:v>45374</c:v>
                </c:pt>
                <c:pt idx="1011">
                  <c:v>45375</c:v>
                </c:pt>
                <c:pt idx="1012">
                  <c:v>45376</c:v>
                </c:pt>
                <c:pt idx="1013">
                  <c:v>45377</c:v>
                </c:pt>
                <c:pt idx="1014">
                  <c:v>45378</c:v>
                </c:pt>
                <c:pt idx="1015">
                  <c:v>45379</c:v>
                </c:pt>
                <c:pt idx="1016">
                  <c:v>45380</c:v>
                </c:pt>
                <c:pt idx="1017">
                  <c:v>45381</c:v>
                </c:pt>
                <c:pt idx="1018">
                  <c:v>45382</c:v>
                </c:pt>
                <c:pt idx="1019">
                  <c:v>45383</c:v>
                </c:pt>
                <c:pt idx="1020">
                  <c:v>45384</c:v>
                </c:pt>
                <c:pt idx="1021">
                  <c:v>45385</c:v>
                </c:pt>
                <c:pt idx="1022">
                  <c:v>45386</c:v>
                </c:pt>
                <c:pt idx="1023">
                  <c:v>45387</c:v>
                </c:pt>
                <c:pt idx="1024">
                  <c:v>45388</c:v>
                </c:pt>
                <c:pt idx="1025">
                  <c:v>45389</c:v>
                </c:pt>
                <c:pt idx="1026">
                  <c:v>45390</c:v>
                </c:pt>
                <c:pt idx="1027">
                  <c:v>45391</c:v>
                </c:pt>
                <c:pt idx="1028">
                  <c:v>45392</c:v>
                </c:pt>
                <c:pt idx="1029">
                  <c:v>45393</c:v>
                </c:pt>
                <c:pt idx="1030">
                  <c:v>45394</c:v>
                </c:pt>
                <c:pt idx="1031">
                  <c:v>45395</c:v>
                </c:pt>
                <c:pt idx="1032">
                  <c:v>45396</c:v>
                </c:pt>
                <c:pt idx="1033">
                  <c:v>45397</c:v>
                </c:pt>
                <c:pt idx="1034">
                  <c:v>45398</c:v>
                </c:pt>
                <c:pt idx="1035">
                  <c:v>45399</c:v>
                </c:pt>
                <c:pt idx="1036">
                  <c:v>45400</c:v>
                </c:pt>
                <c:pt idx="1037">
                  <c:v>45401</c:v>
                </c:pt>
                <c:pt idx="1038">
                  <c:v>45402</c:v>
                </c:pt>
                <c:pt idx="1039">
                  <c:v>45403</c:v>
                </c:pt>
                <c:pt idx="1040">
                  <c:v>45404</c:v>
                </c:pt>
                <c:pt idx="1041">
                  <c:v>45405</c:v>
                </c:pt>
                <c:pt idx="1042">
                  <c:v>45406</c:v>
                </c:pt>
                <c:pt idx="1043">
                  <c:v>45407</c:v>
                </c:pt>
                <c:pt idx="1044">
                  <c:v>45408</c:v>
                </c:pt>
                <c:pt idx="1045">
                  <c:v>45409</c:v>
                </c:pt>
                <c:pt idx="1046">
                  <c:v>45410</c:v>
                </c:pt>
                <c:pt idx="1047">
                  <c:v>45411</c:v>
                </c:pt>
                <c:pt idx="1048">
                  <c:v>45412</c:v>
                </c:pt>
                <c:pt idx="1049">
                  <c:v>45413</c:v>
                </c:pt>
                <c:pt idx="1050">
                  <c:v>45414</c:v>
                </c:pt>
                <c:pt idx="1051">
                  <c:v>45415</c:v>
                </c:pt>
                <c:pt idx="1052">
                  <c:v>45416</c:v>
                </c:pt>
                <c:pt idx="1053">
                  <c:v>45417</c:v>
                </c:pt>
                <c:pt idx="1054">
                  <c:v>45418</c:v>
                </c:pt>
                <c:pt idx="1055">
                  <c:v>45419</c:v>
                </c:pt>
                <c:pt idx="1056">
                  <c:v>45420</c:v>
                </c:pt>
                <c:pt idx="1057">
                  <c:v>45421</c:v>
                </c:pt>
                <c:pt idx="1058">
                  <c:v>45422</c:v>
                </c:pt>
                <c:pt idx="1059">
                  <c:v>45423</c:v>
                </c:pt>
                <c:pt idx="1060">
                  <c:v>45424</c:v>
                </c:pt>
                <c:pt idx="1061">
                  <c:v>45425</c:v>
                </c:pt>
                <c:pt idx="1062">
                  <c:v>45426</c:v>
                </c:pt>
                <c:pt idx="1063">
                  <c:v>45427</c:v>
                </c:pt>
                <c:pt idx="1064">
                  <c:v>45428</c:v>
                </c:pt>
                <c:pt idx="1065">
                  <c:v>45429</c:v>
                </c:pt>
                <c:pt idx="1066">
                  <c:v>45430</c:v>
                </c:pt>
                <c:pt idx="1067">
                  <c:v>45431</c:v>
                </c:pt>
                <c:pt idx="1068">
                  <c:v>45432</c:v>
                </c:pt>
                <c:pt idx="1069">
                  <c:v>45433</c:v>
                </c:pt>
                <c:pt idx="1070">
                  <c:v>45434</c:v>
                </c:pt>
                <c:pt idx="1071">
                  <c:v>45435</c:v>
                </c:pt>
                <c:pt idx="1072">
                  <c:v>45436</c:v>
                </c:pt>
                <c:pt idx="1073">
                  <c:v>45437</c:v>
                </c:pt>
                <c:pt idx="1074">
                  <c:v>45438</c:v>
                </c:pt>
                <c:pt idx="1075">
                  <c:v>45439</c:v>
                </c:pt>
                <c:pt idx="1076">
                  <c:v>45440</c:v>
                </c:pt>
                <c:pt idx="1077">
                  <c:v>45441</c:v>
                </c:pt>
                <c:pt idx="1078">
                  <c:v>45442</c:v>
                </c:pt>
                <c:pt idx="1079">
                  <c:v>45443</c:v>
                </c:pt>
                <c:pt idx="1080">
                  <c:v>45444</c:v>
                </c:pt>
                <c:pt idx="1081">
                  <c:v>45445</c:v>
                </c:pt>
                <c:pt idx="1082">
                  <c:v>45446</c:v>
                </c:pt>
                <c:pt idx="1083">
                  <c:v>45447</c:v>
                </c:pt>
                <c:pt idx="1084">
                  <c:v>45448</c:v>
                </c:pt>
                <c:pt idx="1085">
                  <c:v>45449</c:v>
                </c:pt>
                <c:pt idx="1086">
                  <c:v>45450</c:v>
                </c:pt>
                <c:pt idx="1087">
                  <c:v>45451</c:v>
                </c:pt>
                <c:pt idx="1088">
                  <c:v>45452</c:v>
                </c:pt>
                <c:pt idx="1089">
                  <c:v>45453</c:v>
                </c:pt>
                <c:pt idx="1090">
                  <c:v>45454</c:v>
                </c:pt>
                <c:pt idx="1091">
                  <c:v>45455</c:v>
                </c:pt>
                <c:pt idx="1092">
                  <c:v>45456</c:v>
                </c:pt>
                <c:pt idx="1093">
                  <c:v>45457</c:v>
                </c:pt>
                <c:pt idx="1094">
                  <c:v>45458</c:v>
                </c:pt>
                <c:pt idx="1095">
                  <c:v>45459</c:v>
                </c:pt>
                <c:pt idx="1096">
                  <c:v>45460</c:v>
                </c:pt>
                <c:pt idx="1097">
                  <c:v>45461</c:v>
                </c:pt>
                <c:pt idx="1098">
                  <c:v>45462</c:v>
                </c:pt>
                <c:pt idx="1099">
                  <c:v>45463</c:v>
                </c:pt>
                <c:pt idx="1100">
                  <c:v>45464</c:v>
                </c:pt>
                <c:pt idx="1101">
                  <c:v>45465</c:v>
                </c:pt>
                <c:pt idx="1102">
                  <c:v>45466</c:v>
                </c:pt>
                <c:pt idx="1103">
                  <c:v>45467</c:v>
                </c:pt>
                <c:pt idx="1104">
                  <c:v>45468</c:v>
                </c:pt>
                <c:pt idx="1105">
                  <c:v>45469</c:v>
                </c:pt>
                <c:pt idx="1106">
                  <c:v>45470</c:v>
                </c:pt>
                <c:pt idx="1107">
                  <c:v>45471</c:v>
                </c:pt>
                <c:pt idx="1108">
                  <c:v>45472</c:v>
                </c:pt>
                <c:pt idx="1109">
                  <c:v>45473</c:v>
                </c:pt>
                <c:pt idx="1110">
                  <c:v>45474</c:v>
                </c:pt>
                <c:pt idx="1111">
                  <c:v>45475</c:v>
                </c:pt>
                <c:pt idx="1112">
                  <c:v>45476</c:v>
                </c:pt>
                <c:pt idx="1113">
                  <c:v>45477</c:v>
                </c:pt>
                <c:pt idx="1114">
                  <c:v>45478</c:v>
                </c:pt>
                <c:pt idx="1115">
                  <c:v>45479</c:v>
                </c:pt>
                <c:pt idx="1116">
                  <c:v>45480</c:v>
                </c:pt>
                <c:pt idx="1117">
                  <c:v>45481</c:v>
                </c:pt>
                <c:pt idx="1118">
                  <c:v>45482</c:v>
                </c:pt>
                <c:pt idx="1119">
                  <c:v>45483</c:v>
                </c:pt>
                <c:pt idx="1120">
                  <c:v>45484</c:v>
                </c:pt>
                <c:pt idx="1121">
                  <c:v>45485</c:v>
                </c:pt>
                <c:pt idx="1122">
                  <c:v>45486</c:v>
                </c:pt>
                <c:pt idx="1123">
                  <c:v>45487</c:v>
                </c:pt>
                <c:pt idx="1124">
                  <c:v>45488</c:v>
                </c:pt>
                <c:pt idx="1125">
                  <c:v>45489</c:v>
                </c:pt>
                <c:pt idx="1126">
                  <c:v>45490</c:v>
                </c:pt>
                <c:pt idx="1127">
                  <c:v>45491</c:v>
                </c:pt>
                <c:pt idx="1128">
                  <c:v>45492</c:v>
                </c:pt>
                <c:pt idx="1129">
                  <c:v>45493</c:v>
                </c:pt>
                <c:pt idx="1130">
                  <c:v>45494</c:v>
                </c:pt>
                <c:pt idx="1131">
                  <c:v>45495</c:v>
                </c:pt>
                <c:pt idx="1132">
                  <c:v>45496</c:v>
                </c:pt>
                <c:pt idx="1133">
                  <c:v>45497</c:v>
                </c:pt>
                <c:pt idx="1134">
                  <c:v>45498</c:v>
                </c:pt>
                <c:pt idx="1135">
                  <c:v>45499</c:v>
                </c:pt>
                <c:pt idx="1136">
                  <c:v>45500</c:v>
                </c:pt>
                <c:pt idx="1137">
                  <c:v>45501</c:v>
                </c:pt>
                <c:pt idx="1138">
                  <c:v>45502</c:v>
                </c:pt>
                <c:pt idx="1139">
                  <c:v>45503</c:v>
                </c:pt>
                <c:pt idx="1140">
                  <c:v>45504</c:v>
                </c:pt>
                <c:pt idx="1141">
                  <c:v>45505</c:v>
                </c:pt>
                <c:pt idx="1142">
                  <c:v>45506</c:v>
                </c:pt>
                <c:pt idx="1143">
                  <c:v>45507</c:v>
                </c:pt>
                <c:pt idx="1144">
                  <c:v>45508</c:v>
                </c:pt>
                <c:pt idx="1145">
                  <c:v>45509</c:v>
                </c:pt>
                <c:pt idx="1146">
                  <c:v>45510</c:v>
                </c:pt>
                <c:pt idx="1147">
                  <c:v>45511</c:v>
                </c:pt>
                <c:pt idx="1148">
                  <c:v>45512</c:v>
                </c:pt>
                <c:pt idx="1149">
                  <c:v>45513</c:v>
                </c:pt>
                <c:pt idx="1150">
                  <c:v>45514</c:v>
                </c:pt>
                <c:pt idx="1151">
                  <c:v>45515</c:v>
                </c:pt>
                <c:pt idx="1152">
                  <c:v>45516</c:v>
                </c:pt>
                <c:pt idx="1153">
                  <c:v>45517</c:v>
                </c:pt>
                <c:pt idx="1154">
                  <c:v>45518</c:v>
                </c:pt>
                <c:pt idx="1155">
                  <c:v>45519</c:v>
                </c:pt>
                <c:pt idx="1156">
                  <c:v>45520</c:v>
                </c:pt>
                <c:pt idx="1157">
                  <c:v>45521</c:v>
                </c:pt>
                <c:pt idx="1158">
                  <c:v>45522</c:v>
                </c:pt>
                <c:pt idx="1159">
                  <c:v>45523</c:v>
                </c:pt>
                <c:pt idx="1160">
                  <c:v>45524</c:v>
                </c:pt>
                <c:pt idx="1161">
                  <c:v>45525</c:v>
                </c:pt>
                <c:pt idx="1162">
                  <c:v>45526</c:v>
                </c:pt>
                <c:pt idx="1163">
                  <c:v>45527</c:v>
                </c:pt>
                <c:pt idx="1164">
                  <c:v>45528</c:v>
                </c:pt>
                <c:pt idx="1165">
                  <c:v>45529</c:v>
                </c:pt>
                <c:pt idx="1166">
                  <c:v>45530</c:v>
                </c:pt>
                <c:pt idx="1167">
                  <c:v>45531</c:v>
                </c:pt>
                <c:pt idx="1168">
                  <c:v>45532</c:v>
                </c:pt>
                <c:pt idx="1169">
                  <c:v>45533</c:v>
                </c:pt>
                <c:pt idx="1170">
                  <c:v>45534</c:v>
                </c:pt>
                <c:pt idx="1171">
                  <c:v>45535</c:v>
                </c:pt>
                <c:pt idx="1172">
                  <c:v>45536</c:v>
                </c:pt>
                <c:pt idx="1173">
                  <c:v>45537</c:v>
                </c:pt>
                <c:pt idx="1174">
                  <c:v>45538</c:v>
                </c:pt>
                <c:pt idx="1175">
                  <c:v>45539</c:v>
                </c:pt>
                <c:pt idx="1176">
                  <c:v>45540</c:v>
                </c:pt>
                <c:pt idx="1177">
                  <c:v>45541</c:v>
                </c:pt>
                <c:pt idx="1178">
                  <c:v>45542</c:v>
                </c:pt>
                <c:pt idx="1179">
                  <c:v>45543</c:v>
                </c:pt>
                <c:pt idx="1180">
                  <c:v>45544</c:v>
                </c:pt>
                <c:pt idx="1181">
                  <c:v>45545</c:v>
                </c:pt>
                <c:pt idx="1182">
                  <c:v>45546</c:v>
                </c:pt>
                <c:pt idx="1183">
                  <c:v>45547</c:v>
                </c:pt>
                <c:pt idx="1184">
                  <c:v>45548</c:v>
                </c:pt>
                <c:pt idx="1185">
                  <c:v>45549</c:v>
                </c:pt>
                <c:pt idx="1186">
                  <c:v>45550</c:v>
                </c:pt>
                <c:pt idx="1187">
                  <c:v>45551</c:v>
                </c:pt>
                <c:pt idx="1188">
                  <c:v>45552</c:v>
                </c:pt>
                <c:pt idx="1189">
                  <c:v>45553</c:v>
                </c:pt>
                <c:pt idx="1190">
                  <c:v>45554</c:v>
                </c:pt>
                <c:pt idx="1191">
                  <c:v>45555</c:v>
                </c:pt>
                <c:pt idx="1192">
                  <c:v>45556</c:v>
                </c:pt>
                <c:pt idx="1193">
                  <c:v>45557</c:v>
                </c:pt>
                <c:pt idx="1194">
                  <c:v>45558</c:v>
                </c:pt>
                <c:pt idx="1195">
                  <c:v>45559</c:v>
                </c:pt>
                <c:pt idx="1196">
                  <c:v>45560</c:v>
                </c:pt>
                <c:pt idx="1197">
                  <c:v>45561</c:v>
                </c:pt>
                <c:pt idx="1198">
                  <c:v>45562</c:v>
                </c:pt>
                <c:pt idx="1199">
                  <c:v>45563</c:v>
                </c:pt>
                <c:pt idx="1200">
                  <c:v>45564</c:v>
                </c:pt>
                <c:pt idx="1201">
                  <c:v>45565</c:v>
                </c:pt>
                <c:pt idx="1202">
                  <c:v>45566</c:v>
                </c:pt>
                <c:pt idx="1203">
                  <c:v>45567</c:v>
                </c:pt>
                <c:pt idx="1204">
                  <c:v>45568</c:v>
                </c:pt>
                <c:pt idx="1205">
                  <c:v>45569</c:v>
                </c:pt>
                <c:pt idx="1206">
                  <c:v>45570</c:v>
                </c:pt>
                <c:pt idx="1207">
                  <c:v>45571</c:v>
                </c:pt>
                <c:pt idx="1208">
                  <c:v>45572</c:v>
                </c:pt>
                <c:pt idx="1209">
                  <c:v>45573</c:v>
                </c:pt>
                <c:pt idx="1210">
                  <c:v>45574</c:v>
                </c:pt>
                <c:pt idx="1211">
                  <c:v>45575</c:v>
                </c:pt>
                <c:pt idx="1212">
                  <c:v>45576</c:v>
                </c:pt>
                <c:pt idx="1213">
                  <c:v>45577</c:v>
                </c:pt>
                <c:pt idx="1214">
                  <c:v>45578</c:v>
                </c:pt>
                <c:pt idx="1215">
                  <c:v>45579</c:v>
                </c:pt>
                <c:pt idx="1216">
                  <c:v>45580</c:v>
                </c:pt>
                <c:pt idx="1217">
                  <c:v>45581</c:v>
                </c:pt>
                <c:pt idx="1218">
                  <c:v>45582</c:v>
                </c:pt>
                <c:pt idx="1219">
                  <c:v>45583</c:v>
                </c:pt>
                <c:pt idx="1220">
                  <c:v>45584</c:v>
                </c:pt>
                <c:pt idx="1221">
                  <c:v>45585</c:v>
                </c:pt>
                <c:pt idx="1222">
                  <c:v>45586</c:v>
                </c:pt>
                <c:pt idx="1223">
                  <c:v>45587</c:v>
                </c:pt>
                <c:pt idx="1224">
                  <c:v>45588</c:v>
                </c:pt>
                <c:pt idx="1225">
                  <c:v>45589</c:v>
                </c:pt>
                <c:pt idx="1226">
                  <c:v>45590</c:v>
                </c:pt>
                <c:pt idx="1227">
                  <c:v>45591</c:v>
                </c:pt>
                <c:pt idx="1228">
                  <c:v>45592</c:v>
                </c:pt>
                <c:pt idx="1229">
                  <c:v>45593</c:v>
                </c:pt>
                <c:pt idx="1230">
                  <c:v>45594</c:v>
                </c:pt>
                <c:pt idx="1231">
                  <c:v>45595</c:v>
                </c:pt>
                <c:pt idx="1232">
                  <c:v>45596</c:v>
                </c:pt>
                <c:pt idx="1233">
                  <c:v>45597</c:v>
                </c:pt>
                <c:pt idx="1234">
                  <c:v>45598</c:v>
                </c:pt>
                <c:pt idx="1235">
                  <c:v>45599</c:v>
                </c:pt>
                <c:pt idx="1236">
                  <c:v>45600</c:v>
                </c:pt>
                <c:pt idx="1237">
                  <c:v>45601</c:v>
                </c:pt>
                <c:pt idx="1238">
                  <c:v>45602</c:v>
                </c:pt>
                <c:pt idx="1239">
                  <c:v>45603</c:v>
                </c:pt>
                <c:pt idx="1240">
                  <c:v>45604</c:v>
                </c:pt>
                <c:pt idx="1241">
                  <c:v>45605</c:v>
                </c:pt>
                <c:pt idx="1242">
                  <c:v>45606</c:v>
                </c:pt>
                <c:pt idx="1243">
                  <c:v>45607</c:v>
                </c:pt>
                <c:pt idx="1244">
                  <c:v>45608</c:v>
                </c:pt>
                <c:pt idx="1245">
                  <c:v>45609</c:v>
                </c:pt>
                <c:pt idx="1246">
                  <c:v>45610</c:v>
                </c:pt>
                <c:pt idx="1247">
                  <c:v>45611</c:v>
                </c:pt>
                <c:pt idx="1248">
                  <c:v>45612</c:v>
                </c:pt>
                <c:pt idx="1249">
                  <c:v>45613</c:v>
                </c:pt>
                <c:pt idx="1250">
                  <c:v>45614</c:v>
                </c:pt>
                <c:pt idx="1251">
                  <c:v>45615</c:v>
                </c:pt>
                <c:pt idx="1252">
                  <c:v>45616</c:v>
                </c:pt>
                <c:pt idx="1253">
                  <c:v>45617</c:v>
                </c:pt>
                <c:pt idx="1254">
                  <c:v>45618</c:v>
                </c:pt>
                <c:pt idx="1255">
                  <c:v>45619</c:v>
                </c:pt>
                <c:pt idx="1256">
                  <c:v>45620</c:v>
                </c:pt>
                <c:pt idx="1257">
                  <c:v>45621</c:v>
                </c:pt>
                <c:pt idx="1258">
                  <c:v>45622</c:v>
                </c:pt>
                <c:pt idx="1259">
                  <c:v>45623</c:v>
                </c:pt>
                <c:pt idx="1260">
                  <c:v>45624</c:v>
                </c:pt>
                <c:pt idx="1261">
                  <c:v>45625</c:v>
                </c:pt>
                <c:pt idx="1262">
                  <c:v>45626</c:v>
                </c:pt>
                <c:pt idx="1263">
                  <c:v>45627</c:v>
                </c:pt>
                <c:pt idx="1264">
                  <c:v>45628</c:v>
                </c:pt>
                <c:pt idx="1265">
                  <c:v>45629</c:v>
                </c:pt>
                <c:pt idx="1266">
                  <c:v>45630</c:v>
                </c:pt>
                <c:pt idx="1267">
                  <c:v>45631</c:v>
                </c:pt>
                <c:pt idx="1268">
                  <c:v>45632</c:v>
                </c:pt>
                <c:pt idx="1269">
                  <c:v>45633</c:v>
                </c:pt>
                <c:pt idx="1270">
                  <c:v>45634</c:v>
                </c:pt>
                <c:pt idx="1271">
                  <c:v>45635</c:v>
                </c:pt>
                <c:pt idx="1272">
                  <c:v>45636</c:v>
                </c:pt>
                <c:pt idx="1273">
                  <c:v>45637</c:v>
                </c:pt>
                <c:pt idx="1274">
                  <c:v>45638</c:v>
                </c:pt>
                <c:pt idx="1275">
                  <c:v>45639</c:v>
                </c:pt>
                <c:pt idx="1276">
                  <c:v>45640</c:v>
                </c:pt>
                <c:pt idx="1277">
                  <c:v>45641</c:v>
                </c:pt>
                <c:pt idx="1278">
                  <c:v>45642</c:v>
                </c:pt>
                <c:pt idx="1279">
                  <c:v>45643</c:v>
                </c:pt>
                <c:pt idx="1280">
                  <c:v>45644</c:v>
                </c:pt>
                <c:pt idx="1281">
                  <c:v>45645</c:v>
                </c:pt>
                <c:pt idx="1282">
                  <c:v>45646</c:v>
                </c:pt>
                <c:pt idx="1283">
                  <c:v>45647</c:v>
                </c:pt>
                <c:pt idx="1284">
                  <c:v>45648</c:v>
                </c:pt>
                <c:pt idx="1285">
                  <c:v>45649</c:v>
                </c:pt>
                <c:pt idx="1286">
                  <c:v>45650</c:v>
                </c:pt>
                <c:pt idx="1287">
                  <c:v>45651</c:v>
                </c:pt>
                <c:pt idx="1288">
                  <c:v>45652</c:v>
                </c:pt>
                <c:pt idx="1289">
                  <c:v>45653</c:v>
                </c:pt>
                <c:pt idx="1290">
                  <c:v>45654</c:v>
                </c:pt>
                <c:pt idx="1291">
                  <c:v>45655</c:v>
                </c:pt>
                <c:pt idx="1292">
                  <c:v>45656</c:v>
                </c:pt>
                <c:pt idx="1293">
                  <c:v>45657</c:v>
                </c:pt>
              </c:numCache>
            </c:numRef>
          </c:cat>
          <c:val>
            <c:numRef>
              <c:f>'spot plyn'!$B$881:$B$2174</c:f>
              <c:numCache>
                <c:formatCode>General</c:formatCode>
                <c:ptCount val="1294"/>
                <c:pt idx="0">
                  <c:v>19.899999999999999</c:v>
                </c:pt>
                <c:pt idx="1">
                  <c:v>18.05</c:v>
                </c:pt>
                <c:pt idx="2">
                  <c:v>17.649999999999999</c:v>
                </c:pt>
                <c:pt idx="3">
                  <c:v>19.5</c:v>
                </c:pt>
                <c:pt idx="4">
                  <c:v>20.399999999999999</c:v>
                </c:pt>
                <c:pt idx="5">
                  <c:v>22.25</c:v>
                </c:pt>
                <c:pt idx="6">
                  <c:v>26.2</c:v>
                </c:pt>
                <c:pt idx="7">
                  <c:v>23.13</c:v>
                </c:pt>
                <c:pt idx="8">
                  <c:v>21.25</c:v>
                </c:pt>
                <c:pt idx="9">
                  <c:v>20.375</c:v>
                </c:pt>
                <c:pt idx="10">
                  <c:v>19.05</c:v>
                </c:pt>
                <c:pt idx="11">
                  <c:v>20.25</c:v>
                </c:pt>
                <c:pt idx="12">
                  <c:v>19.829999999999998</c:v>
                </c:pt>
                <c:pt idx="13">
                  <c:v>19.75</c:v>
                </c:pt>
                <c:pt idx="14">
                  <c:v>21.55</c:v>
                </c:pt>
                <c:pt idx="15">
                  <c:v>20.149999999999999</c:v>
                </c:pt>
                <c:pt idx="16">
                  <c:v>19.95</c:v>
                </c:pt>
                <c:pt idx="17">
                  <c:v>19.78</c:v>
                </c:pt>
                <c:pt idx="18">
                  <c:v>20.85</c:v>
                </c:pt>
                <c:pt idx="19">
                  <c:v>19.899999999999999</c:v>
                </c:pt>
                <c:pt idx="20">
                  <c:v>17.774999999999999</c:v>
                </c:pt>
                <c:pt idx="21">
                  <c:v>17.975000000000001</c:v>
                </c:pt>
                <c:pt idx="22">
                  <c:v>17.850000000000001</c:v>
                </c:pt>
                <c:pt idx="23">
                  <c:v>18</c:v>
                </c:pt>
                <c:pt idx="24">
                  <c:v>18.45</c:v>
                </c:pt>
                <c:pt idx="25">
                  <c:v>20.65</c:v>
                </c:pt>
                <c:pt idx="26">
                  <c:v>19.899999999999999</c:v>
                </c:pt>
                <c:pt idx="27">
                  <c:v>19.05</c:v>
                </c:pt>
                <c:pt idx="28">
                  <c:v>18.100000000000001</c:v>
                </c:pt>
                <c:pt idx="29">
                  <c:v>17.875</c:v>
                </c:pt>
                <c:pt idx="30">
                  <c:v>16.350000000000001</c:v>
                </c:pt>
                <c:pt idx="31">
                  <c:v>16.600000000000001</c:v>
                </c:pt>
                <c:pt idx="32">
                  <c:v>16.55</c:v>
                </c:pt>
                <c:pt idx="33">
                  <c:v>17.05</c:v>
                </c:pt>
                <c:pt idx="34">
                  <c:v>16.5</c:v>
                </c:pt>
                <c:pt idx="35">
                  <c:v>15.8</c:v>
                </c:pt>
                <c:pt idx="36">
                  <c:v>15.95</c:v>
                </c:pt>
                <c:pt idx="37">
                  <c:v>16.25</c:v>
                </c:pt>
                <c:pt idx="38">
                  <c:v>15.93</c:v>
                </c:pt>
                <c:pt idx="39">
                  <c:v>15.95</c:v>
                </c:pt>
                <c:pt idx="40">
                  <c:v>16.3</c:v>
                </c:pt>
                <c:pt idx="41">
                  <c:v>16.25</c:v>
                </c:pt>
                <c:pt idx="42">
                  <c:v>16.05</c:v>
                </c:pt>
                <c:pt idx="43">
                  <c:v>16.45</c:v>
                </c:pt>
                <c:pt idx="44">
                  <c:v>16.55</c:v>
                </c:pt>
                <c:pt idx="45">
                  <c:v>16.88</c:v>
                </c:pt>
                <c:pt idx="46">
                  <c:v>17.25</c:v>
                </c:pt>
                <c:pt idx="47">
                  <c:v>17.850000000000001</c:v>
                </c:pt>
                <c:pt idx="48">
                  <c:v>18.05</c:v>
                </c:pt>
                <c:pt idx="49">
                  <c:v>18.649999999999999</c:v>
                </c:pt>
                <c:pt idx="50">
                  <c:v>18.3</c:v>
                </c:pt>
                <c:pt idx="51">
                  <c:v>17.93</c:v>
                </c:pt>
                <c:pt idx="52">
                  <c:v>18.7</c:v>
                </c:pt>
                <c:pt idx="53">
                  <c:v>17.649999999999999</c:v>
                </c:pt>
                <c:pt idx="54">
                  <c:v>17.75</c:v>
                </c:pt>
                <c:pt idx="55">
                  <c:v>18.55</c:v>
                </c:pt>
                <c:pt idx="56">
                  <c:v>18.5</c:v>
                </c:pt>
                <c:pt idx="57">
                  <c:v>18.649999999999999</c:v>
                </c:pt>
                <c:pt idx="58">
                  <c:v>18.149999999999999</c:v>
                </c:pt>
                <c:pt idx="59">
                  <c:v>18.5</c:v>
                </c:pt>
                <c:pt idx="60">
                  <c:v>18.350000000000001</c:v>
                </c:pt>
                <c:pt idx="61">
                  <c:v>18.725000000000001</c:v>
                </c:pt>
                <c:pt idx="62">
                  <c:v>18.93</c:v>
                </c:pt>
                <c:pt idx="63">
                  <c:v>19.2</c:v>
                </c:pt>
                <c:pt idx="64">
                  <c:v>20.399999999999999</c:v>
                </c:pt>
                <c:pt idx="65">
                  <c:v>20.05</c:v>
                </c:pt>
                <c:pt idx="66">
                  <c:v>19.5</c:v>
                </c:pt>
                <c:pt idx="67">
                  <c:v>19.475000000000001</c:v>
                </c:pt>
                <c:pt idx="68">
                  <c:v>20.85</c:v>
                </c:pt>
                <c:pt idx="69">
                  <c:v>20.3</c:v>
                </c:pt>
                <c:pt idx="70">
                  <c:v>20.425000000000001</c:v>
                </c:pt>
                <c:pt idx="71">
                  <c:v>20.824999999999999</c:v>
                </c:pt>
                <c:pt idx="72">
                  <c:v>21.2</c:v>
                </c:pt>
                <c:pt idx="73">
                  <c:v>21.475000000000001</c:v>
                </c:pt>
                <c:pt idx="74">
                  <c:v>21.524999999999999</c:v>
                </c:pt>
                <c:pt idx="75">
                  <c:v>21.35</c:v>
                </c:pt>
                <c:pt idx="76">
                  <c:v>21.65</c:v>
                </c:pt>
                <c:pt idx="77">
                  <c:v>20.175000000000001</c:v>
                </c:pt>
                <c:pt idx="78">
                  <c:v>20.125</c:v>
                </c:pt>
                <c:pt idx="79">
                  <c:v>21.75</c:v>
                </c:pt>
                <c:pt idx="80">
                  <c:v>21.9</c:v>
                </c:pt>
                <c:pt idx="81">
                  <c:v>22.675000000000001</c:v>
                </c:pt>
                <c:pt idx="82">
                  <c:v>23.6</c:v>
                </c:pt>
                <c:pt idx="83">
                  <c:v>23.55</c:v>
                </c:pt>
                <c:pt idx="84">
                  <c:v>23.774999999999999</c:v>
                </c:pt>
                <c:pt idx="85">
                  <c:v>24.68</c:v>
                </c:pt>
                <c:pt idx="86">
                  <c:v>24.98</c:v>
                </c:pt>
                <c:pt idx="87">
                  <c:v>24.125</c:v>
                </c:pt>
                <c:pt idx="88">
                  <c:v>25.274999999999999</c:v>
                </c:pt>
                <c:pt idx="89">
                  <c:v>26.15</c:v>
                </c:pt>
                <c:pt idx="90">
                  <c:v>26.1</c:v>
                </c:pt>
                <c:pt idx="91">
                  <c:v>26.4</c:v>
                </c:pt>
                <c:pt idx="92">
                  <c:v>27.2</c:v>
                </c:pt>
                <c:pt idx="93">
                  <c:v>26.6</c:v>
                </c:pt>
                <c:pt idx="94">
                  <c:v>25.574999999999999</c:v>
                </c:pt>
                <c:pt idx="95">
                  <c:v>23</c:v>
                </c:pt>
                <c:pt idx="96">
                  <c:v>24.75</c:v>
                </c:pt>
                <c:pt idx="97">
                  <c:v>24.8</c:v>
                </c:pt>
                <c:pt idx="98">
                  <c:v>24.8</c:v>
                </c:pt>
                <c:pt idx="99">
                  <c:v>25.725000000000001</c:v>
                </c:pt>
                <c:pt idx="100">
                  <c:v>26.25</c:v>
                </c:pt>
                <c:pt idx="101">
                  <c:v>25.425000000000001</c:v>
                </c:pt>
                <c:pt idx="102">
                  <c:v>25.45</c:v>
                </c:pt>
                <c:pt idx="103">
                  <c:v>25.35</c:v>
                </c:pt>
                <c:pt idx="104">
                  <c:v>25.8</c:v>
                </c:pt>
                <c:pt idx="105">
                  <c:v>25.4</c:v>
                </c:pt>
                <c:pt idx="106">
                  <c:v>25.824999999999999</c:v>
                </c:pt>
                <c:pt idx="107">
                  <c:v>25.85</c:v>
                </c:pt>
                <c:pt idx="108">
                  <c:v>26.675000000000001</c:v>
                </c:pt>
                <c:pt idx="109">
                  <c:v>28.13</c:v>
                </c:pt>
                <c:pt idx="110">
                  <c:v>27.9</c:v>
                </c:pt>
                <c:pt idx="111">
                  <c:v>28.1</c:v>
                </c:pt>
                <c:pt idx="112">
                  <c:v>28</c:v>
                </c:pt>
                <c:pt idx="113">
                  <c:v>28.925000000000001</c:v>
                </c:pt>
                <c:pt idx="114">
                  <c:v>27.95</c:v>
                </c:pt>
                <c:pt idx="115">
                  <c:v>28.15</c:v>
                </c:pt>
                <c:pt idx="116">
                  <c:v>28.6</c:v>
                </c:pt>
                <c:pt idx="117">
                  <c:v>29.574999999999999</c:v>
                </c:pt>
                <c:pt idx="118">
                  <c:v>29.9</c:v>
                </c:pt>
                <c:pt idx="119">
                  <c:v>31.4</c:v>
                </c:pt>
                <c:pt idx="120">
                  <c:v>31.15</c:v>
                </c:pt>
                <c:pt idx="121">
                  <c:v>31.95</c:v>
                </c:pt>
                <c:pt idx="122">
                  <c:v>32.450000000000003</c:v>
                </c:pt>
                <c:pt idx="123">
                  <c:v>32.225000000000001</c:v>
                </c:pt>
                <c:pt idx="124">
                  <c:v>33.65</c:v>
                </c:pt>
                <c:pt idx="125">
                  <c:v>35.5</c:v>
                </c:pt>
                <c:pt idx="126">
                  <c:v>36.4</c:v>
                </c:pt>
                <c:pt idx="127">
                  <c:v>36.299999999999997</c:v>
                </c:pt>
                <c:pt idx="128">
                  <c:v>37.85</c:v>
                </c:pt>
                <c:pt idx="129">
                  <c:v>33.6</c:v>
                </c:pt>
                <c:pt idx="130">
                  <c:v>32.65</c:v>
                </c:pt>
                <c:pt idx="131">
                  <c:v>34</c:v>
                </c:pt>
                <c:pt idx="132">
                  <c:v>36.825000000000003</c:v>
                </c:pt>
                <c:pt idx="133">
                  <c:v>34.65</c:v>
                </c:pt>
                <c:pt idx="134">
                  <c:v>35.450000000000003</c:v>
                </c:pt>
                <c:pt idx="135">
                  <c:v>33.9</c:v>
                </c:pt>
                <c:pt idx="136">
                  <c:v>34</c:v>
                </c:pt>
                <c:pt idx="137">
                  <c:v>35.28</c:v>
                </c:pt>
                <c:pt idx="138">
                  <c:v>36.200000000000003</c:v>
                </c:pt>
                <c:pt idx="139">
                  <c:v>35.299999999999997</c:v>
                </c:pt>
                <c:pt idx="140">
                  <c:v>35.950000000000003</c:v>
                </c:pt>
                <c:pt idx="141">
                  <c:v>35.799999999999997</c:v>
                </c:pt>
                <c:pt idx="142">
                  <c:v>35.65</c:v>
                </c:pt>
                <c:pt idx="143">
                  <c:v>36.975000000000001</c:v>
                </c:pt>
                <c:pt idx="144">
                  <c:v>37.979999999999997</c:v>
                </c:pt>
                <c:pt idx="145">
                  <c:v>39.725000000000001</c:v>
                </c:pt>
                <c:pt idx="146">
                  <c:v>41.375</c:v>
                </c:pt>
                <c:pt idx="147">
                  <c:v>40.575000000000003</c:v>
                </c:pt>
                <c:pt idx="148">
                  <c:v>42.024999999999999</c:v>
                </c:pt>
                <c:pt idx="149">
                  <c:v>41.15</c:v>
                </c:pt>
                <c:pt idx="150">
                  <c:v>41.8</c:v>
                </c:pt>
                <c:pt idx="151">
                  <c:v>42.575000000000003</c:v>
                </c:pt>
                <c:pt idx="152">
                  <c:v>43.424999999999997</c:v>
                </c:pt>
                <c:pt idx="153">
                  <c:v>42.7</c:v>
                </c:pt>
                <c:pt idx="154">
                  <c:v>44.445</c:v>
                </c:pt>
                <c:pt idx="155">
                  <c:v>46.2</c:v>
                </c:pt>
                <c:pt idx="156">
                  <c:v>45.6</c:v>
                </c:pt>
                <c:pt idx="157">
                  <c:v>44.3</c:v>
                </c:pt>
                <c:pt idx="158">
                  <c:v>47.674999999999997</c:v>
                </c:pt>
                <c:pt idx="159">
                  <c:v>46.25</c:v>
                </c:pt>
                <c:pt idx="160">
                  <c:v>45</c:v>
                </c:pt>
                <c:pt idx="161">
                  <c:v>40.380000000000003</c:v>
                </c:pt>
                <c:pt idx="162">
                  <c:v>41.55</c:v>
                </c:pt>
                <c:pt idx="163">
                  <c:v>42.4</c:v>
                </c:pt>
                <c:pt idx="164">
                  <c:v>45.2</c:v>
                </c:pt>
                <c:pt idx="165">
                  <c:v>44.7</c:v>
                </c:pt>
                <c:pt idx="166">
                  <c:v>45.325000000000003</c:v>
                </c:pt>
                <c:pt idx="167">
                  <c:v>47.7</c:v>
                </c:pt>
                <c:pt idx="168">
                  <c:v>46.9</c:v>
                </c:pt>
                <c:pt idx="169">
                  <c:v>50.174999999999997</c:v>
                </c:pt>
                <c:pt idx="170">
                  <c:v>49.5</c:v>
                </c:pt>
                <c:pt idx="171">
                  <c:v>51</c:v>
                </c:pt>
                <c:pt idx="172">
                  <c:v>51.2</c:v>
                </c:pt>
                <c:pt idx="173">
                  <c:v>52.125</c:v>
                </c:pt>
                <c:pt idx="174">
                  <c:v>53.6</c:v>
                </c:pt>
                <c:pt idx="175">
                  <c:v>54.75</c:v>
                </c:pt>
                <c:pt idx="176">
                  <c:v>56.4</c:v>
                </c:pt>
                <c:pt idx="177">
                  <c:v>56.85</c:v>
                </c:pt>
                <c:pt idx="178">
                  <c:v>61.65</c:v>
                </c:pt>
                <c:pt idx="179">
                  <c:v>66.05</c:v>
                </c:pt>
                <c:pt idx="180">
                  <c:v>65.5</c:v>
                </c:pt>
                <c:pt idx="181">
                  <c:v>60.85</c:v>
                </c:pt>
                <c:pt idx="182">
                  <c:v>63.85</c:v>
                </c:pt>
                <c:pt idx="183">
                  <c:v>73.45</c:v>
                </c:pt>
                <c:pt idx="184">
                  <c:v>72</c:v>
                </c:pt>
                <c:pt idx="185">
                  <c:v>68.605000000000004</c:v>
                </c:pt>
                <c:pt idx="186">
                  <c:v>67.025000000000006</c:v>
                </c:pt>
                <c:pt idx="187">
                  <c:v>67.95</c:v>
                </c:pt>
                <c:pt idx="188">
                  <c:v>75.98</c:v>
                </c:pt>
                <c:pt idx="189">
                  <c:v>76.7</c:v>
                </c:pt>
                <c:pt idx="190">
                  <c:v>80.8</c:v>
                </c:pt>
                <c:pt idx="191">
                  <c:v>84.75</c:v>
                </c:pt>
                <c:pt idx="192">
                  <c:v>85</c:v>
                </c:pt>
                <c:pt idx="193">
                  <c:v>89.4</c:v>
                </c:pt>
                <c:pt idx="194">
                  <c:v>115.8</c:v>
                </c:pt>
                <c:pt idx="195">
                  <c:v>100.25</c:v>
                </c:pt>
                <c:pt idx="196">
                  <c:v>91.9</c:v>
                </c:pt>
                <c:pt idx="197">
                  <c:v>82.5</c:v>
                </c:pt>
                <c:pt idx="198">
                  <c:v>83</c:v>
                </c:pt>
                <c:pt idx="199">
                  <c:v>85.13</c:v>
                </c:pt>
                <c:pt idx="200">
                  <c:v>91.325000000000003</c:v>
                </c:pt>
                <c:pt idx="201">
                  <c:v>99.45</c:v>
                </c:pt>
                <c:pt idx="202">
                  <c:v>87</c:v>
                </c:pt>
                <c:pt idx="203">
                  <c:v>85.2</c:v>
                </c:pt>
                <c:pt idx="204">
                  <c:v>84.7</c:v>
                </c:pt>
                <c:pt idx="205">
                  <c:v>90.5</c:v>
                </c:pt>
                <c:pt idx="206">
                  <c:v>86.2</c:v>
                </c:pt>
                <c:pt idx="207">
                  <c:v>87.05</c:v>
                </c:pt>
                <c:pt idx="208">
                  <c:v>88.7</c:v>
                </c:pt>
                <c:pt idx="209">
                  <c:v>87.83</c:v>
                </c:pt>
                <c:pt idx="210">
                  <c:v>84.95</c:v>
                </c:pt>
                <c:pt idx="211">
                  <c:v>74</c:v>
                </c:pt>
                <c:pt idx="212">
                  <c:v>60.6</c:v>
                </c:pt>
                <c:pt idx="213">
                  <c:v>63.75</c:v>
                </c:pt>
                <c:pt idx="214">
                  <c:v>67.974999999999994</c:v>
                </c:pt>
                <c:pt idx="215">
                  <c:v>78</c:v>
                </c:pt>
                <c:pt idx="216">
                  <c:v>72.400000000000006</c:v>
                </c:pt>
                <c:pt idx="217">
                  <c:v>73</c:v>
                </c:pt>
                <c:pt idx="218">
                  <c:v>77</c:v>
                </c:pt>
                <c:pt idx="219">
                  <c:v>72.45</c:v>
                </c:pt>
                <c:pt idx="220">
                  <c:v>70.150000000000006</c:v>
                </c:pt>
                <c:pt idx="221">
                  <c:v>73.900000000000006</c:v>
                </c:pt>
                <c:pt idx="222">
                  <c:v>74.099999999999994</c:v>
                </c:pt>
                <c:pt idx="223">
                  <c:v>79.5</c:v>
                </c:pt>
                <c:pt idx="224">
                  <c:v>93.8</c:v>
                </c:pt>
                <c:pt idx="225">
                  <c:v>93.8</c:v>
                </c:pt>
                <c:pt idx="226">
                  <c:v>90.8</c:v>
                </c:pt>
                <c:pt idx="227">
                  <c:v>86.1</c:v>
                </c:pt>
                <c:pt idx="228">
                  <c:v>84.35</c:v>
                </c:pt>
                <c:pt idx="229">
                  <c:v>91.15</c:v>
                </c:pt>
                <c:pt idx="230">
                  <c:v>93.6</c:v>
                </c:pt>
                <c:pt idx="231">
                  <c:v>92.25</c:v>
                </c:pt>
                <c:pt idx="232">
                  <c:v>88.3</c:v>
                </c:pt>
                <c:pt idx="233">
                  <c:v>93.88</c:v>
                </c:pt>
                <c:pt idx="234">
                  <c:v>91.35</c:v>
                </c:pt>
                <c:pt idx="235">
                  <c:v>97.5</c:v>
                </c:pt>
                <c:pt idx="236">
                  <c:v>91.85</c:v>
                </c:pt>
                <c:pt idx="237">
                  <c:v>89.2</c:v>
                </c:pt>
                <c:pt idx="238">
                  <c:v>89.4</c:v>
                </c:pt>
                <c:pt idx="239">
                  <c:v>96.7</c:v>
                </c:pt>
                <c:pt idx="240">
                  <c:v>103.45</c:v>
                </c:pt>
                <c:pt idx="241">
                  <c:v>101.25</c:v>
                </c:pt>
                <c:pt idx="242">
                  <c:v>103.6</c:v>
                </c:pt>
                <c:pt idx="243">
                  <c:v>115.9</c:v>
                </c:pt>
                <c:pt idx="244">
                  <c:v>127.2</c:v>
                </c:pt>
                <c:pt idx="245">
                  <c:v>127.97499999999999</c:v>
                </c:pt>
                <c:pt idx="246">
                  <c:v>139.5</c:v>
                </c:pt>
                <c:pt idx="247">
                  <c:v>136</c:v>
                </c:pt>
                <c:pt idx="248">
                  <c:v>148.6</c:v>
                </c:pt>
                <c:pt idx="249">
                  <c:v>182.3</c:v>
                </c:pt>
                <c:pt idx="250">
                  <c:v>166.75</c:v>
                </c:pt>
                <c:pt idx="251">
                  <c:v>139.30000000000001</c:v>
                </c:pt>
                <c:pt idx="252">
                  <c:v>102</c:v>
                </c:pt>
                <c:pt idx="253">
                  <c:v>105</c:v>
                </c:pt>
                <c:pt idx="254">
                  <c:v>102.97499999999999</c:v>
                </c:pt>
                <c:pt idx="255">
                  <c:v>83.4</c:v>
                </c:pt>
                <c:pt idx="256">
                  <c:v>66.5</c:v>
                </c:pt>
                <c:pt idx="257">
                  <c:v>70</c:v>
                </c:pt>
                <c:pt idx="258">
                  <c:v>92.13</c:v>
                </c:pt>
                <c:pt idx="259">
                  <c:v>87.6</c:v>
                </c:pt>
                <c:pt idx="260">
                  <c:v>96.5</c:v>
                </c:pt>
                <c:pt idx="261">
                  <c:v>84.4</c:v>
                </c:pt>
                <c:pt idx="262">
                  <c:v>84.5</c:v>
                </c:pt>
                <c:pt idx="263">
                  <c:v>81</c:v>
                </c:pt>
                <c:pt idx="264">
                  <c:v>75.400000000000006</c:v>
                </c:pt>
                <c:pt idx="265">
                  <c:v>79.95</c:v>
                </c:pt>
                <c:pt idx="266">
                  <c:v>86.9</c:v>
                </c:pt>
                <c:pt idx="267">
                  <c:v>76.05</c:v>
                </c:pt>
                <c:pt idx="268">
                  <c:v>79.08</c:v>
                </c:pt>
                <c:pt idx="269">
                  <c:v>73.75</c:v>
                </c:pt>
                <c:pt idx="270">
                  <c:v>75</c:v>
                </c:pt>
                <c:pt idx="271">
                  <c:v>80.3</c:v>
                </c:pt>
                <c:pt idx="272">
                  <c:v>93</c:v>
                </c:pt>
                <c:pt idx="273">
                  <c:v>94.5</c:v>
                </c:pt>
                <c:pt idx="274">
                  <c:v>90.7</c:v>
                </c:pt>
                <c:pt idx="275">
                  <c:v>91.7</c:v>
                </c:pt>
                <c:pt idx="276">
                  <c:v>92.424999999999997</c:v>
                </c:pt>
                <c:pt idx="277">
                  <c:v>84.6</c:v>
                </c:pt>
                <c:pt idx="278">
                  <c:v>75.180000000000007</c:v>
                </c:pt>
                <c:pt idx="279">
                  <c:v>76.5</c:v>
                </c:pt>
                <c:pt idx="280">
                  <c:v>79.2</c:v>
                </c:pt>
                <c:pt idx="281">
                  <c:v>80.2</c:v>
                </c:pt>
                <c:pt idx="282">
                  <c:v>77.295000000000002</c:v>
                </c:pt>
                <c:pt idx="283">
                  <c:v>75.650000000000006</c:v>
                </c:pt>
                <c:pt idx="284">
                  <c:v>74.599999999999994</c:v>
                </c:pt>
                <c:pt idx="285">
                  <c:v>74.275000000000006</c:v>
                </c:pt>
                <c:pt idx="286">
                  <c:v>75.974999999999994</c:v>
                </c:pt>
                <c:pt idx="287">
                  <c:v>80.2</c:v>
                </c:pt>
                <c:pt idx="288">
                  <c:v>67.95</c:v>
                </c:pt>
                <c:pt idx="289">
                  <c:v>68.8</c:v>
                </c:pt>
                <c:pt idx="290">
                  <c:v>74</c:v>
                </c:pt>
                <c:pt idx="291">
                  <c:v>72.7</c:v>
                </c:pt>
                <c:pt idx="292">
                  <c:v>71.5</c:v>
                </c:pt>
                <c:pt idx="293">
                  <c:v>80.3</c:v>
                </c:pt>
                <c:pt idx="294">
                  <c:v>88.9</c:v>
                </c:pt>
                <c:pt idx="295">
                  <c:v>131</c:v>
                </c:pt>
                <c:pt idx="296">
                  <c:v>95.85</c:v>
                </c:pt>
                <c:pt idx="297">
                  <c:v>99.2</c:v>
                </c:pt>
                <c:pt idx="298">
                  <c:v>124</c:v>
                </c:pt>
                <c:pt idx="299">
                  <c:v>176.8</c:v>
                </c:pt>
                <c:pt idx="300">
                  <c:v>153.25</c:v>
                </c:pt>
                <c:pt idx="301">
                  <c:v>203</c:v>
                </c:pt>
                <c:pt idx="302">
                  <c:v>220.8</c:v>
                </c:pt>
                <c:pt idx="303">
                  <c:v>210</c:v>
                </c:pt>
                <c:pt idx="304">
                  <c:v>144.1</c:v>
                </c:pt>
                <c:pt idx="305">
                  <c:v>134.03</c:v>
                </c:pt>
                <c:pt idx="306">
                  <c:v>132</c:v>
                </c:pt>
                <c:pt idx="307">
                  <c:v>109.5</c:v>
                </c:pt>
                <c:pt idx="308">
                  <c:v>110</c:v>
                </c:pt>
                <c:pt idx="309">
                  <c:v>97.6</c:v>
                </c:pt>
                <c:pt idx="310">
                  <c:v>102.35</c:v>
                </c:pt>
                <c:pt idx="311">
                  <c:v>104.97499999999999</c:v>
                </c:pt>
                <c:pt idx="312">
                  <c:v>92</c:v>
                </c:pt>
                <c:pt idx="313">
                  <c:v>98.85</c:v>
                </c:pt>
                <c:pt idx="314">
                  <c:v>109</c:v>
                </c:pt>
                <c:pt idx="315">
                  <c:v>111.5</c:v>
                </c:pt>
                <c:pt idx="316">
                  <c:v>101</c:v>
                </c:pt>
                <c:pt idx="317">
                  <c:v>98.8</c:v>
                </c:pt>
                <c:pt idx="318">
                  <c:v>108.35</c:v>
                </c:pt>
                <c:pt idx="319">
                  <c:v>115.75</c:v>
                </c:pt>
                <c:pt idx="320">
                  <c:v>122.5</c:v>
                </c:pt>
                <c:pt idx="321">
                  <c:v>114.5</c:v>
                </c:pt>
                <c:pt idx="322">
                  <c:v>109.97499999999999</c:v>
                </c:pt>
                <c:pt idx="323">
                  <c:v>107.05</c:v>
                </c:pt>
                <c:pt idx="324">
                  <c:v>107.9</c:v>
                </c:pt>
                <c:pt idx="325">
                  <c:v>103.45</c:v>
                </c:pt>
                <c:pt idx="326">
                  <c:v>102.95</c:v>
                </c:pt>
                <c:pt idx="327">
                  <c:v>100.75</c:v>
                </c:pt>
                <c:pt idx="328">
                  <c:v>103.5</c:v>
                </c:pt>
                <c:pt idx="329">
                  <c:v>104.7</c:v>
                </c:pt>
                <c:pt idx="330">
                  <c:v>97</c:v>
                </c:pt>
                <c:pt idx="331">
                  <c:v>90</c:v>
                </c:pt>
                <c:pt idx="332">
                  <c:v>96.8</c:v>
                </c:pt>
                <c:pt idx="333">
                  <c:v>98</c:v>
                </c:pt>
                <c:pt idx="334">
                  <c:v>96.9</c:v>
                </c:pt>
                <c:pt idx="335">
                  <c:v>96.65</c:v>
                </c:pt>
                <c:pt idx="336">
                  <c:v>93.224999999999994</c:v>
                </c:pt>
                <c:pt idx="337">
                  <c:v>108.4</c:v>
                </c:pt>
                <c:pt idx="338">
                  <c:v>102.5</c:v>
                </c:pt>
                <c:pt idx="339">
                  <c:v>95.4</c:v>
                </c:pt>
                <c:pt idx="340">
                  <c:v>96.25</c:v>
                </c:pt>
                <c:pt idx="341">
                  <c:v>102.5</c:v>
                </c:pt>
                <c:pt idx="342">
                  <c:v>102.5</c:v>
                </c:pt>
                <c:pt idx="343">
                  <c:v>99</c:v>
                </c:pt>
                <c:pt idx="344">
                  <c:v>96</c:v>
                </c:pt>
                <c:pt idx="345">
                  <c:v>89.55</c:v>
                </c:pt>
                <c:pt idx="346">
                  <c:v>85.8</c:v>
                </c:pt>
                <c:pt idx="347">
                  <c:v>83</c:v>
                </c:pt>
                <c:pt idx="348">
                  <c:v>94.3</c:v>
                </c:pt>
                <c:pt idx="349">
                  <c:v>89.95</c:v>
                </c:pt>
                <c:pt idx="350">
                  <c:v>91.9</c:v>
                </c:pt>
                <c:pt idx="351">
                  <c:v>91.9</c:v>
                </c:pt>
                <c:pt idx="352">
                  <c:v>91</c:v>
                </c:pt>
                <c:pt idx="353">
                  <c:v>89.7</c:v>
                </c:pt>
                <c:pt idx="354">
                  <c:v>84.5</c:v>
                </c:pt>
                <c:pt idx="355">
                  <c:v>80.025000000000006</c:v>
                </c:pt>
                <c:pt idx="356">
                  <c:v>79.025000000000006</c:v>
                </c:pt>
                <c:pt idx="357">
                  <c:v>81.900000000000006</c:v>
                </c:pt>
                <c:pt idx="358">
                  <c:v>82.55</c:v>
                </c:pt>
                <c:pt idx="359">
                  <c:v>85</c:v>
                </c:pt>
                <c:pt idx="360">
                  <c:v>88.2</c:v>
                </c:pt>
                <c:pt idx="361">
                  <c:v>88.35</c:v>
                </c:pt>
                <c:pt idx="362">
                  <c:v>77.5</c:v>
                </c:pt>
                <c:pt idx="363">
                  <c:v>77.7</c:v>
                </c:pt>
                <c:pt idx="364">
                  <c:v>79</c:v>
                </c:pt>
                <c:pt idx="365">
                  <c:v>78.625</c:v>
                </c:pt>
                <c:pt idx="366">
                  <c:v>76.8</c:v>
                </c:pt>
                <c:pt idx="367">
                  <c:v>83.8</c:v>
                </c:pt>
                <c:pt idx="368">
                  <c:v>79.5</c:v>
                </c:pt>
                <c:pt idx="369">
                  <c:v>81.2</c:v>
                </c:pt>
                <c:pt idx="370">
                  <c:v>97</c:v>
                </c:pt>
                <c:pt idx="371">
                  <c:v>109.5</c:v>
                </c:pt>
                <c:pt idx="372">
                  <c:v>116.6</c:v>
                </c:pt>
                <c:pt idx="373">
                  <c:v>112.5</c:v>
                </c:pt>
                <c:pt idx="374">
                  <c:v>120</c:v>
                </c:pt>
                <c:pt idx="375">
                  <c:v>122.7</c:v>
                </c:pt>
                <c:pt idx="376">
                  <c:v>128.69999999999999</c:v>
                </c:pt>
                <c:pt idx="377">
                  <c:v>128</c:v>
                </c:pt>
                <c:pt idx="378">
                  <c:v>127.15</c:v>
                </c:pt>
                <c:pt idx="379">
                  <c:v>130.65</c:v>
                </c:pt>
                <c:pt idx="380">
                  <c:v>129.55000000000001</c:v>
                </c:pt>
                <c:pt idx="381">
                  <c:v>139.1</c:v>
                </c:pt>
                <c:pt idx="382">
                  <c:v>145</c:v>
                </c:pt>
                <c:pt idx="383">
                  <c:v>146.30000000000001</c:v>
                </c:pt>
                <c:pt idx="384">
                  <c:v>162.5</c:v>
                </c:pt>
                <c:pt idx="385">
                  <c:v>162.25</c:v>
                </c:pt>
                <c:pt idx="386">
                  <c:v>175.25</c:v>
                </c:pt>
                <c:pt idx="387">
                  <c:v>188</c:v>
                </c:pt>
                <c:pt idx="388">
                  <c:v>183.5</c:v>
                </c:pt>
                <c:pt idx="389">
                  <c:v>170.06299999999999</c:v>
                </c:pt>
                <c:pt idx="390">
                  <c:v>163.304</c:v>
                </c:pt>
                <c:pt idx="391">
                  <c:v>173.625</c:v>
                </c:pt>
                <c:pt idx="392">
                  <c:v>181.52</c:v>
                </c:pt>
                <c:pt idx="393">
                  <c:v>171.541</c:v>
                </c:pt>
                <c:pt idx="394">
                  <c:v>153.38300000000001</c:v>
                </c:pt>
                <c:pt idx="395">
                  <c:v>153.38300000000001</c:v>
                </c:pt>
                <c:pt idx="396">
                  <c:v>153.80199999999999</c:v>
                </c:pt>
                <c:pt idx="397">
                  <c:v>155.19300000000001</c:v>
                </c:pt>
                <c:pt idx="398">
                  <c:v>151.56399999999999</c:v>
                </c:pt>
                <c:pt idx="399">
                  <c:v>154.095</c:v>
                </c:pt>
                <c:pt idx="400">
                  <c:v>155.52500000000001</c:v>
                </c:pt>
                <c:pt idx="401">
                  <c:v>158.91800000000001</c:v>
                </c:pt>
                <c:pt idx="402">
                  <c:v>158.91800000000001</c:v>
                </c:pt>
                <c:pt idx="403">
                  <c:v>160.17699999999999</c:v>
                </c:pt>
                <c:pt idx="404">
                  <c:v>175.077</c:v>
                </c:pt>
                <c:pt idx="405">
                  <c:v>201.96199999999999</c:v>
                </c:pt>
                <c:pt idx="406">
                  <c:v>205.916</c:v>
                </c:pt>
                <c:pt idx="407">
                  <c:v>199.761</c:v>
                </c:pt>
                <c:pt idx="408">
                  <c:v>191.33</c:v>
                </c:pt>
                <c:pt idx="409">
                  <c:v>191.33</c:v>
                </c:pt>
                <c:pt idx="410">
                  <c:v>191.87</c:v>
                </c:pt>
                <c:pt idx="411">
                  <c:v>199.357</c:v>
                </c:pt>
                <c:pt idx="412">
                  <c:v>200.27699999999999</c:v>
                </c:pt>
                <c:pt idx="413">
                  <c:v>195.631</c:v>
                </c:pt>
                <c:pt idx="414">
                  <c:v>198.67500000000001</c:v>
                </c:pt>
                <c:pt idx="415">
                  <c:v>193.322</c:v>
                </c:pt>
                <c:pt idx="416">
                  <c:v>193.322</c:v>
                </c:pt>
                <c:pt idx="417">
                  <c:v>192.96600000000001</c:v>
                </c:pt>
                <c:pt idx="418">
                  <c:v>191.351</c:v>
                </c:pt>
                <c:pt idx="419">
                  <c:v>191.62700000000001</c:v>
                </c:pt>
                <c:pt idx="420">
                  <c:v>201.946</c:v>
                </c:pt>
                <c:pt idx="421">
                  <c:v>205.9</c:v>
                </c:pt>
                <c:pt idx="422">
                  <c:v>200.28200000000001</c:v>
                </c:pt>
                <c:pt idx="423">
                  <c:v>200.28200000000001</c:v>
                </c:pt>
                <c:pt idx="424">
                  <c:v>199.929</c:v>
                </c:pt>
                <c:pt idx="425">
                  <c:v>216.893</c:v>
                </c:pt>
                <c:pt idx="426">
                  <c:v>225.1</c:v>
                </c:pt>
                <c:pt idx="427">
                  <c:v>225.04900000000001</c:v>
                </c:pt>
                <c:pt idx="428">
                  <c:v>239.137</c:v>
                </c:pt>
                <c:pt idx="429">
                  <c:v>244.20099999999999</c:v>
                </c:pt>
                <c:pt idx="430">
                  <c:v>244.20099999999999</c:v>
                </c:pt>
                <c:pt idx="431">
                  <c:v>245.785</c:v>
                </c:pt>
                <c:pt idx="432">
                  <c:v>280</c:v>
                </c:pt>
                <c:pt idx="433">
                  <c:v>267.65300000000002</c:v>
                </c:pt>
                <c:pt idx="434">
                  <c:v>292.11599999999999</c:v>
                </c:pt>
                <c:pt idx="435">
                  <c:v>311.26499999999999</c:v>
                </c:pt>
                <c:pt idx="436">
                  <c:v>311.93299999999999</c:v>
                </c:pt>
                <c:pt idx="437">
                  <c:v>311.93299999999999</c:v>
                </c:pt>
                <c:pt idx="438">
                  <c:v>311.93299999999999</c:v>
                </c:pt>
                <c:pt idx="439">
                  <c:v>312.738</c:v>
                </c:pt>
                <c:pt idx="440">
                  <c:v>248.81899999999999</c:v>
                </c:pt>
                <c:pt idx="441">
                  <c:v>230.65799999999999</c:v>
                </c:pt>
                <c:pt idx="442">
                  <c:v>224.65799999999999</c:v>
                </c:pt>
                <c:pt idx="443">
                  <c:v>174.74199999999999</c:v>
                </c:pt>
                <c:pt idx="444">
                  <c:v>174.74199999999999</c:v>
                </c:pt>
                <c:pt idx="445">
                  <c:v>180.10300000000001</c:v>
                </c:pt>
                <c:pt idx="446">
                  <c:v>217.429</c:v>
                </c:pt>
                <c:pt idx="447">
                  <c:v>230.881</c:v>
                </c:pt>
                <c:pt idx="448">
                  <c:v>209.10499999999999</c:v>
                </c:pt>
                <c:pt idx="449">
                  <c:v>209.209</c:v>
                </c:pt>
                <c:pt idx="450">
                  <c:v>188.62700000000001</c:v>
                </c:pt>
                <c:pt idx="451">
                  <c:v>188.62700000000001</c:v>
                </c:pt>
                <c:pt idx="452">
                  <c:v>190.74</c:v>
                </c:pt>
                <c:pt idx="453">
                  <c:v>186.32400000000001</c:v>
                </c:pt>
                <c:pt idx="454">
                  <c:v>197.816</c:v>
                </c:pt>
                <c:pt idx="455">
                  <c:v>217.37700000000001</c:v>
                </c:pt>
                <c:pt idx="456">
                  <c:v>199.613</c:v>
                </c:pt>
                <c:pt idx="457">
                  <c:v>163.96899999999999</c:v>
                </c:pt>
                <c:pt idx="458">
                  <c:v>163.96899999999999</c:v>
                </c:pt>
                <c:pt idx="459">
                  <c:v>165.40899999999999</c:v>
                </c:pt>
                <c:pt idx="460">
                  <c:v>162.874</c:v>
                </c:pt>
                <c:pt idx="461">
                  <c:v>174.07599999999999</c:v>
                </c:pt>
                <c:pt idx="462">
                  <c:v>171.53700000000001</c:v>
                </c:pt>
                <c:pt idx="463">
                  <c:v>171.96600000000001</c:v>
                </c:pt>
                <c:pt idx="464">
                  <c:v>166.71899999999999</c:v>
                </c:pt>
                <c:pt idx="465">
                  <c:v>166.71899999999999</c:v>
                </c:pt>
                <c:pt idx="466">
                  <c:v>168.67699999999999</c:v>
                </c:pt>
                <c:pt idx="467">
                  <c:v>168.64</c:v>
                </c:pt>
                <c:pt idx="468">
                  <c:v>203.25</c:v>
                </c:pt>
                <c:pt idx="469">
                  <c:v>200.60400000000001</c:v>
                </c:pt>
                <c:pt idx="470">
                  <c:v>179.22800000000001</c:v>
                </c:pt>
                <c:pt idx="471">
                  <c:v>159.51300000000001</c:v>
                </c:pt>
                <c:pt idx="472">
                  <c:v>159.51300000000001</c:v>
                </c:pt>
                <c:pt idx="473">
                  <c:v>159.27500000000001</c:v>
                </c:pt>
                <c:pt idx="474">
                  <c:v>127.718</c:v>
                </c:pt>
                <c:pt idx="475">
                  <c:v>82.903999999999996</c:v>
                </c:pt>
                <c:pt idx="476">
                  <c:v>97.974000000000004</c:v>
                </c:pt>
                <c:pt idx="477">
                  <c:v>128.03</c:v>
                </c:pt>
                <c:pt idx="478">
                  <c:v>91.847999999999999</c:v>
                </c:pt>
                <c:pt idx="479">
                  <c:v>91.847999999999999</c:v>
                </c:pt>
                <c:pt idx="480">
                  <c:v>96.38</c:v>
                </c:pt>
                <c:pt idx="481">
                  <c:v>100.88200000000001</c:v>
                </c:pt>
                <c:pt idx="482">
                  <c:v>101.578</c:v>
                </c:pt>
                <c:pt idx="483">
                  <c:v>102.184</c:v>
                </c:pt>
                <c:pt idx="484">
                  <c:v>89.563000000000002</c:v>
                </c:pt>
                <c:pt idx="485">
                  <c:v>56.338000000000001</c:v>
                </c:pt>
                <c:pt idx="486">
                  <c:v>56.338000000000001</c:v>
                </c:pt>
                <c:pt idx="487">
                  <c:v>64.742999999999995</c:v>
                </c:pt>
                <c:pt idx="488">
                  <c:v>61.506999999999998</c:v>
                </c:pt>
                <c:pt idx="489">
                  <c:v>64.397999999999996</c:v>
                </c:pt>
                <c:pt idx="490">
                  <c:v>68.492000000000004</c:v>
                </c:pt>
                <c:pt idx="491">
                  <c:v>58.115000000000002</c:v>
                </c:pt>
                <c:pt idx="492">
                  <c:v>33.774000000000001</c:v>
                </c:pt>
                <c:pt idx="493">
                  <c:v>33.774000000000001</c:v>
                </c:pt>
                <c:pt idx="494">
                  <c:v>39.005000000000003</c:v>
                </c:pt>
                <c:pt idx="495">
                  <c:v>26.675000000000001</c:v>
                </c:pt>
                <c:pt idx="496">
                  <c:v>38.878</c:v>
                </c:pt>
                <c:pt idx="497">
                  <c:v>39.250999999999998</c:v>
                </c:pt>
                <c:pt idx="498">
                  <c:v>28.06</c:v>
                </c:pt>
                <c:pt idx="499">
                  <c:v>32.085999999999999</c:v>
                </c:pt>
                <c:pt idx="500">
                  <c:v>32.085999999999999</c:v>
                </c:pt>
                <c:pt idx="501">
                  <c:v>31.023</c:v>
                </c:pt>
                <c:pt idx="502">
                  <c:v>22.003</c:v>
                </c:pt>
                <c:pt idx="503">
                  <c:v>48.823999999999998</c:v>
                </c:pt>
                <c:pt idx="504">
                  <c:v>67.881</c:v>
                </c:pt>
                <c:pt idx="505">
                  <c:v>53.335000000000001</c:v>
                </c:pt>
                <c:pt idx="506">
                  <c:v>53.335000000000001</c:v>
                </c:pt>
                <c:pt idx="507">
                  <c:v>56.634999999999998</c:v>
                </c:pt>
                <c:pt idx="508">
                  <c:v>63.168999999999997</c:v>
                </c:pt>
                <c:pt idx="509">
                  <c:v>89.805000000000007</c:v>
                </c:pt>
                <c:pt idx="510">
                  <c:v>87.228999999999999</c:v>
                </c:pt>
                <c:pt idx="511">
                  <c:v>74.787000000000006</c:v>
                </c:pt>
                <c:pt idx="512">
                  <c:v>54.707000000000001</c:v>
                </c:pt>
                <c:pt idx="513">
                  <c:v>54.707000000000001</c:v>
                </c:pt>
                <c:pt idx="514">
                  <c:v>67.287000000000006</c:v>
                </c:pt>
                <c:pt idx="515">
                  <c:v>107.908</c:v>
                </c:pt>
                <c:pt idx="516">
                  <c:v>115.53700000000001</c:v>
                </c:pt>
                <c:pt idx="517">
                  <c:v>100.282</c:v>
                </c:pt>
                <c:pt idx="518">
                  <c:v>106.792</c:v>
                </c:pt>
                <c:pt idx="519">
                  <c:v>108.875</c:v>
                </c:pt>
                <c:pt idx="520">
                  <c:v>108.875</c:v>
                </c:pt>
                <c:pt idx="521">
                  <c:v>109.878</c:v>
                </c:pt>
                <c:pt idx="522">
                  <c:v>112.06399999999999</c:v>
                </c:pt>
                <c:pt idx="523">
                  <c:v>116.69199999999999</c:v>
                </c:pt>
                <c:pt idx="524">
                  <c:v>126.38500000000001</c:v>
                </c:pt>
                <c:pt idx="525">
                  <c:v>118.84699999999999</c:v>
                </c:pt>
                <c:pt idx="526">
                  <c:v>124.48699999999999</c:v>
                </c:pt>
                <c:pt idx="527">
                  <c:v>124.48699999999999</c:v>
                </c:pt>
                <c:pt idx="528">
                  <c:v>125.577</c:v>
                </c:pt>
                <c:pt idx="529">
                  <c:v>124.58199999999999</c:v>
                </c:pt>
                <c:pt idx="530">
                  <c:v>133.09100000000001</c:v>
                </c:pt>
                <c:pt idx="531">
                  <c:v>139.89699999999999</c:v>
                </c:pt>
                <c:pt idx="532">
                  <c:v>136.09</c:v>
                </c:pt>
                <c:pt idx="533">
                  <c:v>132.43199999999999</c:v>
                </c:pt>
                <c:pt idx="534">
                  <c:v>132.43199999999999</c:v>
                </c:pt>
                <c:pt idx="535">
                  <c:v>133.423</c:v>
                </c:pt>
                <c:pt idx="536">
                  <c:v>135.08199999999999</c:v>
                </c:pt>
                <c:pt idx="537">
                  <c:v>139.678</c:v>
                </c:pt>
                <c:pt idx="538">
                  <c:v>148.715</c:v>
                </c:pt>
                <c:pt idx="539">
                  <c:v>137.03399999999999</c:v>
                </c:pt>
                <c:pt idx="540">
                  <c:v>141.88200000000001</c:v>
                </c:pt>
                <c:pt idx="541">
                  <c:v>141.88200000000001</c:v>
                </c:pt>
                <c:pt idx="542">
                  <c:v>143.215</c:v>
                </c:pt>
                <c:pt idx="543">
                  <c:v>137.637</c:v>
                </c:pt>
                <c:pt idx="544">
                  <c:v>138.04300000000001</c:v>
                </c:pt>
                <c:pt idx="545">
                  <c:v>132.42400000000001</c:v>
                </c:pt>
                <c:pt idx="546">
                  <c:v>116.846</c:v>
                </c:pt>
                <c:pt idx="547">
                  <c:v>106.82</c:v>
                </c:pt>
                <c:pt idx="548">
                  <c:v>117.535</c:v>
                </c:pt>
                <c:pt idx="549">
                  <c:v>117.535</c:v>
                </c:pt>
                <c:pt idx="550">
                  <c:v>104.92100000000001</c:v>
                </c:pt>
                <c:pt idx="551">
                  <c:v>104.92100000000001</c:v>
                </c:pt>
                <c:pt idx="552">
                  <c:v>88.933999999999997</c:v>
                </c:pt>
                <c:pt idx="553">
                  <c:v>79.81</c:v>
                </c:pt>
                <c:pt idx="554">
                  <c:v>79.81</c:v>
                </c:pt>
                <c:pt idx="555">
                  <c:v>79.073999999999998</c:v>
                </c:pt>
                <c:pt idx="556">
                  <c:v>79.073999999999998</c:v>
                </c:pt>
                <c:pt idx="557">
                  <c:v>79.81</c:v>
                </c:pt>
                <c:pt idx="558">
                  <c:v>79.81</c:v>
                </c:pt>
                <c:pt idx="559">
                  <c:v>79.412000000000006</c:v>
                </c:pt>
                <c:pt idx="560">
                  <c:v>79.412000000000006</c:v>
                </c:pt>
                <c:pt idx="561">
                  <c:v>66.650999999999996</c:v>
                </c:pt>
                <c:pt idx="562">
                  <c:v>63.997999999999998</c:v>
                </c:pt>
                <c:pt idx="563">
                  <c:v>63.997999999999998</c:v>
                </c:pt>
                <c:pt idx="564">
                  <c:v>68.296999999999997</c:v>
                </c:pt>
                <c:pt idx="565">
                  <c:v>62.451000000000001</c:v>
                </c:pt>
                <c:pt idx="566">
                  <c:v>66.355000000000004</c:v>
                </c:pt>
                <c:pt idx="567">
                  <c:v>66.355000000000004</c:v>
                </c:pt>
                <c:pt idx="568">
                  <c:v>71.522000000000006</c:v>
                </c:pt>
                <c:pt idx="569">
                  <c:v>71.522000000000006</c:v>
                </c:pt>
                <c:pt idx="570">
                  <c:v>71.522000000000006</c:v>
                </c:pt>
                <c:pt idx="571">
                  <c:v>66.382000000000005</c:v>
                </c:pt>
                <c:pt idx="572">
                  <c:v>62.715000000000003</c:v>
                </c:pt>
                <c:pt idx="573">
                  <c:v>64.909000000000006</c:v>
                </c:pt>
                <c:pt idx="574">
                  <c:v>62.878</c:v>
                </c:pt>
                <c:pt idx="575">
                  <c:v>55.664999999999999</c:v>
                </c:pt>
                <c:pt idx="576">
                  <c:v>55.664999999999999</c:v>
                </c:pt>
                <c:pt idx="577">
                  <c:v>55.664999999999999</c:v>
                </c:pt>
                <c:pt idx="578">
                  <c:v>55.664999999999999</c:v>
                </c:pt>
                <c:pt idx="579">
                  <c:v>59.83</c:v>
                </c:pt>
                <c:pt idx="580">
                  <c:v>62.317999999999998</c:v>
                </c:pt>
                <c:pt idx="581">
                  <c:v>61.271000000000001</c:v>
                </c:pt>
                <c:pt idx="582">
                  <c:v>68.555999999999997</c:v>
                </c:pt>
                <c:pt idx="583">
                  <c:v>68.555999999999997</c:v>
                </c:pt>
                <c:pt idx="584">
                  <c:v>68.555999999999997</c:v>
                </c:pt>
                <c:pt idx="585">
                  <c:v>66.644999999999996</c:v>
                </c:pt>
                <c:pt idx="586">
                  <c:v>58.808</c:v>
                </c:pt>
                <c:pt idx="587">
                  <c:v>57.396999999999998</c:v>
                </c:pt>
                <c:pt idx="588">
                  <c:v>55.75</c:v>
                </c:pt>
                <c:pt idx="589">
                  <c:v>56.313000000000002</c:v>
                </c:pt>
                <c:pt idx="590">
                  <c:v>56.76</c:v>
                </c:pt>
                <c:pt idx="591">
                  <c:v>56.76</c:v>
                </c:pt>
                <c:pt idx="592">
                  <c:v>55.683</c:v>
                </c:pt>
                <c:pt idx="593">
                  <c:v>58.289000000000001</c:v>
                </c:pt>
                <c:pt idx="594">
                  <c:v>59.835000000000001</c:v>
                </c:pt>
                <c:pt idx="595">
                  <c:v>56.203000000000003</c:v>
                </c:pt>
                <c:pt idx="596">
                  <c:v>59.609000000000002</c:v>
                </c:pt>
                <c:pt idx="597">
                  <c:v>59.253</c:v>
                </c:pt>
                <c:pt idx="598">
                  <c:v>59.253</c:v>
                </c:pt>
                <c:pt idx="599">
                  <c:v>59.429000000000002</c:v>
                </c:pt>
                <c:pt idx="600">
                  <c:v>55.648000000000003</c:v>
                </c:pt>
                <c:pt idx="601">
                  <c:v>54.701000000000001</c:v>
                </c:pt>
                <c:pt idx="602">
                  <c:v>53.783000000000001</c:v>
                </c:pt>
                <c:pt idx="603">
                  <c:v>54.856999999999999</c:v>
                </c:pt>
                <c:pt idx="604">
                  <c:v>54.494</c:v>
                </c:pt>
                <c:pt idx="605">
                  <c:v>54.494</c:v>
                </c:pt>
                <c:pt idx="606">
                  <c:v>52.610999999999997</c:v>
                </c:pt>
                <c:pt idx="607">
                  <c:v>53.420999999999999</c:v>
                </c:pt>
                <c:pt idx="608">
                  <c:v>54.712000000000003</c:v>
                </c:pt>
                <c:pt idx="609">
                  <c:v>51.567</c:v>
                </c:pt>
                <c:pt idx="610">
                  <c:v>48.764000000000003</c:v>
                </c:pt>
                <c:pt idx="611">
                  <c:v>48.857999999999997</c:v>
                </c:pt>
                <c:pt idx="612">
                  <c:v>48.857999999999997</c:v>
                </c:pt>
                <c:pt idx="613">
                  <c:v>49.526000000000003</c:v>
                </c:pt>
                <c:pt idx="614">
                  <c:v>49.372</c:v>
                </c:pt>
                <c:pt idx="615">
                  <c:v>50.53</c:v>
                </c:pt>
                <c:pt idx="616">
                  <c:v>50.411000000000001</c:v>
                </c:pt>
                <c:pt idx="617">
                  <c:v>52.003999999999998</c:v>
                </c:pt>
                <c:pt idx="618">
                  <c:v>51.514000000000003</c:v>
                </c:pt>
                <c:pt idx="619">
                  <c:v>51.514000000000003</c:v>
                </c:pt>
                <c:pt idx="620">
                  <c:v>48.433999999999997</c:v>
                </c:pt>
                <c:pt idx="621">
                  <c:v>48.433999999999997</c:v>
                </c:pt>
                <c:pt idx="622">
                  <c:v>47.637</c:v>
                </c:pt>
                <c:pt idx="623">
                  <c:v>48.576000000000001</c:v>
                </c:pt>
                <c:pt idx="624">
                  <c:v>46.430999999999997</c:v>
                </c:pt>
                <c:pt idx="625">
                  <c:v>46.183</c:v>
                </c:pt>
                <c:pt idx="626">
                  <c:v>46.183</c:v>
                </c:pt>
                <c:pt idx="627">
                  <c:v>43.75</c:v>
                </c:pt>
                <c:pt idx="628">
                  <c:v>45.204000000000001</c:v>
                </c:pt>
                <c:pt idx="629">
                  <c:v>43.33</c:v>
                </c:pt>
                <c:pt idx="630">
                  <c:v>45.750999999999998</c:v>
                </c:pt>
                <c:pt idx="631">
                  <c:v>54.008000000000003</c:v>
                </c:pt>
                <c:pt idx="632">
                  <c:v>54.639000000000003</c:v>
                </c:pt>
                <c:pt idx="633">
                  <c:v>54.639000000000003</c:v>
                </c:pt>
                <c:pt idx="634">
                  <c:v>49.165999999999997</c:v>
                </c:pt>
                <c:pt idx="635">
                  <c:v>45.435000000000002</c:v>
                </c:pt>
                <c:pt idx="636">
                  <c:v>42.978000000000002</c:v>
                </c:pt>
                <c:pt idx="637">
                  <c:v>44.926000000000002</c:v>
                </c:pt>
                <c:pt idx="638">
                  <c:v>41.933999999999997</c:v>
                </c:pt>
                <c:pt idx="639">
                  <c:v>41.956000000000003</c:v>
                </c:pt>
                <c:pt idx="640">
                  <c:v>41.956000000000003</c:v>
                </c:pt>
                <c:pt idx="641">
                  <c:v>39.164999999999999</c:v>
                </c:pt>
                <c:pt idx="642">
                  <c:v>41.216000000000001</c:v>
                </c:pt>
                <c:pt idx="643">
                  <c:v>39.444000000000003</c:v>
                </c:pt>
                <c:pt idx="644">
                  <c:v>42.984999999999999</c:v>
                </c:pt>
                <c:pt idx="645">
                  <c:v>41.462000000000003</c:v>
                </c:pt>
                <c:pt idx="646">
                  <c:v>40.856000000000002</c:v>
                </c:pt>
                <c:pt idx="647">
                  <c:v>40.856000000000002</c:v>
                </c:pt>
                <c:pt idx="648">
                  <c:v>43.289000000000001</c:v>
                </c:pt>
                <c:pt idx="649">
                  <c:v>42.98</c:v>
                </c:pt>
                <c:pt idx="650">
                  <c:v>42.606000000000002</c:v>
                </c:pt>
                <c:pt idx="651">
                  <c:v>43.247</c:v>
                </c:pt>
                <c:pt idx="652">
                  <c:v>47.820999999999998</c:v>
                </c:pt>
                <c:pt idx="653">
                  <c:v>47.307000000000002</c:v>
                </c:pt>
                <c:pt idx="654">
                  <c:v>47.307000000000002</c:v>
                </c:pt>
                <c:pt idx="655">
                  <c:v>52.16</c:v>
                </c:pt>
                <c:pt idx="656">
                  <c:v>47.301000000000002</c:v>
                </c:pt>
                <c:pt idx="657">
                  <c:v>45.521000000000001</c:v>
                </c:pt>
                <c:pt idx="658">
                  <c:v>43.244999999999997</c:v>
                </c:pt>
                <c:pt idx="659">
                  <c:v>43.317999999999998</c:v>
                </c:pt>
                <c:pt idx="660">
                  <c:v>43.317999999999998</c:v>
                </c:pt>
                <c:pt idx="661">
                  <c:v>43.317999999999998</c:v>
                </c:pt>
                <c:pt idx="662">
                  <c:v>43.317999999999998</c:v>
                </c:pt>
                <c:pt idx="663">
                  <c:v>44.185000000000002</c:v>
                </c:pt>
                <c:pt idx="664">
                  <c:v>44.055999999999997</c:v>
                </c:pt>
                <c:pt idx="665">
                  <c:v>43.027999999999999</c:v>
                </c:pt>
                <c:pt idx="666">
                  <c:v>41.581000000000003</c:v>
                </c:pt>
                <c:pt idx="667">
                  <c:v>41.426000000000002</c:v>
                </c:pt>
                <c:pt idx="668">
                  <c:v>41.426000000000002</c:v>
                </c:pt>
                <c:pt idx="669">
                  <c:v>41.668999999999997</c:v>
                </c:pt>
                <c:pt idx="670">
                  <c:v>42.790999999999997</c:v>
                </c:pt>
                <c:pt idx="671">
                  <c:v>40.226999999999997</c:v>
                </c:pt>
                <c:pt idx="672">
                  <c:v>41.017000000000003</c:v>
                </c:pt>
                <c:pt idx="673">
                  <c:v>40.415999999999997</c:v>
                </c:pt>
                <c:pt idx="674">
                  <c:v>40.420999999999999</c:v>
                </c:pt>
                <c:pt idx="675">
                  <c:v>40.420999999999999</c:v>
                </c:pt>
                <c:pt idx="676">
                  <c:v>39.878999999999998</c:v>
                </c:pt>
                <c:pt idx="677">
                  <c:v>40.116999999999997</c:v>
                </c:pt>
                <c:pt idx="678">
                  <c:v>38.877000000000002</c:v>
                </c:pt>
                <c:pt idx="679">
                  <c:v>39.247</c:v>
                </c:pt>
                <c:pt idx="680">
                  <c:v>38.316000000000003</c:v>
                </c:pt>
                <c:pt idx="681">
                  <c:v>38.21</c:v>
                </c:pt>
                <c:pt idx="682">
                  <c:v>38.21</c:v>
                </c:pt>
                <c:pt idx="683">
                  <c:v>38.21</c:v>
                </c:pt>
                <c:pt idx="684">
                  <c:v>37.353999999999999</c:v>
                </c:pt>
                <c:pt idx="685">
                  <c:v>36.406999999999996</c:v>
                </c:pt>
                <c:pt idx="686">
                  <c:v>35.088000000000001</c:v>
                </c:pt>
                <c:pt idx="687">
                  <c:v>35.957999999999998</c:v>
                </c:pt>
                <c:pt idx="688">
                  <c:v>35.965000000000003</c:v>
                </c:pt>
                <c:pt idx="689">
                  <c:v>35.965000000000003</c:v>
                </c:pt>
                <c:pt idx="690">
                  <c:v>35.965000000000003</c:v>
                </c:pt>
                <c:pt idx="691">
                  <c:v>35.868000000000002</c:v>
                </c:pt>
                <c:pt idx="692">
                  <c:v>35.130000000000003</c:v>
                </c:pt>
                <c:pt idx="693">
                  <c:v>34.375999999999998</c:v>
                </c:pt>
                <c:pt idx="694">
                  <c:v>31.635000000000002</c:v>
                </c:pt>
                <c:pt idx="695">
                  <c:v>31.375</c:v>
                </c:pt>
                <c:pt idx="696">
                  <c:v>31.375</c:v>
                </c:pt>
                <c:pt idx="697">
                  <c:v>31.181000000000001</c:v>
                </c:pt>
                <c:pt idx="698">
                  <c:v>31.815000000000001</c:v>
                </c:pt>
                <c:pt idx="699">
                  <c:v>31.433</c:v>
                </c:pt>
                <c:pt idx="700">
                  <c:v>29.521999999999998</c:v>
                </c:pt>
                <c:pt idx="701">
                  <c:v>28.975000000000001</c:v>
                </c:pt>
                <c:pt idx="702">
                  <c:v>28.363</c:v>
                </c:pt>
                <c:pt idx="703">
                  <c:v>28.363</c:v>
                </c:pt>
                <c:pt idx="704">
                  <c:v>28.36</c:v>
                </c:pt>
                <c:pt idx="705">
                  <c:v>29.164999999999999</c:v>
                </c:pt>
                <c:pt idx="706">
                  <c:v>27.587</c:v>
                </c:pt>
                <c:pt idx="707">
                  <c:v>25.097999999999999</c:v>
                </c:pt>
                <c:pt idx="708">
                  <c:v>24.195</c:v>
                </c:pt>
                <c:pt idx="709">
                  <c:v>23.832000000000001</c:v>
                </c:pt>
                <c:pt idx="710">
                  <c:v>23.832000000000001</c:v>
                </c:pt>
                <c:pt idx="711">
                  <c:v>24.4</c:v>
                </c:pt>
                <c:pt idx="712">
                  <c:v>25.22</c:v>
                </c:pt>
                <c:pt idx="713">
                  <c:v>25.785</c:v>
                </c:pt>
                <c:pt idx="714">
                  <c:v>23.201000000000001</c:v>
                </c:pt>
                <c:pt idx="715">
                  <c:v>23.594000000000001</c:v>
                </c:pt>
                <c:pt idx="716">
                  <c:v>23.573</c:v>
                </c:pt>
                <c:pt idx="717">
                  <c:v>23.573</c:v>
                </c:pt>
                <c:pt idx="718">
                  <c:v>28.654</c:v>
                </c:pt>
                <c:pt idx="719">
                  <c:v>25.466999999999999</c:v>
                </c:pt>
                <c:pt idx="720">
                  <c:v>26.48</c:v>
                </c:pt>
                <c:pt idx="721">
                  <c:v>26.914000000000001</c:v>
                </c:pt>
                <c:pt idx="722">
                  <c:v>31.815000000000001</c:v>
                </c:pt>
                <c:pt idx="723">
                  <c:v>31.87</c:v>
                </c:pt>
                <c:pt idx="724">
                  <c:v>31.87</c:v>
                </c:pt>
                <c:pt idx="725">
                  <c:v>30.303000000000001</c:v>
                </c:pt>
                <c:pt idx="726">
                  <c:v>35.552</c:v>
                </c:pt>
                <c:pt idx="727">
                  <c:v>38.058999999999997</c:v>
                </c:pt>
                <c:pt idx="728">
                  <c:v>41.097999999999999</c:v>
                </c:pt>
                <c:pt idx="729">
                  <c:v>34.200000000000003</c:v>
                </c:pt>
                <c:pt idx="730">
                  <c:v>33.619</c:v>
                </c:pt>
                <c:pt idx="731">
                  <c:v>33.619</c:v>
                </c:pt>
                <c:pt idx="732">
                  <c:v>34.850999999999999</c:v>
                </c:pt>
                <c:pt idx="733">
                  <c:v>38.124000000000002</c:v>
                </c:pt>
                <c:pt idx="734">
                  <c:v>37.588999999999999</c:v>
                </c:pt>
                <c:pt idx="735">
                  <c:v>34.122</c:v>
                </c:pt>
                <c:pt idx="736">
                  <c:v>32.457000000000001</c:v>
                </c:pt>
                <c:pt idx="737">
                  <c:v>32.228999999999999</c:v>
                </c:pt>
                <c:pt idx="738">
                  <c:v>32.228999999999999</c:v>
                </c:pt>
                <c:pt idx="739">
                  <c:v>32.598999999999997</c:v>
                </c:pt>
                <c:pt idx="740">
                  <c:v>34.975999999999999</c:v>
                </c:pt>
                <c:pt idx="741">
                  <c:v>34.575000000000003</c:v>
                </c:pt>
                <c:pt idx="742">
                  <c:v>34.459000000000003</c:v>
                </c:pt>
                <c:pt idx="743">
                  <c:v>36.619999999999997</c:v>
                </c:pt>
                <c:pt idx="744">
                  <c:v>36.576999999999998</c:v>
                </c:pt>
                <c:pt idx="745">
                  <c:v>36.576999999999998</c:v>
                </c:pt>
                <c:pt idx="746">
                  <c:v>34.000999999999998</c:v>
                </c:pt>
                <c:pt idx="747">
                  <c:v>34.695</c:v>
                </c:pt>
                <c:pt idx="748">
                  <c:v>33.933</c:v>
                </c:pt>
                <c:pt idx="749">
                  <c:v>31.888999999999999</c:v>
                </c:pt>
                <c:pt idx="750">
                  <c:v>32.557000000000002</c:v>
                </c:pt>
                <c:pt idx="751">
                  <c:v>32.204999999999998</c:v>
                </c:pt>
                <c:pt idx="752">
                  <c:v>32.204999999999998</c:v>
                </c:pt>
                <c:pt idx="753">
                  <c:v>29.742999999999999</c:v>
                </c:pt>
                <c:pt idx="754">
                  <c:v>28.587</c:v>
                </c:pt>
                <c:pt idx="755">
                  <c:v>26.539000000000001</c:v>
                </c:pt>
                <c:pt idx="756">
                  <c:v>26.097000000000001</c:v>
                </c:pt>
                <c:pt idx="757">
                  <c:v>25.074000000000002</c:v>
                </c:pt>
                <c:pt idx="758">
                  <c:v>24.914999999999999</c:v>
                </c:pt>
                <c:pt idx="759">
                  <c:v>24.914999999999999</c:v>
                </c:pt>
                <c:pt idx="760">
                  <c:v>25</c:v>
                </c:pt>
                <c:pt idx="761">
                  <c:v>26.975999999999999</c:v>
                </c:pt>
                <c:pt idx="762">
                  <c:v>26.442</c:v>
                </c:pt>
                <c:pt idx="763">
                  <c:v>27.942</c:v>
                </c:pt>
                <c:pt idx="764">
                  <c:v>27.375</c:v>
                </c:pt>
                <c:pt idx="765">
                  <c:v>27.38</c:v>
                </c:pt>
                <c:pt idx="766">
                  <c:v>27.38</c:v>
                </c:pt>
                <c:pt idx="767">
                  <c:v>29.937000000000001</c:v>
                </c:pt>
                <c:pt idx="768">
                  <c:v>32.314999999999998</c:v>
                </c:pt>
                <c:pt idx="769">
                  <c:v>28.878</c:v>
                </c:pt>
                <c:pt idx="770">
                  <c:v>28.027000000000001</c:v>
                </c:pt>
                <c:pt idx="771">
                  <c:v>25.262</c:v>
                </c:pt>
                <c:pt idx="772">
                  <c:v>25.193999999999999</c:v>
                </c:pt>
                <c:pt idx="773">
                  <c:v>25.193999999999999</c:v>
                </c:pt>
                <c:pt idx="774">
                  <c:v>26.895</c:v>
                </c:pt>
                <c:pt idx="775">
                  <c:v>26.099</c:v>
                </c:pt>
                <c:pt idx="776">
                  <c:v>27.530999999999999</c:v>
                </c:pt>
                <c:pt idx="777">
                  <c:v>29.904</c:v>
                </c:pt>
                <c:pt idx="778">
                  <c:v>28.577999999999999</c:v>
                </c:pt>
                <c:pt idx="779">
                  <c:v>28.456</c:v>
                </c:pt>
                <c:pt idx="780">
                  <c:v>28.456</c:v>
                </c:pt>
                <c:pt idx="781">
                  <c:v>29.47</c:v>
                </c:pt>
                <c:pt idx="782">
                  <c:v>29.445</c:v>
                </c:pt>
                <c:pt idx="783">
                  <c:v>37.625</c:v>
                </c:pt>
                <c:pt idx="784">
                  <c:v>34.673000000000002</c:v>
                </c:pt>
                <c:pt idx="785">
                  <c:v>31.579000000000001</c:v>
                </c:pt>
                <c:pt idx="786">
                  <c:v>31.248999999999999</c:v>
                </c:pt>
                <c:pt idx="787">
                  <c:v>31.248999999999999</c:v>
                </c:pt>
                <c:pt idx="788">
                  <c:v>31.835999999999999</c:v>
                </c:pt>
                <c:pt idx="789">
                  <c:v>36.216999999999999</c:v>
                </c:pt>
                <c:pt idx="790">
                  <c:v>35.024999999999999</c:v>
                </c:pt>
                <c:pt idx="791">
                  <c:v>33.290999999999997</c:v>
                </c:pt>
                <c:pt idx="792">
                  <c:v>34.033000000000001</c:v>
                </c:pt>
                <c:pt idx="793">
                  <c:v>34.192</c:v>
                </c:pt>
                <c:pt idx="794">
                  <c:v>34.192</c:v>
                </c:pt>
                <c:pt idx="795">
                  <c:v>39.545000000000002</c:v>
                </c:pt>
                <c:pt idx="796">
                  <c:v>42.835000000000001</c:v>
                </c:pt>
                <c:pt idx="797">
                  <c:v>36.670999999999999</c:v>
                </c:pt>
                <c:pt idx="798">
                  <c:v>31.85</c:v>
                </c:pt>
                <c:pt idx="799">
                  <c:v>35.354999999999997</c:v>
                </c:pt>
                <c:pt idx="800">
                  <c:v>34.734000000000002</c:v>
                </c:pt>
                <c:pt idx="801">
                  <c:v>34.734000000000002</c:v>
                </c:pt>
                <c:pt idx="802">
                  <c:v>34.734000000000002</c:v>
                </c:pt>
                <c:pt idx="803">
                  <c:v>35.302</c:v>
                </c:pt>
                <c:pt idx="804">
                  <c:v>35.811</c:v>
                </c:pt>
                <c:pt idx="805">
                  <c:v>31.658999999999999</c:v>
                </c:pt>
                <c:pt idx="806">
                  <c:v>32.337000000000003</c:v>
                </c:pt>
                <c:pt idx="807">
                  <c:v>32.508000000000003</c:v>
                </c:pt>
                <c:pt idx="808">
                  <c:v>32.508000000000003</c:v>
                </c:pt>
                <c:pt idx="809">
                  <c:v>31.018000000000001</c:v>
                </c:pt>
                <c:pt idx="810">
                  <c:v>32.860999999999997</c:v>
                </c:pt>
                <c:pt idx="811">
                  <c:v>30.120999999999999</c:v>
                </c:pt>
                <c:pt idx="812">
                  <c:v>32.676000000000002</c:v>
                </c:pt>
                <c:pt idx="813">
                  <c:v>34.21</c:v>
                </c:pt>
                <c:pt idx="814">
                  <c:v>34.484000000000002</c:v>
                </c:pt>
                <c:pt idx="815">
                  <c:v>34.484000000000002</c:v>
                </c:pt>
                <c:pt idx="816">
                  <c:v>37.411999999999999</c:v>
                </c:pt>
                <c:pt idx="817">
                  <c:v>35.970999999999997</c:v>
                </c:pt>
                <c:pt idx="818">
                  <c:v>37.472000000000001</c:v>
                </c:pt>
                <c:pt idx="819">
                  <c:v>35.646000000000001</c:v>
                </c:pt>
                <c:pt idx="820">
                  <c:v>36.5</c:v>
                </c:pt>
                <c:pt idx="821">
                  <c:v>36.762999999999998</c:v>
                </c:pt>
                <c:pt idx="822">
                  <c:v>36.762999999999998</c:v>
                </c:pt>
                <c:pt idx="823">
                  <c:v>34.32</c:v>
                </c:pt>
                <c:pt idx="824">
                  <c:v>37.814999999999998</c:v>
                </c:pt>
                <c:pt idx="825">
                  <c:v>37.860999999999997</c:v>
                </c:pt>
                <c:pt idx="826">
                  <c:v>39.176000000000002</c:v>
                </c:pt>
                <c:pt idx="827">
                  <c:v>40.494</c:v>
                </c:pt>
                <c:pt idx="828">
                  <c:v>40.371000000000002</c:v>
                </c:pt>
                <c:pt idx="829">
                  <c:v>40.371000000000002</c:v>
                </c:pt>
                <c:pt idx="830">
                  <c:v>45.027000000000001</c:v>
                </c:pt>
                <c:pt idx="831">
                  <c:v>40.183</c:v>
                </c:pt>
                <c:pt idx="832">
                  <c:v>39.76</c:v>
                </c:pt>
                <c:pt idx="833">
                  <c:v>39.914999999999999</c:v>
                </c:pt>
                <c:pt idx="834">
                  <c:v>37.424999999999997</c:v>
                </c:pt>
                <c:pt idx="835">
                  <c:v>37.22</c:v>
                </c:pt>
                <c:pt idx="836">
                  <c:v>37.22</c:v>
                </c:pt>
                <c:pt idx="837">
                  <c:v>32.360999999999997</c:v>
                </c:pt>
                <c:pt idx="838">
                  <c:v>29.648</c:v>
                </c:pt>
                <c:pt idx="839">
                  <c:v>33.268000000000001</c:v>
                </c:pt>
                <c:pt idx="840">
                  <c:v>28.071999999999999</c:v>
                </c:pt>
                <c:pt idx="841">
                  <c:v>32.262</c:v>
                </c:pt>
                <c:pt idx="842">
                  <c:v>32.408000000000001</c:v>
                </c:pt>
                <c:pt idx="843">
                  <c:v>32.408000000000001</c:v>
                </c:pt>
                <c:pt idx="844">
                  <c:v>38.902999999999999</c:v>
                </c:pt>
                <c:pt idx="845">
                  <c:v>45.497</c:v>
                </c:pt>
                <c:pt idx="846">
                  <c:v>44.707999999999998</c:v>
                </c:pt>
                <c:pt idx="847">
                  <c:v>48.645000000000003</c:v>
                </c:pt>
                <c:pt idx="848">
                  <c:v>54.563000000000002</c:v>
                </c:pt>
                <c:pt idx="849">
                  <c:v>53.106999999999999</c:v>
                </c:pt>
                <c:pt idx="850">
                  <c:v>53.106999999999999</c:v>
                </c:pt>
                <c:pt idx="851">
                  <c:v>47.777000000000001</c:v>
                </c:pt>
                <c:pt idx="852">
                  <c:v>45.249000000000002</c:v>
                </c:pt>
                <c:pt idx="853">
                  <c:v>48.372999999999998</c:v>
                </c:pt>
                <c:pt idx="854">
                  <c:v>45.011000000000003</c:v>
                </c:pt>
                <c:pt idx="855">
                  <c:v>45.99</c:v>
                </c:pt>
                <c:pt idx="856">
                  <c:v>45.51</c:v>
                </c:pt>
                <c:pt idx="857">
                  <c:v>45.51</c:v>
                </c:pt>
                <c:pt idx="858">
                  <c:v>47.929000000000002</c:v>
                </c:pt>
                <c:pt idx="859">
                  <c:v>48.139000000000003</c:v>
                </c:pt>
                <c:pt idx="860">
                  <c:v>48.887999999999998</c:v>
                </c:pt>
                <c:pt idx="861">
                  <c:v>48.813000000000002</c:v>
                </c:pt>
                <c:pt idx="862">
                  <c:v>47.305999999999997</c:v>
                </c:pt>
                <c:pt idx="863">
                  <c:v>47.17</c:v>
                </c:pt>
                <c:pt idx="864">
                  <c:v>47.17</c:v>
                </c:pt>
                <c:pt idx="865">
                  <c:v>48.241</c:v>
                </c:pt>
                <c:pt idx="866">
                  <c:v>40.386000000000003</c:v>
                </c:pt>
                <c:pt idx="867">
                  <c:v>37.085999999999999</c:v>
                </c:pt>
                <c:pt idx="868">
                  <c:v>40.020000000000003</c:v>
                </c:pt>
                <c:pt idx="869">
                  <c:v>40.412999999999997</c:v>
                </c:pt>
                <c:pt idx="870">
                  <c:v>40.26</c:v>
                </c:pt>
                <c:pt idx="871">
                  <c:v>40.26</c:v>
                </c:pt>
                <c:pt idx="872">
                  <c:v>40.999000000000002</c:v>
                </c:pt>
                <c:pt idx="873">
                  <c:v>42.966999999999999</c:v>
                </c:pt>
                <c:pt idx="874">
                  <c:v>43.652999999999999</c:v>
                </c:pt>
                <c:pt idx="875">
                  <c:v>43.539000000000001</c:v>
                </c:pt>
                <c:pt idx="876">
                  <c:v>42.767000000000003</c:v>
                </c:pt>
                <c:pt idx="877">
                  <c:v>42.292999999999999</c:v>
                </c:pt>
                <c:pt idx="878">
                  <c:v>42.292999999999999</c:v>
                </c:pt>
                <c:pt idx="879">
                  <c:v>41.488999999999997</c:v>
                </c:pt>
                <c:pt idx="880">
                  <c:v>43.887</c:v>
                </c:pt>
                <c:pt idx="881">
                  <c:v>46.137999999999998</c:v>
                </c:pt>
                <c:pt idx="882">
                  <c:v>45.198999999999998</c:v>
                </c:pt>
                <c:pt idx="883">
                  <c:v>44.706000000000003</c:v>
                </c:pt>
                <c:pt idx="884">
                  <c:v>44.570999999999998</c:v>
                </c:pt>
                <c:pt idx="885">
                  <c:v>44.570999999999998</c:v>
                </c:pt>
                <c:pt idx="886">
                  <c:v>45.734999999999999</c:v>
                </c:pt>
                <c:pt idx="887">
                  <c:v>43.831000000000003</c:v>
                </c:pt>
                <c:pt idx="888">
                  <c:v>44.389000000000003</c:v>
                </c:pt>
                <c:pt idx="889">
                  <c:v>46.404000000000003</c:v>
                </c:pt>
                <c:pt idx="890">
                  <c:v>46.795999999999999</c:v>
                </c:pt>
                <c:pt idx="891">
                  <c:v>46.158999999999999</c:v>
                </c:pt>
                <c:pt idx="892">
                  <c:v>46.158999999999999</c:v>
                </c:pt>
                <c:pt idx="893">
                  <c:v>44.302999999999997</c:v>
                </c:pt>
                <c:pt idx="894">
                  <c:v>44.225000000000001</c:v>
                </c:pt>
                <c:pt idx="895">
                  <c:v>41.716000000000001</c:v>
                </c:pt>
                <c:pt idx="896">
                  <c:v>41.226999999999997</c:v>
                </c:pt>
                <c:pt idx="897">
                  <c:v>43.47</c:v>
                </c:pt>
                <c:pt idx="898">
                  <c:v>43.298000000000002</c:v>
                </c:pt>
                <c:pt idx="899">
                  <c:v>43.298000000000002</c:v>
                </c:pt>
                <c:pt idx="900">
                  <c:v>39.738</c:v>
                </c:pt>
                <c:pt idx="901">
                  <c:v>37.930999999999997</c:v>
                </c:pt>
                <c:pt idx="902">
                  <c:v>38.860999999999997</c:v>
                </c:pt>
                <c:pt idx="903">
                  <c:v>39.363</c:v>
                </c:pt>
                <c:pt idx="904">
                  <c:v>38.215000000000003</c:v>
                </c:pt>
                <c:pt idx="905">
                  <c:v>38.122999999999998</c:v>
                </c:pt>
                <c:pt idx="906">
                  <c:v>38.122999999999998</c:v>
                </c:pt>
                <c:pt idx="907">
                  <c:v>35.351999999999997</c:v>
                </c:pt>
                <c:pt idx="908">
                  <c:v>34.491</c:v>
                </c:pt>
                <c:pt idx="909">
                  <c:v>35.084000000000003</c:v>
                </c:pt>
                <c:pt idx="910">
                  <c:v>34.116999999999997</c:v>
                </c:pt>
                <c:pt idx="911">
                  <c:v>31.408999999999999</c:v>
                </c:pt>
                <c:pt idx="912">
                  <c:v>31.164000000000001</c:v>
                </c:pt>
                <c:pt idx="913">
                  <c:v>31.164000000000001</c:v>
                </c:pt>
                <c:pt idx="914">
                  <c:v>34.338000000000001</c:v>
                </c:pt>
                <c:pt idx="915">
                  <c:v>32.045000000000002</c:v>
                </c:pt>
                <c:pt idx="916">
                  <c:v>32.795000000000002</c:v>
                </c:pt>
                <c:pt idx="917">
                  <c:v>33.286000000000001</c:v>
                </c:pt>
                <c:pt idx="918">
                  <c:v>32.671999999999997</c:v>
                </c:pt>
                <c:pt idx="919">
                  <c:v>32.323</c:v>
                </c:pt>
                <c:pt idx="920">
                  <c:v>32.323</c:v>
                </c:pt>
                <c:pt idx="921">
                  <c:v>31.725000000000001</c:v>
                </c:pt>
                <c:pt idx="922">
                  <c:v>32.825000000000003</c:v>
                </c:pt>
                <c:pt idx="923">
                  <c:v>34.292999999999999</c:v>
                </c:pt>
                <c:pt idx="924">
                  <c:v>31.535</c:v>
                </c:pt>
                <c:pt idx="925">
                  <c:v>29.518999999999998</c:v>
                </c:pt>
                <c:pt idx="926">
                  <c:v>29.927</c:v>
                </c:pt>
                <c:pt idx="927">
                  <c:v>29.927</c:v>
                </c:pt>
                <c:pt idx="928">
                  <c:v>28.375</c:v>
                </c:pt>
                <c:pt idx="929">
                  <c:v>28.904</c:v>
                </c:pt>
                <c:pt idx="930">
                  <c:v>31.672000000000001</c:v>
                </c:pt>
                <c:pt idx="931">
                  <c:v>32.652000000000001</c:v>
                </c:pt>
                <c:pt idx="932">
                  <c:v>34.472999999999999</c:v>
                </c:pt>
                <c:pt idx="933">
                  <c:v>33.841999999999999</c:v>
                </c:pt>
                <c:pt idx="934">
                  <c:v>33.841999999999999</c:v>
                </c:pt>
                <c:pt idx="935">
                  <c:v>31.498999999999999</c:v>
                </c:pt>
                <c:pt idx="936">
                  <c:v>31.026</c:v>
                </c:pt>
                <c:pt idx="937">
                  <c:v>31.227</c:v>
                </c:pt>
                <c:pt idx="938">
                  <c:v>30.948</c:v>
                </c:pt>
                <c:pt idx="939">
                  <c:v>32.024000000000001</c:v>
                </c:pt>
                <c:pt idx="940">
                  <c:v>31.640999999999998</c:v>
                </c:pt>
                <c:pt idx="941">
                  <c:v>31.640999999999998</c:v>
                </c:pt>
                <c:pt idx="942">
                  <c:v>30.297999999999998</c:v>
                </c:pt>
                <c:pt idx="943">
                  <c:v>29.925000000000001</c:v>
                </c:pt>
                <c:pt idx="944">
                  <c:v>28.016999999999999</c:v>
                </c:pt>
                <c:pt idx="945">
                  <c:v>28.577000000000002</c:v>
                </c:pt>
                <c:pt idx="946">
                  <c:v>28.045000000000002</c:v>
                </c:pt>
                <c:pt idx="947">
                  <c:v>28.26</c:v>
                </c:pt>
                <c:pt idx="948">
                  <c:v>28.26</c:v>
                </c:pt>
                <c:pt idx="949">
                  <c:v>27.013999999999999</c:v>
                </c:pt>
                <c:pt idx="950">
                  <c:v>26.815999999999999</c:v>
                </c:pt>
                <c:pt idx="951">
                  <c:v>28.863</c:v>
                </c:pt>
                <c:pt idx="952">
                  <c:v>27.417000000000002</c:v>
                </c:pt>
                <c:pt idx="953">
                  <c:v>27.832000000000001</c:v>
                </c:pt>
                <c:pt idx="954">
                  <c:v>27.786999999999999</c:v>
                </c:pt>
                <c:pt idx="955">
                  <c:v>27.786999999999999</c:v>
                </c:pt>
                <c:pt idx="956">
                  <c:v>28.334</c:v>
                </c:pt>
                <c:pt idx="957">
                  <c:v>29.675999999999998</c:v>
                </c:pt>
                <c:pt idx="958">
                  <c:v>29.61</c:v>
                </c:pt>
                <c:pt idx="959">
                  <c:v>28.594000000000001</c:v>
                </c:pt>
                <c:pt idx="960">
                  <c:v>28.754000000000001</c:v>
                </c:pt>
                <c:pt idx="961">
                  <c:v>28.707000000000001</c:v>
                </c:pt>
                <c:pt idx="962">
                  <c:v>28.707000000000001</c:v>
                </c:pt>
                <c:pt idx="963">
                  <c:v>27.72</c:v>
                </c:pt>
                <c:pt idx="964">
                  <c:v>28.827000000000002</c:v>
                </c:pt>
                <c:pt idx="965">
                  <c:v>28.556999999999999</c:v>
                </c:pt>
                <c:pt idx="966">
                  <c:v>27.567</c:v>
                </c:pt>
                <c:pt idx="967">
                  <c:v>26.824000000000002</c:v>
                </c:pt>
                <c:pt idx="968">
                  <c:v>26.651</c:v>
                </c:pt>
                <c:pt idx="969">
                  <c:v>26.651</c:v>
                </c:pt>
                <c:pt idx="970">
                  <c:v>25.68</c:v>
                </c:pt>
                <c:pt idx="971">
                  <c:v>25.367999999999999</c:v>
                </c:pt>
                <c:pt idx="972">
                  <c:v>24.654</c:v>
                </c:pt>
                <c:pt idx="973">
                  <c:v>24.471</c:v>
                </c:pt>
                <c:pt idx="974">
                  <c:v>24.488</c:v>
                </c:pt>
                <c:pt idx="975">
                  <c:v>24.414000000000001</c:v>
                </c:pt>
                <c:pt idx="976">
                  <c:v>24.414000000000001</c:v>
                </c:pt>
                <c:pt idx="977">
                  <c:v>23.411000000000001</c:v>
                </c:pt>
                <c:pt idx="978">
                  <c:v>23.763999999999999</c:v>
                </c:pt>
                <c:pt idx="979">
                  <c:v>23.931999999999999</c:v>
                </c:pt>
                <c:pt idx="980">
                  <c:v>23.035</c:v>
                </c:pt>
                <c:pt idx="981">
                  <c:v>23.242000000000001</c:v>
                </c:pt>
                <c:pt idx="982">
                  <c:v>23.041</c:v>
                </c:pt>
                <c:pt idx="983">
                  <c:v>23.041</c:v>
                </c:pt>
                <c:pt idx="984">
                  <c:v>24.132000000000001</c:v>
                </c:pt>
                <c:pt idx="985">
                  <c:v>24.731000000000002</c:v>
                </c:pt>
                <c:pt idx="986">
                  <c:v>25.405999999999999</c:v>
                </c:pt>
                <c:pt idx="987">
                  <c:v>24.876000000000001</c:v>
                </c:pt>
                <c:pt idx="988">
                  <c:v>25.751999999999999</c:v>
                </c:pt>
                <c:pt idx="989">
                  <c:v>25.417000000000002</c:v>
                </c:pt>
                <c:pt idx="990">
                  <c:v>25.417000000000002</c:v>
                </c:pt>
                <c:pt idx="991">
                  <c:v>27.155000000000001</c:v>
                </c:pt>
                <c:pt idx="992">
                  <c:v>27.449000000000002</c:v>
                </c:pt>
                <c:pt idx="993">
                  <c:v>26.298999999999999</c:v>
                </c:pt>
                <c:pt idx="994">
                  <c:v>25.667000000000002</c:v>
                </c:pt>
                <c:pt idx="995">
                  <c:v>26.401</c:v>
                </c:pt>
                <c:pt idx="996">
                  <c:v>26.181000000000001</c:v>
                </c:pt>
                <c:pt idx="997">
                  <c:v>26.181000000000001</c:v>
                </c:pt>
                <c:pt idx="998">
                  <c:v>25.033000000000001</c:v>
                </c:pt>
                <c:pt idx="999">
                  <c:v>24.747</c:v>
                </c:pt>
                <c:pt idx="1000">
                  <c:v>24.702000000000002</c:v>
                </c:pt>
                <c:pt idx="1001">
                  <c:v>25.373000000000001</c:v>
                </c:pt>
                <c:pt idx="1002">
                  <c:v>27.05</c:v>
                </c:pt>
                <c:pt idx="1003">
                  <c:v>26.803000000000001</c:v>
                </c:pt>
                <c:pt idx="1004">
                  <c:v>26.803000000000001</c:v>
                </c:pt>
                <c:pt idx="1005">
                  <c:v>28.61</c:v>
                </c:pt>
                <c:pt idx="1006">
                  <c:v>28.661999999999999</c:v>
                </c:pt>
                <c:pt idx="1007">
                  <c:v>27.792000000000002</c:v>
                </c:pt>
                <c:pt idx="1008">
                  <c:v>26.306000000000001</c:v>
                </c:pt>
                <c:pt idx="1009">
                  <c:v>27.6</c:v>
                </c:pt>
                <c:pt idx="1010">
                  <c:v>27.385000000000002</c:v>
                </c:pt>
                <c:pt idx="1011">
                  <c:v>27.385000000000002</c:v>
                </c:pt>
                <c:pt idx="1012">
                  <c:v>28.177</c:v>
                </c:pt>
                <c:pt idx="1013">
                  <c:v>27.097000000000001</c:v>
                </c:pt>
                <c:pt idx="1014">
                  <c:v>27.596</c:v>
                </c:pt>
                <c:pt idx="1015">
                  <c:v>27.509</c:v>
                </c:pt>
                <c:pt idx="1016">
                  <c:v>26.817</c:v>
                </c:pt>
                <c:pt idx="1017">
                  <c:v>26.817</c:v>
                </c:pt>
                <c:pt idx="1018">
                  <c:v>26.817</c:v>
                </c:pt>
                <c:pt idx="1019">
                  <c:v>26.817</c:v>
                </c:pt>
                <c:pt idx="1020">
                  <c:v>26.395</c:v>
                </c:pt>
                <c:pt idx="1021">
                  <c:v>25.715</c:v>
                </c:pt>
                <c:pt idx="1022">
                  <c:v>25.866</c:v>
                </c:pt>
                <c:pt idx="1023">
                  <c:v>26.29</c:v>
                </c:pt>
                <c:pt idx="1024">
                  <c:v>26.268000000000001</c:v>
                </c:pt>
                <c:pt idx="1025">
                  <c:v>26.268000000000001</c:v>
                </c:pt>
                <c:pt idx="1026">
                  <c:v>27.672000000000001</c:v>
                </c:pt>
                <c:pt idx="1027">
                  <c:v>27.302</c:v>
                </c:pt>
                <c:pt idx="1028">
                  <c:v>27.277999999999999</c:v>
                </c:pt>
                <c:pt idx="1029">
                  <c:v>29.271999999999998</c:v>
                </c:pt>
                <c:pt idx="1030">
                  <c:v>30.190999999999999</c:v>
                </c:pt>
                <c:pt idx="1031">
                  <c:v>30.045000000000002</c:v>
                </c:pt>
                <c:pt idx="1032">
                  <c:v>30.045000000000002</c:v>
                </c:pt>
                <c:pt idx="1033">
                  <c:v>31.521999999999998</c:v>
                </c:pt>
                <c:pt idx="1034">
                  <c:v>33.89</c:v>
                </c:pt>
                <c:pt idx="1035">
                  <c:v>31.8</c:v>
                </c:pt>
                <c:pt idx="1036">
                  <c:v>32.69</c:v>
                </c:pt>
                <c:pt idx="1037">
                  <c:v>31.257000000000001</c:v>
                </c:pt>
                <c:pt idx="1038">
                  <c:v>31.048999999999999</c:v>
                </c:pt>
                <c:pt idx="1039">
                  <c:v>31.048999999999999</c:v>
                </c:pt>
                <c:pt idx="1040">
                  <c:v>29.885999999999999</c:v>
                </c:pt>
                <c:pt idx="1041">
                  <c:v>28.962</c:v>
                </c:pt>
                <c:pt idx="1042">
                  <c:v>29.988</c:v>
                </c:pt>
                <c:pt idx="1043">
                  <c:v>30.329000000000001</c:v>
                </c:pt>
                <c:pt idx="1044">
                  <c:v>28.823</c:v>
                </c:pt>
                <c:pt idx="1045">
                  <c:v>28.815000000000001</c:v>
                </c:pt>
                <c:pt idx="1046">
                  <c:v>28.815000000000001</c:v>
                </c:pt>
                <c:pt idx="1047">
                  <c:v>27.712</c:v>
                </c:pt>
                <c:pt idx="1048">
                  <c:v>28.945</c:v>
                </c:pt>
                <c:pt idx="1049">
                  <c:v>28.945</c:v>
                </c:pt>
                <c:pt idx="1050">
                  <c:v>30.748999999999999</c:v>
                </c:pt>
                <c:pt idx="1051">
                  <c:v>30.126999999999999</c:v>
                </c:pt>
                <c:pt idx="1052">
                  <c:v>30.062999999999999</c:v>
                </c:pt>
                <c:pt idx="1053">
                  <c:v>30.062999999999999</c:v>
                </c:pt>
                <c:pt idx="1054">
                  <c:v>30.062999999999999</c:v>
                </c:pt>
                <c:pt idx="1055">
                  <c:v>31.341999999999999</c:v>
                </c:pt>
                <c:pt idx="1056">
                  <c:v>30.465</c:v>
                </c:pt>
                <c:pt idx="1057">
                  <c:v>30.638999999999999</c:v>
                </c:pt>
                <c:pt idx="1058">
                  <c:v>29.355</c:v>
                </c:pt>
                <c:pt idx="1059">
                  <c:v>29.248999999999999</c:v>
                </c:pt>
                <c:pt idx="1060">
                  <c:v>29.248999999999999</c:v>
                </c:pt>
                <c:pt idx="1061">
                  <c:v>28.734000000000002</c:v>
                </c:pt>
                <c:pt idx="1062">
                  <c:v>28.975999999999999</c:v>
                </c:pt>
                <c:pt idx="1063">
                  <c:v>29.385999999999999</c:v>
                </c:pt>
                <c:pt idx="1064">
                  <c:v>30.097000000000001</c:v>
                </c:pt>
                <c:pt idx="1065">
                  <c:v>30.359000000000002</c:v>
                </c:pt>
                <c:pt idx="1066">
                  <c:v>30.273</c:v>
                </c:pt>
                <c:pt idx="1067">
                  <c:v>30.273</c:v>
                </c:pt>
                <c:pt idx="1068">
                  <c:v>32.134</c:v>
                </c:pt>
                <c:pt idx="1069">
                  <c:v>32.991</c:v>
                </c:pt>
                <c:pt idx="1070">
                  <c:v>34.494</c:v>
                </c:pt>
                <c:pt idx="1071">
                  <c:v>35.453000000000003</c:v>
                </c:pt>
                <c:pt idx="1072">
                  <c:v>34.311999999999998</c:v>
                </c:pt>
                <c:pt idx="1073">
                  <c:v>34.296999999999997</c:v>
                </c:pt>
                <c:pt idx="1074">
                  <c:v>34.296999999999997</c:v>
                </c:pt>
                <c:pt idx="1075">
                  <c:v>34.274999999999999</c:v>
                </c:pt>
                <c:pt idx="1076">
                  <c:v>33.854999999999997</c:v>
                </c:pt>
                <c:pt idx="1077">
                  <c:v>34.344000000000001</c:v>
                </c:pt>
                <c:pt idx="1078">
                  <c:v>35.049999999999997</c:v>
                </c:pt>
                <c:pt idx="1079">
                  <c:v>34.395000000000003</c:v>
                </c:pt>
                <c:pt idx="1080">
                  <c:v>34.261000000000003</c:v>
                </c:pt>
                <c:pt idx="1081">
                  <c:v>34.261000000000003</c:v>
                </c:pt>
                <c:pt idx="1082">
                  <c:v>36.058999999999997</c:v>
                </c:pt>
                <c:pt idx="1083">
                  <c:v>33.945999999999998</c:v>
                </c:pt>
                <c:pt idx="1084">
                  <c:v>33.283999999999999</c:v>
                </c:pt>
                <c:pt idx="1085">
                  <c:v>33.183999999999997</c:v>
                </c:pt>
                <c:pt idx="1086">
                  <c:v>32.844000000000001</c:v>
                </c:pt>
                <c:pt idx="1087">
                  <c:v>32.722999999999999</c:v>
                </c:pt>
                <c:pt idx="1088">
                  <c:v>34.450000000000003</c:v>
                </c:pt>
                <c:pt idx="1089">
                  <c:v>34.301000000000002</c:v>
                </c:pt>
                <c:pt idx="1090">
                  <c:v>34.301000000000002</c:v>
                </c:pt>
                <c:pt idx="1091">
                  <c:v>35.082000000000001</c:v>
                </c:pt>
                <c:pt idx="1092">
                  <c:v>35.307000000000002</c:v>
                </c:pt>
                <c:pt idx="1093">
                  <c:v>35.223999999999997</c:v>
                </c:pt>
                <c:pt idx="1094">
                  <c:v>35.183</c:v>
                </c:pt>
                <c:pt idx="1095">
                  <c:v>35.183</c:v>
                </c:pt>
                <c:pt idx="1096">
                  <c:v>34.229999999999997</c:v>
                </c:pt>
                <c:pt idx="1097">
                  <c:v>34.264000000000003</c:v>
                </c:pt>
                <c:pt idx="1098">
                  <c:v>34.994</c:v>
                </c:pt>
                <c:pt idx="1099">
                  <c:v>33.866999999999997</c:v>
                </c:pt>
                <c:pt idx="1100">
                  <c:v>33.784999999999997</c:v>
                </c:pt>
                <c:pt idx="1101">
                  <c:v>33.732999999999997</c:v>
                </c:pt>
                <c:pt idx="1102">
                  <c:v>33.732999999999997</c:v>
                </c:pt>
                <c:pt idx="1103">
                  <c:v>33.981000000000002</c:v>
                </c:pt>
                <c:pt idx="1104">
                  <c:v>34.686</c:v>
                </c:pt>
                <c:pt idx="1105">
                  <c:v>33.744999999999997</c:v>
                </c:pt>
                <c:pt idx="1106">
                  <c:v>33.927999999999997</c:v>
                </c:pt>
                <c:pt idx="1107">
                  <c:v>33.945</c:v>
                </c:pt>
                <c:pt idx="1108">
                  <c:v>33.902999999999999</c:v>
                </c:pt>
                <c:pt idx="1109">
                  <c:v>33.902999999999999</c:v>
                </c:pt>
                <c:pt idx="1110">
                  <c:v>33.122</c:v>
                </c:pt>
                <c:pt idx="1111">
                  <c:v>33.176000000000002</c:v>
                </c:pt>
                <c:pt idx="1112">
                  <c:v>32.365000000000002</c:v>
                </c:pt>
                <c:pt idx="1113">
                  <c:v>32.92</c:v>
                </c:pt>
                <c:pt idx="1114">
                  <c:v>32.707999999999998</c:v>
                </c:pt>
                <c:pt idx="1115">
                  <c:v>32.700000000000003</c:v>
                </c:pt>
                <c:pt idx="1116">
                  <c:v>32.700000000000003</c:v>
                </c:pt>
                <c:pt idx="1117">
                  <c:v>31.7</c:v>
                </c:pt>
                <c:pt idx="1118">
                  <c:v>30.771999999999998</c:v>
                </c:pt>
                <c:pt idx="1119">
                  <c:v>30.457999999999998</c:v>
                </c:pt>
                <c:pt idx="1120">
                  <c:v>30.872</c:v>
                </c:pt>
                <c:pt idx="1121">
                  <c:v>31.57</c:v>
                </c:pt>
                <c:pt idx="1122">
                  <c:v>31.550999999999998</c:v>
                </c:pt>
                <c:pt idx="1123">
                  <c:v>31.550999999999998</c:v>
                </c:pt>
                <c:pt idx="1124">
                  <c:v>31.067</c:v>
                </c:pt>
                <c:pt idx="1125">
                  <c:v>32.634999999999998</c:v>
                </c:pt>
                <c:pt idx="1126">
                  <c:v>31.565000000000001</c:v>
                </c:pt>
                <c:pt idx="1127">
                  <c:v>32.207000000000001</c:v>
                </c:pt>
                <c:pt idx="1128">
                  <c:v>31.696000000000002</c:v>
                </c:pt>
                <c:pt idx="1129">
                  <c:v>31.678000000000001</c:v>
                </c:pt>
                <c:pt idx="1130">
                  <c:v>31.678000000000001</c:v>
                </c:pt>
                <c:pt idx="1131">
                  <c:v>31.556000000000001</c:v>
                </c:pt>
                <c:pt idx="1132">
                  <c:v>31.218</c:v>
                </c:pt>
                <c:pt idx="1133">
                  <c:v>32.506</c:v>
                </c:pt>
                <c:pt idx="1134">
                  <c:v>31.712</c:v>
                </c:pt>
                <c:pt idx="1135">
                  <c:v>32.354999999999997</c:v>
                </c:pt>
                <c:pt idx="1136">
                  <c:v>32.316000000000003</c:v>
                </c:pt>
                <c:pt idx="1137">
                  <c:v>32.316000000000003</c:v>
                </c:pt>
                <c:pt idx="1138">
                  <c:v>33.607999999999997</c:v>
                </c:pt>
                <c:pt idx="1139">
                  <c:v>34.177999999999997</c:v>
                </c:pt>
                <c:pt idx="1140">
                  <c:v>35.017000000000003</c:v>
                </c:pt>
                <c:pt idx="1141">
                  <c:v>36</c:v>
                </c:pt>
                <c:pt idx="1142">
                  <c:v>36.079000000000001</c:v>
                </c:pt>
                <c:pt idx="1143">
                  <c:v>35.97</c:v>
                </c:pt>
                <c:pt idx="1144">
                  <c:v>35.97</c:v>
                </c:pt>
                <c:pt idx="1145">
                  <c:v>35.069000000000003</c:v>
                </c:pt>
                <c:pt idx="1146">
                  <c:v>35.969000000000001</c:v>
                </c:pt>
                <c:pt idx="1147">
                  <c:v>37.914999999999999</c:v>
                </c:pt>
                <c:pt idx="1148">
                  <c:v>39.395000000000003</c:v>
                </c:pt>
                <c:pt idx="1149">
                  <c:v>39.337000000000003</c:v>
                </c:pt>
                <c:pt idx="1150">
                  <c:v>39.411000000000001</c:v>
                </c:pt>
                <c:pt idx="1151">
                  <c:v>39.411000000000001</c:v>
                </c:pt>
                <c:pt idx="1152">
                  <c:v>38.851999999999997</c:v>
                </c:pt>
                <c:pt idx="1153">
                  <c:v>38.183</c:v>
                </c:pt>
                <c:pt idx="1154">
                  <c:v>38.213999999999999</c:v>
                </c:pt>
                <c:pt idx="1155">
                  <c:v>38.601999999999997</c:v>
                </c:pt>
                <c:pt idx="1156">
                  <c:v>38.902999999999999</c:v>
                </c:pt>
                <c:pt idx="1157">
                  <c:v>38.787999999999997</c:v>
                </c:pt>
                <c:pt idx="1158">
                  <c:v>38.787999999999997</c:v>
                </c:pt>
                <c:pt idx="1159">
                  <c:v>39.158999999999999</c:v>
                </c:pt>
                <c:pt idx="1160">
                  <c:v>37.167999999999999</c:v>
                </c:pt>
                <c:pt idx="1161">
                  <c:v>36.287999999999997</c:v>
                </c:pt>
                <c:pt idx="1162">
                  <c:v>35.923000000000002</c:v>
                </c:pt>
                <c:pt idx="1163">
                  <c:v>36.75</c:v>
                </c:pt>
                <c:pt idx="1164">
                  <c:v>36.707000000000001</c:v>
                </c:pt>
                <c:pt idx="1165">
                  <c:v>36.707000000000001</c:v>
                </c:pt>
                <c:pt idx="1166">
                  <c:v>37.674999999999997</c:v>
                </c:pt>
                <c:pt idx="1167">
                  <c:v>38.338000000000001</c:v>
                </c:pt>
                <c:pt idx="1168">
                  <c:v>38.508000000000003</c:v>
                </c:pt>
                <c:pt idx="1169">
                  <c:v>38.646000000000001</c:v>
                </c:pt>
                <c:pt idx="1170">
                  <c:v>39.301000000000002</c:v>
                </c:pt>
                <c:pt idx="1171">
                  <c:v>38.859000000000002</c:v>
                </c:pt>
                <c:pt idx="1172">
                  <c:v>38.859000000000002</c:v>
                </c:pt>
              </c:numCache>
            </c:numRef>
          </c:val>
          <c:smooth val="0"/>
          <c:extLst>
            <c:ext xmlns:c16="http://schemas.microsoft.com/office/drawing/2014/chart" uri="{C3380CC4-5D6E-409C-BE32-E72D297353CC}">
              <c16:uniqueId val="{00000001-E2BC-4D9C-BE94-C1B37DDE8382}"/>
            </c:ext>
          </c:extLst>
        </c:ser>
        <c:ser>
          <c:idx val="1"/>
          <c:order val="1"/>
          <c:spPr>
            <a:ln w="19050" cap="rnd">
              <a:solidFill>
                <a:schemeClr val="accent2"/>
              </a:solidFill>
              <a:round/>
            </a:ln>
            <a:effectLst/>
          </c:spPr>
          <c:marker>
            <c:symbol val="none"/>
          </c:marker>
          <c:dPt>
            <c:idx val="33"/>
            <c:marker>
              <c:symbol val="circle"/>
              <c:size val="6"/>
              <c:spPr>
                <a:solidFill>
                  <a:schemeClr val="accent2"/>
                </a:solidFill>
                <a:ln w="9525">
                  <a:solidFill>
                    <a:schemeClr val="accent2"/>
                  </a:solidFill>
                </a:ln>
                <a:effectLst/>
              </c:spPr>
            </c:marker>
            <c:bubble3D val="0"/>
            <c:extLst>
              <c:ext xmlns:c16="http://schemas.microsoft.com/office/drawing/2014/chart" uri="{C3380CC4-5D6E-409C-BE32-E72D297353CC}">
                <c16:uniqueId val="{00000002-E2BC-4D9C-BE94-C1B37DDE8382}"/>
              </c:ext>
            </c:extLst>
          </c:dPt>
          <c:dLbls>
            <c:dLbl>
              <c:idx val="3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2BC-4D9C-BE94-C1B37DDE8382}"/>
                </c:ext>
              </c:extLst>
            </c:dLbl>
            <c:numFmt formatCode="#,##0.0" sourceLinked="0"/>
            <c:spPr>
              <a:noFill/>
              <a:ln>
                <a:noFill/>
              </a:ln>
              <a:effectLst/>
            </c:spPr>
            <c:txPr>
              <a:bodyPr rot="0" spcFirstLastPara="1" vertOverflow="ellipsis" vert="horz" wrap="square" anchor="ctr" anchorCtr="1"/>
              <a:lstStyle/>
              <a:p>
                <a:pPr>
                  <a:defRPr sz="900" b="0" i="0" u="none" strike="noStrike" kern="1200" baseline="0">
                    <a:solidFill>
                      <a:schemeClr val="accent2"/>
                    </a:solidFill>
                    <a:latin typeface="+mn-lt"/>
                    <a:ea typeface="+mn-ea"/>
                    <a:cs typeface="+mn-cs"/>
                  </a:defRPr>
                </a:pPr>
                <a:endParaRPr lang="sk-SK"/>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'spot plyn'!$A$881:$A$2417</c:f>
              <c:numCache>
                <c:formatCode>m/d/yyyy</c:formatCode>
                <c:ptCount val="1537"/>
                <c:pt idx="0">
                  <c:v>44200</c:v>
                </c:pt>
                <c:pt idx="1">
                  <c:v>44201</c:v>
                </c:pt>
                <c:pt idx="2">
                  <c:v>44202</c:v>
                </c:pt>
                <c:pt idx="3">
                  <c:v>44203</c:v>
                </c:pt>
                <c:pt idx="4">
                  <c:v>44204</c:v>
                </c:pt>
                <c:pt idx="5">
                  <c:v>44207</c:v>
                </c:pt>
                <c:pt idx="6">
                  <c:v>44208</c:v>
                </c:pt>
                <c:pt idx="7">
                  <c:v>44209</c:v>
                </c:pt>
                <c:pt idx="8">
                  <c:v>44210</c:v>
                </c:pt>
                <c:pt idx="9">
                  <c:v>44211</c:v>
                </c:pt>
                <c:pt idx="10">
                  <c:v>44214</c:v>
                </c:pt>
                <c:pt idx="11">
                  <c:v>44215</c:v>
                </c:pt>
                <c:pt idx="12">
                  <c:v>44216</c:v>
                </c:pt>
                <c:pt idx="13">
                  <c:v>44217</c:v>
                </c:pt>
                <c:pt idx="14">
                  <c:v>44218</c:v>
                </c:pt>
                <c:pt idx="15">
                  <c:v>44221</c:v>
                </c:pt>
                <c:pt idx="16">
                  <c:v>44222</c:v>
                </c:pt>
                <c:pt idx="17">
                  <c:v>44223</c:v>
                </c:pt>
                <c:pt idx="18">
                  <c:v>44224</c:v>
                </c:pt>
                <c:pt idx="19">
                  <c:v>44225</c:v>
                </c:pt>
                <c:pt idx="20">
                  <c:v>44228</c:v>
                </c:pt>
                <c:pt idx="21">
                  <c:v>44229</c:v>
                </c:pt>
                <c:pt idx="22">
                  <c:v>44230</c:v>
                </c:pt>
                <c:pt idx="23">
                  <c:v>44231</c:v>
                </c:pt>
                <c:pt idx="24">
                  <c:v>44232</c:v>
                </c:pt>
                <c:pt idx="25">
                  <c:v>44235</c:v>
                </c:pt>
                <c:pt idx="26">
                  <c:v>44236</c:v>
                </c:pt>
                <c:pt idx="27">
                  <c:v>44237</c:v>
                </c:pt>
                <c:pt idx="28">
                  <c:v>44238</c:v>
                </c:pt>
                <c:pt idx="29">
                  <c:v>44239</c:v>
                </c:pt>
                <c:pt idx="30">
                  <c:v>44242</c:v>
                </c:pt>
                <c:pt idx="31">
                  <c:v>44243</c:v>
                </c:pt>
                <c:pt idx="32">
                  <c:v>44244</c:v>
                </c:pt>
                <c:pt idx="33">
                  <c:v>44245</c:v>
                </c:pt>
                <c:pt idx="34">
                  <c:v>44246</c:v>
                </c:pt>
                <c:pt idx="35">
                  <c:v>44249</c:v>
                </c:pt>
                <c:pt idx="36">
                  <c:v>44250</c:v>
                </c:pt>
                <c:pt idx="37">
                  <c:v>44251</c:v>
                </c:pt>
                <c:pt idx="38">
                  <c:v>44252</c:v>
                </c:pt>
                <c:pt idx="39">
                  <c:v>44253</c:v>
                </c:pt>
                <c:pt idx="40">
                  <c:v>44256</c:v>
                </c:pt>
                <c:pt idx="41">
                  <c:v>44257</c:v>
                </c:pt>
                <c:pt idx="42">
                  <c:v>44258</c:v>
                </c:pt>
                <c:pt idx="43">
                  <c:v>44259</c:v>
                </c:pt>
                <c:pt idx="44">
                  <c:v>44260</c:v>
                </c:pt>
                <c:pt idx="45">
                  <c:v>44263</c:v>
                </c:pt>
                <c:pt idx="46">
                  <c:v>44264</c:v>
                </c:pt>
                <c:pt idx="47">
                  <c:v>44265</c:v>
                </c:pt>
                <c:pt idx="48">
                  <c:v>44266</c:v>
                </c:pt>
                <c:pt idx="49">
                  <c:v>44267</c:v>
                </c:pt>
                <c:pt idx="50">
                  <c:v>44270</c:v>
                </c:pt>
                <c:pt idx="51">
                  <c:v>44271</c:v>
                </c:pt>
                <c:pt idx="52">
                  <c:v>44272</c:v>
                </c:pt>
                <c:pt idx="53">
                  <c:v>44273</c:v>
                </c:pt>
                <c:pt idx="54">
                  <c:v>44274</c:v>
                </c:pt>
                <c:pt idx="55">
                  <c:v>44277</c:v>
                </c:pt>
                <c:pt idx="56">
                  <c:v>44278</c:v>
                </c:pt>
                <c:pt idx="57">
                  <c:v>44279</c:v>
                </c:pt>
                <c:pt idx="58">
                  <c:v>44280</c:v>
                </c:pt>
                <c:pt idx="59">
                  <c:v>44281</c:v>
                </c:pt>
                <c:pt idx="60">
                  <c:v>44284</c:v>
                </c:pt>
                <c:pt idx="61">
                  <c:v>44285</c:v>
                </c:pt>
                <c:pt idx="62">
                  <c:v>44286</c:v>
                </c:pt>
                <c:pt idx="63">
                  <c:v>44287</c:v>
                </c:pt>
                <c:pt idx="64">
                  <c:v>44292</c:v>
                </c:pt>
                <c:pt idx="65">
                  <c:v>44293</c:v>
                </c:pt>
                <c:pt idx="66">
                  <c:v>44294</c:v>
                </c:pt>
                <c:pt idx="67">
                  <c:v>44295</c:v>
                </c:pt>
                <c:pt idx="68">
                  <c:v>44298</c:v>
                </c:pt>
                <c:pt idx="69">
                  <c:v>44299</c:v>
                </c:pt>
                <c:pt idx="70">
                  <c:v>44300</c:v>
                </c:pt>
                <c:pt idx="71">
                  <c:v>44301</c:v>
                </c:pt>
                <c:pt idx="72">
                  <c:v>44302</c:v>
                </c:pt>
                <c:pt idx="73">
                  <c:v>44305</c:v>
                </c:pt>
                <c:pt idx="74">
                  <c:v>44306</c:v>
                </c:pt>
                <c:pt idx="75">
                  <c:v>44307</c:v>
                </c:pt>
                <c:pt idx="76">
                  <c:v>44308</c:v>
                </c:pt>
                <c:pt idx="77">
                  <c:v>44309</c:v>
                </c:pt>
                <c:pt idx="78">
                  <c:v>44312</c:v>
                </c:pt>
                <c:pt idx="79">
                  <c:v>44313</c:v>
                </c:pt>
                <c:pt idx="80">
                  <c:v>44314</c:v>
                </c:pt>
                <c:pt idx="81">
                  <c:v>44315</c:v>
                </c:pt>
                <c:pt idx="82">
                  <c:v>44316</c:v>
                </c:pt>
                <c:pt idx="83">
                  <c:v>44319</c:v>
                </c:pt>
                <c:pt idx="84">
                  <c:v>44320</c:v>
                </c:pt>
                <c:pt idx="85">
                  <c:v>44321</c:v>
                </c:pt>
                <c:pt idx="86">
                  <c:v>44322</c:v>
                </c:pt>
                <c:pt idx="87">
                  <c:v>44323</c:v>
                </c:pt>
                <c:pt idx="88">
                  <c:v>44326</c:v>
                </c:pt>
                <c:pt idx="89">
                  <c:v>44327</c:v>
                </c:pt>
                <c:pt idx="90">
                  <c:v>44328</c:v>
                </c:pt>
                <c:pt idx="91">
                  <c:v>44329</c:v>
                </c:pt>
                <c:pt idx="92">
                  <c:v>44330</c:v>
                </c:pt>
                <c:pt idx="93">
                  <c:v>44333</c:v>
                </c:pt>
                <c:pt idx="94">
                  <c:v>44334</c:v>
                </c:pt>
                <c:pt idx="95">
                  <c:v>44335</c:v>
                </c:pt>
                <c:pt idx="96">
                  <c:v>44336</c:v>
                </c:pt>
                <c:pt idx="97">
                  <c:v>44337</c:v>
                </c:pt>
                <c:pt idx="98">
                  <c:v>44340</c:v>
                </c:pt>
                <c:pt idx="99">
                  <c:v>44341</c:v>
                </c:pt>
                <c:pt idx="100">
                  <c:v>44342</c:v>
                </c:pt>
                <c:pt idx="101">
                  <c:v>44343</c:v>
                </c:pt>
                <c:pt idx="102">
                  <c:v>44344</c:v>
                </c:pt>
                <c:pt idx="103">
                  <c:v>44347</c:v>
                </c:pt>
                <c:pt idx="104">
                  <c:v>44348</c:v>
                </c:pt>
                <c:pt idx="105">
                  <c:v>44349</c:v>
                </c:pt>
                <c:pt idx="106">
                  <c:v>44350</c:v>
                </c:pt>
                <c:pt idx="107">
                  <c:v>44351</c:v>
                </c:pt>
                <c:pt idx="108">
                  <c:v>44354</c:v>
                </c:pt>
                <c:pt idx="109">
                  <c:v>44355</c:v>
                </c:pt>
                <c:pt idx="110">
                  <c:v>44356</c:v>
                </c:pt>
                <c:pt idx="111">
                  <c:v>44357</c:v>
                </c:pt>
                <c:pt idx="112">
                  <c:v>44358</c:v>
                </c:pt>
                <c:pt idx="113">
                  <c:v>44361</c:v>
                </c:pt>
                <c:pt idx="114">
                  <c:v>44362</c:v>
                </c:pt>
                <c:pt idx="115">
                  <c:v>44363</c:v>
                </c:pt>
                <c:pt idx="116">
                  <c:v>44364</c:v>
                </c:pt>
                <c:pt idx="117">
                  <c:v>44365</c:v>
                </c:pt>
                <c:pt idx="118">
                  <c:v>44368</c:v>
                </c:pt>
                <c:pt idx="119">
                  <c:v>44369</c:v>
                </c:pt>
                <c:pt idx="120">
                  <c:v>44370</c:v>
                </c:pt>
                <c:pt idx="121">
                  <c:v>44371</c:v>
                </c:pt>
                <c:pt idx="122">
                  <c:v>44372</c:v>
                </c:pt>
                <c:pt idx="123">
                  <c:v>44375</c:v>
                </c:pt>
                <c:pt idx="124">
                  <c:v>44376</c:v>
                </c:pt>
                <c:pt idx="125">
                  <c:v>44377</c:v>
                </c:pt>
                <c:pt idx="126">
                  <c:v>44378</c:v>
                </c:pt>
                <c:pt idx="127">
                  <c:v>44379</c:v>
                </c:pt>
                <c:pt idx="128">
                  <c:v>44382</c:v>
                </c:pt>
                <c:pt idx="129">
                  <c:v>44383</c:v>
                </c:pt>
                <c:pt idx="130">
                  <c:v>44384</c:v>
                </c:pt>
                <c:pt idx="131">
                  <c:v>44385</c:v>
                </c:pt>
                <c:pt idx="132">
                  <c:v>44386</c:v>
                </c:pt>
                <c:pt idx="133">
                  <c:v>44389</c:v>
                </c:pt>
                <c:pt idx="134">
                  <c:v>44390</c:v>
                </c:pt>
                <c:pt idx="135">
                  <c:v>44391</c:v>
                </c:pt>
                <c:pt idx="136">
                  <c:v>44392</c:v>
                </c:pt>
                <c:pt idx="137">
                  <c:v>44393</c:v>
                </c:pt>
                <c:pt idx="138">
                  <c:v>44396</c:v>
                </c:pt>
                <c:pt idx="139">
                  <c:v>44397</c:v>
                </c:pt>
                <c:pt idx="140">
                  <c:v>44398</c:v>
                </c:pt>
                <c:pt idx="141">
                  <c:v>44399</c:v>
                </c:pt>
                <c:pt idx="142">
                  <c:v>44400</c:v>
                </c:pt>
                <c:pt idx="143">
                  <c:v>44403</c:v>
                </c:pt>
                <c:pt idx="144">
                  <c:v>44404</c:v>
                </c:pt>
                <c:pt idx="145">
                  <c:v>44405</c:v>
                </c:pt>
                <c:pt idx="146">
                  <c:v>44406</c:v>
                </c:pt>
                <c:pt idx="147">
                  <c:v>44407</c:v>
                </c:pt>
                <c:pt idx="148">
                  <c:v>44410</c:v>
                </c:pt>
                <c:pt idx="149">
                  <c:v>44411</c:v>
                </c:pt>
                <c:pt idx="150">
                  <c:v>44412</c:v>
                </c:pt>
                <c:pt idx="151">
                  <c:v>44413</c:v>
                </c:pt>
                <c:pt idx="152">
                  <c:v>44414</c:v>
                </c:pt>
                <c:pt idx="153">
                  <c:v>44417</c:v>
                </c:pt>
                <c:pt idx="154">
                  <c:v>44418</c:v>
                </c:pt>
                <c:pt idx="155">
                  <c:v>44419</c:v>
                </c:pt>
                <c:pt idx="156">
                  <c:v>44420</c:v>
                </c:pt>
                <c:pt idx="157">
                  <c:v>44421</c:v>
                </c:pt>
                <c:pt idx="158">
                  <c:v>44424</c:v>
                </c:pt>
                <c:pt idx="159">
                  <c:v>44425</c:v>
                </c:pt>
                <c:pt idx="160">
                  <c:v>44426</c:v>
                </c:pt>
                <c:pt idx="161">
                  <c:v>44427</c:v>
                </c:pt>
                <c:pt idx="162">
                  <c:v>44428</c:v>
                </c:pt>
                <c:pt idx="163">
                  <c:v>44431</c:v>
                </c:pt>
                <c:pt idx="164">
                  <c:v>44432</c:v>
                </c:pt>
                <c:pt idx="165">
                  <c:v>44433</c:v>
                </c:pt>
                <c:pt idx="166">
                  <c:v>44434</c:v>
                </c:pt>
                <c:pt idx="167">
                  <c:v>44435</c:v>
                </c:pt>
                <c:pt idx="168">
                  <c:v>44438</c:v>
                </c:pt>
                <c:pt idx="169">
                  <c:v>44439</c:v>
                </c:pt>
                <c:pt idx="170">
                  <c:v>44440</c:v>
                </c:pt>
                <c:pt idx="171">
                  <c:v>44441</c:v>
                </c:pt>
                <c:pt idx="172">
                  <c:v>44442</c:v>
                </c:pt>
                <c:pt idx="173">
                  <c:v>44445</c:v>
                </c:pt>
                <c:pt idx="174">
                  <c:v>44446</c:v>
                </c:pt>
                <c:pt idx="175">
                  <c:v>44447</c:v>
                </c:pt>
                <c:pt idx="176">
                  <c:v>44448</c:v>
                </c:pt>
                <c:pt idx="177">
                  <c:v>44449</c:v>
                </c:pt>
                <c:pt idx="178">
                  <c:v>44452</c:v>
                </c:pt>
                <c:pt idx="179">
                  <c:v>44453</c:v>
                </c:pt>
                <c:pt idx="180">
                  <c:v>44454</c:v>
                </c:pt>
                <c:pt idx="181">
                  <c:v>44455</c:v>
                </c:pt>
                <c:pt idx="182">
                  <c:v>44456</c:v>
                </c:pt>
                <c:pt idx="183">
                  <c:v>44459</c:v>
                </c:pt>
                <c:pt idx="184">
                  <c:v>44460</c:v>
                </c:pt>
                <c:pt idx="185">
                  <c:v>44461</c:v>
                </c:pt>
                <c:pt idx="186">
                  <c:v>44462</c:v>
                </c:pt>
                <c:pt idx="187">
                  <c:v>44463</c:v>
                </c:pt>
                <c:pt idx="188">
                  <c:v>44466</c:v>
                </c:pt>
                <c:pt idx="189">
                  <c:v>44467</c:v>
                </c:pt>
                <c:pt idx="190">
                  <c:v>44468</c:v>
                </c:pt>
                <c:pt idx="191">
                  <c:v>44469</c:v>
                </c:pt>
                <c:pt idx="192">
                  <c:v>44470</c:v>
                </c:pt>
                <c:pt idx="193">
                  <c:v>44473</c:v>
                </c:pt>
                <c:pt idx="194">
                  <c:v>44474</c:v>
                </c:pt>
                <c:pt idx="195">
                  <c:v>44475</c:v>
                </c:pt>
                <c:pt idx="196">
                  <c:v>44476</c:v>
                </c:pt>
                <c:pt idx="197">
                  <c:v>44477</c:v>
                </c:pt>
                <c:pt idx="198">
                  <c:v>44480</c:v>
                </c:pt>
                <c:pt idx="199">
                  <c:v>44481</c:v>
                </c:pt>
                <c:pt idx="200">
                  <c:v>44482</c:v>
                </c:pt>
                <c:pt idx="201">
                  <c:v>44483</c:v>
                </c:pt>
                <c:pt idx="202">
                  <c:v>44484</c:v>
                </c:pt>
                <c:pt idx="203">
                  <c:v>44487</c:v>
                </c:pt>
                <c:pt idx="204">
                  <c:v>44488</c:v>
                </c:pt>
                <c:pt idx="205">
                  <c:v>44489</c:v>
                </c:pt>
                <c:pt idx="206">
                  <c:v>44490</c:v>
                </c:pt>
                <c:pt idx="207">
                  <c:v>44491</c:v>
                </c:pt>
                <c:pt idx="208">
                  <c:v>44494</c:v>
                </c:pt>
                <c:pt idx="209">
                  <c:v>44495</c:v>
                </c:pt>
                <c:pt idx="210">
                  <c:v>44496</c:v>
                </c:pt>
                <c:pt idx="211">
                  <c:v>44497</c:v>
                </c:pt>
                <c:pt idx="212">
                  <c:v>44498</c:v>
                </c:pt>
                <c:pt idx="213">
                  <c:v>44501</c:v>
                </c:pt>
                <c:pt idx="214">
                  <c:v>44502</c:v>
                </c:pt>
                <c:pt idx="215">
                  <c:v>44503</c:v>
                </c:pt>
                <c:pt idx="216">
                  <c:v>44504</c:v>
                </c:pt>
                <c:pt idx="217">
                  <c:v>44505</c:v>
                </c:pt>
                <c:pt idx="218">
                  <c:v>44508</c:v>
                </c:pt>
                <c:pt idx="219">
                  <c:v>44509</c:v>
                </c:pt>
                <c:pt idx="220">
                  <c:v>44510</c:v>
                </c:pt>
                <c:pt idx="221">
                  <c:v>44511</c:v>
                </c:pt>
                <c:pt idx="222">
                  <c:v>44512</c:v>
                </c:pt>
                <c:pt idx="223">
                  <c:v>44515</c:v>
                </c:pt>
                <c:pt idx="224">
                  <c:v>44516</c:v>
                </c:pt>
                <c:pt idx="225">
                  <c:v>44517</c:v>
                </c:pt>
                <c:pt idx="226">
                  <c:v>44518</c:v>
                </c:pt>
                <c:pt idx="227">
                  <c:v>44519</c:v>
                </c:pt>
                <c:pt idx="228">
                  <c:v>44522</c:v>
                </c:pt>
                <c:pt idx="229">
                  <c:v>44523</c:v>
                </c:pt>
                <c:pt idx="230">
                  <c:v>44524</c:v>
                </c:pt>
                <c:pt idx="231">
                  <c:v>44525</c:v>
                </c:pt>
                <c:pt idx="232">
                  <c:v>44526</c:v>
                </c:pt>
                <c:pt idx="233">
                  <c:v>44529</c:v>
                </c:pt>
                <c:pt idx="234">
                  <c:v>44530</c:v>
                </c:pt>
                <c:pt idx="235">
                  <c:v>44531</c:v>
                </c:pt>
                <c:pt idx="236">
                  <c:v>44532</c:v>
                </c:pt>
                <c:pt idx="237">
                  <c:v>44533</c:v>
                </c:pt>
                <c:pt idx="238">
                  <c:v>44536</c:v>
                </c:pt>
                <c:pt idx="239">
                  <c:v>44537</c:v>
                </c:pt>
                <c:pt idx="240">
                  <c:v>44538</c:v>
                </c:pt>
                <c:pt idx="241">
                  <c:v>44539</c:v>
                </c:pt>
                <c:pt idx="242">
                  <c:v>44540</c:v>
                </c:pt>
                <c:pt idx="243">
                  <c:v>44543</c:v>
                </c:pt>
                <c:pt idx="244">
                  <c:v>44544</c:v>
                </c:pt>
                <c:pt idx="245">
                  <c:v>44545</c:v>
                </c:pt>
                <c:pt idx="246">
                  <c:v>44546</c:v>
                </c:pt>
                <c:pt idx="247">
                  <c:v>44547</c:v>
                </c:pt>
                <c:pt idx="248">
                  <c:v>44550</c:v>
                </c:pt>
                <c:pt idx="249">
                  <c:v>44551</c:v>
                </c:pt>
                <c:pt idx="250">
                  <c:v>44552</c:v>
                </c:pt>
                <c:pt idx="251">
                  <c:v>44553</c:v>
                </c:pt>
                <c:pt idx="252">
                  <c:v>44554</c:v>
                </c:pt>
                <c:pt idx="253">
                  <c:v>44557</c:v>
                </c:pt>
                <c:pt idx="254">
                  <c:v>44559</c:v>
                </c:pt>
                <c:pt idx="255">
                  <c:v>44560</c:v>
                </c:pt>
                <c:pt idx="256">
                  <c:v>44561</c:v>
                </c:pt>
                <c:pt idx="257">
                  <c:v>44564</c:v>
                </c:pt>
                <c:pt idx="258">
                  <c:v>44565</c:v>
                </c:pt>
                <c:pt idx="259">
                  <c:v>44566</c:v>
                </c:pt>
                <c:pt idx="260">
                  <c:v>44567</c:v>
                </c:pt>
                <c:pt idx="261">
                  <c:v>44568</c:v>
                </c:pt>
                <c:pt idx="262">
                  <c:v>44571</c:v>
                </c:pt>
                <c:pt idx="263">
                  <c:v>44572</c:v>
                </c:pt>
                <c:pt idx="264">
                  <c:v>44573</c:v>
                </c:pt>
                <c:pt idx="265">
                  <c:v>44574</c:v>
                </c:pt>
                <c:pt idx="266">
                  <c:v>44575</c:v>
                </c:pt>
                <c:pt idx="267">
                  <c:v>44578</c:v>
                </c:pt>
                <c:pt idx="268">
                  <c:v>44579</c:v>
                </c:pt>
                <c:pt idx="269">
                  <c:v>44580</c:v>
                </c:pt>
                <c:pt idx="270">
                  <c:v>44581</c:v>
                </c:pt>
                <c:pt idx="271">
                  <c:v>44582</c:v>
                </c:pt>
                <c:pt idx="272">
                  <c:v>44585</c:v>
                </c:pt>
                <c:pt idx="273">
                  <c:v>44586</c:v>
                </c:pt>
                <c:pt idx="274">
                  <c:v>44587</c:v>
                </c:pt>
                <c:pt idx="275">
                  <c:v>44588</c:v>
                </c:pt>
                <c:pt idx="276">
                  <c:v>44589</c:v>
                </c:pt>
                <c:pt idx="277">
                  <c:v>44592</c:v>
                </c:pt>
                <c:pt idx="278">
                  <c:v>44593</c:v>
                </c:pt>
                <c:pt idx="279">
                  <c:v>44594</c:v>
                </c:pt>
                <c:pt idx="280">
                  <c:v>44595</c:v>
                </c:pt>
                <c:pt idx="281">
                  <c:v>44596</c:v>
                </c:pt>
                <c:pt idx="282">
                  <c:v>44599</c:v>
                </c:pt>
                <c:pt idx="283">
                  <c:v>44600</c:v>
                </c:pt>
                <c:pt idx="284">
                  <c:v>44601</c:v>
                </c:pt>
                <c:pt idx="285">
                  <c:v>44602</c:v>
                </c:pt>
                <c:pt idx="286">
                  <c:v>44603</c:v>
                </c:pt>
                <c:pt idx="287">
                  <c:v>44606</c:v>
                </c:pt>
                <c:pt idx="288">
                  <c:v>44607</c:v>
                </c:pt>
                <c:pt idx="289">
                  <c:v>44608</c:v>
                </c:pt>
                <c:pt idx="290">
                  <c:v>44609</c:v>
                </c:pt>
                <c:pt idx="291">
                  <c:v>44610</c:v>
                </c:pt>
                <c:pt idx="292">
                  <c:v>44613</c:v>
                </c:pt>
                <c:pt idx="293">
                  <c:v>44614</c:v>
                </c:pt>
                <c:pt idx="294">
                  <c:v>44615</c:v>
                </c:pt>
                <c:pt idx="295">
                  <c:v>44616</c:v>
                </c:pt>
                <c:pt idx="296">
                  <c:v>44617</c:v>
                </c:pt>
                <c:pt idx="297">
                  <c:v>44620</c:v>
                </c:pt>
                <c:pt idx="298">
                  <c:v>44621</c:v>
                </c:pt>
                <c:pt idx="299">
                  <c:v>44622</c:v>
                </c:pt>
                <c:pt idx="300">
                  <c:v>44623</c:v>
                </c:pt>
                <c:pt idx="301">
                  <c:v>44624</c:v>
                </c:pt>
                <c:pt idx="302">
                  <c:v>44627</c:v>
                </c:pt>
                <c:pt idx="303">
                  <c:v>44628</c:v>
                </c:pt>
                <c:pt idx="304">
                  <c:v>44629</c:v>
                </c:pt>
                <c:pt idx="305">
                  <c:v>44630</c:v>
                </c:pt>
                <c:pt idx="306">
                  <c:v>44631</c:v>
                </c:pt>
                <c:pt idx="307">
                  <c:v>44634</c:v>
                </c:pt>
                <c:pt idx="308">
                  <c:v>44635</c:v>
                </c:pt>
                <c:pt idx="309">
                  <c:v>44636</c:v>
                </c:pt>
                <c:pt idx="310">
                  <c:v>44637</c:v>
                </c:pt>
                <c:pt idx="311">
                  <c:v>44638</c:v>
                </c:pt>
                <c:pt idx="312">
                  <c:v>44641</c:v>
                </c:pt>
                <c:pt idx="313">
                  <c:v>44642</c:v>
                </c:pt>
                <c:pt idx="314">
                  <c:v>44643</c:v>
                </c:pt>
                <c:pt idx="315">
                  <c:v>44644</c:v>
                </c:pt>
                <c:pt idx="316">
                  <c:v>44645</c:v>
                </c:pt>
                <c:pt idx="317">
                  <c:v>44648</c:v>
                </c:pt>
                <c:pt idx="318">
                  <c:v>44649</c:v>
                </c:pt>
                <c:pt idx="319">
                  <c:v>44650</c:v>
                </c:pt>
                <c:pt idx="320">
                  <c:v>44651</c:v>
                </c:pt>
                <c:pt idx="321">
                  <c:v>44652</c:v>
                </c:pt>
                <c:pt idx="322">
                  <c:v>44655</c:v>
                </c:pt>
                <c:pt idx="323">
                  <c:v>44656</c:v>
                </c:pt>
                <c:pt idx="324">
                  <c:v>44657</c:v>
                </c:pt>
                <c:pt idx="325">
                  <c:v>44658</c:v>
                </c:pt>
                <c:pt idx="326">
                  <c:v>44659</c:v>
                </c:pt>
                <c:pt idx="327">
                  <c:v>44662</c:v>
                </c:pt>
                <c:pt idx="328">
                  <c:v>44663</c:v>
                </c:pt>
                <c:pt idx="329">
                  <c:v>44664</c:v>
                </c:pt>
                <c:pt idx="330">
                  <c:v>44665</c:v>
                </c:pt>
                <c:pt idx="331">
                  <c:v>44670</c:v>
                </c:pt>
                <c:pt idx="332">
                  <c:v>44671</c:v>
                </c:pt>
                <c:pt idx="333">
                  <c:v>44672</c:v>
                </c:pt>
                <c:pt idx="334">
                  <c:v>44673</c:v>
                </c:pt>
                <c:pt idx="335">
                  <c:v>44676</c:v>
                </c:pt>
                <c:pt idx="336">
                  <c:v>44677</c:v>
                </c:pt>
                <c:pt idx="337">
                  <c:v>44678</c:v>
                </c:pt>
                <c:pt idx="338">
                  <c:v>44679</c:v>
                </c:pt>
                <c:pt idx="339">
                  <c:v>44680</c:v>
                </c:pt>
                <c:pt idx="340">
                  <c:v>44683</c:v>
                </c:pt>
                <c:pt idx="341">
                  <c:v>44684</c:v>
                </c:pt>
                <c:pt idx="342">
                  <c:v>44685</c:v>
                </c:pt>
                <c:pt idx="343">
                  <c:v>44686</c:v>
                </c:pt>
                <c:pt idx="344">
                  <c:v>44687</c:v>
                </c:pt>
                <c:pt idx="345">
                  <c:v>44690</c:v>
                </c:pt>
                <c:pt idx="346">
                  <c:v>44691</c:v>
                </c:pt>
                <c:pt idx="347">
                  <c:v>44692</c:v>
                </c:pt>
                <c:pt idx="348">
                  <c:v>44693</c:v>
                </c:pt>
                <c:pt idx="349">
                  <c:v>44694</c:v>
                </c:pt>
                <c:pt idx="350">
                  <c:v>44697</c:v>
                </c:pt>
                <c:pt idx="351">
                  <c:v>44698</c:v>
                </c:pt>
                <c:pt idx="352">
                  <c:v>44699</c:v>
                </c:pt>
                <c:pt idx="353">
                  <c:v>44700</c:v>
                </c:pt>
                <c:pt idx="354">
                  <c:v>44701</c:v>
                </c:pt>
                <c:pt idx="355">
                  <c:v>44704</c:v>
                </c:pt>
                <c:pt idx="356">
                  <c:v>44705</c:v>
                </c:pt>
                <c:pt idx="357">
                  <c:v>44706</c:v>
                </c:pt>
                <c:pt idx="358">
                  <c:v>44707</c:v>
                </c:pt>
                <c:pt idx="359">
                  <c:v>44708</c:v>
                </c:pt>
                <c:pt idx="360">
                  <c:v>44711</c:v>
                </c:pt>
                <c:pt idx="361">
                  <c:v>44712</c:v>
                </c:pt>
                <c:pt idx="362">
                  <c:v>44713</c:v>
                </c:pt>
                <c:pt idx="363">
                  <c:v>44715</c:v>
                </c:pt>
                <c:pt idx="364">
                  <c:v>44718</c:v>
                </c:pt>
                <c:pt idx="365">
                  <c:v>44719</c:v>
                </c:pt>
                <c:pt idx="366">
                  <c:v>44720</c:v>
                </c:pt>
                <c:pt idx="367">
                  <c:v>44721</c:v>
                </c:pt>
                <c:pt idx="368">
                  <c:v>44722</c:v>
                </c:pt>
                <c:pt idx="369">
                  <c:v>44725</c:v>
                </c:pt>
                <c:pt idx="370">
                  <c:v>44726</c:v>
                </c:pt>
                <c:pt idx="371">
                  <c:v>44727</c:v>
                </c:pt>
                <c:pt idx="372">
                  <c:v>44728</c:v>
                </c:pt>
                <c:pt idx="373">
                  <c:v>44729</c:v>
                </c:pt>
                <c:pt idx="374">
                  <c:v>44732</c:v>
                </c:pt>
                <c:pt idx="375">
                  <c:v>44733</c:v>
                </c:pt>
                <c:pt idx="376">
                  <c:v>44734</c:v>
                </c:pt>
                <c:pt idx="377">
                  <c:v>44735</c:v>
                </c:pt>
                <c:pt idx="378">
                  <c:v>44736</c:v>
                </c:pt>
                <c:pt idx="379">
                  <c:v>44739</c:v>
                </c:pt>
                <c:pt idx="380">
                  <c:v>44740</c:v>
                </c:pt>
                <c:pt idx="381">
                  <c:v>44741</c:v>
                </c:pt>
                <c:pt idx="382">
                  <c:v>44742</c:v>
                </c:pt>
                <c:pt idx="383">
                  <c:v>44743</c:v>
                </c:pt>
                <c:pt idx="384">
                  <c:v>44746</c:v>
                </c:pt>
                <c:pt idx="385">
                  <c:v>44747</c:v>
                </c:pt>
                <c:pt idx="386">
                  <c:v>44748</c:v>
                </c:pt>
                <c:pt idx="387">
                  <c:v>44749</c:v>
                </c:pt>
                <c:pt idx="388">
                  <c:v>44750</c:v>
                </c:pt>
                <c:pt idx="389">
                  <c:v>44753</c:v>
                </c:pt>
                <c:pt idx="390">
                  <c:v>44754</c:v>
                </c:pt>
                <c:pt idx="391">
                  <c:v>44755</c:v>
                </c:pt>
                <c:pt idx="392">
                  <c:v>44756</c:v>
                </c:pt>
                <c:pt idx="393">
                  <c:v>44757</c:v>
                </c:pt>
                <c:pt idx="394">
                  <c:v>44758</c:v>
                </c:pt>
                <c:pt idx="395">
                  <c:v>44759</c:v>
                </c:pt>
                <c:pt idx="396">
                  <c:v>44760</c:v>
                </c:pt>
                <c:pt idx="397">
                  <c:v>44761</c:v>
                </c:pt>
                <c:pt idx="398">
                  <c:v>44762</c:v>
                </c:pt>
                <c:pt idx="399">
                  <c:v>44763</c:v>
                </c:pt>
                <c:pt idx="400">
                  <c:v>44764</c:v>
                </c:pt>
                <c:pt idx="401">
                  <c:v>44765</c:v>
                </c:pt>
                <c:pt idx="402">
                  <c:v>44766</c:v>
                </c:pt>
                <c:pt idx="403">
                  <c:v>44767</c:v>
                </c:pt>
                <c:pt idx="404">
                  <c:v>44768</c:v>
                </c:pt>
                <c:pt idx="405">
                  <c:v>44769</c:v>
                </c:pt>
                <c:pt idx="406">
                  <c:v>44770</c:v>
                </c:pt>
                <c:pt idx="407">
                  <c:v>44771</c:v>
                </c:pt>
                <c:pt idx="408">
                  <c:v>44772</c:v>
                </c:pt>
                <c:pt idx="409">
                  <c:v>44773</c:v>
                </c:pt>
                <c:pt idx="410">
                  <c:v>44774</c:v>
                </c:pt>
                <c:pt idx="411">
                  <c:v>44775</c:v>
                </c:pt>
                <c:pt idx="412">
                  <c:v>44776</c:v>
                </c:pt>
                <c:pt idx="413">
                  <c:v>44777</c:v>
                </c:pt>
                <c:pt idx="414">
                  <c:v>44778</c:v>
                </c:pt>
                <c:pt idx="415">
                  <c:v>44779</c:v>
                </c:pt>
                <c:pt idx="416">
                  <c:v>44780</c:v>
                </c:pt>
                <c:pt idx="417">
                  <c:v>44781</c:v>
                </c:pt>
                <c:pt idx="418">
                  <c:v>44782</c:v>
                </c:pt>
                <c:pt idx="419">
                  <c:v>44783</c:v>
                </c:pt>
                <c:pt idx="420">
                  <c:v>44784</c:v>
                </c:pt>
                <c:pt idx="421">
                  <c:v>44785</c:v>
                </c:pt>
                <c:pt idx="422">
                  <c:v>44786</c:v>
                </c:pt>
                <c:pt idx="423">
                  <c:v>44787</c:v>
                </c:pt>
                <c:pt idx="424">
                  <c:v>44788</c:v>
                </c:pt>
                <c:pt idx="425">
                  <c:v>44789</c:v>
                </c:pt>
                <c:pt idx="426">
                  <c:v>44790</c:v>
                </c:pt>
                <c:pt idx="427">
                  <c:v>44791</c:v>
                </c:pt>
                <c:pt idx="428">
                  <c:v>44792</c:v>
                </c:pt>
                <c:pt idx="429">
                  <c:v>44793</c:v>
                </c:pt>
                <c:pt idx="430">
                  <c:v>44794</c:v>
                </c:pt>
                <c:pt idx="431">
                  <c:v>44795</c:v>
                </c:pt>
                <c:pt idx="432">
                  <c:v>44796</c:v>
                </c:pt>
                <c:pt idx="433">
                  <c:v>44797</c:v>
                </c:pt>
                <c:pt idx="434">
                  <c:v>44798</c:v>
                </c:pt>
                <c:pt idx="435">
                  <c:v>44799</c:v>
                </c:pt>
                <c:pt idx="436">
                  <c:v>44800</c:v>
                </c:pt>
                <c:pt idx="437">
                  <c:v>44801</c:v>
                </c:pt>
                <c:pt idx="438">
                  <c:v>44802</c:v>
                </c:pt>
                <c:pt idx="439">
                  <c:v>44803</c:v>
                </c:pt>
                <c:pt idx="440">
                  <c:v>44804</c:v>
                </c:pt>
                <c:pt idx="441">
                  <c:v>44805</c:v>
                </c:pt>
                <c:pt idx="442">
                  <c:v>44806</c:v>
                </c:pt>
                <c:pt idx="443">
                  <c:v>44807</c:v>
                </c:pt>
                <c:pt idx="444">
                  <c:v>44808</c:v>
                </c:pt>
                <c:pt idx="445">
                  <c:v>44809</c:v>
                </c:pt>
                <c:pt idx="446">
                  <c:v>44810</c:v>
                </c:pt>
                <c:pt idx="447">
                  <c:v>44811</c:v>
                </c:pt>
                <c:pt idx="448">
                  <c:v>44812</c:v>
                </c:pt>
                <c:pt idx="449">
                  <c:v>44813</c:v>
                </c:pt>
                <c:pt idx="450">
                  <c:v>44814</c:v>
                </c:pt>
                <c:pt idx="451">
                  <c:v>44815</c:v>
                </c:pt>
                <c:pt idx="452">
                  <c:v>44816</c:v>
                </c:pt>
                <c:pt idx="453">
                  <c:v>44817</c:v>
                </c:pt>
                <c:pt idx="454">
                  <c:v>44818</c:v>
                </c:pt>
                <c:pt idx="455">
                  <c:v>44819</c:v>
                </c:pt>
                <c:pt idx="456">
                  <c:v>44820</c:v>
                </c:pt>
                <c:pt idx="457">
                  <c:v>44821</c:v>
                </c:pt>
                <c:pt idx="458">
                  <c:v>44822</c:v>
                </c:pt>
                <c:pt idx="459">
                  <c:v>44823</c:v>
                </c:pt>
                <c:pt idx="460">
                  <c:v>44824</c:v>
                </c:pt>
                <c:pt idx="461">
                  <c:v>44825</c:v>
                </c:pt>
                <c:pt idx="462">
                  <c:v>44826</c:v>
                </c:pt>
                <c:pt idx="463">
                  <c:v>44827</c:v>
                </c:pt>
                <c:pt idx="464">
                  <c:v>44828</c:v>
                </c:pt>
                <c:pt idx="465">
                  <c:v>44829</c:v>
                </c:pt>
                <c:pt idx="466">
                  <c:v>44830</c:v>
                </c:pt>
                <c:pt idx="467">
                  <c:v>44831</c:v>
                </c:pt>
                <c:pt idx="468">
                  <c:v>44832</c:v>
                </c:pt>
                <c:pt idx="469">
                  <c:v>44833</c:v>
                </c:pt>
                <c:pt idx="470">
                  <c:v>44834</c:v>
                </c:pt>
                <c:pt idx="471">
                  <c:v>44835</c:v>
                </c:pt>
                <c:pt idx="472">
                  <c:v>44836</c:v>
                </c:pt>
                <c:pt idx="473">
                  <c:v>44837</c:v>
                </c:pt>
                <c:pt idx="474">
                  <c:v>44838</c:v>
                </c:pt>
                <c:pt idx="475">
                  <c:v>44839</c:v>
                </c:pt>
                <c:pt idx="476">
                  <c:v>44840</c:v>
                </c:pt>
                <c:pt idx="477">
                  <c:v>44841</c:v>
                </c:pt>
                <c:pt idx="478">
                  <c:v>44842</c:v>
                </c:pt>
                <c:pt idx="479">
                  <c:v>44843</c:v>
                </c:pt>
                <c:pt idx="480">
                  <c:v>44844</c:v>
                </c:pt>
                <c:pt idx="481">
                  <c:v>44845</c:v>
                </c:pt>
                <c:pt idx="482">
                  <c:v>44846</c:v>
                </c:pt>
                <c:pt idx="483">
                  <c:v>44847</c:v>
                </c:pt>
                <c:pt idx="484">
                  <c:v>44848</c:v>
                </c:pt>
                <c:pt idx="485">
                  <c:v>44849</c:v>
                </c:pt>
                <c:pt idx="486">
                  <c:v>44850</c:v>
                </c:pt>
                <c:pt idx="487">
                  <c:v>44851</c:v>
                </c:pt>
                <c:pt idx="488">
                  <c:v>44852</c:v>
                </c:pt>
                <c:pt idx="489">
                  <c:v>44853</c:v>
                </c:pt>
                <c:pt idx="490">
                  <c:v>44854</c:v>
                </c:pt>
                <c:pt idx="491">
                  <c:v>44855</c:v>
                </c:pt>
                <c:pt idx="492">
                  <c:v>44856</c:v>
                </c:pt>
                <c:pt idx="493">
                  <c:v>44857</c:v>
                </c:pt>
                <c:pt idx="494">
                  <c:v>44858</c:v>
                </c:pt>
                <c:pt idx="495">
                  <c:v>44859</c:v>
                </c:pt>
                <c:pt idx="496">
                  <c:v>44860</c:v>
                </c:pt>
                <c:pt idx="497">
                  <c:v>44861</c:v>
                </c:pt>
                <c:pt idx="498">
                  <c:v>44862</c:v>
                </c:pt>
                <c:pt idx="499">
                  <c:v>44863</c:v>
                </c:pt>
                <c:pt idx="500">
                  <c:v>44864</c:v>
                </c:pt>
                <c:pt idx="501">
                  <c:v>44865</c:v>
                </c:pt>
                <c:pt idx="502">
                  <c:v>44866</c:v>
                </c:pt>
                <c:pt idx="503">
                  <c:v>44867</c:v>
                </c:pt>
                <c:pt idx="504">
                  <c:v>44868</c:v>
                </c:pt>
                <c:pt idx="505">
                  <c:v>44869</c:v>
                </c:pt>
                <c:pt idx="506">
                  <c:v>44870</c:v>
                </c:pt>
                <c:pt idx="507">
                  <c:v>44871</c:v>
                </c:pt>
                <c:pt idx="508">
                  <c:v>44872</c:v>
                </c:pt>
                <c:pt idx="509">
                  <c:v>44873</c:v>
                </c:pt>
                <c:pt idx="510">
                  <c:v>44874</c:v>
                </c:pt>
                <c:pt idx="511">
                  <c:v>44875</c:v>
                </c:pt>
                <c:pt idx="512">
                  <c:v>44876</c:v>
                </c:pt>
                <c:pt idx="513">
                  <c:v>44877</c:v>
                </c:pt>
                <c:pt idx="514">
                  <c:v>44878</c:v>
                </c:pt>
                <c:pt idx="515">
                  <c:v>44879</c:v>
                </c:pt>
                <c:pt idx="516">
                  <c:v>44880</c:v>
                </c:pt>
                <c:pt idx="517">
                  <c:v>44881</c:v>
                </c:pt>
                <c:pt idx="518">
                  <c:v>44882</c:v>
                </c:pt>
                <c:pt idx="519">
                  <c:v>44883</c:v>
                </c:pt>
                <c:pt idx="520">
                  <c:v>44884</c:v>
                </c:pt>
                <c:pt idx="521">
                  <c:v>44885</c:v>
                </c:pt>
                <c:pt idx="522">
                  <c:v>44886</c:v>
                </c:pt>
                <c:pt idx="523">
                  <c:v>44887</c:v>
                </c:pt>
                <c:pt idx="524">
                  <c:v>44888</c:v>
                </c:pt>
                <c:pt idx="525">
                  <c:v>44889</c:v>
                </c:pt>
                <c:pt idx="526">
                  <c:v>44890</c:v>
                </c:pt>
                <c:pt idx="527">
                  <c:v>44891</c:v>
                </c:pt>
                <c:pt idx="528">
                  <c:v>44892</c:v>
                </c:pt>
                <c:pt idx="529">
                  <c:v>44893</c:v>
                </c:pt>
                <c:pt idx="530">
                  <c:v>44894</c:v>
                </c:pt>
                <c:pt idx="531">
                  <c:v>44895</c:v>
                </c:pt>
                <c:pt idx="532">
                  <c:v>44896</c:v>
                </c:pt>
                <c:pt idx="533">
                  <c:v>44897</c:v>
                </c:pt>
                <c:pt idx="534">
                  <c:v>44898</c:v>
                </c:pt>
                <c:pt idx="535">
                  <c:v>44899</c:v>
                </c:pt>
                <c:pt idx="536">
                  <c:v>44900</c:v>
                </c:pt>
                <c:pt idx="537">
                  <c:v>44901</c:v>
                </c:pt>
                <c:pt idx="538">
                  <c:v>44902</c:v>
                </c:pt>
                <c:pt idx="539">
                  <c:v>44903</c:v>
                </c:pt>
                <c:pt idx="540">
                  <c:v>44904</c:v>
                </c:pt>
                <c:pt idx="541">
                  <c:v>44905</c:v>
                </c:pt>
                <c:pt idx="542">
                  <c:v>44906</c:v>
                </c:pt>
                <c:pt idx="543">
                  <c:v>44907</c:v>
                </c:pt>
                <c:pt idx="544">
                  <c:v>44908</c:v>
                </c:pt>
                <c:pt idx="545">
                  <c:v>44909</c:v>
                </c:pt>
                <c:pt idx="546">
                  <c:v>44910</c:v>
                </c:pt>
                <c:pt idx="547">
                  <c:v>44911</c:v>
                </c:pt>
                <c:pt idx="548">
                  <c:v>44912</c:v>
                </c:pt>
                <c:pt idx="549">
                  <c:v>44913</c:v>
                </c:pt>
                <c:pt idx="550">
                  <c:v>44914</c:v>
                </c:pt>
                <c:pt idx="551">
                  <c:v>44915</c:v>
                </c:pt>
                <c:pt idx="552">
                  <c:v>44916</c:v>
                </c:pt>
                <c:pt idx="553">
                  <c:v>44917</c:v>
                </c:pt>
                <c:pt idx="554">
                  <c:v>44918</c:v>
                </c:pt>
                <c:pt idx="555">
                  <c:v>44919</c:v>
                </c:pt>
                <c:pt idx="556">
                  <c:v>44920</c:v>
                </c:pt>
                <c:pt idx="557">
                  <c:v>44921</c:v>
                </c:pt>
                <c:pt idx="558">
                  <c:v>44922</c:v>
                </c:pt>
                <c:pt idx="559">
                  <c:v>44923</c:v>
                </c:pt>
                <c:pt idx="560">
                  <c:v>44924</c:v>
                </c:pt>
                <c:pt idx="561">
                  <c:v>44925</c:v>
                </c:pt>
                <c:pt idx="562">
                  <c:v>44926</c:v>
                </c:pt>
                <c:pt idx="563">
                  <c:v>44927</c:v>
                </c:pt>
                <c:pt idx="564">
                  <c:v>44928</c:v>
                </c:pt>
                <c:pt idx="565">
                  <c:v>44929</c:v>
                </c:pt>
                <c:pt idx="566">
                  <c:v>44930</c:v>
                </c:pt>
                <c:pt idx="567">
                  <c:v>44931</c:v>
                </c:pt>
                <c:pt idx="568">
                  <c:v>44932</c:v>
                </c:pt>
                <c:pt idx="569">
                  <c:v>44933</c:v>
                </c:pt>
                <c:pt idx="570">
                  <c:v>44934</c:v>
                </c:pt>
                <c:pt idx="571">
                  <c:v>44935</c:v>
                </c:pt>
                <c:pt idx="572">
                  <c:v>44936</c:v>
                </c:pt>
                <c:pt idx="573">
                  <c:v>44937</c:v>
                </c:pt>
                <c:pt idx="574">
                  <c:v>44938</c:v>
                </c:pt>
                <c:pt idx="575">
                  <c:v>44939</c:v>
                </c:pt>
                <c:pt idx="576">
                  <c:v>44940</c:v>
                </c:pt>
                <c:pt idx="577">
                  <c:v>44941</c:v>
                </c:pt>
                <c:pt idx="578">
                  <c:v>44942</c:v>
                </c:pt>
                <c:pt idx="579">
                  <c:v>44943</c:v>
                </c:pt>
                <c:pt idx="580">
                  <c:v>44944</c:v>
                </c:pt>
                <c:pt idx="581">
                  <c:v>44945</c:v>
                </c:pt>
                <c:pt idx="582">
                  <c:v>44946</c:v>
                </c:pt>
                <c:pt idx="583">
                  <c:v>44947</c:v>
                </c:pt>
                <c:pt idx="584">
                  <c:v>44948</c:v>
                </c:pt>
                <c:pt idx="585">
                  <c:v>44949</c:v>
                </c:pt>
                <c:pt idx="586">
                  <c:v>44950</c:v>
                </c:pt>
                <c:pt idx="587">
                  <c:v>44951</c:v>
                </c:pt>
                <c:pt idx="588">
                  <c:v>44952</c:v>
                </c:pt>
                <c:pt idx="589">
                  <c:v>44953</c:v>
                </c:pt>
                <c:pt idx="590">
                  <c:v>44954</c:v>
                </c:pt>
                <c:pt idx="591">
                  <c:v>44955</c:v>
                </c:pt>
                <c:pt idx="592">
                  <c:v>44956</c:v>
                </c:pt>
                <c:pt idx="593">
                  <c:v>44957</c:v>
                </c:pt>
                <c:pt idx="594">
                  <c:v>44958</c:v>
                </c:pt>
                <c:pt idx="595">
                  <c:v>44959</c:v>
                </c:pt>
                <c:pt idx="596">
                  <c:v>44960</c:v>
                </c:pt>
                <c:pt idx="597">
                  <c:v>44961</c:v>
                </c:pt>
                <c:pt idx="598">
                  <c:v>44962</c:v>
                </c:pt>
                <c:pt idx="599">
                  <c:v>44963</c:v>
                </c:pt>
                <c:pt idx="600">
                  <c:v>44964</c:v>
                </c:pt>
                <c:pt idx="601">
                  <c:v>44965</c:v>
                </c:pt>
                <c:pt idx="602">
                  <c:v>44966</c:v>
                </c:pt>
                <c:pt idx="603">
                  <c:v>44967</c:v>
                </c:pt>
                <c:pt idx="604">
                  <c:v>44968</c:v>
                </c:pt>
                <c:pt idx="605">
                  <c:v>44969</c:v>
                </c:pt>
                <c:pt idx="606">
                  <c:v>44970</c:v>
                </c:pt>
                <c:pt idx="607">
                  <c:v>44971</c:v>
                </c:pt>
                <c:pt idx="608">
                  <c:v>44972</c:v>
                </c:pt>
                <c:pt idx="609">
                  <c:v>44973</c:v>
                </c:pt>
                <c:pt idx="610">
                  <c:v>44974</c:v>
                </c:pt>
                <c:pt idx="611">
                  <c:v>44975</c:v>
                </c:pt>
                <c:pt idx="612">
                  <c:v>44976</c:v>
                </c:pt>
                <c:pt idx="613">
                  <c:v>44977</c:v>
                </c:pt>
                <c:pt idx="614">
                  <c:v>44978</c:v>
                </c:pt>
                <c:pt idx="615">
                  <c:v>44979</c:v>
                </c:pt>
                <c:pt idx="616">
                  <c:v>44980</c:v>
                </c:pt>
                <c:pt idx="617">
                  <c:v>44981</c:v>
                </c:pt>
                <c:pt idx="618">
                  <c:v>44982</c:v>
                </c:pt>
                <c:pt idx="619">
                  <c:v>44983</c:v>
                </c:pt>
                <c:pt idx="620">
                  <c:v>44984</c:v>
                </c:pt>
                <c:pt idx="621">
                  <c:v>44985</c:v>
                </c:pt>
                <c:pt idx="622">
                  <c:v>44986</c:v>
                </c:pt>
                <c:pt idx="623">
                  <c:v>44987</c:v>
                </c:pt>
                <c:pt idx="624">
                  <c:v>44988</c:v>
                </c:pt>
                <c:pt idx="625">
                  <c:v>44989</c:v>
                </c:pt>
                <c:pt idx="626">
                  <c:v>44990</c:v>
                </c:pt>
                <c:pt idx="627">
                  <c:v>44991</c:v>
                </c:pt>
                <c:pt idx="628">
                  <c:v>44992</c:v>
                </c:pt>
                <c:pt idx="629">
                  <c:v>44993</c:v>
                </c:pt>
                <c:pt idx="630">
                  <c:v>44994</c:v>
                </c:pt>
                <c:pt idx="631">
                  <c:v>44995</c:v>
                </c:pt>
                <c:pt idx="632">
                  <c:v>44996</c:v>
                </c:pt>
                <c:pt idx="633">
                  <c:v>44997</c:v>
                </c:pt>
                <c:pt idx="634">
                  <c:v>44998</c:v>
                </c:pt>
                <c:pt idx="635">
                  <c:v>44999</c:v>
                </c:pt>
                <c:pt idx="636">
                  <c:v>45000</c:v>
                </c:pt>
                <c:pt idx="637">
                  <c:v>45001</c:v>
                </c:pt>
                <c:pt idx="638">
                  <c:v>45002</c:v>
                </c:pt>
                <c:pt idx="639">
                  <c:v>45003</c:v>
                </c:pt>
                <c:pt idx="640">
                  <c:v>45004</c:v>
                </c:pt>
                <c:pt idx="641">
                  <c:v>45005</c:v>
                </c:pt>
                <c:pt idx="642">
                  <c:v>45006</c:v>
                </c:pt>
                <c:pt idx="643">
                  <c:v>45007</c:v>
                </c:pt>
                <c:pt idx="644">
                  <c:v>45008</c:v>
                </c:pt>
                <c:pt idx="645">
                  <c:v>45009</c:v>
                </c:pt>
                <c:pt idx="646">
                  <c:v>45010</c:v>
                </c:pt>
                <c:pt idx="647">
                  <c:v>45011</c:v>
                </c:pt>
                <c:pt idx="648">
                  <c:v>45012</c:v>
                </c:pt>
                <c:pt idx="649">
                  <c:v>45013</c:v>
                </c:pt>
                <c:pt idx="650">
                  <c:v>45014</c:v>
                </c:pt>
                <c:pt idx="651">
                  <c:v>45015</c:v>
                </c:pt>
                <c:pt idx="652">
                  <c:v>45016</c:v>
                </c:pt>
                <c:pt idx="653">
                  <c:v>45017</c:v>
                </c:pt>
                <c:pt idx="654">
                  <c:v>45018</c:v>
                </c:pt>
                <c:pt idx="655">
                  <c:v>45019</c:v>
                </c:pt>
                <c:pt idx="656">
                  <c:v>45020</c:v>
                </c:pt>
                <c:pt idx="657">
                  <c:v>45021</c:v>
                </c:pt>
                <c:pt idx="658">
                  <c:v>45022</c:v>
                </c:pt>
                <c:pt idx="659">
                  <c:v>45023</c:v>
                </c:pt>
                <c:pt idx="660">
                  <c:v>45024</c:v>
                </c:pt>
                <c:pt idx="661">
                  <c:v>45025</c:v>
                </c:pt>
                <c:pt idx="662">
                  <c:v>45026</c:v>
                </c:pt>
                <c:pt idx="663">
                  <c:v>45027</c:v>
                </c:pt>
                <c:pt idx="664">
                  <c:v>45028</c:v>
                </c:pt>
                <c:pt idx="665">
                  <c:v>45029</c:v>
                </c:pt>
                <c:pt idx="666">
                  <c:v>45030</c:v>
                </c:pt>
                <c:pt idx="667">
                  <c:v>45031</c:v>
                </c:pt>
                <c:pt idx="668">
                  <c:v>45032</c:v>
                </c:pt>
                <c:pt idx="669">
                  <c:v>45033</c:v>
                </c:pt>
                <c:pt idx="670">
                  <c:v>45034</c:v>
                </c:pt>
                <c:pt idx="671">
                  <c:v>45035</c:v>
                </c:pt>
                <c:pt idx="672">
                  <c:v>45036</c:v>
                </c:pt>
                <c:pt idx="673">
                  <c:v>45037</c:v>
                </c:pt>
                <c:pt idx="674">
                  <c:v>45038</c:v>
                </c:pt>
                <c:pt idx="675">
                  <c:v>45039</c:v>
                </c:pt>
                <c:pt idx="676">
                  <c:v>45040</c:v>
                </c:pt>
                <c:pt idx="677">
                  <c:v>45041</c:v>
                </c:pt>
                <c:pt idx="678">
                  <c:v>45042</c:v>
                </c:pt>
                <c:pt idx="679">
                  <c:v>45043</c:v>
                </c:pt>
                <c:pt idx="680">
                  <c:v>45044</c:v>
                </c:pt>
                <c:pt idx="681">
                  <c:v>45045</c:v>
                </c:pt>
                <c:pt idx="682">
                  <c:v>45046</c:v>
                </c:pt>
                <c:pt idx="683">
                  <c:v>45047</c:v>
                </c:pt>
                <c:pt idx="684">
                  <c:v>45048</c:v>
                </c:pt>
                <c:pt idx="685">
                  <c:v>45049</c:v>
                </c:pt>
                <c:pt idx="686">
                  <c:v>45050</c:v>
                </c:pt>
                <c:pt idx="687">
                  <c:v>45051</c:v>
                </c:pt>
                <c:pt idx="688">
                  <c:v>45052</c:v>
                </c:pt>
                <c:pt idx="689">
                  <c:v>45053</c:v>
                </c:pt>
                <c:pt idx="690">
                  <c:v>45054</c:v>
                </c:pt>
                <c:pt idx="691">
                  <c:v>45055</c:v>
                </c:pt>
                <c:pt idx="692">
                  <c:v>45056</c:v>
                </c:pt>
                <c:pt idx="693">
                  <c:v>45057</c:v>
                </c:pt>
                <c:pt idx="694">
                  <c:v>45058</c:v>
                </c:pt>
                <c:pt idx="695">
                  <c:v>45059</c:v>
                </c:pt>
                <c:pt idx="696">
                  <c:v>45060</c:v>
                </c:pt>
                <c:pt idx="697">
                  <c:v>45061</c:v>
                </c:pt>
                <c:pt idx="698">
                  <c:v>45062</c:v>
                </c:pt>
                <c:pt idx="699">
                  <c:v>45063</c:v>
                </c:pt>
                <c:pt idx="700">
                  <c:v>45064</c:v>
                </c:pt>
                <c:pt idx="701">
                  <c:v>45065</c:v>
                </c:pt>
                <c:pt idx="702">
                  <c:v>45066</c:v>
                </c:pt>
                <c:pt idx="703">
                  <c:v>45067</c:v>
                </c:pt>
                <c:pt idx="704">
                  <c:v>45068</c:v>
                </c:pt>
                <c:pt idx="705">
                  <c:v>45069</c:v>
                </c:pt>
                <c:pt idx="706">
                  <c:v>45070</c:v>
                </c:pt>
                <c:pt idx="707">
                  <c:v>45071</c:v>
                </c:pt>
                <c:pt idx="708">
                  <c:v>45072</c:v>
                </c:pt>
                <c:pt idx="709">
                  <c:v>45073</c:v>
                </c:pt>
                <c:pt idx="710">
                  <c:v>45074</c:v>
                </c:pt>
                <c:pt idx="711">
                  <c:v>45075</c:v>
                </c:pt>
                <c:pt idx="712">
                  <c:v>45076</c:v>
                </c:pt>
                <c:pt idx="713">
                  <c:v>45077</c:v>
                </c:pt>
                <c:pt idx="714">
                  <c:v>45078</c:v>
                </c:pt>
                <c:pt idx="715">
                  <c:v>45079</c:v>
                </c:pt>
                <c:pt idx="716">
                  <c:v>45080</c:v>
                </c:pt>
                <c:pt idx="717">
                  <c:v>45081</c:v>
                </c:pt>
                <c:pt idx="718">
                  <c:v>45082</c:v>
                </c:pt>
                <c:pt idx="719">
                  <c:v>45083</c:v>
                </c:pt>
                <c:pt idx="720">
                  <c:v>45084</c:v>
                </c:pt>
                <c:pt idx="721">
                  <c:v>45085</c:v>
                </c:pt>
                <c:pt idx="722">
                  <c:v>45086</c:v>
                </c:pt>
                <c:pt idx="723">
                  <c:v>45087</c:v>
                </c:pt>
                <c:pt idx="724">
                  <c:v>45088</c:v>
                </c:pt>
                <c:pt idx="725">
                  <c:v>45089</c:v>
                </c:pt>
                <c:pt idx="726">
                  <c:v>45090</c:v>
                </c:pt>
                <c:pt idx="727">
                  <c:v>45091</c:v>
                </c:pt>
                <c:pt idx="728">
                  <c:v>45092</c:v>
                </c:pt>
                <c:pt idx="729">
                  <c:v>45093</c:v>
                </c:pt>
                <c:pt idx="730">
                  <c:v>45094</c:v>
                </c:pt>
                <c:pt idx="731">
                  <c:v>45095</c:v>
                </c:pt>
                <c:pt idx="732">
                  <c:v>45096</c:v>
                </c:pt>
                <c:pt idx="733">
                  <c:v>45097</c:v>
                </c:pt>
                <c:pt idx="734">
                  <c:v>45098</c:v>
                </c:pt>
                <c:pt idx="735">
                  <c:v>45099</c:v>
                </c:pt>
                <c:pt idx="736">
                  <c:v>45100</c:v>
                </c:pt>
                <c:pt idx="737">
                  <c:v>45101</c:v>
                </c:pt>
                <c:pt idx="738">
                  <c:v>45102</c:v>
                </c:pt>
                <c:pt idx="739">
                  <c:v>45103</c:v>
                </c:pt>
                <c:pt idx="740">
                  <c:v>45104</c:v>
                </c:pt>
                <c:pt idx="741">
                  <c:v>45105</c:v>
                </c:pt>
                <c:pt idx="742">
                  <c:v>45106</c:v>
                </c:pt>
                <c:pt idx="743">
                  <c:v>45107</c:v>
                </c:pt>
                <c:pt idx="744">
                  <c:v>45108</c:v>
                </c:pt>
                <c:pt idx="745">
                  <c:v>45109</c:v>
                </c:pt>
                <c:pt idx="746">
                  <c:v>45110</c:v>
                </c:pt>
                <c:pt idx="747">
                  <c:v>45111</c:v>
                </c:pt>
                <c:pt idx="748">
                  <c:v>45112</c:v>
                </c:pt>
                <c:pt idx="749">
                  <c:v>45113</c:v>
                </c:pt>
                <c:pt idx="750">
                  <c:v>45114</c:v>
                </c:pt>
                <c:pt idx="751">
                  <c:v>45115</c:v>
                </c:pt>
                <c:pt idx="752">
                  <c:v>45116</c:v>
                </c:pt>
                <c:pt idx="753">
                  <c:v>45117</c:v>
                </c:pt>
                <c:pt idx="754">
                  <c:v>45118</c:v>
                </c:pt>
                <c:pt idx="755">
                  <c:v>45119</c:v>
                </c:pt>
                <c:pt idx="756">
                  <c:v>45120</c:v>
                </c:pt>
                <c:pt idx="757">
                  <c:v>45121</c:v>
                </c:pt>
                <c:pt idx="758">
                  <c:v>45122</c:v>
                </c:pt>
                <c:pt idx="759">
                  <c:v>45123</c:v>
                </c:pt>
                <c:pt idx="760">
                  <c:v>45124</c:v>
                </c:pt>
                <c:pt idx="761">
                  <c:v>45125</c:v>
                </c:pt>
                <c:pt idx="762">
                  <c:v>45126</c:v>
                </c:pt>
                <c:pt idx="763">
                  <c:v>45127</c:v>
                </c:pt>
                <c:pt idx="764">
                  <c:v>45128</c:v>
                </c:pt>
                <c:pt idx="765">
                  <c:v>45129</c:v>
                </c:pt>
                <c:pt idx="766">
                  <c:v>45130</c:v>
                </c:pt>
                <c:pt idx="767">
                  <c:v>45131</c:v>
                </c:pt>
                <c:pt idx="768">
                  <c:v>45132</c:v>
                </c:pt>
                <c:pt idx="769">
                  <c:v>45133</c:v>
                </c:pt>
                <c:pt idx="770">
                  <c:v>45134</c:v>
                </c:pt>
                <c:pt idx="771">
                  <c:v>45135</c:v>
                </c:pt>
                <c:pt idx="772">
                  <c:v>45136</c:v>
                </c:pt>
                <c:pt idx="773">
                  <c:v>45137</c:v>
                </c:pt>
                <c:pt idx="774">
                  <c:v>45138</c:v>
                </c:pt>
                <c:pt idx="775">
                  <c:v>45139</c:v>
                </c:pt>
                <c:pt idx="776">
                  <c:v>45140</c:v>
                </c:pt>
                <c:pt idx="777">
                  <c:v>45141</c:v>
                </c:pt>
                <c:pt idx="778">
                  <c:v>45142</c:v>
                </c:pt>
                <c:pt idx="779">
                  <c:v>45143</c:v>
                </c:pt>
                <c:pt idx="780">
                  <c:v>45144</c:v>
                </c:pt>
                <c:pt idx="781">
                  <c:v>45145</c:v>
                </c:pt>
                <c:pt idx="782">
                  <c:v>45146</c:v>
                </c:pt>
                <c:pt idx="783">
                  <c:v>45147</c:v>
                </c:pt>
                <c:pt idx="784">
                  <c:v>45148</c:v>
                </c:pt>
                <c:pt idx="785">
                  <c:v>45149</c:v>
                </c:pt>
                <c:pt idx="786">
                  <c:v>45150</c:v>
                </c:pt>
                <c:pt idx="787">
                  <c:v>45151</c:v>
                </c:pt>
                <c:pt idx="788">
                  <c:v>45152</c:v>
                </c:pt>
                <c:pt idx="789">
                  <c:v>45153</c:v>
                </c:pt>
                <c:pt idx="790">
                  <c:v>45154</c:v>
                </c:pt>
                <c:pt idx="791">
                  <c:v>45155</c:v>
                </c:pt>
                <c:pt idx="792">
                  <c:v>45156</c:v>
                </c:pt>
                <c:pt idx="793">
                  <c:v>45157</c:v>
                </c:pt>
                <c:pt idx="794">
                  <c:v>45158</c:v>
                </c:pt>
                <c:pt idx="795">
                  <c:v>45159</c:v>
                </c:pt>
                <c:pt idx="796">
                  <c:v>45160</c:v>
                </c:pt>
                <c:pt idx="797">
                  <c:v>45161</c:v>
                </c:pt>
                <c:pt idx="798">
                  <c:v>45162</c:v>
                </c:pt>
                <c:pt idx="799">
                  <c:v>45163</c:v>
                </c:pt>
                <c:pt idx="800">
                  <c:v>45164</c:v>
                </c:pt>
                <c:pt idx="801">
                  <c:v>45165</c:v>
                </c:pt>
                <c:pt idx="802">
                  <c:v>45166</c:v>
                </c:pt>
                <c:pt idx="803">
                  <c:v>45167</c:v>
                </c:pt>
                <c:pt idx="804">
                  <c:v>45168</c:v>
                </c:pt>
                <c:pt idx="805">
                  <c:v>45169</c:v>
                </c:pt>
                <c:pt idx="806">
                  <c:v>45170</c:v>
                </c:pt>
                <c:pt idx="807">
                  <c:v>45171</c:v>
                </c:pt>
                <c:pt idx="808">
                  <c:v>45172</c:v>
                </c:pt>
                <c:pt idx="809">
                  <c:v>45173</c:v>
                </c:pt>
                <c:pt idx="810">
                  <c:v>45174</c:v>
                </c:pt>
                <c:pt idx="811">
                  <c:v>45175</c:v>
                </c:pt>
                <c:pt idx="812">
                  <c:v>45176</c:v>
                </c:pt>
                <c:pt idx="813">
                  <c:v>45177</c:v>
                </c:pt>
                <c:pt idx="814">
                  <c:v>45178</c:v>
                </c:pt>
                <c:pt idx="815">
                  <c:v>45179</c:v>
                </c:pt>
                <c:pt idx="816">
                  <c:v>45180</c:v>
                </c:pt>
                <c:pt idx="817">
                  <c:v>45181</c:v>
                </c:pt>
                <c:pt idx="818">
                  <c:v>45182</c:v>
                </c:pt>
                <c:pt idx="819">
                  <c:v>45183</c:v>
                </c:pt>
                <c:pt idx="820">
                  <c:v>45184</c:v>
                </c:pt>
                <c:pt idx="821">
                  <c:v>45185</c:v>
                </c:pt>
                <c:pt idx="822">
                  <c:v>45186</c:v>
                </c:pt>
                <c:pt idx="823">
                  <c:v>45187</c:v>
                </c:pt>
                <c:pt idx="824">
                  <c:v>45188</c:v>
                </c:pt>
                <c:pt idx="825">
                  <c:v>45189</c:v>
                </c:pt>
                <c:pt idx="826">
                  <c:v>45190</c:v>
                </c:pt>
                <c:pt idx="827">
                  <c:v>45191</c:v>
                </c:pt>
                <c:pt idx="828">
                  <c:v>45192</c:v>
                </c:pt>
                <c:pt idx="829">
                  <c:v>45193</c:v>
                </c:pt>
                <c:pt idx="830">
                  <c:v>45194</c:v>
                </c:pt>
                <c:pt idx="831">
                  <c:v>45195</c:v>
                </c:pt>
                <c:pt idx="832">
                  <c:v>45196</c:v>
                </c:pt>
                <c:pt idx="833">
                  <c:v>45197</c:v>
                </c:pt>
                <c:pt idx="834">
                  <c:v>45198</c:v>
                </c:pt>
                <c:pt idx="835">
                  <c:v>45199</c:v>
                </c:pt>
                <c:pt idx="836">
                  <c:v>45200</c:v>
                </c:pt>
                <c:pt idx="837">
                  <c:v>45201</c:v>
                </c:pt>
                <c:pt idx="838">
                  <c:v>45202</c:v>
                </c:pt>
                <c:pt idx="839">
                  <c:v>45203</c:v>
                </c:pt>
                <c:pt idx="840">
                  <c:v>45204</c:v>
                </c:pt>
                <c:pt idx="841">
                  <c:v>45205</c:v>
                </c:pt>
                <c:pt idx="842">
                  <c:v>45206</c:v>
                </c:pt>
                <c:pt idx="843">
                  <c:v>45207</c:v>
                </c:pt>
                <c:pt idx="844">
                  <c:v>45208</c:v>
                </c:pt>
                <c:pt idx="845">
                  <c:v>45209</c:v>
                </c:pt>
                <c:pt idx="846">
                  <c:v>45210</c:v>
                </c:pt>
                <c:pt idx="847">
                  <c:v>45211</c:v>
                </c:pt>
                <c:pt idx="848">
                  <c:v>45212</c:v>
                </c:pt>
                <c:pt idx="849">
                  <c:v>45213</c:v>
                </c:pt>
                <c:pt idx="850">
                  <c:v>45214</c:v>
                </c:pt>
                <c:pt idx="851">
                  <c:v>45215</c:v>
                </c:pt>
                <c:pt idx="852">
                  <c:v>45216</c:v>
                </c:pt>
                <c:pt idx="853">
                  <c:v>45217</c:v>
                </c:pt>
                <c:pt idx="854">
                  <c:v>45218</c:v>
                </c:pt>
                <c:pt idx="855">
                  <c:v>45219</c:v>
                </c:pt>
                <c:pt idx="856">
                  <c:v>45220</c:v>
                </c:pt>
                <c:pt idx="857">
                  <c:v>45221</c:v>
                </c:pt>
                <c:pt idx="858">
                  <c:v>45222</c:v>
                </c:pt>
                <c:pt idx="859">
                  <c:v>45223</c:v>
                </c:pt>
                <c:pt idx="860">
                  <c:v>45224</c:v>
                </c:pt>
                <c:pt idx="861">
                  <c:v>45225</c:v>
                </c:pt>
                <c:pt idx="862">
                  <c:v>45226</c:v>
                </c:pt>
                <c:pt idx="863">
                  <c:v>45227</c:v>
                </c:pt>
                <c:pt idx="864">
                  <c:v>45228</c:v>
                </c:pt>
                <c:pt idx="865">
                  <c:v>45229</c:v>
                </c:pt>
                <c:pt idx="866">
                  <c:v>45230</c:v>
                </c:pt>
                <c:pt idx="867">
                  <c:v>45231</c:v>
                </c:pt>
                <c:pt idx="868">
                  <c:v>45232</c:v>
                </c:pt>
                <c:pt idx="869">
                  <c:v>45233</c:v>
                </c:pt>
                <c:pt idx="870">
                  <c:v>45234</c:v>
                </c:pt>
                <c:pt idx="871">
                  <c:v>45235</c:v>
                </c:pt>
                <c:pt idx="872">
                  <c:v>45236</c:v>
                </c:pt>
                <c:pt idx="873">
                  <c:v>45237</c:v>
                </c:pt>
                <c:pt idx="874">
                  <c:v>45238</c:v>
                </c:pt>
                <c:pt idx="875">
                  <c:v>45239</c:v>
                </c:pt>
                <c:pt idx="876">
                  <c:v>45240</c:v>
                </c:pt>
                <c:pt idx="877">
                  <c:v>45241</c:v>
                </c:pt>
                <c:pt idx="878">
                  <c:v>45242</c:v>
                </c:pt>
                <c:pt idx="879">
                  <c:v>45243</c:v>
                </c:pt>
                <c:pt idx="880">
                  <c:v>45244</c:v>
                </c:pt>
                <c:pt idx="881">
                  <c:v>45245</c:v>
                </c:pt>
                <c:pt idx="882">
                  <c:v>45246</c:v>
                </c:pt>
                <c:pt idx="883">
                  <c:v>45247</c:v>
                </c:pt>
                <c:pt idx="884">
                  <c:v>45248</c:v>
                </c:pt>
                <c:pt idx="885">
                  <c:v>45249</c:v>
                </c:pt>
                <c:pt idx="886">
                  <c:v>45250</c:v>
                </c:pt>
                <c:pt idx="887">
                  <c:v>45251</c:v>
                </c:pt>
                <c:pt idx="888">
                  <c:v>45252</c:v>
                </c:pt>
                <c:pt idx="889">
                  <c:v>45253</c:v>
                </c:pt>
                <c:pt idx="890">
                  <c:v>45254</c:v>
                </c:pt>
                <c:pt idx="891">
                  <c:v>45255</c:v>
                </c:pt>
                <c:pt idx="892">
                  <c:v>45256</c:v>
                </c:pt>
                <c:pt idx="893">
                  <c:v>45257</c:v>
                </c:pt>
                <c:pt idx="894">
                  <c:v>45258</c:v>
                </c:pt>
                <c:pt idx="895">
                  <c:v>45259</c:v>
                </c:pt>
                <c:pt idx="896">
                  <c:v>45260</c:v>
                </c:pt>
                <c:pt idx="897">
                  <c:v>45261</c:v>
                </c:pt>
                <c:pt idx="898">
                  <c:v>45262</c:v>
                </c:pt>
                <c:pt idx="899">
                  <c:v>45263</c:v>
                </c:pt>
                <c:pt idx="900">
                  <c:v>45264</c:v>
                </c:pt>
                <c:pt idx="901">
                  <c:v>45265</c:v>
                </c:pt>
                <c:pt idx="902">
                  <c:v>45266</c:v>
                </c:pt>
                <c:pt idx="903">
                  <c:v>45267</c:v>
                </c:pt>
                <c:pt idx="904">
                  <c:v>45268</c:v>
                </c:pt>
                <c:pt idx="905">
                  <c:v>45269</c:v>
                </c:pt>
                <c:pt idx="906">
                  <c:v>45270</c:v>
                </c:pt>
                <c:pt idx="907">
                  <c:v>45271</c:v>
                </c:pt>
                <c:pt idx="908">
                  <c:v>45272</c:v>
                </c:pt>
                <c:pt idx="909">
                  <c:v>45273</c:v>
                </c:pt>
                <c:pt idx="910">
                  <c:v>45274</c:v>
                </c:pt>
                <c:pt idx="911">
                  <c:v>45275</c:v>
                </c:pt>
                <c:pt idx="912">
                  <c:v>45276</c:v>
                </c:pt>
                <c:pt idx="913">
                  <c:v>45277</c:v>
                </c:pt>
                <c:pt idx="914">
                  <c:v>45278</c:v>
                </c:pt>
                <c:pt idx="915">
                  <c:v>45279</c:v>
                </c:pt>
                <c:pt idx="916">
                  <c:v>45280</c:v>
                </c:pt>
                <c:pt idx="917">
                  <c:v>45281</c:v>
                </c:pt>
                <c:pt idx="918">
                  <c:v>45282</c:v>
                </c:pt>
                <c:pt idx="919">
                  <c:v>45283</c:v>
                </c:pt>
                <c:pt idx="920">
                  <c:v>45284</c:v>
                </c:pt>
                <c:pt idx="921">
                  <c:v>45285</c:v>
                </c:pt>
                <c:pt idx="922">
                  <c:v>45286</c:v>
                </c:pt>
                <c:pt idx="923">
                  <c:v>45287</c:v>
                </c:pt>
                <c:pt idx="924">
                  <c:v>45288</c:v>
                </c:pt>
                <c:pt idx="925">
                  <c:v>45289</c:v>
                </c:pt>
                <c:pt idx="926">
                  <c:v>45290</c:v>
                </c:pt>
                <c:pt idx="927">
                  <c:v>45291</c:v>
                </c:pt>
                <c:pt idx="928">
                  <c:v>45292</c:v>
                </c:pt>
                <c:pt idx="929">
                  <c:v>45293</c:v>
                </c:pt>
                <c:pt idx="930">
                  <c:v>45294</c:v>
                </c:pt>
                <c:pt idx="931">
                  <c:v>45295</c:v>
                </c:pt>
                <c:pt idx="932">
                  <c:v>45296</c:v>
                </c:pt>
                <c:pt idx="933">
                  <c:v>45297</c:v>
                </c:pt>
                <c:pt idx="934">
                  <c:v>45298</c:v>
                </c:pt>
                <c:pt idx="935">
                  <c:v>45299</c:v>
                </c:pt>
                <c:pt idx="936">
                  <c:v>45300</c:v>
                </c:pt>
                <c:pt idx="937">
                  <c:v>45301</c:v>
                </c:pt>
                <c:pt idx="938">
                  <c:v>45302</c:v>
                </c:pt>
                <c:pt idx="939">
                  <c:v>45303</c:v>
                </c:pt>
                <c:pt idx="940">
                  <c:v>45304</c:v>
                </c:pt>
                <c:pt idx="941">
                  <c:v>45305</c:v>
                </c:pt>
                <c:pt idx="942">
                  <c:v>45306</c:v>
                </c:pt>
                <c:pt idx="943">
                  <c:v>45307</c:v>
                </c:pt>
                <c:pt idx="944">
                  <c:v>45308</c:v>
                </c:pt>
                <c:pt idx="945">
                  <c:v>45309</c:v>
                </c:pt>
                <c:pt idx="946">
                  <c:v>45310</c:v>
                </c:pt>
                <c:pt idx="947">
                  <c:v>45311</c:v>
                </c:pt>
                <c:pt idx="948">
                  <c:v>45312</c:v>
                </c:pt>
                <c:pt idx="949">
                  <c:v>45313</c:v>
                </c:pt>
                <c:pt idx="950">
                  <c:v>45314</c:v>
                </c:pt>
                <c:pt idx="951">
                  <c:v>45315</c:v>
                </c:pt>
                <c:pt idx="952">
                  <c:v>45316</c:v>
                </c:pt>
                <c:pt idx="953">
                  <c:v>45317</c:v>
                </c:pt>
                <c:pt idx="954">
                  <c:v>45318</c:v>
                </c:pt>
                <c:pt idx="955">
                  <c:v>45319</c:v>
                </c:pt>
                <c:pt idx="956">
                  <c:v>45320</c:v>
                </c:pt>
                <c:pt idx="957">
                  <c:v>45321</c:v>
                </c:pt>
                <c:pt idx="958">
                  <c:v>45322</c:v>
                </c:pt>
                <c:pt idx="959">
                  <c:v>45323</c:v>
                </c:pt>
                <c:pt idx="960">
                  <c:v>45324</c:v>
                </c:pt>
                <c:pt idx="961">
                  <c:v>45325</c:v>
                </c:pt>
                <c:pt idx="962">
                  <c:v>45326</c:v>
                </c:pt>
                <c:pt idx="963">
                  <c:v>45327</c:v>
                </c:pt>
                <c:pt idx="964">
                  <c:v>45328</c:v>
                </c:pt>
                <c:pt idx="965">
                  <c:v>45329</c:v>
                </c:pt>
                <c:pt idx="966">
                  <c:v>45330</c:v>
                </c:pt>
                <c:pt idx="967">
                  <c:v>45331</c:v>
                </c:pt>
                <c:pt idx="968">
                  <c:v>45332</c:v>
                </c:pt>
                <c:pt idx="969">
                  <c:v>45333</c:v>
                </c:pt>
                <c:pt idx="970">
                  <c:v>45334</c:v>
                </c:pt>
                <c:pt idx="971">
                  <c:v>45335</c:v>
                </c:pt>
                <c:pt idx="972">
                  <c:v>45336</c:v>
                </c:pt>
                <c:pt idx="973">
                  <c:v>45337</c:v>
                </c:pt>
                <c:pt idx="974">
                  <c:v>45338</c:v>
                </c:pt>
                <c:pt idx="975">
                  <c:v>45339</c:v>
                </c:pt>
                <c:pt idx="976">
                  <c:v>45340</c:v>
                </c:pt>
                <c:pt idx="977">
                  <c:v>45341</c:v>
                </c:pt>
                <c:pt idx="978">
                  <c:v>45342</c:v>
                </c:pt>
                <c:pt idx="979">
                  <c:v>45343</c:v>
                </c:pt>
                <c:pt idx="980">
                  <c:v>45344</c:v>
                </c:pt>
                <c:pt idx="981">
                  <c:v>45345</c:v>
                </c:pt>
                <c:pt idx="982">
                  <c:v>45346</c:v>
                </c:pt>
                <c:pt idx="983">
                  <c:v>45347</c:v>
                </c:pt>
                <c:pt idx="984">
                  <c:v>45348</c:v>
                </c:pt>
                <c:pt idx="985">
                  <c:v>45349</c:v>
                </c:pt>
                <c:pt idx="986">
                  <c:v>45350</c:v>
                </c:pt>
                <c:pt idx="987">
                  <c:v>45351</c:v>
                </c:pt>
                <c:pt idx="988">
                  <c:v>45352</c:v>
                </c:pt>
                <c:pt idx="989">
                  <c:v>45353</c:v>
                </c:pt>
                <c:pt idx="990">
                  <c:v>45354</c:v>
                </c:pt>
                <c:pt idx="991">
                  <c:v>45355</c:v>
                </c:pt>
                <c:pt idx="992">
                  <c:v>45356</c:v>
                </c:pt>
                <c:pt idx="993">
                  <c:v>45357</c:v>
                </c:pt>
                <c:pt idx="994">
                  <c:v>45358</c:v>
                </c:pt>
                <c:pt idx="995">
                  <c:v>45359</c:v>
                </c:pt>
                <c:pt idx="996">
                  <c:v>45360</c:v>
                </c:pt>
                <c:pt idx="997">
                  <c:v>45361</c:v>
                </c:pt>
                <c:pt idx="998">
                  <c:v>45362</c:v>
                </c:pt>
                <c:pt idx="999">
                  <c:v>45363</c:v>
                </c:pt>
                <c:pt idx="1000">
                  <c:v>45364</c:v>
                </c:pt>
                <c:pt idx="1001">
                  <c:v>45365</c:v>
                </c:pt>
                <c:pt idx="1002">
                  <c:v>45366</c:v>
                </c:pt>
                <c:pt idx="1003">
                  <c:v>45367</c:v>
                </c:pt>
                <c:pt idx="1004">
                  <c:v>45368</c:v>
                </c:pt>
                <c:pt idx="1005">
                  <c:v>45369</c:v>
                </c:pt>
                <c:pt idx="1006">
                  <c:v>45370</c:v>
                </c:pt>
                <c:pt idx="1007">
                  <c:v>45371</c:v>
                </c:pt>
                <c:pt idx="1008">
                  <c:v>45372</c:v>
                </c:pt>
                <c:pt idx="1009">
                  <c:v>45373</c:v>
                </c:pt>
                <c:pt idx="1010">
                  <c:v>45374</c:v>
                </c:pt>
                <c:pt idx="1011">
                  <c:v>45375</c:v>
                </c:pt>
                <c:pt idx="1012">
                  <c:v>45376</c:v>
                </c:pt>
                <c:pt idx="1013">
                  <c:v>45377</c:v>
                </c:pt>
                <c:pt idx="1014">
                  <c:v>45378</c:v>
                </c:pt>
                <c:pt idx="1015">
                  <c:v>45379</c:v>
                </c:pt>
                <c:pt idx="1016">
                  <c:v>45380</c:v>
                </c:pt>
                <c:pt idx="1017">
                  <c:v>45381</c:v>
                </c:pt>
                <c:pt idx="1018">
                  <c:v>45382</c:v>
                </c:pt>
                <c:pt idx="1019">
                  <c:v>45383</c:v>
                </c:pt>
                <c:pt idx="1020">
                  <c:v>45384</c:v>
                </c:pt>
                <c:pt idx="1021">
                  <c:v>45385</c:v>
                </c:pt>
                <c:pt idx="1022">
                  <c:v>45386</c:v>
                </c:pt>
                <c:pt idx="1023">
                  <c:v>45387</c:v>
                </c:pt>
                <c:pt idx="1024">
                  <c:v>45388</c:v>
                </c:pt>
                <c:pt idx="1025">
                  <c:v>45389</c:v>
                </c:pt>
                <c:pt idx="1026">
                  <c:v>45390</c:v>
                </c:pt>
                <c:pt idx="1027">
                  <c:v>45391</c:v>
                </c:pt>
                <c:pt idx="1028">
                  <c:v>45392</c:v>
                </c:pt>
                <c:pt idx="1029">
                  <c:v>45393</c:v>
                </c:pt>
                <c:pt idx="1030">
                  <c:v>45394</c:v>
                </c:pt>
                <c:pt idx="1031">
                  <c:v>45395</c:v>
                </c:pt>
                <c:pt idx="1032">
                  <c:v>45396</c:v>
                </c:pt>
                <c:pt idx="1033">
                  <c:v>45397</c:v>
                </c:pt>
                <c:pt idx="1034">
                  <c:v>45398</c:v>
                </c:pt>
                <c:pt idx="1035">
                  <c:v>45399</c:v>
                </c:pt>
                <c:pt idx="1036">
                  <c:v>45400</c:v>
                </c:pt>
                <c:pt idx="1037">
                  <c:v>45401</c:v>
                </c:pt>
                <c:pt idx="1038">
                  <c:v>45402</c:v>
                </c:pt>
                <c:pt idx="1039">
                  <c:v>45403</c:v>
                </c:pt>
                <c:pt idx="1040">
                  <c:v>45404</c:v>
                </c:pt>
                <c:pt idx="1041">
                  <c:v>45405</c:v>
                </c:pt>
                <c:pt idx="1042">
                  <c:v>45406</c:v>
                </c:pt>
                <c:pt idx="1043">
                  <c:v>45407</c:v>
                </c:pt>
                <c:pt idx="1044">
                  <c:v>45408</c:v>
                </c:pt>
                <c:pt idx="1045">
                  <c:v>45409</c:v>
                </c:pt>
                <c:pt idx="1046">
                  <c:v>45410</c:v>
                </c:pt>
                <c:pt idx="1047">
                  <c:v>45411</c:v>
                </c:pt>
                <c:pt idx="1048">
                  <c:v>45412</c:v>
                </c:pt>
                <c:pt idx="1049">
                  <c:v>45413</c:v>
                </c:pt>
                <c:pt idx="1050">
                  <c:v>45414</c:v>
                </c:pt>
                <c:pt idx="1051">
                  <c:v>45415</c:v>
                </c:pt>
                <c:pt idx="1052">
                  <c:v>45416</c:v>
                </c:pt>
                <c:pt idx="1053">
                  <c:v>45417</c:v>
                </c:pt>
                <c:pt idx="1054">
                  <c:v>45418</c:v>
                </c:pt>
                <c:pt idx="1055">
                  <c:v>45419</c:v>
                </c:pt>
                <c:pt idx="1056">
                  <c:v>45420</c:v>
                </c:pt>
                <c:pt idx="1057">
                  <c:v>45421</c:v>
                </c:pt>
                <c:pt idx="1058">
                  <c:v>45422</c:v>
                </c:pt>
                <c:pt idx="1059">
                  <c:v>45423</c:v>
                </c:pt>
                <c:pt idx="1060">
                  <c:v>45424</c:v>
                </c:pt>
                <c:pt idx="1061">
                  <c:v>45425</c:v>
                </c:pt>
                <c:pt idx="1062">
                  <c:v>45426</c:v>
                </c:pt>
                <c:pt idx="1063">
                  <c:v>45427</c:v>
                </c:pt>
                <c:pt idx="1064">
                  <c:v>45428</c:v>
                </c:pt>
                <c:pt idx="1065">
                  <c:v>45429</c:v>
                </c:pt>
                <c:pt idx="1066">
                  <c:v>45430</c:v>
                </c:pt>
                <c:pt idx="1067">
                  <c:v>45431</c:v>
                </c:pt>
                <c:pt idx="1068">
                  <c:v>45432</c:v>
                </c:pt>
                <c:pt idx="1069">
                  <c:v>45433</c:v>
                </c:pt>
                <c:pt idx="1070">
                  <c:v>45434</c:v>
                </c:pt>
                <c:pt idx="1071">
                  <c:v>45435</c:v>
                </c:pt>
                <c:pt idx="1072">
                  <c:v>45436</c:v>
                </c:pt>
                <c:pt idx="1073">
                  <c:v>45437</c:v>
                </c:pt>
                <c:pt idx="1074">
                  <c:v>45438</c:v>
                </c:pt>
                <c:pt idx="1075">
                  <c:v>45439</c:v>
                </c:pt>
                <c:pt idx="1076">
                  <c:v>45440</c:v>
                </c:pt>
                <c:pt idx="1077">
                  <c:v>45441</c:v>
                </c:pt>
                <c:pt idx="1078">
                  <c:v>45442</c:v>
                </c:pt>
                <c:pt idx="1079">
                  <c:v>45443</c:v>
                </c:pt>
                <c:pt idx="1080">
                  <c:v>45444</c:v>
                </c:pt>
                <c:pt idx="1081">
                  <c:v>45445</c:v>
                </c:pt>
                <c:pt idx="1082">
                  <c:v>45446</c:v>
                </c:pt>
                <c:pt idx="1083">
                  <c:v>45447</c:v>
                </c:pt>
                <c:pt idx="1084">
                  <c:v>45448</c:v>
                </c:pt>
                <c:pt idx="1085">
                  <c:v>45449</c:v>
                </c:pt>
                <c:pt idx="1086">
                  <c:v>45450</c:v>
                </c:pt>
                <c:pt idx="1087">
                  <c:v>45451</c:v>
                </c:pt>
                <c:pt idx="1088">
                  <c:v>45452</c:v>
                </c:pt>
                <c:pt idx="1089">
                  <c:v>45453</c:v>
                </c:pt>
                <c:pt idx="1090">
                  <c:v>45454</c:v>
                </c:pt>
                <c:pt idx="1091">
                  <c:v>45455</c:v>
                </c:pt>
                <c:pt idx="1092">
                  <c:v>45456</c:v>
                </c:pt>
                <c:pt idx="1093">
                  <c:v>45457</c:v>
                </c:pt>
                <c:pt idx="1094">
                  <c:v>45458</c:v>
                </c:pt>
                <c:pt idx="1095">
                  <c:v>45459</c:v>
                </c:pt>
                <c:pt idx="1096">
                  <c:v>45460</c:v>
                </c:pt>
                <c:pt idx="1097">
                  <c:v>45461</c:v>
                </c:pt>
                <c:pt idx="1098">
                  <c:v>45462</c:v>
                </c:pt>
                <c:pt idx="1099">
                  <c:v>45463</c:v>
                </c:pt>
                <c:pt idx="1100">
                  <c:v>45464</c:v>
                </c:pt>
                <c:pt idx="1101">
                  <c:v>45465</c:v>
                </c:pt>
                <c:pt idx="1102">
                  <c:v>45466</c:v>
                </c:pt>
                <c:pt idx="1103">
                  <c:v>45467</c:v>
                </c:pt>
                <c:pt idx="1104">
                  <c:v>45468</c:v>
                </c:pt>
                <c:pt idx="1105">
                  <c:v>45469</c:v>
                </c:pt>
                <c:pt idx="1106">
                  <c:v>45470</c:v>
                </c:pt>
                <c:pt idx="1107">
                  <c:v>45471</c:v>
                </c:pt>
                <c:pt idx="1108">
                  <c:v>45472</c:v>
                </c:pt>
                <c:pt idx="1109">
                  <c:v>45473</c:v>
                </c:pt>
                <c:pt idx="1110">
                  <c:v>45474</c:v>
                </c:pt>
                <c:pt idx="1111">
                  <c:v>45475</c:v>
                </c:pt>
                <c:pt idx="1112">
                  <c:v>45476</c:v>
                </c:pt>
                <c:pt idx="1113">
                  <c:v>45477</c:v>
                </c:pt>
                <c:pt idx="1114">
                  <c:v>45478</c:v>
                </c:pt>
                <c:pt idx="1115">
                  <c:v>45479</c:v>
                </c:pt>
                <c:pt idx="1116">
                  <c:v>45480</c:v>
                </c:pt>
                <c:pt idx="1117">
                  <c:v>45481</c:v>
                </c:pt>
                <c:pt idx="1118">
                  <c:v>45482</c:v>
                </c:pt>
                <c:pt idx="1119">
                  <c:v>45483</c:v>
                </c:pt>
                <c:pt idx="1120">
                  <c:v>45484</c:v>
                </c:pt>
                <c:pt idx="1121">
                  <c:v>45485</c:v>
                </c:pt>
                <c:pt idx="1122">
                  <c:v>45486</c:v>
                </c:pt>
                <c:pt idx="1123">
                  <c:v>45487</c:v>
                </c:pt>
                <c:pt idx="1124">
                  <c:v>45488</c:v>
                </c:pt>
                <c:pt idx="1125">
                  <c:v>45489</c:v>
                </c:pt>
                <c:pt idx="1126">
                  <c:v>45490</c:v>
                </c:pt>
                <c:pt idx="1127">
                  <c:v>45491</c:v>
                </c:pt>
                <c:pt idx="1128">
                  <c:v>45492</c:v>
                </c:pt>
                <c:pt idx="1129">
                  <c:v>45493</c:v>
                </c:pt>
                <c:pt idx="1130">
                  <c:v>45494</c:v>
                </c:pt>
                <c:pt idx="1131">
                  <c:v>45495</c:v>
                </c:pt>
                <c:pt idx="1132">
                  <c:v>45496</c:v>
                </c:pt>
                <c:pt idx="1133">
                  <c:v>45497</c:v>
                </c:pt>
                <c:pt idx="1134">
                  <c:v>45498</c:v>
                </c:pt>
                <c:pt idx="1135">
                  <c:v>45499</c:v>
                </c:pt>
                <c:pt idx="1136">
                  <c:v>45500</c:v>
                </c:pt>
                <c:pt idx="1137">
                  <c:v>45501</c:v>
                </c:pt>
                <c:pt idx="1138">
                  <c:v>45502</c:v>
                </c:pt>
                <c:pt idx="1139">
                  <c:v>45503</c:v>
                </c:pt>
                <c:pt idx="1140">
                  <c:v>45504</c:v>
                </c:pt>
                <c:pt idx="1141">
                  <c:v>45505</c:v>
                </c:pt>
                <c:pt idx="1142">
                  <c:v>45506</c:v>
                </c:pt>
                <c:pt idx="1143">
                  <c:v>45507</c:v>
                </c:pt>
                <c:pt idx="1144">
                  <c:v>45508</c:v>
                </c:pt>
                <c:pt idx="1145">
                  <c:v>45509</c:v>
                </c:pt>
                <c:pt idx="1146">
                  <c:v>45510</c:v>
                </c:pt>
                <c:pt idx="1147">
                  <c:v>45511</c:v>
                </c:pt>
                <c:pt idx="1148">
                  <c:v>45512</c:v>
                </c:pt>
                <c:pt idx="1149">
                  <c:v>45513</c:v>
                </c:pt>
                <c:pt idx="1150">
                  <c:v>45514</c:v>
                </c:pt>
                <c:pt idx="1151">
                  <c:v>45515</c:v>
                </c:pt>
                <c:pt idx="1152">
                  <c:v>45516</c:v>
                </c:pt>
                <c:pt idx="1153">
                  <c:v>45517</c:v>
                </c:pt>
                <c:pt idx="1154">
                  <c:v>45518</c:v>
                </c:pt>
                <c:pt idx="1155">
                  <c:v>45519</c:v>
                </c:pt>
                <c:pt idx="1156">
                  <c:v>45520</c:v>
                </c:pt>
                <c:pt idx="1157">
                  <c:v>45521</c:v>
                </c:pt>
                <c:pt idx="1158">
                  <c:v>45522</c:v>
                </c:pt>
                <c:pt idx="1159">
                  <c:v>45523</c:v>
                </c:pt>
                <c:pt idx="1160">
                  <c:v>45524</c:v>
                </c:pt>
                <c:pt idx="1161">
                  <c:v>45525</c:v>
                </c:pt>
                <c:pt idx="1162">
                  <c:v>45526</c:v>
                </c:pt>
                <c:pt idx="1163">
                  <c:v>45527</c:v>
                </c:pt>
                <c:pt idx="1164">
                  <c:v>45528</c:v>
                </c:pt>
                <c:pt idx="1165">
                  <c:v>45529</c:v>
                </c:pt>
                <c:pt idx="1166">
                  <c:v>45530</c:v>
                </c:pt>
                <c:pt idx="1167">
                  <c:v>45531</c:v>
                </c:pt>
                <c:pt idx="1168">
                  <c:v>45532</c:v>
                </c:pt>
                <c:pt idx="1169">
                  <c:v>45533</c:v>
                </c:pt>
                <c:pt idx="1170">
                  <c:v>45534</c:v>
                </c:pt>
                <c:pt idx="1171">
                  <c:v>45535</c:v>
                </c:pt>
                <c:pt idx="1172">
                  <c:v>45536</c:v>
                </c:pt>
                <c:pt idx="1173">
                  <c:v>45537</c:v>
                </c:pt>
                <c:pt idx="1174">
                  <c:v>45538</c:v>
                </c:pt>
                <c:pt idx="1175">
                  <c:v>45539</c:v>
                </c:pt>
                <c:pt idx="1176">
                  <c:v>45540</c:v>
                </c:pt>
                <c:pt idx="1177">
                  <c:v>45541</c:v>
                </c:pt>
                <c:pt idx="1178">
                  <c:v>45542</c:v>
                </c:pt>
                <c:pt idx="1179">
                  <c:v>45543</c:v>
                </c:pt>
                <c:pt idx="1180">
                  <c:v>45544</c:v>
                </c:pt>
                <c:pt idx="1181">
                  <c:v>45545</c:v>
                </c:pt>
                <c:pt idx="1182">
                  <c:v>45546</c:v>
                </c:pt>
                <c:pt idx="1183">
                  <c:v>45547</c:v>
                </c:pt>
                <c:pt idx="1184">
                  <c:v>45548</c:v>
                </c:pt>
                <c:pt idx="1185">
                  <c:v>45549</c:v>
                </c:pt>
                <c:pt idx="1186">
                  <c:v>45550</c:v>
                </c:pt>
                <c:pt idx="1187">
                  <c:v>45551</c:v>
                </c:pt>
                <c:pt idx="1188">
                  <c:v>45552</c:v>
                </c:pt>
                <c:pt idx="1189">
                  <c:v>45553</c:v>
                </c:pt>
                <c:pt idx="1190">
                  <c:v>45554</c:v>
                </c:pt>
                <c:pt idx="1191">
                  <c:v>45555</c:v>
                </c:pt>
                <c:pt idx="1192">
                  <c:v>45556</c:v>
                </c:pt>
                <c:pt idx="1193">
                  <c:v>45557</c:v>
                </c:pt>
                <c:pt idx="1194">
                  <c:v>45558</c:v>
                </c:pt>
                <c:pt idx="1195">
                  <c:v>45559</c:v>
                </c:pt>
                <c:pt idx="1196">
                  <c:v>45560</c:v>
                </c:pt>
                <c:pt idx="1197">
                  <c:v>45561</c:v>
                </c:pt>
                <c:pt idx="1198">
                  <c:v>45562</c:v>
                </c:pt>
                <c:pt idx="1199">
                  <c:v>45563</c:v>
                </c:pt>
                <c:pt idx="1200">
                  <c:v>45564</c:v>
                </c:pt>
                <c:pt idx="1201">
                  <c:v>45565</c:v>
                </c:pt>
                <c:pt idx="1202">
                  <c:v>45566</c:v>
                </c:pt>
                <c:pt idx="1203">
                  <c:v>45567</c:v>
                </c:pt>
                <c:pt idx="1204">
                  <c:v>45568</c:v>
                </c:pt>
                <c:pt idx="1205">
                  <c:v>45569</c:v>
                </c:pt>
                <c:pt idx="1206">
                  <c:v>45570</c:v>
                </c:pt>
                <c:pt idx="1207">
                  <c:v>45571</c:v>
                </c:pt>
                <c:pt idx="1208">
                  <c:v>45572</c:v>
                </c:pt>
                <c:pt idx="1209">
                  <c:v>45573</c:v>
                </c:pt>
                <c:pt idx="1210">
                  <c:v>45574</c:v>
                </c:pt>
                <c:pt idx="1211">
                  <c:v>45575</c:v>
                </c:pt>
                <c:pt idx="1212">
                  <c:v>45576</c:v>
                </c:pt>
                <c:pt idx="1213">
                  <c:v>45577</c:v>
                </c:pt>
                <c:pt idx="1214">
                  <c:v>45578</c:v>
                </c:pt>
                <c:pt idx="1215">
                  <c:v>45579</c:v>
                </c:pt>
                <c:pt idx="1216">
                  <c:v>45580</c:v>
                </c:pt>
                <c:pt idx="1217">
                  <c:v>45581</c:v>
                </c:pt>
                <c:pt idx="1218">
                  <c:v>45582</c:v>
                </c:pt>
                <c:pt idx="1219">
                  <c:v>45583</c:v>
                </c:pt>
                <c:pt idx="1220">
                  <c:v>45584</c:v>
                </c:pt>
                <c:pt idx="1221">
                  <c:v>45585</c:v>
                </c:pt>
                <c:pt idx="1222">
                  <c:v>45586</c:v>
                </c:pt>
                <c:pt idx="1223">
                  <c:v>45587</c:v>
                </c:pt>
                <c:pt idx="1224">
                  <c:v>45588</c:v>
                </c:pt>
                <c:pt idx="1225">
                  <c:v>45589</c:v>
                </c:pt>
                <c:pt idx="1226">
                  <c:v>45590</c:v>
                </c:pt>
                <c:pt idx="1227">
                  <c:v>45591</c:v>
                </c:pt>
                <c:pt idx="1228">
                  <c:v>45592</c:v>
                </c:pt>
                <c:pt idx="1229">
                  <c:v>45593</c:v>
                </c:pt>
                <c:pt idx="1230">
                  <c:v>45594</c:v>
                </c:pt>
                <c:pt idx="1231">
                  <c:v>45595</c:v>
                </c:pt>
                <c:pt idx="1232">
                  <c:v>45596</c:v>
                </c:pt>
                <c:pt idx="1233">
                  <c:v>45597</c:v>
                </c:pt>
                <c:pt idx="1234">
                  <c:v>45598</c:v>
                </c:pt>
                <c:pt idx="1235">
                  <c:v>45599</c:v>
                </c:pt>
                <c:pt idx="1236">
                  <c:v>45600</c:v>
                </c:pt>
                <c:pt idx="1237">
                  <c:v>45601</c:v>
                </c:pt>
                <c:pt idx="1238">
                  <c:v>45602</c:v>
                </c:pt>
                <c:pt idx="1239">
                  <c:v>45603</c:v>
                </c:pt>
                <c:pt idx="1240">
                  <c:v>45604</c:v>
                </c:pt>
                <c:pt idx="1241">
                  <c:v>45605</c:v>
                </c:pt>
                <c:pt idx="1242">
                  <c:v>45606</c:v>
                </c:pt>
                <c:pt idx="1243">
                  <c:v>45607</c:v>
                </c:pt>
                <c:pt idx="1244">
                  <c:v>45608</c:v>
                </c:pt>
                <c:pt idx="1245">
                  <c:v>45609</c:v>
                </c:pt>
                <c:pt idx="1246">
                  <c:v>45610</c:v>
                </c:pt>
                <c:pt idx="1247">
                  <c:v>45611</c:v>
                </c:pt>
                <c:pt idx="1248">
                  <c:v>45612</c:v>
                </c:pt>
                <c:pt idx="1249">
                  <c:v>45613</c:v>
                </c:pt>
                <c:pt idx="1250">
                  <c:v>45614</c:v>
                </c:pt>
                <c:pt idx="1251">
                  <c:v>45615</c:v>
                </c:pt>
                <c:pt idx="1252">
                  <c:v>45616</c:v>
                </c:pt>
                <c:pt idx="1253">
                  <c:v>45617</c:v>
                </c:pt>
                <c:pt idx="1254">
                  <c:v>45618</c:v>
                </c:pt>
                <c:pt idx="1255">
                  <c:v>45619</c:v>
                </c:pt>
                <c:pt idx="1256">
                  <c:v>45620</c:v>
                </c:pt>
                <c:pt idx="1257">
                  <c:v>45621</c:v>
                </c:pt>
                <c:pt idx="1258">
                  <c:v>45622</c:v>
                </c:pt>
                <c:pt idx="1259">
                  <c:v>45623</c:v>
                </c:pt>
                <c:pt idx="1260">
                  <c:v>45624</c:v>
                </c:pt>
                <c:pt idx="1261">
                  <c:v>45625</c:v>
                </c:pt>
                <c:pt idx="1262">
                  <c:v>45626</c:v>
                </c:pt>
                <c:pt idx="1263">
                  <c:v>45627</c:v>
                </c:pt>
                <c:pt idx="1264">
                  <c:v>45628</c:v>
                </c:pt>
                <c:pt idx="1265">
                  <c:v>45629</c:v>
                </c:pt>
                <c:pt idx="1266">
                  <c:v>45630</c:v>
                </c:pt>
                <c:pt idx="1267">
                  <c:v>45631</c:v>
                </c:pt>
                <c:pt idx="1268">
                  <c:v>45632</c:v>
                </c:pt>
                <c:pt idx="1269">
                  <c:v>45633</c:v>
                </c:pt>
                <c:pt idx="1270">
                  <c:v>45634</c:v>
                </c:pt>
                <c:pt idx="1271">
                  <c:v>45635</c:v>
                </c:pt>
                <c:pt idx="1272">
                  <c:v>45636</c:v>
                </c:pt>
                <c:pt idx="1273">
                  <c:v>45637</c:v>
                </c:pt>
                <c:pt idx="1274">
                  <c:v>45638</c:v>
                </c:pt>
                <c:pt idx="1275">
                  <c:v>45639</c:v>
                </c:pt>
                <c:pt idx="1276">
                  <c:v>45640</c:v>
                </c:pt>
                <c:pt idx="1277">
                  <c:v>45641</c:v>
                </c:pt>
                <c:pt idx="1278">
                  <c:v>45642</c:v>
                </c:pt>
                <c:pt idx="1279">
                  <c:v>45643</c:v>
                </c:pt>
                <c:pt idx="1280">
                  <c:v>45644</c:v>
                </c:pt>
                <c:pt idx="1281">
                  <c:v>45645</c:v>
                </c:pt>
                <c:pt idx="1282">
                  <c:v>45646</c:v>
                </c:pt>
                <c:pt idx="1283">
                  <c:v>45647</c:v>
                </c:pt>
                <c:pt idx="1284">
                  <c:v>45648</c:v>
                </c:pt>
                <c:pt idx="1285">
                  <c:v>45649</c:v>
                </c:pt>
                <c:pt idx="1286">
                  <c:v>45650</c:v>
                </c:pt>
                <c:pt idx="1287">
                  <c:v>45651</c:v>
                </c:pt>
                <c:pt idx="1288">
                  <c:v>45652</c:v>
                </c:pt>
                <c:pt idx="1289">
                  <c:v>45653</c:v>
                </c:pt>
                <c:pt idx="1290">
                  <c:v>45654</c:v>
                </c:pt>
                <c:pt idx="1291">
                  <c:v>45655</c:v>
                </c:pt>
                <c:pt idx="1292">
                  <c:v>45656</c:v>
                </c:pt>
                <c:pt idx="1293">
                  <c:v>45657</c:v>
                </c:pt>
              </c:numCache>
            </c:numRef>
          </c:cat>
          <c:val>
            <c:numRef>
              <c:f>'spot plyn'!$C$881:$C$2417</c:f>
              <c:numCache>
                <c:formatCode>General</c:formatCode>
                <c:ptCount val="1537"/>
                <c:pt idx="125" formatCode="0.0">
                  <c:v>21.895238095238092</c:v>
                </c:pt>
                <c:pt idx="256" formatCode="0.0">
                  <c:v>71.320114503816797</c:v>
                </c:pt>
                <c:pt idx="382" formatCode="0.0">
                  <c:v>99.301904761904751</c:v>
                </c:pt>
                <c:pt idx="1172">
                  <c:v>38.686</c:v>
                </c:pt>
                <c:pt idx="1173">
                  <c:v>38.686</c:v>
                </c:pt>
                <c:pt idx="1174">
                  <c:v>38.686</c:v>
                </c:pt>
                <c:pt idx="1175">
                  <c:v>38.686</c:v>
                </c:pt>
                <c:pt idx="1176">
                  <c:v>38.686</c:v>
                </c:pt>
                <c:pt idx="1177">
                  <c:v>38.686</c:v>
                </c:pt>
                <c:pt idx="1178">
                  <c:v>38.686</c:v>
                </c:pt>
                <c:pt idx="1179">
                  <c:v>38.686</c:v>
                </c:pt>
                <c:pt idx="1180">
                  <c:v>38.686</c:v>
                </c:pt>
                <c:pt idx="1181">
                  <c:v>38.686</c:v>
                </c:pt>
                <c:pt idx="1182">
                  <c:v>38.686</c:v>
                </c:pt>
                <c:pt idx="1183">
                  <c:v>38.686</c:v>
                </c:pt>
                <c:pt idx="1184">
                  <c:v>38.686</c:v>
                </c:pt>
                <c:pt idx="1185">
                  <c:v>38.686</c:v>
                </c:pt>
                <c:pt idx="1186">
                  <c:v>38.686</c:v>
                </c:pt>
                <c:pt idx="1187">
                  <c:v>38.686</c:v>
                </c:pt>
                <c:pt idx="1188">
                  <c:v>38.686</c:v>
                </c:pt>
                <c:pt idx="1189">
                  <c:v>38.686</c:v>
                </c:pt>
                <c:pt idx="1190">
                  <c:v>38.686</c:v>
                </c:pt>
                <c:pt idx="1191">
                  <c:v>38.686</c:v>
                </c:pt>
                <c:pt idx="1192">
                  <c:v>38.686</c:v>
                </c:pt>
                <c:pt idx="1193">
                  <c:v>38.686</c:v>
                </c:pt>
                <c:pt idx="1194">
                  <c:v>38.686</c:v>
                </c:pt>
                <c:pt idx="1195">
                  <c:v>38.686</c:v>
                </c:pt>
                <c:pt idx="1196">
                  <c:v>38.686</c:v>
                </c:pt>
                <c:pt idx="1197">
                  <c:v>38.686</c:v>
                </c:pt>
                <c:pt idx="1198">
                  <c:v>38.686</c:v>
                </c:pt>
                <c:pt idx="1199">
                  <c:v>38.686</c:v>
                </c:pt>
                <c:pt idx="1200">
                  <c:v>38.686</c:v>
                </c:pt>
                <c:pt idx="1201">
                  <c:v>38.686</c:v>
                </c:pt>
                <c:pt idx="1202">
                  <c:v>36.691000000000003</c:v>
                </c:pt>
                <c:pt idx="1203">
                  <c:v>36.691000000000003</c:v>
                </c:pt>
                <c:pt idx="1204">
                  <c:v>36.691000000000003</c:v>
                </c:pt>
                <c:pt idx="1205">
                  <c:v>36.691000000000003</c:v>
                </c:pt>
                <c:pt idx="1206">
                  <c:v>36.691000000000003</c:v>
                </c:pt>
                <c:pt idx="1207">
                  <c:v>36.691000000000003</c:v>
                </c:pt>
                <c:pt idx="1208">
                  <c:v>36.691000000000003</c:v>
                </c:pt>
                <c:pt idx="1209">
                  <c:v>36.691000000000003</c:v>
                </c:pt>
                <c:pt idx="1210">
                  <c:v>36.691000000000003</c:v>
                </c:pt>
                <c:pt idx="1211">
                  <c:v>36.691000000000003</c:v>
                </c:pt>
                <c:pt idx="1212">
                  <c:v>36.691000000000003</c:v>
                </c:pt>
                <c:pt idx="1213">
                  <c:v>36.691000000000003</c:v>
                </c:pt>
                <c:pt idx="1214">
                  <c:v>36.691000000000003</c:v>
                </c:pt>
                <c:pt idx="1215">
                  <c:v>36.691000000000003</c:v>
                </c:pt>
                <c:pt idx="1216">
                  <c:v>36.691000000000003</c:v>
                </c:pt>
                <c:pt idx="1217">
                  <c:v>36.691000000000003</c:v>
                </c:pt>
                <c:pt idx="1218">
                  <c:v>36.691000000000003</c:v>
                </c:pt>
                <c:pt idx="1219">
                  <c:v>36.691000000000003</c:v>
                </c:pt>
                <c:pt idx="1220">
                  <c:v>36.691000000000003</c:v>
                </c:pt>
                <c:pt idx="1221">
                  <c:v>36.691000000000003</c:v>
                </c:pt>
                <c:pt idx="1222">
                  <c:v>36.691000000000003</c:v>
                </c:pt>
                <c:pt idx="1223">
                  <c:v>36.691000000000003</c:v>
                </c:pt>
                <c:pt idx="1224">
                  <c:v>36.691000000000003</c:v>
                </c:pt>
                <c:pt idx="1225">
                  <c:v>36.691000000000003</c:v>
                </c:pt>
                <c:pt idx="1226">
                  <c:v>36.691000000000003</c:v>
                </c:pt>
                <c:pt idx="1227">
                  <c:v>36.691000000000003</c:v>
                </c:pt>
                <c:pt idx="1228">
                  <c:v>36.691000000000003</c:v>
                </c:pt>
                <c:pt idx="1229">
                  <c:v>36.691000000000003</c:v>
                </c:pt>
                <c:pt idx="1230">
                  <c:v>36.691000000000003</c:v>
                </c:pt>
                <c:pt idx="1231">
                  <c:v>36.691000000000003</c:v>
                </c:pt>
                <c:pt idx="1232">
                  <c:v>36.691000000000003</c:v>
                </c:pt>
                <c:pt idx="1233">
                  <c:v>38.392000000000003</c:v>
                </c:pt>
                <c:pt idx="1234">
                  <c:v>38.392000000000003</c:v>
                </c:pt>
                <c:pt idx="1235">
                  <c:v>38.392000000000003</c:v>
                </c:pt>
                <c:pt idx="1236">
                  <c:v>38.392000000000003</c:v>
                </c:pt>
                <c:pt idx="1237">
                  <c:v>38.392000000000003</c:v>
                </c:pt>
                <c:pt idx="1238">
                  <c:v>38.392000000000003</c:v>
                </c:pt>
                <c:pt idx="1239">
                  <c:v>38.392000000000003</c:v>
                </c:pt>
                <c:pt idx="1240">
                  <c:v>38.392000000000003</c:v>
                </c:pt>
                <c:pt idx="1241">
                  <c:v>38.392000000000003</c:v>
                </c:pt>
                <c:pt idx="1242">
                  <c:v>38.392000000000003</c:v>
                </c:pt>
                <c:pt idx="1243">
                  <c:v>38.392000000000003</c:v>
                </c:pt>
                <c:pt idx="1244">
                  <c:v>38.392000000000003</c:v>
                </c:pt>
                <c:pt idx="1245">
                  <c:v>38.392000000000003</c:v>
                </c:pt>
                <c:pt idx="1246">
                  <c:v>38.392000000000003</c:v>
                </c:pt>
                <c:pt idx="1247">
                  <c:v>38.392000000000003</c:v>
                </c:pt>
                <c:pt idx="1248">
                  <c:v>38.392000000000003</c:v>
                </c:pt>
                <c:pt idx="1249">
                  <c:v>38.392000000000003</c:v>
                </c:pt>
                <c:pt idx="1250">
                  <c:v>38.392000000000003</c:v>
                </c:pt>
                <c:pt idx="1251">
                  <c:v>38.392000000000003</c:v>
                </c:pt>
                <c:pt idx="1252">
                  <c:v>38.392000000000003</c:v>
                </c:pt>
                <c:pt idx="1253">
                  <c:v>38.392000000000003</c:v>
                </c:pt>
                <c:pt idx="1254">
                  <c:v>38.392000000000003</c:v>
                </c:pt>
                <c:pt idx="1255">
                  <c:v>38.392000000000003</c:v>
                </c:pt>
                <c:pt idx="1256">
                  <c:v>38.392000000000003</c:v>
                </c:pt>
                <c:pt idx="1257">
                  <c:v>38.392000000000003</c:v>
                </c:pt>
                <c:pt idx="1258">
                  <c:v>38.392000000000003</c:v>
                </c:pt>
                <c:pt idx="1259">
                  <c:v>38.392000000000003</c:v>
                </c:pt>
                <c:pt idx="1260">
                  <c:v>38.392000000000003</c:v>
                </c:pt>
                <c:pt idx="1261">
                  <c:v>38.392000000000003</c:v>
                </c:pt>
                <c:pt idx="1262">
                  <c:v>38.392000000000003</c:v>
                </c:pt>
                <c:pt idx="1263">
                  <c:v>39.384999999999998</c:v>
                </c:pt>
                <c:pt idx="1264">
                  <c:v>39.384999999999998</c:v>
                </c:pt>
                <c:pt idx="1265">
                  <c:v>39.384999999999998</c:v>
                </c:pt>
                <c:pt idx="1266">
                  <c:v>39.384999999999998</c:v>
                </c:pt>
                <c:pt idx="1267">
                  <c:v>39.384999999999998</c:v>
                </c:pt>
                <c:pt idx="1268">
                  <c:v>39.384999999999998</c:v>
                </c:pt>
                <c:pt idx="1269">
                  <c:v>39.384999999999998</c:v>
                </c:pt>
                <c:pt idx="1270">
                  <c:v>39.384999999999998</c:v>
                </c:pt>
                <c:pt idx="1271">
                  <c:v>39.384999999999998</c:v>
                </c:pt>
                <c:pt idx="1272">
                  <c:v>39.384999999999998</c:v>
                </c:pt>
                <c:pt idx="1273">
                  <c:v>39.384999999999998</c:v>
                </c:pt>
                <c:pt idx="1274">
                  <c:v>39.384999999999998</c:v>
                </c:pt>
                <c:pt idx="1275">
                  <c:v>39.384999999999998</c:v>
                </c:pt>
                <c:pt idx="1276">
                  <c:v>39.384999999999998</c:v>
                </c:pt>
                <c:pt idx="1277">
                  <c:v>39.384999999999998</c:v>
                </c:pt>
                <c:pt idx="1278">
                  <c:v>39.384999999999998</c:v>
                </c:pt>
                <c:pt idx="1279">
                  <c:v>39.384999999999998</c:v>
                </c:pt>
                <c:pt idx="1280">
                  <c:v>39.384999999999998</c:v>
                </c:pt>
                <c:pt idx="1281">
                  <c:v>39.384999999999998</c:v>
                </c:pt>
                <c:pt idx="1282">
                  <c:v>39.384999999999998</c:v>
                </c:pt>
                <c:pt idx="1283">
                  <c:v>39.384999999999998</c:v>
                </c:pt>
                <c:pt idx="1284">
                  <c:v>39.384999999999998</c:v>
                </c:pt>
                <c:pt idx="1285">
                  <c:v>39.384999999999998</c:v>
                </c:pt>
                <c:pt idx="1286">
                  <c:v>39.384999999999998</c:v>
                </c:pt>
                <c:pt idx="1287">
                  <c:v>39.384999999999998</c:v>
                </c:pt>
                <c:pt idx="1288">
                  <c:v>39.384999999999998</c:v>
                </c:pt>
                <c:pt idx="1289">
                  <c:v>39.384999999999998</c:v>
                </c:pt>
                <c:pt idx="1290">
                  <c:v>39.384999999999998</c:v>
                </c:pt>
                <c:pt idx="1291">
                  <c:v>39.384999999999998</c:v>
                </c:pt>
                <c:pt idx="1292">
                  <c:v>39.384999999999998</c:v>
                </c:pt>
                <c:pt idx="1293">
                  <c:v>39.384999999999998</c:v>
                </c:pt>
              </c:numCache>
            </c:numRef>
          </c:val>
          <c:smooth val="0"/>
          <c:extLst>
            <c:ext xmlns:c16="http://schemas.microsoft.com/office/drawing/2014/chart" uri="{C3380CC4-5D6E-409C-BE32-E72D297353CC}">
              <c16:uniqueId val="{00000003-E2BC-4D9C-BE94-C1B37DDE8382}"/>
            </c:ext>
          </c:extLst>
        </c:ser>
        <c:dLbls>
          <c:showLegendKey val="0"/>
          <c:showVal val="0"/>
          <c:showCatName val="0"/>
          <c:showSerName val="0"/>
          <c:showPercent val="0"/>
          <c:showBubbleSize val="0"/>
        </c:dLbls>
        <c:smooth val="0"/>
        <c:axId val="545542928"/>
        <c:axId val="545543256"/>
      </c:lineChart>
      <c:dateAx>
        <c:axId val="545542928"/>
        <c:scaling>
          <c:orientation val="minMax"/>
        </c:scaling>
        <c:delete val="0"/>
        <c:axPos val="b"/>
        <c:numFmt formatCode="m/yy" sourceLinked="0"/>
        <c:majorTickMark val="none"/>
        <c:minorTickMark val="none"/>
        <c:tickLblPos val="nextTo"/>
        <c:spPr>
          <a:noFill/>
          <a:ln w="12700" cap="flat" cmpd="sng" algn="ctr">
            <a:solidFill>
              <a:srgbClr val="7F7F7F"/>
            </a:solidFill>
            <a:round/>
          </a:ln>
          <a:effectLst/>
        </c:spPr>
        <c:txPr>
          <a:bodyPr rot="-2700000" spcFirstLastPara="1" vertOverflow="ellipsis" wrap="square" anchor="ctr" anchorCtr="1"/>
          <a:lstStyle/>
          <a:p>
            <a:pPr>
              <a:defRPr sz="900" b="0" i="0" u="none" strike="noStrike" kern="1200" baseline="0">
                <a:solidFill>
                  <a:schemeClr val="tx1">
                    <a:lumMod val="85000"/>
                    <a:lumOff val="15000"/>
                  </a:schemeClr>
                </a:solidFill>
                <a:latin typeface="+mn-lt"/>
                <a:ea typeface="+mn-ea"/>
                <a:cs typeface="+mn-cs"/>
              </a:defRPr>
            </a:pPr>
            <a:endParaRPr lang="sk-SK"/>
          </a:p>
        </c:txPr>
        <c:crossAx val="545543256"/>
        <c:crosses val="autoZero"/>
        <c:auto val="1"/>
        <c:lblOffset val="100"/>
        <c:baseTimeUnit val="days"/>
        <c:majorUnit val="3"/>
        <c:majorTimeUnit val="months"/>
      </c:dateAx>
      <c:valAx>
        <c:axId val="545543256"/>
        <c:scaling>
          <c:orientation val="minMax"/>
        </c:scaling>
        <c:delete val="0"/>
        <c:axPos val="l"/>
        <c:majorGridlines>
          <c:spPr>
            <a:ln w="9525" cap="flat" cmpd="sng" algn="ctr">
              <a:solidFill>
                <a:srgbClr val="7F7F7F">
                  <a:alpha val="25098"/>
                </a:srgbClr>
              </a:solidFill>
              <a:prstDash val="sysDot"/>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85000"/>
                    <a:lumOff val="15000"/>
                  </a:schemeClr>
                </a:solidFill>
                <a:latin typeface="+mn-lt"/>
                <a:ea typeface="+mn-ea"/>
                <a:cs typeface="+mn-cs"/>
              </a:defRPr>
            </a:pPr>
            <a:endParaRPr lang="sk-SK"/>
          </a:p>
        </c:txPr>
        <c:crossAx val="545542928"/>
        <c:crosses val="autoZero"/>
        <c:crossBetween val="midCat"/>
      </c:valAx>
      <c:spPr>
        <a:noFill/>
        <a:ln>
          <a:noFill/>
        </a:ln>
        <a:effectLst/>
      </c:spPr>
    </c:plotArea>
    <c:plotVisOnly val="1"/>
    <c:dispBlanksAs val="gap"/>
    <c:showDLblsOverMax val="0"/>
  </c:chart>
  <c:spPr>
    <a:solidFill>
      <a:sysClr val="window" lastClr="FFFFFF"/>
    </a:solidFill>
    <a:ln w="9525" cap="flat" cmpd="sng" algn="ctr">
      <a:noFill/>
      <a:round/>
    </a:ln>
    <a:effectLst/>
  </c:spPr>
  <c:txPr>
    <a:bodyPr/>
    <a:lstStyle/>
    <a:p>
      <a:pPr>
        <a:defRPr>
          <a:solidFill>
            <a:schemeClr val="tx1">
              <a:lumMod val="85000"/>
              <a:lumOff val="15000"/>
            </a:schemeClr>
          </a:solidFill>
        </a:defRPr>
      </a:pPr>
      <a:endParaRPr lang="sk-SK"/>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551239525777141"/>
          <c:y val="3.1101470470211608E-2"/>
          <c:w val="0.79422345679012341"/>
          <c:h val="0.55218965409618248"/>
        </c:manualLayout>
      </c:layout>
      <c:lineChart>
        <c:grouping val="standard"/>
        <c:varyColors val="0"/>
        <c:ser>
          <c:idx val="0"/>
          <c:order val="0"/>
          <c:tx>
            <c:strRef>
              <c:f>Chlieb!$X$3</c:f>
              <c:strCache>
                <c:ptCount val="1"/>
                <c:pt idx="0">
                  <c:v>SK - skenery</c:v>
                </c:pt>
              </c:strCache>
            </c:strRef>
          </c:tx>
          <c:spPr>
            <a:ln w="28575" cap="rnd">
              <a:solidFill>
                <a:schemeClr val="accent1"/>
              </a:solidFill>
              <a:round/>
            </a:ln>
            <a:effectLst/>
          </c:spPr>
          <c:marker>
            <c:symbol val="none"/>
          </c:marker>
          <c:dPt>
            <c:idx val="0"/>
            <c:marker>
              <c:symbol val="none"/>
            </c:marker>
            <c:bubble3D val="0"/>
            <c:extLst>
              <c:ext xmlns:c16="http://schemas.microsoft.com/office/drawing/2014/chart" uri="{C3380CC4-5D6E-409C-BE32-E72D297353CC}">
                <c16:uniqueId val="{00000002-8403-42A9-B8EE-1821363081C8}"/>
              </c:ext>
            </c:extLst>
          </c:dPt>
          <c:cat>
            <c:numRef>
              <c:f>Chlieb!$W$4:$W$55</c:f>
              <c:numCache>
                <c:formatCode>m/d/yyyy</c:formatCode>
                <c:ptCount val="14"/>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45717</c:v>
                </c:pt>
                <c:pt idx="13">
                  <c:v>45748</c:v>
                </c:pt>
              </c:numCache>
              <c:extLst/>
            </c:numRef>
          </c:cat>
          <c:val>
            <c:numRef>
              <c:f>Chlieb!$X$4:$X$55</c:f>
              <c:numCache>
                <c:formatCode>0.00</c:formatCode>
                <c:ptCount val="14"/>
                <c:pt idx="0">
                  <c:v>2.2999999999999998</c:v>
                </c:pt>
                <c:pt idx="1">
                  <c:v>2.2727272727272725</c:v>
                </c:pt>
                <c:pt idx="2">
                  <c:v>2.2545454545454544</c:v>
                </c:pt>
                <c:pt idx="3">
                  <c:v>2.2454545454545456</c:v>
                </c:pt>
                <c:pt idx="4">
                  <c:v>2.2545454545454544</c:v>
                </c:pt>
                <c:pt idx="5">
                  <c:v>2.2636363636363637</c:v>
                </c:pt>
                <c:pt idx="6">
                  <c:v>2.2999999999999998</c:v>
                </c:pt>
                <c:pt idx="7">
                  <c:v>2.2909090909090906</c:v>
                </c:pt>
                <c:pt idx="8">
                  <c:v>2.2999999999999998</c:v>
                </c:pt>
                <c:pt idx="9">
                  <c:v>2.2999999999999998</c:v>
                </c:pt>
                <c:pt idx="10">
                  <c:v>2.2727272727272725</c:v>
                </c:pt>
                <c:pt idx="11">
                  <c:v>2.2727272727272725</c:v>
                </c:pt>
                <c:pt idx="12">
                  <c:v>2.3714285714285714</c:v>
                </c:pt>
                <c:pt idx="13">
                  <c:v>2.3809523809523809</c:v>
                </c:pt>
              </c:numCache>
              <c:extLst/>
            </c:numRef>
          </c:val>
          <c:smooth val="0"/>
          <c:extLst>
            <c:ext xmlns:c16="http://schemas.microsoft.com/office/drawing/2014/chart" uri="{C3380CC4-5D6E-409C-BE32-E72D297353CC}">
              <c16:uniqueId val="{00000003-8403-42A9-B8EE-1821363081C8}"/>
            </c:ext>
          </c:extLst>
        </c:ser>
        <c:ser>
          <c:idx val="1"/>
          <c:order val="1"/>
          <c:tx>
            <c:strRef>
              <c:f>Chlieb!$Y$3</c:f>
              <c:strCache>
                <c:ptCount val="1"/>
                <c:pt idx="0">
                  <c:v>SK - pôvodné</c:v>
                </c:pt>
              </c:strCache>
            </c:strRef>
          </c:tx>
          <c:spPr>
            <a:ln w="28575" cap="rnd">
              <a:solidFill>
                <a:schemeClr val="accent2"/>
              </a:solidFill>
              <a:round/>
            </a:ln>
            <a:effectLst/>
          </c:spPr>
          <c:marker>
            <c:symbol val="none"/>
          </c:marker>
          <c:dPt>
            <c:idx val="0"/>
            <c:marker>
              <c:symbol val="none"/>
            </c:marker>
            <c:bubble3D val="0"/>
            <c:extLst>
              <c:ext xmlns:c16="http://schemas.microsoft.com/office/drawing/2014/chart" uri="{C3380CC4-5D6E-409C-BE32-E72D297353CC}">
                <c16:uniqueId val="{00000006-8403-42A9-B8EE-1821363081C8}"/>
              </c:ext>
            </c:extLst>
          </c:dPt>
          <c:cat>
            <c:numRef>
              <c:f>Chlieb!$W$4:$W$55</c:f>
              <c:numCache>
                <c:formatCode>m/d/yyyy</c:formatCode>
                <c:ptCount val="16"/>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pt idx="15">
                  <c:v>45748</c:v>
                </c:pt>
              </c:numCache>
              <c:extLst/>
            </c:numRef>
          </c:cat>
          <c:val>
            <c:numRef>
              <c:f>Chlieb!$Y$4:$Y$49</c:f>
              <c:numCache>
                <c:formatCode>General</c:formatCode>
                <c:ptCount val="10"/>
              </c:numCache>
              <c:extLst/>
            </c:numRef>
          </c:val>
          <c:smooth val="0"/>
          <c:extLst>
            <c:ext xmlns:c16="http://schemas.microsoft.com/office/drawing/2014/chart" uri="{C3380CC4-5D6E-409C-BE32-E72D297353CC}">
              <c16:uniqueId val="{00000007-8403-42A9-B8EE-1821363081C8}"/>
            </c:ext>
          </c:extLst>
        </c:ser>
        <c:ser>
          <c:idx val="2"/>
          <c:order val="2"/>
          <c:tx>
            <c:strRef>
              <c:f>Chlieb!$Z$3</c:f>
              <c:strCache>
                <c:ptCount val="1"/>
                <c:pt idx="0">
                  <c:v>CZ</c:v>
                </c:pt>
              </c:strCache>
            </c:strRef>
          </c:tx>
          <c:spPr>
            <a:ln w="28575" cap="rnd">
              <a:solidFill>
                <a:schemeClr val="accent3"/>
              </a:solidFill>
              <a:round/>
            </a:ln>
            <a:effectLst/>
          </c:spPr>
          <c:marker>
            <c:symbol val="none"/>
          </c:marker>
          <c:dPt>
            <c:idx val="0"/>
            <c:marker>
              <c:symbol val="none"/>
            </c:marker>
            <c:bubble3D val="0"/>
            <c:extLst>
              <c:ext xmlns:c16="http://schemas.microsoft.com/office/drawing/2014/chart" uri="{C3380CC4-5D6E-409C-BE32-E72D297353CC}">
                <c16:uniqueId val="{00000009-8403-42A9-B8EE-1821363081C8}"/>
              </c:ext>
            </c:extLst>
          </c:dPt>
          <c:cat>
            <c:numRef>
              <c:f>Chlieb!$W$4:$W$55</c:f>
              <c:numCache>
                <c:formatCode>m/d/yyyy</c:formatCode>
                <c:ptCount val="14"/>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45717</c:v>
                </c:pt>
                <c:pt idx="13">
                  <c:v>45748</c:v>
                </c:pt>
              </c:numCache>
              <c:extLst/>
            </c:numRef>
          </c:cat>
          <c:val>
            <c:numRef>
              <c:f>Chlieb!$Z$4:$Z$55</c:f>
              <c:numCache>
                <c:formatCode>0.00</c:formatCode>
                <c:ptCount val="14"/>
                <c:pt idx="0">
                  <c:v>1.3628080741277535</c:v>
                </c:pt>
                <c:pt idx="1">
                  <c:v>1.3288548300153105</c:v>
                </c:pt>
                <c:pt idx="2">
                  <c:v>1.3257602889638755</c:v>
                </c:pt>
                <c:pt idx="3">
                  <c:v>1.3116069883453814</c:v>
                </c:pt>
                <c:pt idx="4">
                  <c:v>1.3328171178005013</c:v>
                </c:pt>
                <c:pt idx="5">
                  <c:v>1.3352908945773629</c:v>
                </c:pt>
                <c:pt idx="6">
                  <c:v>1.31007218975593</c:v>
                </c:pt>
                <c:pt idx="7">
                  <c:v>1.3167235667280639</c:v>
                </c:pt>
                <c:pt idx="8">
                  <c:v>1.3241269565217393</c:v>
                </c:pt>
                <c:pt idx="9">
                  <c:v>1.3133878260869567</c:v>
                </c:pt>
                <c:pt idx="10">
                  <c:v>1.3242232173913044</c:v>
                </c:pt>
                <c:pt idx="11">
                  <c:v>1.3259982608695653</c:v>
                </c:pt>
                <c:pt idx="12">
                  <c:v>1.340817391304348</c:v>
                </c:pt>
                <c:pt idx="13">
                  <c:v>1.3964347826086958</c:v>
                </c:pt>
              </c:numCache>
              <c:extLst/>
            </c:numRef>
          </c:val>
          <c:smooth val="0"/>
          <c:extLst>
            <c:ext xmlns:c16="http://schemas.microsoft.com/office/drawing/2014/chart" uri="{C3380CC4-5D6E-409C-BE32-E72D297353CC}">
              <c16:uniqueId val="{0000000A-8403-42A9-B8EE-1821363081C8}"/>
            </c:ext>
          </c:extLst>
        </c:ser>
        <c:ser>
          <c:idx val="3"/>
          <c:order val="3"/>
          <c:tx>
            <c:strRef>
              <c:f>Chlieb!$AA$3</c:f>
              <c:strCache>
                <c:ptCount val="1"/>
                <c:pt idx="0">
                  <c:v>HU</c:v>
                </c:pt>
              </c:strCache>
            </c:strRef>
          </c:tx>
          <c:spPr>
            <a:ln w="28575" cap="rnd">
              <a:solidFill>
                <a:schemeClr val="accent4"/>
              </a:solidFill>
              <a:round/>
            </a:ln>
            <a:effectLst/>
          </c:spPr>
          <c:marker>
            <c:symbol val="none"/>
          </c:marker>
          <c:dPt>
            <c:idx val="0"/>
            <c:marker>
              <c:symbol val="none"/>
            </c:marker>
            <c:bubble3D val="0"/>
            <c:extLst>
              <c:ext xmlns:c16="http://schemas.microsoft.com/office/drawing/2014/chart" uri="{C3380CC4-5D6E-409C-BE32-E72D297353CC}">
                <c16:uniqueId val="{0000000B-8403-42A9-B8EE-1821363081C8}"/>
              </c:ext>
            </c:extLst>
          </c:dPt>
          <c:cat>
            <c:numRef>
              <c:f>Chlieb!$W$4:$W$55</c:f>
              <c:numCache>
                <c:formatCode>m/d/yyyy</c:formatCode>
                <c:ptCount val="14"/>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45717</c:v>
                </c:pt>
                <c:pt idx="13">
                  <c:v>45748</c:v>
                </c:pt>
              </c:numCache>
              <c:extLst/>
            </c:numRef>
          </c:cat>
          <c:val>
            <c:numRef>
              <c:f>Chlieb!$AA$4:$AA$55</c:f>
              <c:numCache>
                <c:formatCode>0.00</c:formatCode>
                <c:ptCount val="14"/>
                <c:pt idx="0">
                  <c:v>1.6082006873975359</c:v>
                </c:pt>
                <c:pt idx="1">
                  <c:v>1.596008670409893</c:v>
                </c:pt>
                <c:pt idx="2">
                  <c:v>1.5788604317411015</c:v>
                </c:pt>
                <c:pt idx="3">
                  <c:v>1.5970664831701367</c:v>
                </c:pt>
                <c:pt idx="4">
                  <c:v>1.6124103719184186</c:v>
                </c:pt>
                <c:pt idx="5">
                  <c:v>1.5700301982744103</c:v>
                </c:pt>
                <c:pt idx="6">
                  <c:v>1.5751843561433474</c:v>
                </c:pt>
                <c:pt idx="7">
                  <c:v>1.5759842711864407</c:v>
                </c:pt>
                <c:pt idx="8">
                  <c:v>1.5710220338983052</c:v>
                </c:pt>
                <c:pt idx="9">
                  <c:v>1.5603809</c:v>
                </c:pt>
                <c:pt idx="10">
                  <c:v>1.5199310169491527</c:v>
                </c:pt>
                <c:pt idx="11">
                  <c:v>1.5160135593220341</c:v>
                </c:pt>
                <c:pt idx="12">
                  <c:v>1.6236694915254237</c:v>
                </c:pt>
                <c:pt idx="13">
                  <c:v>1.6029406779661017</c:v>
                </c:pt>
              </c:numCache>
              <c:extLst/>
            </c:numRef>
          </c:val>
          <c:smooth val="0"/>
          <c:extLst>
            <c:ext xmlns:c16="http://schemas.microsoft.com/office/drawing/2014/chart" uri="{C3380CC4-5D6E-409C-BE32-E72D297353CC}">
              <c16:uniqueId val="{0000000C-8403-42A9-B8EE-1821363081C8}"/>
            </c:ext>
          </c:extLst>
        </c:ser>
        <c:ser>
          <c:idx val="4"/>
          <c:order val="4"/>
          <c:tx>
            <c:strRef>
              <c:f>Chlieb!$AB$3</c:f>
              <c:strCache>
                <c:ptCount val="1"/>
                <c:pt idx="0">
                  <c:v>PL</c:v>
                </c:pt>
              </c:strCache>
            </c:strRef>
          </c:tx>
          <c:spPr>
            <a:ln w="28575" cap="rnd">
              <a:solidFill>
                <a:schemeClr val="accent5"/>
              </a:solidFill>
              <a:round/>
            </a:ln>
            <a:effectLst/>
          </c:spPr>
          <c:marker>
            <c:symbol val="none"/>
          </c:marker>
          <c:cat>
            <c:numRef>
              <c:f>Chlieb!$W$4:$W$55</c:f>
              <c:numCache>
                <c:formatCode>m/d/yyyy</c:formatCode>
                <c:ptCount val="14"/>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45717</c:v>
                </c:pt>
                <c:pt idx="13">
                  <c:v>45748</c:v>
                </c:pt>
              </c:numCache>
              <c:extLst/>
            </c:numRef>
          </c:cat>
          <c:val>
            <c:numRef>
              <c:f>Chlieb!$AB$4:$AB$55</c:f>
              <c:numCache>
                <c:formatCode>0.00</c:formatCode>
                <c:ptCount val="14"/>
                <c:pt idx="0">
                  <c:v>2.2468997966426092</c:v>
                </c:pt>
                <c:pt idx="1">
                  <c:v>2.2793195725807958</c:v>
                </c:pt>
                <c:pt idx="2">
                  <c:v>2.299366706408807</c:v>
                </c:pt>
                <c:pt idx="3">
                  <c:v>2.288049407705198</c:v>
                </c:pt>
                <c:pt idx="4">
                  <c:v>2.2956652634538472</c:v>
                </c:pt>
                <c:pt idx="5">
                  <c:v>2.2841621137759662</c:v>
                </c:pt>
                <c:pt idx="6">
                  <c:v>2.3085878132207993</c:v>
                </c:pt>
                <c:pt idx="7">
                  <c:v>2.3047619047619046</c:v>
                </c:pt>
                <c:pt idx="8">
                  <c:v>2.3047619047619046</c:v>
                </c:pt>
                <c:pt idx="9">
                  <c:v>2.2943619047619044</c:v>
                </c:pt>
                <c:pt idx="10">
                  <c:v>2.2997676190476191</c:v>
                </c:pt>
                <c:pt idx="11">
                  <c:v>2.3327799999999996</c:v>
                </c:pt>
                <c:pt idx="12">
                  <c:v>2.4321904761904758</c:v>
                </c:pt>
                <c:pt idx="13">
                  <c:v>2.3895</c:v>
                </c:pt>
              </c:numCache>
              <c:extLst/>
            </c:numRef>
          </c:val>
          <c:smooth val="0"/>
          <c:extLst>
            <c:ext xmlns:c16="http://schemas.microsoft.com/office/drawing/2014/chart" uri="{C3380CC4-5D6E-409C-BE32-E72D297353CC}">
              <c16:uniqueId val="{0000000D-8403-42A9-B8EE-1821363081C8}"/>
            </c:ext>
          </c:extLst>
        </c:ser>
        <c:ser>
          <c:idx val="5"/>
          <c:order val="5"/>
          <c:tx>
            <c:strRef>
              <c:f>Chlieb!$AC$3</c:f>
              <c:strCache>
                <c:ptCount val="1"/>
                <c:pt idx="0">
                  <c:v>SK - skenery</c:v>
                </c:pt>
              </c:strCache>
            </c:strRef>
          </c:tx>
          <c:spPr>
            <a:ln w="28575" cap="rnd">
              <a:noFill/>
              <a:round/>
            </a:ln>
            <a:effectLst/>
          </c:spPr>
          <c:marker>
            <c:symbol val="circle"/>
            <c:size val="6"/>
            <c:spPr>
              <a:solidFill>
                <a:srgbClr val="2EAAE1"/>
              </a:solidFill>
              <a:ln w="9525">
                <a:solidFill>
                  <a:srgbClr val="2EAAE1"/>
                </a:solidFill>
              </a:ln>
              <a:effectLst/>
            </c:spPr>
          </c:marker>
          <c:cat>
            <c:numRef>
              <c:f>Chlieb!$W$4:$W$55</c:f>
              <c:numCache>
                <c:formatCode>m/d/yyyy</c:formatCode>
                <c:ptCount val="16"/>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pt idx="15">
                  <c:v>45748</c:v>
                </c:pt>
              </c:numCache>
              <c:extLst/>
            </c:numRef>
          </c:cat>
          <c:val>
            <c:numRef>
              <c:f>Chlieb!$AC$4:$AC$49</c:f>
              <c:numCache>
                <c:formatCode>General</c:formatCode>
                <c:ptCount val="10"/>
              </c:numCache>
              <c:extLst/>
            </c:numRef>
          </c:val>
          <c:smooth val="0"/>
          <c:extLst>
            <c:ext xmlns:c16="http://schemas.microsoft.com/office/drawing/2014/chart" uri="{C3380CC4-5D6E-409C-BE32-E72D297353CC}">
              <c16:uniqueId val="{0000000E-8403-42A9-B8EE-1821363081C8}"/>
            </c:ext>
          </c:extLst>
        </c:ser>
        <c:ser>
          <c:idx val="6"/>
          <c:order val="6"/>
          <c:tx>
            <c:strRef>
              <c:f>Chlieb!$AD$3</c:f>
              <c:strCache>
                <c:ptCount val="1"/>
                <c:pt idx="0">
                  <c:v>CZ</c:v>
                </c:pt>
              </c:strCache>
            </c:strRef>
          </c:tx>
          <c:spPr>
            <a:ln w="28575" cap="rnd">
              <a:noFill/>
              <a:round/>
            </a:ln>
            <a:effectLst/>
          </c:spPr>
          <c:marker>
            <c:symbol val="circle"/>
            <c:size val="6"/>
            <c:spPr>
              <a:noFill/>
              <a:ln w="9525">
                <a:noFill/>
              </a:ln>
              <a:effectLst/>
            </c:spPr>
          </c:marker>
          <c:cat>
            <c:numRef>
              <c:f>Chlieb!$W$4:$W$55</c:f>
              <c:numCache>
                <c:formatCode>m/d/yyyy</c:formatCode>
                <c:ptCount val="16"/>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pt idx="15">
                  <c:v>45748</c:v>
                </c:pt>
              </c:numCache>
              <c:extLst/>
            </c:numRef>
          </c:cat>
          <c:val>
            <c:numRef>
              <c:f>Chlieb!$AD$4:$AD$49</c:f>
              <c:numCache>
                <c:formatCode>General</c:formatCode>
                <c:ptCount val="10"/>
                <c:pt idx="9">
                  <c:v>1.5</c:v>
                </c:pt>
              </c:numCache>
              <c:extLst/>
            </c:numRef>
          </c:val>
          <c:smooth val="0"/>
          <c:extLst>
            <c:ext xmlns:c16="http://schemas.microsoft.com/office/drawing/2014/chart" uri="{C3380CC4-5D6E-409C-BE32-E72D297353CC}">
              <c16:uniqueId val="{0000000F-8403-42A9-B8EE-1821363081C8}"/>
            </c:ext>
          </c:extLst>
        </c:ser>
        <c:ser>
          <c:idx val="7"/>
          <c:order val="7"/>
          <c:tx>
            <c:strRef>
              <c:f>Chlieb!$AE$3</c:f>
              <c:strCache>
                <c:ptCount val="1"/>
                <c:pt idx="0">
                  <c:v>HU</c:v>
                </c:pt>
              </c:strCache>
            </c:strRef>
          </c:tx>
          <c:spPr>
            <a:ln w="28575" cap="rnd">
              <a:noFill/>
              <a:round/>
            </a:ln>
            <a:effectLst/>
          </c:spPr>
          <c:marker>
            <c:symbol val="circle"/>
            <c:size val="6"/>
            <c:spPr>
              <a:noFill/>
              <a:ln w="9525">
                <a:noFill/>
              </a:ln>
              <a:effectLst/>
            </c:spPr>
          </c:marker>
          <c:cat>
            <c:numRef>
              <c:f>Chlieb!$W$4:$W$55</c:f>
              <c:numCache>
                <c:formatCode>m/d/yyyy</c:formatCode>
                <c:ptCount val="16"/>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pt idx="15">
                  <c:v>45748</c:v>
                </c:pt>
              </c:numCache>
              <c:extLst/>
            </c:numRef>
          </c:cat>
          <c:val>
            <c:numRef>
              <c:f>Chlieb!$AE$4:$AE$49</c:f>
              <c:numCache>
                <c:formatCode>General</c:formatCode>
                <c:ptCount val="10"/>
                <c:pt idx="9">
                  <c:v>1.6</c:v>
                </c:pt>
              </c:numCache>
              <c:extLst/>
            </c:numRef>
          </c:val>
          <c:smooth val="0"/>
          <c:extLst>
            <c:ext xmlns:c16="http://schemas.microsoft.com/office/drawing/2014/chart" uri="{C3380CC4-5D6E-409C-BE32-E72D297353CC}">
              <c16:uniqueId val="{00000010-8403-42A9-B8EE-1821363081C8}"/>
            </c:ext>
          </c:extLst>
        </c:ser>
        <c:ser>
          <c:idx val="8"/>
          <c:order val="8"/>
          <c:tx>
            <c:strRef>
              <c:f>Chlieb!$AF$3</c:f>
              <c:strCache>
                <c:ptCount val="1"/>
                <c:pt idx="0">
                  <c:v>PL</c:v>
                </c:pt>
              </c:strCache>
            </c:strRef>
          </c:tx>
          <c:spPr>
            <a:ln w="28575" cap="rnd">
              <a:noFill/>
              <a:round/>
            </a:ln>
            <a:effectLst/>
          </c:spPr>
          <c:marker>
            <c:symbol val="dot"/>
            <c:size val="2"/>
            <c:spPr>
              <a:noFill/>
              <a:ln w="9525">
                <a:noFill/>
              </a:ln>
              <a:effectLst/>
            </c:spPr>
          </c:marker>
          <c:cat>
            <c:numRef>
              <c:f>Chlieb!$W$4:$W$55</c:f>
              <c:numCache>
                <c:formatCode>m/d/yyyy</c:formatCode>
                <c:ptCount val="16"/>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pt idx="15">
                  <c:v>45748</c:v>
                </c:pt>
              </c:numCache>
              <c:extLst/>
            </c:numRef>
          </c:cat>
          <c:val>
            <c:numRef>
              <c:f>Chlieb!$AF$4:$AF$49</c:f>
              <c:numCache>
                <c:formatCode>General</c:formatCode>
                <c:ptCount val="10"/>
                <c:pt idx="9">
                  <c:v>2.2999999999999998</c:v>
                </c:pt>
              </c:numCache>
              <c:extLst/>
            </c:numRef>
          </c:val>
          <c:smooth val="0"/>
          <c:extLst>
            <c:ext xmlns:c16="http://schemas.microsoft.com/office/drawing/2014/chart" uri="{C3380CC4-5D6E-409C-BE32-E72D297353CC}">
              <c16:uniqueId val="{00000011-8403-42A9-B8EE-1821363081C8}"/>
            </c:ext>
          </c:extLst>
        </c:ser>
        <c:dLbls>
          <c:showLegendKey val="0"/>
          <c:showVal val="0"/>
          <c:showCatName val="0"/>
          <c:showSerName val="0"/>
          <c:showPercent val="0"/>
          <c:showBubbleSize val="0"/>
        </c:dLbls>
        <c:smooth val="0"/>
        <c:axId val="545542928"/>
        <c:axId val="545543256"/>
      </c:lineChart>
      <c:dateAx>
        <c:axId val="545542928"/>
        <c:scaling>
          <c:orientation val="minMax"/>
          <c:max val="45627"/>
        </c:scaling>
        <c:delete val="0"/>
        <c:axPos val="b"/>
        <c:numFmt formatCode="m/yy" sourceLinked="0"/>
        <c:majorTickMark val="none"/>
        <c:minorTickMark val="none"/>
        <c:tickLblPos val="nextTo"/>
        <c:spPr>
          <a:noFill/>
          <a:ln w="12700" cap="flat" cmpd="sng" algn="ctr">
            <a:solidFill>
              <a:srgbClr val="7F7F7F"/>
            </a:solidFill>
            <a:round/>
          </a:ln>
          <a:effectLst/>
        </c:spPr>
        <c:txPr>
          <a:bodyPr rot="-5400000" spcFirstLastPara="1" vertOverflow="ellipsis" wrap="square" anchor="ctr" anchorCtr="1"/>
          <a:lstStyle/>
          <a:p>
            <a:pPr>
              <a:defRPr sz="900" b="0" i="0" u="none" strike="noStrike" kern="1200" baseline="0">
                <a:solidFill>
                  <a:schemeClr val="tx1">
                    <a:lumMod val="85000"/>
                    <a:lumOff val="15000"/>
                  </a:schemeClr>
                </a:solidFill>
                <a:latin typeface="+mn-lt"/>
                <a:ea typeface="+mn-ea"/>
                <a:cs typeface="+mn-cs"/>
              </a:defRPr>
            </a:pPr>
            <a:endParaRPr lang="sk-SK"/>
          </a:p>
        </c:txPr>
        <c:crossAx val="545543256"/>
        <c:crosses val="autoZero"/>
        <c:auto val="1"/>
        <c:lblOffset val="100"/>
        <c:baseTimeUnit val="months"/>
        <c:majorUnit val="1"/>
        <c:majorTimeUnit val="months"/>
      </c:dateAx>
      <c:valAx>
        <c:axId val="545543256"/>
        <c:scaling>
          <c:orientation val="minMax"/>
          <c:max val="2.5"/>
          <c:min val="0.5"/>
        </c:scaling>
        <c:delete val="0"/>
        <c:axPos val="l"/>
        <c:majorGridlines>
          <c:spPr>
            <a:ln w="9525" cap="flat" cmpd="sng" algn="ctr">
              <a:solidFill>
                <a:srgbClr val="7F7F7F">
                  <a:alpha val="25098"/>
                </a:srgbClr>
              </a:solidFill>
              <a:prstDash val="sysDot"/>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85000"/>
                    <a:lumOff val="15000"/>
                  </a:schemeClr>
                </a:solidFill>
                <a:latin typeface="+mn-lt"/>
                <a:ea typeface="+mn-ea"/>
                <a:cs typeface="+mn-cs"/>
              </a:defRPr>
            </a:pPr>
            <a:endParaRPr lang="sk-SK"/>
          </a:p>
        </c:txPr>
        <c:crossAx val="545542928"/>
        <c:crosses val="autoZero"/>
        <c:crossBetween val="midCat"/>
      </c:valAx>
      <c:spPr>
        <a:noFill/>
        <a:ln>
          <a:noFill/>
        </a:ln>
        <a:effectLst/>
      </c:spPr>
    </c:plotArea>
    <c:legend>
      <c:legendPos val="b"/>
      <c:legendEntry>
        <c:idx val="5"/>
        <c:delete val="1"/>
      </c:legendEntry>
      <c:legendEntry>
        <c:idx val="6"/>
        <c:delete val="1"/>
      </c:legendEntry>
      <c:legendEntry>
        <c:idx val="7"/>
        <c:delete val="1"/>
      </c:legendEntry>
      <c:legendEntry>
        <c:idx val="8"/>
        <c:delete val="1"/>
      </c:legendEntry>
      <c:layout>
        <c:manualLayout>
          <c:xMode val="edge"/>
          <c:yMode val="edge"/>
          <c:x val="0"/>
          <c:y val="0.77636858954352106"/>
          <c:w val="1"/>
          <c:h val="0.1930721145700502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85000"/>
                  <a:lumOff val="15000"/>
                </a:schemeClr>
              </a:solidFill>
              <a:latin typeface="+mn-lt"/>
              <a:ea typeface="+mn-ea"/>
              <a:cs typeface="+mn-cs"/>
            </a:defRPr>
          </a:pPr>
          <a:endParaRPr lang="sk-SK"/>
        </a:p>
      </c:txPr>
    </c:legend>
    <c:plotVisOnly val="1"/>
    <c:dispBlanksAs val="gap"/>
    <c:showDLblsOverMax val="0"/>
  </c:chart>
  <c:spPr>
    <a:solidFill>
      <a:sysClr val="window" lastClr="FFFFFF"/>
    </a:solidFill>
    <a:ln w="9525" cap="flat" cmpd="sng" algn="ctr">
      <a:noFill/>
      <a:round/>
    </a:ln>
    <a:effectLst/>
  </c:spPr>
  <c:txPr>
    <a:bodyPr/>
    <a:lstStyle/>
    <a:p>
      <a:pPr>
        <a:defRPr>
          <a:solidFill>
            <a:schemeClr val="tx1">
              <a:lumMod val="85000"/>
              <a:lumOff val="15000"/>
            </a:schemeClr>
          </a:solidFill>
        </a:defRPr>
      </a:pPr>
      <a:endParaRPr lang="sk-SK"/>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792485207799041"/>
          <c:y val="3.1180923559689867E-2"/>
          <c:w val="0.76991416105003807"/>
          <c:h val="0.60569620111706868"/>
        </c:manualLayout>
      </c:layout>
      <c:lineChart>
        <c:grouping val="standard"/>
        <c:varyColors val="0"/>
        <c:ser>
          <c:idx val="0"/>
          <c:order val="0"/>
          <c:tx>
            <c:strRef>
              <c:f>Múka!$R$3</c:f>
              <c:strCache>
                <c:ptCount val="1"/>
                <c:pt idx="0">
                  <c:v>SK - skenery</c:v>
                </c:pt>
              </c:strCache>
            </c:strRef>
          </c:tx>
          <c:spPr>
            <a:ln w="28575" cap="rnd">
              <a:solidFill>
                <a:schemeClr val="accent1"/>
              </a:solidFill>
              <a:round/>
            </a:ln>
            <a:effectLst/>
          </c:spPr>
          <c:marker>
            <c:symbol val="none"/>
          </c:marker>
          <c:dPt>
            <c:idx val="0"/>
            <c:marker>
              <c:symbol val="none"/>
            </c:marker>
            <c:bubble3D val="0"/>
            <c:extLst>
              <c:ext xmlns:c16="http://schemas.microsoft.com/office/drawing/2014/chart" uri="{C3380CC4-5D6E-409C-BE32-E72D297353CC}">
                <c16:uniqueId val="{00000002-9626-4B37-B731-40FD2AD7098B}"/>
              </c:ext>
            </c:extLst>
          </c:dPt>
          <c:cat>
            <c:numRef>
              <c:f>Múka!$Q$4:$Q$55</c:f>
              <c:numCache>
                <c:formatCode>m/d/yyyy</c:formatCode>
                <c:ptCount val="14"/>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45717</c:v>
                </c:pt>
                <c:pt idx="13">
                  <c:v>45748</c:v>
                </c:pt>
              </c:numCache>
              <c:extLst/>
            </c:numRef>
          </c:cat>
          <c:val>
            <c:numRef>
              <c:f>Múka!$R$4:$R$55</c:f>
              <c:numCache>
                <c:formatCode>0.00</c:formatCode>
                <c:ptCount val="14"/>
                <c:pt idx="0">
                  <c:v>0.52500000000000002</c:v>
                </c:pt>
                <c:pt idx="1">
                  <c:v>0.49166666666666664</c:v>
                </c:pt>
                <c:pt idx="2">
                  <c:v>0.44166666666666671</c:v>
                </c:pt>
                <c:pt idx="3">
                  <c:v>0.46666666666666673</c:v>
                </c:pt>
                <c:pt idx="4">
                  <c:v>0.52500000000000002</c:v>
                </c:pt>
                <c:pt idx="5">
                  <c:v>0.5083333333333333</c:v>
                </c:pt>
                <c:pt idx="6">
                  <c:v>0.56666666666666676</c:v>
                </c:pt>
                <c:pt idx="7">
                  <c:v>0.45833333333333337</c:v>
                </c:pt>
                <c:pt idx="8">
                  <c:v>0.46666666666666673</c:v>
                </c:pt>
                <c:pt idx="9">
                  <c:v>0.51666666666666672</c:v>
                </c:pt>
                <c:pt idx="10">
                  <c:v>0.4</c:v>
                </c:pt>
                <c:pt idx="11">
                  <c:v>0.45000000000000007</c:v>
                </c:pt>
                <c:pt idx="12">
                  <c:v>0.47899159663865543</c:v>
                </c:pt>
                <c:pt idx="13">
                  <c:v>0.45378151260504207</c:v>
                </c:pt>
              </c:numCache>
              <c:extLst/>
            </c:numRef>
          </c:val>
          <c:smooth val="0"/>
          <c:extLst>
            <c:ext xmlns:c16="http://schemas.microsoft.com/office/drawing/2014/chart" uri="{C3380CC4-5D6E-409C-BE32-E72D297353CC}">
              <c16:uniqueId val="{00000003-9626-4B37-B731-40FD2AD7098B}"/>
            </c:ext>
          </c:extLst>
        </c:ser>
        <c:ser>
          <c:idx val="1"/>
          <c:order val="1"/>
          <c:tx>
            <c:strRef>
              <c:f>Múka!$S$3</c:f>
              <c:strCache>
                <c:ptCount val="1"/>
                <c:pt idx="0">
                  <c:v>SK - pôvodné</c:v>
                </c:pt>
              </c:strCache>
            </c:strRef>
          </c:tx>
          <c:spPr>
            <a:ln w="28575" cap="rnd">
              <a:solidFill>
                <a:schemeClr val="accent2"/>
              </a:solidFill>
              <a:round/>
            </a:ln>
            <a:effectLst/>
          </c:spPr>
          <c:marker>
            <c:symbol val="none"/>
          </c:marker>
          <c:dPt>
            <c:idx val="0"/>
            <c:marker>
              <c:symbol val="none"/>
            </c:marker>
            <c:bubble3D val="0"/>
            <c:extLst>
              <c:ext xmlns:c16="http://schemas.microsoft.com/office/drawing/2014/chart" uri="{C3380CC4-5D6E-409C-BE32-E72D297353CC}">
                <c16:uniqueId val="{00000006-9626-4B37-B731-40FD2AD7098B}"/>
              </c:ext>
            </c:extLst>
          </c:dPt>
          <c:cat>
            <c:numRef>
              <c:f>Múka!$Q$4:$Q$55</c:f>
              <c:numCache>
                <c:formatCode>m/d/yyyy</c:formatCode>
                <c:ptCount val="16"/>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pt idx="15">
                  <c:v>45748</c:v>
                </c:pt>
              </c:numCache>
              <c:extLst/>
            </c:numRef>
          </c:cat>
          <c:val>
            <c:numRef>
              <c:f>Múka!$S$4:$S$49</c:f>
              <c:numCache>
                <c:formatCode>General</c:formatCode>
                <c:ptCount val="10"/>
              </c:numCache>
              <c:extLst/>
            </c:numRef>
          </c:val>
          <c:smooth val="0"/>
          <c:extLst>
            <c:ext xmlns:c16="http://schemas.microsoft.com/office/drawing/2014/chart" uri="{C3380CC4-5D6E-409C-BE32-E72D297353CC}">
              <c16:uniqueId val="{00000007-9626-4B37-B731-40FD2AD7098B}"/>
            </c:ext>
          </c:extLst>
        </c:ser>
        <c:ser>
          <c:idx val="2"/>
          <c:order val="2"/>
          <c:tx>
            <c:strRef>
              <c:f>Múka!$T$3</c:f>
              <c:strCache>
                <c:ptCount val="1"/>
                <c:pt idx="0">
                  <c:v>CZ</c:v>
                </c:pt>
              </c:strCache>
            </c:strRef>
          </c:tx>
          <c:spPr>
            <a:ln w="28575" cap="rnd">
              <a:solidFill>
                <a:schemeClr val="accent3"/>
              </a:solidFill>
              <a:round/>
            </a:ln>
            <a:effectLst/>
          </c:spPr>
          <c:marker>
            <c:symbol val="none"/>
          </c:marker>
          <c:dPt>
            <c:idx val="0"/>
            <c:marker>
              <c:symbol val="none"/>
            </c:marker>
            <c:bubble3D val="0"/>
            <c:extLst>
              <c:ext xmlns:c16="http://schemas.microsoft.com/office/drawing/2014/chart" uri="{C3380CC4-5D6E-409C-BE32-E72D297353CC}">
                <c16:uniqueId val="{00000009-9626-4B37-B731-40FD2AD7098B}"/>
              </c:ext>
            </c:extLst>
          </c:dPt>
          <c:cat>
            <c:numRef>
              <c:f>Múka!$Q$4:$Q$55</c:f>
              <c:numCache>
                <c:formatCode>m/d/yyyy</c:formatCode>
                <c:ptCount val="14"/>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45717</c:v>
                </c:pt>
                <c:pt idx="13">
                  <c:v>45748</c:v>
                </c:pt>
              </c:numCache>
              <c:extLst/>
            </c:numRef>
          </c:cat>
          <c:val>
            <c:numRef>
              <c:f>Múka!$T$4:$T$55</c:f>
              <c:numCache>
                <c:formatCode>0.00</c:formatCode>
                <c:ptCount val="14"/>
                <c:pt idx="0">
                  <c:v>0.71772430731688264</c:v>
                </c:pt>
                <c:pt idx="1">
                  <c:v>0.7030409969397039</c:v>
                </c:pt>
                <c:pt idx="2">
                  <c:v>0.67902818860893266</c:v>
                </c:pt>
                <c:pt idx="3">
                  <c:v>0.72721768714503432</c:v>
                </c:pt>
                <c:pt idx="4">
                  <c:v>0.67201451943779222</c:v>
                </c:pt>
                <c:pt idx="5">
                  <c:v>0.64273592193003914</c:v>
                </c:pt>
                <c:pt idx="6">
                  <c:v>0.65555173599174987</c:v>
                </c:pt>
                <c:pt idx="7">
                  <c:v>0.66561170336961384</c:v>
                </c:pt>
                <c:pt idx="8">
                  <c:v>0.65374852173913045</c:v>
                </c:pt>
                <c:pt idx="9">
                  <c:v>0.65205391304347837</c:v>
                </c:pt>
                <c:pt idx="10">
                  <c:v>0.59888973469565221</c:v>
                </c:pt>
                <c:pt idx="11">
                  <c:v>0.57253565217391311</c:v>
                </c:pt>
                <c:pt idx="12">
                  <c:v>0.61075652173913053</c:v>
                </c:pt>
                <c:pt idx="13">
                  <c:v>0.60413043478260875</c:v>
                </c:pt>
              </c:numCache>
              <c:extLst/>
            </c:numRef>
          </c:val>
          <c:smooth val="0"/>
          <c:extLst>
            <c:ext xmlns:c16="http://schemas.microsoft.com/office/drawing/2014/chart" uri="{C3380CC4-5D6E-409C-BE32-E72D297353CC}">
              <c16:uniqueId val="{0000000A-9626-4B37-B731-40FD2AD7098B}"/>
            </c:ext>
          </c:extLst>
        </c:ser>
        <c:ser>
          <c:idx val="3"/>
          <c:order val="3"/>
          <c:tx>
            <c:strRef>
              <c:f>Múka!$U$3</c:f>
              <c:strCache>
                <c:ptCount val="1"/>
                <c:pt idx="0">
                  <c:v>HU</c:v>
                </c:pt>
              </c:strCache>
            </c:strRef>
          </c:tx>
          <c:spPr>
            <a:ln w="28575" cap="rnd">
              <a:solidFill>
                <a:schemeClr val="accent4"/>
              </a:solidFill>
              <a:round/>
            </a:ln>
            <a:effectLst/>
          </c:spPr>
          <c:marker>
            <c:symbol val="none"/>
          </c:marker>
          <c:dPt>
            <c:idx val="0"/>
            <c:marker>
              <c:symbol val="none"/>
            </c:marker>
            <c:bubble3D val="0"/>
            <c:extLst>
              <c:ext xmlns:c16="http://schemas.microsoft.com/office/drawing/2014/chart" uri="{C3380CC4-5D6E-409C-BE32-E72D297353CC}">
                <c16:uniqueId val="{0000000B-9626-4B37-B731-40FD2AD7098B}"/>
              </c:ext>
            </c:extLst>
          </c:dPt>
          <c:cat>
            <c:numRef>
              <c:f>Múka!$Q$4:$Q$55</c:f>
              <c:numCache>
                <c:formatCode>m/d/yyyy</c:formatCode>
                <c:ptCount val="14"/>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45717</c:v>
                </c:pt>
                <c:pt idx="13">
                  <c:v>45748</c:v>
                </c:pt>
              </c:numCache>
              <c:extLst/>
            </c:numRef>
          </c:cat>
          <c:val>
            <c:numRef>
              <c:f>Múka!$U$4:$U$55</c:f>
              <c:numCache>
                <c:formatCode>0.00</c:formatCode>
                <c:ptCount val="14"/>
                <c:pt idx="0">
                  <c:v>0.39705920419883989</c:v>
                </c:pt>
                <c:pt idx="1">
                  <c:v>0.38863138622840077</c:v>
                </c:pt>
                <c:pt idx="2">
                  <c:v>0.37755358150330687</c:v>
                </c:pt>
                <c:pt idx="3">
                  <c:v>0.38415923514092482</c:v>
                </c:pt>
                <c:pt idx="4">
                  <c:v>0.38724102554892825</c:v>
                </c:pt>
                <c:pt idx="5">
                  <c:v>0.38230557495601236</c:v>
                </c:pt>
                <c:pt idx="6">
                  <c:v>0.56318235199097766</c:v>
                </c:pt>
                <c:pt idx="7">
                  <c:v>0.56254483050847459</c:v>
                </c:pt>
                <c:pt idx="8">
                  <c:v>0.5665975423728814</c:v>
                </c:pt>
                <c:pt idx="9">
                  <c:v>0.57776265753389833</c:v>
                </c:pt>
                <c:pt idx="10">
                  <c:v>0.56945644067796608</c:v>
                </c:pt>
                <c:pt idx="11">
                  <c:v>0.5368788135593221</c:v>
                </c:pt>
                <c:pt idx="12">
                  <c:v>0.5680677966101696</c:v>
                </c:pt>
                <c:pt idx="13">
                  <c:v>0.485677966101695</c:v>
                </c:pt>
              </c:numCache>
              <c:extLst/>
            </c:numRef>
          </c:val>
          <c:smooth val="0"/>
          <c:extLst>
            <c:ext xmlns:c16="http://schemas.microsoft.com/office/drawing/2014/chart" uri="{C3380CC4-5D6E-409C-BE32-E72D297353CC}">
              <c16:uniqueId val="{0000000C-9626-4B37-B731-40FD2AD7098B}"/>
            </c:ext>
          </c:extLst>
        </c:ser>
        <c:ser>
          <c:idx val="4"/>
          <c:order val="4"/>
          <c:tx>
            <c:strRef>
              <c:f>Múka!$V$3</c:f>
              <c:strCache>
                <c:ptCount val="1"/>
                <c:pt idx="0">
                  <c:v>PL</c:v>
                </c:pt>
              </c:strCache>
            </c:strRef>
          </c:tx>
          <c:spPr>
            <a:ln w="28575" cap="rnd">
              <a:solidFill>
                <a:schemeClr val="accent5"/>
              </a:solidFill>
              <a:round/>
            </a:ln>
            <a:effectLst/>
          </c:spPr>
          <c:marker>
            <c:symbol val="none"/>
          </c:marker>
          <c:cat>
            <c:numRef>
              <c:f>Múka!$Q$4:$Q$55</c:f>
              <c:numCache>
                <c:formatCode>m/d/yyyy</c:formatCode>
                <c:ptCount val="14"/>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45717</c:v>
                </c:pt>
                <c:pt idx="13">
                  <c:v>45748</c:v>
                </c:pt>
              </c:numCache>
              <c:extLst/>
            </c:numRef>
          </c:cat>
          <c:val>
            <c:numRef>
              <c:f>Múka!$V$4:$V$55</c:f>
              <c:numCache>
                <c:formatCode>0.00</c:formatCode>
                <c:ptCount val="14"/>
                <c:pt idx="0">
                  <c:v>0.89188165397344388</c:v>
                </c:pt>
                <c:pt idx="1">
                  <c:v>0.89693305695877168</c:v>
                </c:pt>
                <c:pt idx="2">
                  <c:v>0.89652075623616112</c:v>
                </c:pt>
                <c:pt idx="3">
                  <c:v>0.85414610384352663</c:v>
                </c:pt>
                <c:pt idx="4">
                  <c:v>0.8630989556396248</c:v>
                </c:pt>
                <c:pt idx="5">
                  <c:v>0.85545839782343136</c:v>
                </c:pt>
                <c:pt idx="6">
                  <c:v>0.86071626562278347</c:v>
                </c:pt>
                <c:pt idx="7">
                  <c:v>0.85880053333333328</c:v>
                </c:pt>
                <c:pt idx="8">
                  <c:v>0.86416095238095236</c:v>
                </c:pt>
                <c:pt idx="9">
                  <c:v>0.85817973333333331</c:v>
                </c:pt>
                <c:pt idx="10">
                  <c:v>0.83987619047619044</c:v>
                </c:pt>
                <c:pt idx="11">
                  <c:v>0.85416285714285711</c:v>
                </c:pt>
                <c:pt idx="12">
                  <c:v>0.86082857142857139</c:v>
                </c:pt>
                <c:pt idx="13">
                  <c:v>0.83520761904761898</c:v>
                </c:pt>
              </c:numCache>
              <c:extLst/>
            </c:numRef>
          </c:val>
          <c:smooth val="0"/>
          <c:extLst>
            <c:ext xmlns:c16="http://schemas.microsoft.com/office/drawing/2014/chart" uri="{C3380CC4-5D6E-409C-BE32-E72D297353CC}">
              <c16:uniqueId val="{0000000D-9626-4B37-B731-40FD2AD7098B}"/>
            </c:ext>
          </c:extLst>
        </c:ser>
        <c:ser>
          <c:idx val="5"/>
          <c:order val="5"/>
          <c:tx>
            <c:strRef>
              <c:f>Múka!$W$3</c:f>
              <c:strCache>
                <c:ptCount val="1"/>
                <c:pt idx="0">
                  <c:v>SK - skenery</c:v>
                </c:pt>
              </c:strCache>
            </c:strRef>
          </c:tx>
          <c:spPr>
            <a:ln w="28575" cap="rnd">
              <a:noFill/>
              <a:round/>
            </a:ln>
            <a:effectLst/>
          </c:spPr>
          <c:marker>
            <c:symbol val="circle"/>
            <c:size val="6"/>
            <c:spPr>
              <a:solidFill>
                <a:srgbClr val="2EAAE1"/>
              </a:solidFill>
              <a:ln w="9525">
                <a:solidFill>
                  <a:srgbClr val="2EAAE1"/>
                </a:solidFill>
              </a:ln>
              <a:effectLst/>
            </c:spPr>
          </c:marker>
          <c:dPt>
            <c:idx val="9"/>
            <c:marker>
              <c:symbol val="circle"/>
              <c:size val="6"/>
              <c:spPr>
                <a:noFill/>
                <a:ln w="9525">
                  <a:noFill/>
                </a:ln>
                <a:effectLst/>
              </c:spPr>
            </c:marker>
            <c:bubble3D val="0"/>
            <c:extLst>
              <c:ext xmlns:c16="http://schemas.microsoft.com/office/drawing/2014/chart" uri="{C3380CC4-5D6E-409C-BE32-E72D297353CC}">
                <c16:uniqueId val="{0000000E-9626-4B37-B731-40FD2AD7098B}"/>
              </c:ext>
            </c:extLst>
          </c:dPt>
          <c:cat>
            <c:numRef>
              <c:f>Múka!$Q$4:$Q$55</c:f>
              <c:numCache>
                <c:formatCode>m/d/yyyy</c:formatCode>
                <c:ptCount val="16"/>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pt idx="15">
                  <c:v>45748</c:v>
                </c:pt>
              </c:numCache>
              <c:extLst/>
            </c:numRef>
          </c:cat>
          <c:val>
            <c:numRef>
              <c:f>Múka!$W$4:$W$49</c:f>
              <c:numCache>
                <c:formatCode>General</c:formatCode>
                <c:ptCount val="10"/>
                <c:pt idx="9">
                  <c:v>0.5</c:v>
                </c:pt>
              </c:numCache>
              <c:extLst/>
            </c:numRef>
          </c:val>
          <c:smooth val="0"/>
          <c:extLst>
            <c:ext xmlns:c16="http://schemas.microsoft.com/office/drawing/2014/chart" uri="{C3380CC4-5D6E-409C-BE32-E72D297353CC}">
              <c16:uniqueId val="{0000000F-9626-4B37-B731-40FD2AD7098B}"/>
            </c:ext>
          </c:extLst>
        </c:ser>
        <c:ser>
          <c:idx val="6"/>
          <c:order val="6"/>
          <c:tx>
            <c:strRef>
              <c:f>Múka!$X$3</c:f>
              <c:strCache>
                <c:ptCount val="1"/>
                <c:pt idx="0">
                  <c:v>CZ</c:v>
                </c:pt>
              </c:strCache>
            </c:strRef>
          </c:tx>
          <c:spPr>
            <a:ln w="28575" cap="rnd">
              <a:noFill/>
              <a:round/>
            </a:ln>
            <a:effectLst/>
          </c:spPr>
          <c:marker>
            <c:symbol val="circle"/>
            <c:size val="6"/>
            <c:spPr>
              <a:noFill/>
              <a:ln w="9525">
                <a:noFill/>
              </a:ln>
              <a:effectLst/>
            </c:spPr>
          </c:marker>
          <c:cat>
            <c:numRef>
              <c:f>Múka!$Q$4:$Q$55</c:f>
              <c:numCache>
                <c:formatCode>m/d/yyyy</c:formatCode>
                <c:ptCount val="16"/>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pt idx="15">
                  <c:v>45748</c:v>
                </c:pt>
              </c:numCache>
              <c:extLst/>
            </c:numRef>
          </c:cat>
          <c:val>
            <c:numRef>
              <c:f>Múka!$X$4:$X$49</c:f>
              <c:numCache>
                <c:formatCode>General</c:formatCode>
                <c:ptCount val="10"/>
                <c:pt idx="9">
                  <c:v>0.8</c:v>
                </c:pt>
              </c:numCache>
              <c:extLst/>
            </c:numRef>
          </c:val>
          <c:smooth val="0"/>
          <c:extLst>
            <c:ext xmlns:c16="http://schemas.microsoft.com/office/drawing/2014/chart" uri="{C3380CC4-5D6E-409C-BE32-E72D297353CC}">
              <c16:uniqueId val="{00000010-9626-4B37-B731-40FD2AD7098B}"/>
            </c:ext>
          </c:extLst>
        </c:ser>
        <c:ser>
          <c:idx val="7"/>
          <c:order val="7"/>
          <c:tx>
            <c:strRef>
              <c:f>Múka!$Y$3</c:f>
              <c:strCache>
                <c:ptCount val="1"/>
                <c:pt idx="0">
                  <c:v>HU</c:v>
                </c:pt>
              </c:strCache>
            </c:strRef>
          </c:tx>
          <c:spPr>
            <a:ln w="28575" cap="rnd">
              <a:noFill/>
              <a:round/>
            </a:ln>
            <a:effectLst/>
          </c:spPr>
          <c:marker>
            <c:symbol val="circle"/>
            <c:size val="6"/>
            <c:spPr>
              <a:noFill/>
              <a:ln w="9525">
                <a:noFill/>
              </a:ln>
              <a:effectLst/>
            </c:spPr>
          </c:marker>
          <c:cat>
            <c:numRef>
              <c:f>Múka!$Q$4:$Q$55</c:f>
              <c:numCache>
                <c:formatCode>m/d/yyyy</c:formatCode>
                <c:ptCount val="16"/>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pt idx="15">
                  <c:v>45748</c:v>
                </c:pt>
              </c:numCache>
              <c:extLst/>
            </c:numRef>
          </c:cat>
          <c:val>
            <c:numRef>
              <c:f>Múka!$Y$4:$Y$49</c:f>
              <c:numCache>
                <c:formatCode>General</c:formatCode>
                <c:ptCount val="10"/>
                <c:pt idx="9" formatCode="0.0">
                  <c:v>0.6</c:v>
                </c:pt>
              </c:numCache>
              <c:extLst/>
            </c:numRef>
          </c:val>
          <c:smooth val="0"/>
          <c:extLst>
            <c:ext xmlns:c16="http://schemas.microsoft.com/office/drawing/2014/chart" uri="{C3380CC4-5D6E-409C-BE32-E72D297353CC}">
              <c16:uniqueId val="{00000011-9626-4B37-B731-40FD2AD7098B}"/>
            </c:ext>
          </c:extLst>
        </c:ser>
        <c:ser>
          <c:idx val="8"/>
          <c:order val="8"/>
          <c:tx>
            <c:strRef>
              <c:f>Múka!$Z$3</c:f>
              <c:strCache>
                <c:ptCount val="1"/>
                <c:pt idx="0">
                  <c:v>PL</c:v>
                </c:pt>
              </c:strCache>
            </c:strRef>
          </c:tx>
          <c:spPr>
            <a:ln w="28575" cap="rnd">
              <a:noFill/>
              <a:round/>
            </a:ln>
            <a:effectLst/>
          </c:spPr>
          <c:marker>
            <c:symbol val="circle"/>
            <c:size val="6"/>
            <c:spPr>
              <a:solidFill>
                <a:srgbClr val="E85477"/>
              </a:solidFill>
              <a:ln w="9525">
                <a:solidFill>
                  <a:srgbClr val="E85477"/>
                </a:solidFill>
              </a:ln>
              <a:effectLst/>
            </c:spPr>
          </c:marker>
          <c:dPt>
            <c:idx val="9"/>
            <c:marker>
              <c:symbol val="circle"/>
              <c:size val="6"/>
              <c:spPr>
                <a:noFill/>
                <a:ln w="9525">
                  <a:noFill/>
                </a:ln>
                <a:effectLst/>
              </c:spPr>
            </c:marker>
            <c:bubble3D val="0"/>
            <c:extLst>
              <c:ext xmlns:c16="http://schemas.microsoft.com/office/drawing/2014/chart" uri="{C3380CC4-5D6E-409C-BE32-E72D297353CC}">
                <c16:uniqueId val="{00000012-9626-4B37-B731-40FD2AD7098B}"/>
              </c:ext>
            </c:extLst>
          </c:dPt>
          <c:cat>
            <c:numRef>
              <c:f>Múka!$Q$4:$Q$55</c:f>
              <c:numCache>
                <c:formatCode>m/d/yyyy</c:formatCode>
                <c:ptCount val="16"/>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pt idx="15">
                  <c:v>45748</c:v>
                </c:pt>
              </c:numCache>
              <c:extLst/>
            </c:numRef>
          </c:cat>
          <c:val>
            <c:numRef>
              <c:f>Múka!$Z$4:$Z$49</c:f>
              <c:numCache>
                <c:formatCode>General</c:formatCode>
                <c:ptCount val="10"/>
                <c:pt idx="9" formatCode="0.0">
                  <c:v>0.9</c:v>
                </c:pt>
              </c:numCache>
              <c:extLst/>
            </c:numRef>
          </c:val>
          <c:smooth val="0"/>
          <c:extLst>
            <c:ext xmlns:c16="http://schemas.microsoft.com/office/drawing/2014/chart" uri="{C3380CC4-5D6E-409C-BE32-E72D297353CC}">
              <c16:uniqueId val="{00000013-9626-4B37-B731-40FD2AD7098B}"/>
            </c:ext>
          </c:extLst>
        </c:ser>
        <c:dLbls>
          <c:showLegendKey val="0"/>
          <c:showVal val="0"/>
          <c:showCatName val="0"/>
          <c:showSerName val="0"/>
          <c:showPercent val="0"/>
          <c:showBubbleSize val="0"/>
        </c:dLbls>
        <c:smooth val="0"/>
        <c:axId val="545542928"/>
        <c:axId val="545543256"/>
      </c:lineChart>
      <c:dateAx>
        <c:axId val="545542928"/>
        <c:scaling>
          <c:orientation val="minMax"/>
          <c:max val="45627"/>
        </c:scaling>
        <c:delete val="0"/>
        <c:axPos val="b"/>
        <c:numFmt formatCode="m/yy" sourceLinked="0"/>
        <c:majorTickMark val="none"/>
        <c:minorTickMark val="none"/>
        <c:tickLblPos val="nextTo"/>
        <c:spPr>
          <a:noFill/>
          <a:ln w="12700" cap="flat" cmpd="sng" algn="ctr">
            <a:solidFill>
              <a:srgbClr val="7F7F7F"/>
            </a:solidFill>
            <a:round/>
          </a:ln>
          <a:effectLst/>
        </c:spPr>
        <c:txPr>
          <a:bodyPr rot="-5400000" spcFirstLastPara="1" vertOverflow="ellipsis" wrap="square" anchor="ctr" anchorCtr="1"/>
          <a:lstStyle/>
          <a:p>
            <a:pPr>
              <a:defRPr sz="900" b="0" i="0" u="none" strike="noStrike" kern="1200" baseline="0">
                <a:solidFill>
                  <a:schemeClr val="tx1">
                    <a:lumMod val="85000"/>
                    <a:lumOff val="15000"/>
                  </a:schemeClr>
                </a:solidFill>
                <a:latin typeface="+mn-lt"/>
                <a:ea typeface="+mn-ea"/>
                <a:cs typeface="+mn-cs"/>
              </a:defRPr>
            </a:pPr>
            <a:endParaRPr lang="sk-SK"/>
          </a:p>
        </c:txPr>
        <c:crossAx val="545543256"/>
        <c:crosses val="autoZero"/>
        <c:auto val="1"/>
        <c:lblOffset val="100"/>
        <c:baseTimeUnit val="months"/>
        <c:majorUnit val="1"/>
        <c:majorTimeUnit val="months"/>
      </c:dateAx>
      <c:valAx>
        <c:axId val="545543256"/>
        <c:scaling>
          <c:orientation val="minMax"/>
          <c:max val="1.2"/>
          <c:min val="0.30000000000000004"/>
        </c:scaling>
        <c:delete val="0"/>
        <c:axPos val="l"/>
        <c:majorGridlines>
          <c:spPr>
            <a:ln w="9525" cap="flat" cmpd="sng" algn="ctr">
              <a:solidFill>
                <a:srgbClr val="7F7F7F">
                  <a:alpha val="25098"/>
                </a:srgbClr>
              </a:solidFill>
              <a:prstDash val="sysDot"/>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85000"/>
                    <a:lumOff val="15000"/>
                  </a:schemeClr>
                </a:solidFill>
                <a:latin typeface="+mn-lt"/>
                <a:ea typeface="+mn-ea"/>
                <a:cs typeface="+mn-cs"/>
              </a:defRPr>
            </a:pPr>
            <a:endParaRPr lang="sk-SK"/>
          </a:p>
        </c:txPr>
        <c:crossAx val="545542928"/>
        <c:crosses val="autoZero"/>
        <c:crossBetween val="midCat"/>
        <c:majorUnit val="0.2"/>
      </c:valAx>
      <c:spPr>
        <a:noFill/>
        <a:ln>
          <a:noFill/>
        </a:ln>
        <a:effectLst/>
      </c:spPr>
    </c:plotArea>
    <c:legend>
      <c:legendPos val="b"/>
      <c:legendEntry>
        <c:idx val="5"/>
        <c:delete val="1"/>
      </c:legendEntry>
      <c:legendEntry>
        <c:idx val="6"/>
        <c:delete val="1"/>
      </c:legendEntry>
      <c:legendEntry>
        <c:idx val="7"/>
        <c:delete val="1"/>
      </c:legendEntry>
      <c:legendEntry>
        <c:idx val="8"/>
        <c:delete val="1"/>
      </c:legendEntry>
      <c:layout>
        <c:manualLayout>
          <c:xMode val="edge"/>
          <c:yMode val="edge"/>
          <c:x val="0"/>
          <c:y val="0.78194452204970266"/>
          <c:w val="1"/>
          <c:h val="0.1874963401360240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85000"/>
                  <a:lumOff val="15000"/>
                </a:schemeClr>
              </a:solidFill>
              <a:latin typeface="+mn-lt"/>
              <a:ea typeface="+mn-ea"/>
              <a:cs typeface="+mn-cs"/>
            </a:defRPr>
          </a:pPr>
          <a:endParaRPr lang="sk-SK"/>
        </a:p>
      </c:txPr>
    </c:legend>
    <c:plotVisOnly val="1"/>
    <c:dispBlanksAs val="gap"/>
    <c:showDLblsOverMax val="0"/>
  </c:chart>
  <c:spPr>
    <a:solidFill>
      <a:sysClr val="window" lastClr="FFFFFF"/>
    </a:solidFill>
    <a:ln w="9525" cap="flat" cmpd="sng" algn="ctr">
      <a:noFill/>
      <a:round/>
    </a:ln>
    <a:effectLst/>
  </c:spPr>
  <c:txPr>
    <a:bodyPr/>
    <a:lstStyle/>
    <a:p>
      <a:pPr>
        <a:defRPr>
          <a:solidFill>
            <a:schemeClr val="tx1">
              <a:lumMod val="85000"/>
              <a:lumOff val="15000"/>
            </a:schemeClr>
          </a:solidFill>
        </a:defRPr>
      </a:pPr>
      <a:endParaRPr lang="sk-SK"/>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5642281748106468"/>
          <c:y val="4.9925428279869975E-2"/>
          <c:w val="0.74411086361636514"/>
          <c:h val="0.59094209655660168"/>
        </c:manualLayout>
      </c:layout>
      <c:lineChart>
        <c:grouping val="standard"/>
        <c:varyColors val="0"/>
        <c:ser>
          <c:idx val="0"/>
          <c:order val="0"/>
          <c:tx>
            <c:strRef>
              <c:f>Bravčové!$X$3</c:f>
              <c:strCache>
                <c:ptCount val="1"/>
                <c:pt idx="0">
                  <c:v>SK - skenery</c:v>
                </c:pt>
              </c:strCache>
            </c:strRef>
          </c:tx>
          <c:spPr>
            <a:ln w="28575" cap="rnd">
              <a:solidFill>
                <a:schemeClr val="accent1"/>
              </a:solidFill>
              <a:round/>
            </a:ln>
            <a:effectLst/>
          </c:spPr>
          <c:marker>
            <c:symbol val="none"/>
          </c:marker>
          <c:dPt>
            <c:idx val="0"/>
            <c:marker>
              <c:symbol val="none"/>
            </c:marker>
            <c:bubble3D val="0"/>
            <c:extLst>
              <c:ext xmlns:c16="http://schemas.microsoft.com/office/drawing/2014/chart" uri="{C3380CC4-5D6E-409C-BE32-E72D297353CC}">
                <c16:uniqueId val="{00000002-5519-41FA-BF1E-4E9E31A3F5C1}"/>
              </c:ext>
            </c:extLst>
          </c:dPt>
          <c:cat>
            <c:numRef>
              <c:f>Bravčové!$W$4:$W$55</c:f>
              <c:numCache>
                <c:formatCode>m/d/yyyy</c:formatCode>
                <c:ptCount val="14"/>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45717</c:v>
                </c:pt>
                <c:pt idx="13">
                  <c:v>45748</c:v>
                </c:pt>
              </c:numCache>
            </c:numRef>
          </c:cat>
          <c:val>
            <c:numRef>
              <c:f>Bravčové!$X$4:$X$55</c:f>
              <c:numCache>
                <c:formatCode>0.00</c:formatCode>
                <c:ptCount val="14"/>
                <c:pt idx="0">
                  <c:v>4.6545454545454543</c:v>
                </c:pt>
                <c:pt idx="1">
                  <c:v>4.4454545454545444</c:v>
                </c:pt>
                <c:pt idx="2">
                  <c:v>4.836363636363636</c:v>
                </c:pt>
                <c:pt idx="3">
                  <c:v>5.5363636363636362</c:v>
                </c:pt>
                <c:pt idx="4">
                  <c:v>4.8181818181818175</c:v>
                </c:pt>
                <c:pt idx="5">
                  <c:v>4.9090909090909092</c:v>
                </c:pt>
                <c:pt idx="6">
                  <c:v>4.7090909090909081</c:v>
                </c:pt>
                <c:pt idx="7">
                  <c:v>4.5</c:v>
                </c:pt>
                <c:pt idx="8">
                  <c:v>4.5636363636363626</c:v>
                </c:pt>
                <c:pt idx="9">
                  <c:v>4.3999999999999995</c:v>
                </c:pt>
                <c:pt idx="10">
                  <c:v>4.627272727272727</c:v>
                </c:pt>
                <c:pt idx="11">
                  <c:v>4.4272727272727268</c:v>
                </c:pt>
                <c:pt idx="12">
                  <c:v>4.1333333333333329</c:v>
                </c:pt>
                <c:pt idx="13">
                  <c:v>4.2</c:v>
                </c:pt>
              </c:numCache>
            </c:numRef>
          </c:val>
          <c:smooth val="0"/>
          <c:extLst>
            <c:ext xmlns:c16="http://schemas.microsoft.com/office/drawing/2014/chart" uri="{C3380CC4-5D6E-409C-BE32-E72D297353CC}">
              <c16:uniqueId val="{00000003-5519-41FA-BF1E-4E9E31A3F5C1}"/>
            </c:ext>
          </c:extLst>
        </c:ser>
        <c:ser>
          <c:idx val="1"/>
          <c:order val="1"/>
          <c:tx>
            <c:strRef>
              <c:f>Bravčové!$Y$3</c:f>
              <c:strCache>
                <c:ptCount val="1"/>
                <c:pt idx="0">
                  <c:v>SK - pôvodné</c:v>
                </c:pt>
              </c:strCache>
            </c:strRef>
          </c:tx>
          <c:spPr>
            <a:ln w="28575" cap="rnd">
              <a:solidFill>
                <a:schemeClr val="accent2"/>
              </a:solidFill>
              <a:round/>
            </a:ln>
            <a:effectLst/>
          </c:spPr>
          <c:marker>
            <c:symbol val="none"/>
          </c:marker>
          <c:dPt>
            <c:idx val="0"/>
            <c:marker>
              <c:symbol val="none"/>
            </c:marker>
            <c:bubble3D val="0"/>
            <c:extLst>
              <c:ext xmlns:c16="http://schemas.microsoft.com/office/drawing/2014/chart" uri="{C3380CC4-5D6E-409C-BE32-E72D297353CC}">
                <c16:uniqueId val="{00000006-5519-41FA-BF1E-4E9E31A3F5C1}"/>
              </c:ext>
            </c:extLst>
          </c:dPt>
          <c:cat>
            <c:numRef>
              <c:f>Bravčové!$W$4:$W$55</c:f>
              <c:numCache>
                <c:formatCode>m/d/yyyy</c:formatCode>
                <c:ptCount val="16"/>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pt idx="15">
                  <c:v>45748</c:v>
                </c:pt>
              </c:numCache>
            </c:numRef>
          </c:cat>
          <c:val>
            <c:numRef>
              <c:f>Bravčové!$Y$4:$Y$49</c:f>
              <c:numCache>
                <c:formatCode>General</c:formatCode>
                <c:ptCount val="10"/>
              </c:numCache>
            </c:numRef>
          </c:val>
          <c:smooth val="0"/>
          <c:extLst>
            <c:ext xmlns:c16="http://schemas.microsoft.com/office/drawing/2014/chart" uri="{C3380CC4-5D6E-409C-BE32-E72D297353CC}">
              <c16:uniqueId val="{00000007-5519-41FA-BF1E-4E9E31A3F5C1}"/>
            </c:ext>
          </c:extLst>
        </c:ser>
        <c:ser>
          <c:idx val="2"/>
          <c:order val="2"/>
          <c:tx>
            <c:strRef>
              <c:f>Bravčové!$Z$3</c:f>
              <c:strCache>
                <c:ptCount val="1"/>
                <c:pt idx="0">
                  <c:v>CZ</c:v>
                </c:pt>
              </c:strCache>
            </c:strRef>
          </c:tx>
          <c:spPr>
            <a:ln w="28575" cap="rnd">
              <a:solidFill>
                <a:schemeClr val="accent3"/>
              </a:solidFill>
              <a:round/>
            </a:ln>
            <a:effectLst/>
          </c:spPr>
          <c:marker>
            <c:symbol val="none"/>
          </c:marker>
          <c:dPt>
            <c:idx val="0"/>
            <c:marker>
              <c:symbol val="none"/>
            </c:marker>
            <c:bubble3D val="0"/>
            <c:extLst>
              <c:ext xmlns:c16="http://schemas.microsoft.com/office/drawing/2014/chart" uri="{C3380CC4-5D6E-409C-BE32-E72D297353CC}">
                <c16:uniqueId val="{00000009-5519-41FA-BF1E-4E9E31A3F5C1}"/>
              </c:ext>
            </c:extLst>
          </c:dPt>
          <c:cat>
            <c:numRef>
              <c:f>Bravčové!$W$4:$W$55</c:f>
              <c:numCache>
                <c:formatCode>m/d/yyyy</c:formatCode>
                <c:ptCount val="14"/>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45717</c:v>
                </c:pt>
                <c:pt idx="13">
                  <c:v>45748</c:v>
                </c:pt>
              </c:numCache>
            </c:numRef>
          </c:cat>
          <c:val>
            <c:numRef>
              <c:f>Bravčové!$Z$4:$Z$55</c:f>
              <c:numCache>
                <c:formatCode>0.00</c:formatCode>
                <c:ptCount val="14"/>
                <c:pt idx="0">
                  <c:v>6.1266917096157814</c:v>
                </c:pt>
                <c:pt idx="1">
                  <c:v>5.7945741777177364</c:v>
                </c:pt>
                <c:pt idx="2">
                  <c:v>6.0098292338653891</c:v>
                </c:pt>
                <c:pt idx="3">
                  <c:v>6.2064623989927661</c:v>
                </c:pt>
                <c:pt idx="4">
                  <c:v>6.2397844508173312</c:v>
                </c:pt>
                <c:pt idx="5">
                  <c:v>6.3484205826004683</c:v>
                </c:pt>
                <c:pt idx="6">
                  <c:v>6.0323135097971816</c:v>
                </c:pt>
                <c:pt idx="7">
                  <c:v>6.1772770790417537</c:v>
                </c:pt>
                <c:pt idx="8">
                  <c:v>6.046913913043479</c:v>
                </c:pt>
                <c:pt idx="9">
                  <c:v>6.2029306260869568</c:v>
                </c:pt>
                <c:pt idx="10">
                  <c:v>6.2060507130434788</c:v>
                </c:pt>
                <c:pt idx="11">
                  <c:v>6.0917060869565223</c:v>
                </c:pt>
                <c:pt idx="12">
                  <c:v>6.0164521739130441</c:v>
                </c:pt>
                <c:pt idx="13">
                  <c:v>6.0770608695652175</c:v>
                </c:pt>
              </c:numCache>
            </c:numRef>
          </c:val>
          <c:smooth val="0"/>
          <c:extLst>
            <c:ext xmlns:c16="http://schemas.microsoft.com/office/drawing/2014/chart" uri="{C3380CC4-5D6E-409C-BE32-E72D297353CC}">
              <c16:uniqueId val="{0000000A-5519-41FA-BF1E-4E9E31A3F5C1}"/>
            </c:ext>
          </c:extLst>
        </c:ser>
        <c:ser>
          <c:idx val="3"/>
          <c:order val="3"/>
          <c:tx>
            <c:strRef>
              <c:f>Bravčové!$AA$3</c:f>
              <c:strCache>
                <c:ptCount val="1"/>
                <c:pt idx="0">
                  <c:v>HU</c:v>
                </c:pt>
              </c:strCache>
            </c:strRef>
          </c:tx>
          <c:spPr>
            <a:ln w="28575" cap="rnd">
              <a:solidFill>
                <a:schemeClr val="accent4"/>
              </a:solidFill>
              <a:round/>
            </a:ln>
            <a:effectLst/>
          </c:spPr>
          <c:marker>
            <c:symbol val="none"/>
          </c:marker>
          <c:dPt>
            <c:idx val="0"/>
            <c:marker>
              <c:symbol val="none"/>
            </c:marker>
            <c:bubble3D val="0"/>
            <c:extLst>
              <c:ext xmlns:c16="http://schemas.microsoft.com/office/drawing/2014/chart" uri="{C3380CC4-5D6E-409C-BE32-E72D297353CC}">
                <c16:uniqueId val="{0000000B-5519-41FA-BF1E-4E9E31A3F5C1}"/>
              </c:ext>
            </c:extLst>
          </c:dPt>
          <c:cat>
            <c:numRef>
              <c:f>Bravčové!$W$4:$W$55</c:f>
              <c:numCache>
                <c:formatCode>m/d/yyyy</c:formatCode>
                <c:ptCount val="14"/>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45717</c:v>
                </c:pt>
                <c:pt idx="13">
                  <c:v>45748</c:v>
                </c:pt>
              </c:numCache>
            </c:numRef>
          </c:cat>
          <c:val>
            <c:numRef>
              <c:f>Bravčové!$AA$4:$AA$55</c:f>
              <c:numCache>
                <c:formatCode>0.00</c:formatCode>
                <c:ptCount val="14"/>
                <c:pt idx="0">
                  <c:v>6.5063204952997449</c:v>
                </c:pt>
                <c:pt idx="1">
                  <c:v>6.3549237163790178</c:v>
                </c:pt>
                <c:pt idx="2">
                  <c:v>6.2680432253903966</c:v>
                </c:pt>
                <c:pt idx="3">
                  <c:v>6.3788109702319193</c:v>
                </c:pt>
                <c:pt idx="4">
                  <c:v>6.4663104583725781</c:v>
                </c:pt>
                <c:pt idx="5">
                  <c:v>6.3480316817468632</c:v>
                </c:pt>
                <c:pt idx="6">
                  <c:v>6.329096908089082</c:v>
                </c:pt>
                <c:pt idx="7">
                  <c:v>6.2978024761904763</c:v>
                </c:pt>
                <c:pt idx="8">
                  <c:v>6.2227683786666663</c:v>
                </c:pt>
                <c:pt idx="9">
                  <c:v>6.1374982095238089</c:v>
                </c:pt>
                <c:pt idx="10">
                  <c:v>6.0505333333333331</c:v>
                </c:pt>
                <c:pt idx="11">
                  <c:v>6.079725714285714</c:v>
                </c:pt>
                <c:pt idx="12">
                  <c:v>6.0743809523809524</c:v>
                </c:pt>
                <c:pt idx="13">
                  <c:v>5.6923428571428571</c:v>
                </c:pt>
              </c:numCache>
            </c:numRef>
          </c:val>
          <c:smooth val="0"/>
          <c:extLst>
            <c:ext xmlns:c16="http://schemas.microsoft.com/office/drawing/2014/chart" uri="{C3380CC4-5D6E-409C-BE32-E72D297353CC}">
              <c16:uniqueId val="{0000000C-5519-41FA-BF1E-4E9E31A3F5C1}"/>
            </c:ext>
          </c:extLst>
        </c:ser>
        <c:ser>
          <c:idx val="4"/>
          <c:order val="4"/>
          <c:tx>
            <c:strRef>
              <c:f>Bravčové!$AB$3</c:f>
              <c:strCache>
                <c:ptCount val="1"/>
                <c:pt idx="0">
                  <c:v>PL</c:v>
                </c:pt>
              </c:strCache>
            </c:strRef>
          </c:tx>
          <c:spPr>
            <a:ln w="28575" cap="rnd">
              <a:solidFill>
                <a:schemeClr val="accent5"/>
              </a:solidFill>
              <a:round/>
            </a:ln>
            <a:effectLst/>
          </c:spPr>
          <c:marker>
            <c:symbol val="none"/>
          </c:marker>
          <c:cat>
            <c:numRef>
              <c:f>Bravčové!$W$4:$W$55</c:f>
              <c:numCache>
                <c:formatCode>m/d/yyyy</c:formatCode>
                <c:ptCount val="14"/>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45717</c:v>
                </c:pt>
                <c:pt idx="13">
                  <c:v>45748</c:v>
                </c:pt>
              </c:numCache>
            </c:numRef>
          </c:cat>
          <c:val>
            <c:numRef>
              <c:f>Bravčové!$AB$4:$AB$55</c:f>
              <c:numCache>
                <c:formatCode>0.00</c:formatCode>
                <c:ptCount val="14"/>
                <c:pt idx="0">
                  <c:v>6.0161888432553123</c:v>
                </c:pt>
                <c:pt idx="1">
                  <c:v>5.8300648702320155</c:v>
                </c:pt>
                <c:pt idx="2">
                  <c:v>5.899385287149868</c:v>
                </c:pt>
                <c:pt idx="3">
                  <c:v>5.9325536383536139</c:v>
                </c:pt>
                <c:pt idx="4">
                  <c:v>5.957162379388957</c:v>
                </c:pt>
                <c:pt idx="5">
                  <c:v>5.838283086176407</c:v>
                </c:pt>
                <c:pt idx="6">
                  <c:v>5.7937102634298476</c:v>
                </c:pt>
                <c:pt idx="7">
                  <c:v>5.794129714285714</c:v>
                </c:pt>
                <c:pt idx="8">
                  <c:v>5.7217247619047615</c:v>
                </c:pt>
                <c:pt idx="9">
                  <c:v>5.7182567259047623</c:v>
                </c:pt>
                <c:pt idx="10">
                  <c:v>5.6834609523809521</c:v>
                </c:pt>
                <c:pt idx="11">
                  <c:v>5.7338219047619043</c:v>
                </c:pt>
                <c:pt idx="12">
                  <c:v>5.6136190476190473</c:v>
                </c:pt>
                <c:pt idx="13">
                  <c:v>5.8486857142857138</c:v>
                </c:pt>
              </c:numCache>
            </c:numRef>
          </c:val>
          <c:smooth val="0"/>
          <c:extLst>
            <c:ext xmlns:c16="http://schemas.microsoft.com/office/drawing/2014/chart" uri="{C3380CC4-5D6E-409C-BE32-E72D297353CC}">
              <c16:uniqueId val="{0000000D-5519-41FA-BF1E-4E9E31A3F5C1}"/>
            </c:ext>
          </c:extLst>
        </c:ser>
        <c:ser>
          <c:idx val="5"/>
          <c:order val="5"/>
          <c:tx>
            <c:strRef>
              <c:f>Bravčové!$AC$3</c:f>
              <c:strCache>
                <c:ptCount val="1"/>
                <c:pt idx="0">
                  <c:v>SK - skenery</c:v>
                </c:pt>
              </c:strCache>
            </c:strRef>
          </c:tx>
          <c:spPr>
            <a:ln w="28575" cap="rnd">
              <a:noFill/>
              <a:round/>
            </a:ln>
            <a:effectLst/>
          </c:spPr>
          <c:marker>
            <c:symbol val="circle"/>
            <c:size val="6"/>
            <c:spPr>
              <a:noFill/>
              <a:ln w="9525">
                <a:noFill/>
              </a:ln>
              <a:effectLst/>
            </c:spPr>
          </c:marker>
          <c:cat>
            <c:numRef>
              <c:f>Bravčové!$W$4:$W$55</c:f>
              <c:numCache>
                <c:formatCode>m/d/yyyy</c:formatCode>
                <c:ptCount val="16"/>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pt idx="15">
                  <c:v>45748</c:v>
                </c:pt>
              </c:numCache>
            </c:numRef>
          </c:cat>
          <c:val>
            <c:numRef>
              <c:f>Bravčové!$AC$4:$AC$49</c:f>
              <c:numCache>
                <c:formatCode>General</c:formatCode>
                <c:ptCount val="10"/>
              </c:numCache>
            </c:numRef>
          </c:val>
          <c:smooth val="0"/>
          <c:extLst>
            <c:ext xmlns:c16="http://schemas.microsoft.com/office/drawing/2014/chart" uri="{C3380CC4-5D6E-409C-BE32-E72D297353CC}">
              <c16:uniqueId val="{0000000E-5519-41FA-BF1E-4E9E31A3F5C1}"/>
            </c:ext>
          </c:extLst>
        </c:ser>
        <c:ser>
          <c:idx val="6"/>
          <c:order val="6"/>
          <c:tx>
            <c:strRef>
              <c:f>Bravčové!$AD$3</c:f>
              <c:strCache>
                <c:ptCount val="1"/>
                <c:pt idx="0">
                  <c:v>CZ</c:v>
                </c:pt>
              </c:strCache>
            </c:strRef>
          </c:tx>
          <c:spPr>
            <a:ln w="28575" cap="rnd">
              <a:noFill/>
              <a:round/>
            </a:ln>
            <a:effectLst/>
          </c:spPr>
          <c:marker>
            <c:symbol val="circle"/>
            <c:size val="6"/>
            <c:spPr>
              <a:noFill/>
              <a:ln w="9525">
                <a:noFill/>
              </a:ln>
              <a:effectLst/>
            </c:spPr>
          </c:marker>
          <c:cat>
            <c:numRef>
              <c:f>Bravčové!$W$4:$W$55</c:f>
              <c:numCache>
                <c:formatCode>m/d/yyyy</c:formatCode>
                <c:ptCount val="16"/>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pt idx="15">
                  <c:v>45748</c:v>
                </c:pt>
              </c:numCache>
            </c:numRef>
          </c:cat>
          <c:val>
            <c:numRef>
              <c:f>Bravčové!$AD$4:$AD$49</c:f>
              <c:numCache>
                <c:formatCode>General</c:formatCode>
                <c:ptCount val="10"/>
              </c:numCache>
            </c:numRef>
          </c:val>
          <c:smooth val="0"/>
          <c:extLst>
            <c:ext xmlns:c16="http://schemas.microsoft.com/office/drawing/2014/chart" uri="{C3380CC4-5D6E-409C-BE32-E72D297353CC}">
              <c16:uniqueId val="{0000000F-5519-41FA-BF1E-4E9E31A3F5C1}"/>
            </c:ext>
          </c:extLst>
        </c:ser>
        <c:ser>
          <c:idx val="7"/>
          <c:order val="7"/>
          <c:tx>
            <c:strRef>
              <c:f>Bravčové!$AE$3</c:f>
              <c:strCache>
                <c:ptCount val="1"/>
                <c:pt idx="0">
                  <c:v>HU</c:v>
                </c:pt>
              </c:strCache>
            </c:strRef>
          </c:tx>
          <c:spPr>
            <a:ln w="28575" cap="rnd">
              <a:noFill/>
              <a:round/>
            </a:ln>
            <a:effectLst/>
          </c:spPr>
          <c:marker>
            <c:symbol val="circle"/>
            <c:size val="6"/>
            <c:spPr>
              <a:noFill/>
              <a:ln w="9525">
                <a:noFill/>
              </a:ln>
              <a:effectLst/>
            </c:spPr>
          </c:marker>
          <c:cat>
            <c:numRef>
              <c:f>Bravčové!$W$4:$W$55</c:f>
              <c:numCache>
                <c:formatCode>m/d/yyyy</c:formatCode>
                <c:ptCount val="16"/>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pt idx="15">
                  <c:v>45748</c:v>
                </c:pt>
              </c:numCache>
            </c:numRef>
          </c:cat>
          <c:val>
            <c:numRef>
              <c:f>Bravčové!$AE$4:$AE$49</c:f>
              <c:numCache>
                <c:formatCode>General</c:formatCode>
                <c:ptCount val="10"/>
              </c:numCache>
            </c:numRef>
          </c:val>
          <c:smooth val="0"/>
          <c:extLst>
            <c:ext xmlns:c16="http://schemas.microsoft.com/office/drawing/2014/chart" uri="{C3380CC4-5D6E-409C-BE32-E72D297353CC}">
              <c16:uniqueId val="{00000010-5519-41FA-BF1E-4E9E31A3F5C1}"/>
            </c:ext>
          </c:extLst>
        </c:ser>
        <c:ser>
          <c:idx val="8"/>
          <c:order val="8"/>
          <c:tx>
            <c:strRef>
              <c:f>Bravčové!$AF$3</c:f>
              <c:strCache>
                <c:ptCount val="1"/>
                <c:pt idx="0">
                  <c:v>PL</c:v>
                </c:pt>
              </c:strCache>
            </c:strRef>
          </c:tx>
          <c:spPr>
            <a:ln w="28575" cap="rnd">
              <a:noFill/>
              <a:round/>
            </a:ln>
            <a:effectLst/>
          </c:spPr>
          <c:marker>
            <c:symbol val="circle"/>
            <c:size val="6"/>
            <c:spPr>
              <a:noFill/>
              <a:ln w="9525">
                <a:noFill/>
              </a:ln>
              <a:effectLst/>
            </c:spPr>
          </c:marker>
          <c:cat>
            <c:numRef>
              <c:f>Bravčové!$W$4:$W$55</c:f>
              <c:numCache>
                <c:formatCode>m/d/yyyy</c:formatCode>
                <c:ptCount val="16"/>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pt idx="15">
                  <c:v>45748</c:v>
                </c:pt>
              </c:numCache>
            </c:numRef>
          </c:cat>
          <c:val>
            <c:numRef>
              <c:f>Bravčové!$AF$4:$AF$49</c:f>
              <c:numCache>
                <c:formatCode>General</c:formatCode>
                <c:ptCount val="10"/>
              </c:numCache>
            </c:numRef>
          </c:val>
          <c:smooth val="0"/>
          <c:extLst>
            <c:ext xmlns:c16="http://schemas.microsoft.com/office/drawing/2014/chart" uri="{C3380CC4-5D6E-409C-BE32-E72D297353CC}">
              <c16:uniqueId val="{00000011-5519-41FA-BF1E-4E9E31A3F5C1}"/>
            </c:ext>
          </c:extLst>
        </c:ser>
        <c:dLbls>
          <c:showLegendKey val="0"/>
          <c:showVal val="0"/>
          <c:showCatName val="0"/>
          <c:showSerName val="0"/>
          <c:showPercent val="0"/>
          <c:showBubbleSize val="0"/>
        </c:dLbls>
        <c:smooth val="0"/>
        <c:axId val="545542928"/>
        <c:axId val="545543256"/>
      </c:lineChart>
      <c:dateAx>
        <c:axId val="545542928"/>
        <c:scaling>
          <c:orientation val="minMax"/>
          <c:max val="45627"/>
        </c:scaling>
        <c:delete val="0"/>
        <c:axPos val="b"/>
        <c:numFmt formatCode="m/yy" sourceLinked="0"/>
        <c:majorTickMark val="none"/>
        <c:minorTickMark val="none"/>
        <c:tickLblPos val="nextTo"/>
        <c:spPr>
          <a:noFill/>
          <a:ln w="12700" cap="flat" cmpd="sng" algn="ctr">
            <a:solidFill>
              <a:srgbClr val="7F7F7F"/>
            </a:solidFill>
            <a:round/>
          </a:ln>
          <a:effectLst/>
        </c:spPr>
        <c:txPr>
          <a:bodyPr rot="-5400000" spcFirstLastPara="1" vertOverflow="ellipsis" wrap="square" anchor="ctr" anchorCtr="1"/>
          <a:lstStyle/>
          <a:p>
            <a:pPr>
              <a:defRPr sz="900" b="0" i="0" u="none" strike="noStrike" kern="1200" baseline="0">
                <a:solidFill>
                  <a:schemeClr val="tx1">
                    <a:lumMod val="85000"/>
                    <a:lumOff val="15000"/>
                  </a:schemeClr>
                </a:solidFill>
                <a:latin typeface="+mn-lt"/>
                <a:ea typeface="+mn-ea"/>
                <a:cs typeface="+mn-cs"/>
              </a:defRPr>
            </a:pPr>
            <a:endParaRPr lang="sk-SK"/>
          </a:p>
        </c:txPr>
        <c:crossAx val="545543256"/>
        <c:crosses val="autoZero"/>
        <c:auto val="1"/>
        <c:lblOffset val="100"/>
        <c:baseTimeUnit val="months"/>
        <c:majorUnit val="1"/>
        <c:majorTimeUnit val="months"/>
      </c:dateAx>
      <c:valAx>
        <c:axId val="545543256"/>
        <c:scaling>
          <c:orientation val="minMax"/>
          <c:min val="3"/>
        </c:scaling>
        <c:delete val="0"/>
        <c:axPos val="l"/>
        <c:majorGridlines>
          <c:spPr>
            <a:ln w="9525" cap="flat" cmpd="sng" algn="ctr">
              <a:solidFill>
                <a:srgbClr val="7F7F7F">
                  <a:alpha val="25098"/>
                </a:srgbClr>
              </a:solidFill>
              <a:prstDash val="sysDot"/>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85000"/>
                    <a:lumOff val="15000"/>
                  </a:schemeClr>
                </a:solidFill>
                <a:latin typeface="+mn-lt"/>
                <a:ea typeface="+mn-ea"/>
                <a:cs typeface="+mn-cs"/>
              </a:defRPr>
            </a:pPr>
            <a:endParaRPr lang="sk-SK"/>
          </a:p>
        </c:txPr>
        <c:crossAx val="545542928"/>
        <c:crosses val="autoZero"/>
        <c:crossBetween val="midCat"/>
        <c:majorUnit val="0.5"/>
      </c:valAx>
      <c:spPr>
        <a:noFill/>
        <a:ln>
          <a:noFill/>
        </a:ln>
        <a:effectLst/>
      </c:spPr>
    </c:plotArea>
    <c:legend>
      <c:legendPos val="b"/>
      <c:legendEntry>
        <c:idx val="5"/>
        <c:delete val="1"/>
      </c:legendEntry>
      <c:legendEntry>
        <c:idx val="6"/>
        <c:delete val="1"/>
      </c:legendEntry>
      <c:legendEntry>
        <c:idx val="7"/>
        <c:delete val="1"/>
      </c:legendEntry>
      <c:legendEntry>
        <c:idx val="8"/>
        <c:delete val="1"/>
      </c:legendEntry>
      <c:layout>
        <c:manualLayout>
          <c:xMode val="edge"/>
          <c:yMode val="edge"/>
          <c:x val="0"/>
          <c:y val="0.81034505211361274"/>
          <c:w val="0.99596511759309092"/>
          <c:h val="0.1896549478863871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85000"/>
                  <a:lumOff val="15000"/>
                </a:schemeClr>
              </a:solidFill>
              <a:latin typeface="+mn-lt"/>
              <a:ea typeface="+mn-ea"/>
              <a:cs typeface="+mn-cs"/>
            </a:defRPr>
          </a:pPr>
          <a:endParaRPr lang="sk-SK"/>
        </a:p>
      </c:txPr>
    </c:legend>
    <c:plotVisOnly val="1"/>
    <c:dispBlanksAs val="gap"/>
    <c:showDLblsOverMax val="0"/>
  </c:chart>
  <c:spPr>
    <a:solidFill>
      <a:sysClr val="window" lastClr="FFFFFF"/>
    </a:solidFill>
    <a:ln w="9525" cap="flat" cmpd="sng" algn="ctr">
      <a:noFill/>
      <a:round/>
    </a:ln>
    <a:effectLst/>
  </c:spPr>
  <c:txPr>
    <a:bodyPr/>
    <a:lstStyle/>
    <a:p>
      <a:pPr>
        <a:defRPr>
          <a:solidFill>
            <a:schemeClr val="tx1">
              <a:lumMod val="85000"/>
              <a:lumOff val="15000"/>
            </a:schemeClr>
          </a:solidFill>
        </a:defRPr>
      </a:pPr>
      <a:endParaRPr lang="sk-SK"/>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withinLinearReversed" id="21">
  <a:schemeClr val="accent1"/>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Vlastné 1">
    <a:dk1>
      <a:sysClr val="windowText" lastClr="000000"/>
    </a:dk1>
    <a:lt1>
      <a:sysClr val="window" lastClr="FFFFFF"/>
    </a:lt1>
    <a:dk2>
      <a:srgbClr val="FFFFFF"/>
    </a:dk2>
    <a:lt2>
      <a:srgbClr val="ABDDF3"/>
    </a:lt2>
    <a:accent1>
      <a:srgbClr val="2EAAE1"/>
    </a:accent1>
    <a:accent2>
      <a:srgbClr val="131D2B"/>
    </a:accent2>
    <a:accent3>
      <a:srgbClr val="1AA380"/>
    </a:accent3>
    <a:accent4>
      <a:srgbClr val="F2CA6D"/>
    </a:accent4>
    <a:accent5>
      <a:srgbClr val="E85477"/>
    </a:accent5>
    <a:accent6>
      <a:srgbClr val="686767"/>
    </a:accent6>
    <a:hlink>
      <a:srgbClr val="6535F2"/>
    </a:hlink>
    <a:folHlink>
      <a:srgbClr val="7D5207"/>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Vlastné 1">
    <a:dk1>
      <a:sysClr val="windowText" lastClr="000000"/>
    </a:dk1>
    <a:lt1>
      <a:sysClr val="window" lastClr="FFFFFF"/>
    </a:lt1>
    <a:dk2>
      <a:srgbClr val="FFFFFF"/>
    </a:dk2>
    <a:lt2>
      <a:srgbClr val="ABDDF3"/>
    </a:lt2>
    <a:accent1>
      <a:srgbClr val="2EAAE1"/>
    </a:accent1>
    <a:accent2>
      <a:srgbClr val="131D2B"/>
    </a:accent2>
    <a:accent3>
      <a:srgbClr val="1AA380"/>
    </a:accent3>
    <a:accent4>
      <a:srgbClr val="F2CA6D"/>
    </a:accent4>
    <a:accent5>
      <a:srgbClr val="E85477"/>
    </a:accent5>
    <a:accent6>
      <a:srgbClr val="686767"/>
    </a:accent6>
    <a:hlink>
      <a:srgbClr val="6535F2"/>
    </a:hlink>
    <a:folHlink>
      <a:srgbClr val="7D5207"/>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Vlastné 1">
    <a:dk1>
      <a:sysClr val="windowText" lastClr="000000"/>
    </a:dk1>
    <a:lt1>
      <a:sysClr val="window" lastClr="FFFFFF"/>
    </a:lt1>
    <a:dk2>
      <a:srgbClr val="FFFFFF"/>
    </a:dk2>
    <a:lt2>
      <a:srgbClr val="ABDDF3"/>
    </a:lt2>
    <a:accent1>
      <a:srgbClr val="2EAAE1"/>
    </a:accent1>
    <a:accent2>
      <a:srgbClr val="131D2B"/>
    </a:accent2>
    <a:accent3>
      <a:srgbClr val="1AA380"/>
    </a:accent3>
    <a:accent4>
      <a:srgbClr val="F2CA6D"/>
    </a:accent4>
    <a:accent5>
      <a:srgbClr val="E85477"/>
    </a:accent5>
    <a:accent6>
      <a:srgbClr val="686767"/>
    </a:accent6>
    <a:hlink>
      <a:srgbClr val="6535F2"/>
    </a:hlink>
    <a:folHlink>
      <a:srgbClr val="7D5207"/>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Vlastné 1">
    <a:dk1>
      <a:sysClr val="windowText" lastClr="000000"/>
    </a:dk1>
    <a:lt1>
      <a:sysClr val="window" lastClr="FFFFFF"/>
    </a:lt1>
    <a:dk2>
      <a:srgbClr val="FFFFFF"/>
    </a:dk2>
    <a:lt2>
      <a:srgbClr val="ABDDF3"/>
    </a:lt2>
    <a:accent1>
      <a:srgbClr val="2EAAE1"/>
    </a:accent1>
    <a:accent2>
      <a:srgbClr val="131D2B"/>
    </a:accent2>
    <a:accent3>
      <a:srgbClr val="1AA380"/>
    </a:accent3>
    <a:accent4>
      <a:srgbClr val="F2CA6D"/>
    </a:accent4>
    <a:accent5>
      <a:srgbClr val="E85477"/>
    </a:accent5>
    <a:accent6>
      <a:srgbClr val="686767"/>
    </a:accent6>
    <a:hlink>
      <a:srgbClr val="6535F2"/>
    </a:hlink>
    <a:folHlink>
      <a:srgbClr val="7D5207"/>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Vlastné 1">
    <a:dk1>
      <a:sysClr val="windowText" lastClr="000000"/>
    </a:dk1>
    <a:lt1>
      <a:sysClr val="window" lastClr="FFFFFF"/>
    </a:lt1>
    <a:dk2>
      <a:srgbClr val="FFFFFF"/>
    </a:dk2>
    <a:lt2>
      <a:srgbClr val="ABDDF3"/>
    </a:lt2>
    <a:accent1>
      <a:srgbClr val="2EAAE1"/>
    </a:accent1>
    <a:accent2>
      <a:srgbClr val="131D2B"/>
    </a:accent2>
    <a:accent3>
      <a:srgbClr val="1AA380"/>
    </a:accent3>
    <a:accent4>
      <a:srgbClr val="F2CA6D"/>
    </a:accent4>
    <a:accent5>
      <a:srgbClr val="E85477"/>
    </a:accent5>
    <a:accent6>
      <a:srgbClr val="686767"/>
    </a:accent6>
    <a:hlink>
      <a:srgbClr val="6535F2"/>
    </a:hlink>
    <a:folHlink>
      <a:srgbClr val="7D5207"/>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Vlastné 1">
    <a:dk1>
      <a:sysClr val="windowText" lastClr="000000"/>
    </a:dk1>
    <a:lt1>
      <a:sysClr val="window" lastClr="FFFFFF"/>
    </a:lt1>
    <a:dk2>
      <a:srgbClr val="FFFFFF"/>
    </a:dk2>
    <a:lt2>
      <a:srgbClr val="ABDDF3"/>
    </a:lt2>
    <a:accent1>
      <a:srgbClr val="2EAAE1"/>
    </a:accent1>
    <a:accent2>
      <a:srgbClr val="131D2B"/>
    </a:accent2>
    <a:accent3>
      <a:srgbClr val="1AA380"/>
    </a:accent3>
    <a:accent4>
      <a:srgbClr val="F2CA6D"/>
    </a:accent4>
    <a:accent5>
      <a:srgbClr val="E85477"/>
    </a:accent5>
    <a:accent6>
      <a:srgbClr val="686767"/>
    </a:accent6>
    <a:hlink>
      <a:srgbClr val="6535F2"/>
    </a:hlink>
    <a:folHlink>
      <a:srgbClr val="7D5207"/>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Vlastné 1">
    <a:dk1>
      <a:sysClr val="windowText" lastClr="000000"/>
    </a:dk1>
    <a:lt1>
      <a:sysClr val="window" lastClr="FFFFFF"/>
    </a:lt1>
    <a:dk2>
      <a:srgbClr val="FFFFFF"/>
    </a:dk2>
    <a:lt2>
      <a:srgbClr val="ABDDF3"/>
    </a:lt2>
    <a:accent1>
      <a:srgbClr val="2EAAE1"/>
    </a:accent1>
    <a:accent2>
      <a:srgbClr val="131D2B"/>
    </a:accent2>
    <a:accent3>
      <a:srgbClr val="1AA380"/>
    </a:accent3>
    <a:accent4>
      <a:srgbClr val="F2CA6D"/>
    </a:accent4>
    <a:accent5>
      <a:srgbClr val="E85477"/>
    </a:accent5>
    <a:accent6>
      <a:srgbClr val="686767"/>
    </a:accent6>
    <a:hlink>
      <a:srgbClr val="6535F2"/>
    </a:hlink>
    <a:folHlink>
      <a:srgbClr val="7D5207"/>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Vlastné 1">
    <a:dk1>
      <a:sysClr val="windowText" lastClr="000000"/>
    </a:dk1>
    <a:lt1>
      <a:sysClr val="window" lastClr="FFFFFF"/>
    </a:lt1>
    <a:dk2>
      <a:srgbClr val="FFFFFF"/>
    </a:dk2>
    <a:lt2>
      <a:srgbClr val="ABDDF3"/>
    </a:lt2>
    <a:accent1>
      <a:srgbClr val="2EAAE1"/>
    </a:accent1>
    <a:accent2>
      <a:srgbClr val="131D2B"/>
    </a:accent2>
    <a:accent3>
      <a:srgbClr val="1AA380"/>
    </a:accent3>
    <a:accent4>
      <a:srgbClr val="F2CA6D"/>
    </a:accent4>
    <a:accent5>
      <a:srgbClr val="E85477"/>
    </a:accent5>
    <a:accent6>
      <a:srgbClr val="686767"/>
    </a:accent6>
    <a:hlink>
      <a:srgbClr val="6535F2"/>
    </a:hlink>
    <a:folHlink>
      <a:srgbClr val="7D5207"/>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Vlastné 1">
    <a:dk1>
      <a:sysClr val="windowText" lastClr="000000"/>
    </a:dk1>
    <a:lt1>
      <a:sysClr val="window" lastClr="FFFFFF"/>
    </a:lt1>
    <a:dk2>
      <a:srgbClr val="FFFFFF"/>
    </a:dk2>
    <a:lt2>
      <a:srgbClr val="ABDDF3"/>
    </a:lt2>
    <a:accent1>
      <a:srgbClr val="2EAAE1"/>
    </a:accent1>
    <a:accent2>
      <a:srgbClr val="131D2B"/>
    </a:accent2>
    <a:accent3>
      <a:srgbClr val="1AA380"/>
    </a:accent3>
    <a:accent4>
      <a:srgbClr val="F2CA6D"/>
    </a:accent4>
    <a:accent5>
      <a:srgbClr val="E85477"/>
    </a:accent5>
    <a:accent6>
      <a:srgbClr val="686767"/>
    </a:accent6>
    <a:hlink>
      <a:srgbClr val="6535F2"/>
    </a:hlink>
    <a:folHlink>
      <a:srgbClr val="7D5207"/>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Vlastné 1">
    <a:dk1>
      <a:sysClr val="windowText" lastClr="000000"/>
    </a:dk1>
    <a:lt1>
      <a:sysClr val="window" lastClr="FFFFFF"/>
    </a:lt1>
    <a:dk2>
      <a:srgbClr val="FFFFFF"/>
    </a:dk2>
    <a:lt2>
      <a:srgbClr val="ABDDF3"/>
    </a:lt2>
    <a:accent1>
      <a:srgbClr val="2EAAE1"/>
    </a:accent1>
    <a:accent2>
      <a:srgbClr val="131D2B"/>
    </a:accent2>
    <a:accent3>
      <a:srgbClr val="1AA380"/>
    </a:accent3>
    <a:accent4>
      <a:srgbClr val="F2CA6D"/>
    </a:accent4>
    <a:accent5>
      <a:srgbClr val="E85477"/>
    </a:accent5>
    <a:accent6>
      <a:srgbClr val="686767"/>
    </a:accent6>
    <a:hlink>
      <a:srgbClr val="6535F2"/>
    </a:hlink>
    <a:folHlink>
      <a:srgbClr val="7D5207"/>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Vlastné 1">
    <a:dk1>
      <a:sysClr val="windowText" lastClr="000000"/>
    </a:dk1>
    <a:lt1>
      <a:sysClr val="window" lastClr="FFFFFF"/>
    </a:lt1>
    <a:dk2>
      <a:srgbClr val="FFFFFF"/>
    </a:dk2>
    <a:lt2>
      <a:srgbClr val="ABDDF3"/>
    </a:lt2>
    <a:accent1>
      <a:srgbClr val="2EAAE1"/>
    </a:accent1>
    <a:accent2>
      <a:srgbClr val="131D2B"/>
    </a:accent2>
    <a:accent3>
      <a:srgbClr val="1AA380"/>
    </a:accent3>
    <a:accent4>
      <a:srgbClr val="F2CA6D"/>
    </a:accent4>
    <a:accent5>
      <a:srgbClr val="E85477"/>
    </a:accent5>
    <a:accent6>
      <a:srgbClr val="686767"/>
    </a:accent6>
    <a:hlink>
      <a:srgbClr val="6535F2"/>
    </a:hlink>
    <a:folHlink>
      <a:srgbClr val="7D5207"/>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Vlastné 1">
    <a:dk1>
      <a:sysClr val="windowText" lastClr="000000"/>
    </a:dk1>
    <a:lt1>
      <a:sysClr val="window" lastClr="FFFFFF"/>
    </a:lt1>
    <a:dk2>
      <a:srgbClr val="FFFFFF"/>
    </a:dk2>
    <a:lt2>
      <a:srgbClr val="ABDDF3"/>
    </a:lt2>
    <a:accent1>
      <a:srgbClr val="2EAAE1"/>
    </a:accent1>
    <a:accent2>
      <a:srgbClr val="131D2B"/>
    </a:accent2>
    <a:accent3>
      <a:srgbClr val="1AA380"/>
    </a:accent3>
    <a:accent4>
      <a:srgbClr val="F2CA6D"/>
    </a:accent4>
    <a:accent5>
      <a:srgbClr val="E85477"/>
    </a:accent5>
    <a:accent6>
      <a:srgbClr val="686767"/>
    </a:accent6>
    <a:hlink>
      <a:srgbClr val="6535F2"/>
    </a:hlink>
    <a:folHlink>
      <a:srgbClr val="7D5207"/>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xml><?xml version="1.0" encoding="utf-8"?>
<a:themeOverride xmlns:a="http://schemas.openxmlformats.org/drawingml/2006/main">
  <a:clrScheme name="Vlastné 1">
    <a:dk1>
      <a:sysClr val="windowText" lastClr="000000"/>
    </a:dk1>
    <a:lt1>
      <a:sysClr val="window" lastClr="FFFFFF"/>
    </a:lt1>
    <a:dk2>
      <a:srgbClr val="FFFFFF"/>
    </a:dk2>
    <a:lt2>
      <a:srgbClr val="ABDDF3"/>
    </a:lt2>
    <a:accent1>
      <a:srgbClr val="2EAAE1"/>
    </a:accent1>
    <a:accent2>
      <a:srgbClr val="131D2B"/>
    </a:accent2>
    <a:accent3>
      <a:srgbClr val="1AA380"/>
    </a:accent3>
    <a:accent4>
      <a:srgbClr val="F2CA6D"/>
    </a:accent4>
    <a:accent5>
      <a:srgbClr val="E85477"/>
    </a:accent5>
    <a:accent6>
      <a:srgbClr val="686767"/>
    </a:accent6>
    <a:hlink>
      <a:srgbClr val="6535F2"/>
    </a:hlink>
    <a:folHlink>
      <a:srgbClr val="7D5207"/>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xml><?xml version="1.0" encoding="utf-8"?>
<a:themeOverride xmlns:a="http://schemas.openxmlformats.org/drawingml/2006/main">
  <a:clrScheme name="IFP motív">
    <a:dk1>
      <a:srgbClr val="131D2B"/>
    </a:dk1>
    <a:lt1>
      <a:srgbClr val="131D2B"/>
    </a:lt1>
    <a:dk2>
      <a:srgbClr val="FFFFFF"/>
    </a:dk2>
    <a:lt2>
      <a:srgbClr val="ABDDF3"/>
    </a:lt2>
    <a:accent1>
      <a:srgbClr val="2EAAE1"/>
    </a:accent1>
    <a:accent2>
      <a:srgbClr val="131D2B"/>
    </a:accent2>
    <a:accent3>
      <a:srgbClr val="1AA380"/>
    </a:accent3>
    <a:accent4>
      <a:srgbClr val="F2CA6D"/>
    </a:accent4>
    <a:accent5>
      <a:srgbClr val="E85477"/>
    </a:accent5>
    <a:accent6>
      <a:srgbClr val="686767"/>
    </a:accent6>
    <a:hlink>
      <a:srgbClr val="6535F2"/>
    </a:hlink>
    <a:folHlink>
      <a:srgbClr val="7D5207"/>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Vlastné 1">
    <a:dk1>
      <a:sysClr val="windowText" lastClr="000000"/>
    </a:dk1>
    <a:lt1>
      <a:sysClr val="window" lastClr="FFFFFF"/>
    </a:lt1>
    <a:dk2>
      <a:srgbClr val="FFFFFF"/>
    </a:dk2>
    <a:lt2>
      <a:srgbClr val="ABDDF3"/>
    </a:lt2>
    <a:accent1>
      <a:srgbClr val="2EAAE1"/>
    </a:accent1>
    <a:accent2>
      <a:srgbClr val="131D2B"/>
    </a:accent2>
    <a:accent3>
      <a:srgbClr val="1AA380"/>
    </a:accent3>
    <a:accent4>
      <a:srgbClr val="F2CA6D"/>
    </a:accent4>
    <a:accent5>
      <a:srgbClr val="E85477"/>
    </a:accent5>
    <a:accent6>
      <a:srgbClr val="686767"/>
    </a:accent6>
    <a:hlink>
      <a:srgbClr val="6535F2"/>
    </a:hlink>
    <a:folHlink>
      <a:srgbClr val="7D5207"/>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Vlastné 1">
    <a:dk1>
      <a:sysClr val="windowText" lastClr="000000"/>
    </a:dk1>
    <a:lt1>
      <a:sysClr val="window" lastClr="FFFFFF"/>
    </a:lt1>
    <a:dk2>
      <a:srgbClr val="FFFFFF"/>
    </a:dk2>
    <a:lt2>
      <a:srgbClr val="ABDDF3"/>
    </a:lt2>
    <a:accent1>
      <a:srgbClr val="2EAAE1"/>
    </a:accent1>
    <a:accent2>
      <a:srgbClr val="131D2B"/>
    </a:accent2>
    <a:accent3>
      <a:srgbClr val="1AA380"/>
    </a:accent3>
    <a:accent4>
      <a:srgbClr val="F2CA6D"/>
    </a:accent4>
    <a:accent5>
      <a:srgbClr val="E85477"/>
    </a:accent5>
    <a:accent6>
      <a:srgbClr val="686767"/>
    </a:accent6>
    <a:hlink>
      <a:srgbClr val="6535F2"/>
    </a:hlink>
    <a:folHlink>
      <a:srgbClr val="7D5207"/>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Vlastné 1">
    <a:dk1>
      <a:sysClr val="windowText" lastClr="000000"/>
    </a:dk1>
    <a:lt1>
      <a:sysClr val="window" lastClr="FFFFFF"/>
    </a:lt1>
    <a:dk2>
      <a:srgbClr val="FFFFFF"/>
    </a:dk2>
    <a:lt2>
      <a:srgbClr val="ABDDF3"/>
    </a:lt2>
    <a:accent1>
      <a:srgbClr val="2EAAE1"/>
    </a:accent1>
    <a:accent2>
      <a:srgbClr val="131D2B"/>
    </a:accent2>
    <a:accent3>
      <a:srgbClr val="1AA380"/>
    </a:accent3>
    <a:accent4>
      <a:srgbClr val="F2CA6D"/>
    </a:accent4>
    <a:accent5>
      <a:srgbClr val="E85477"/>
    </a:accent5>
    <a:accent6>
      <a:srgbClr val="686767"/>
    </a:accent6>
    <a:hlink>
      <a:srgbClr val="6535F2"/>
    </a:hlink>
    <a:folHlink>
      <a:srgbClr val="7D5207"/>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Vlastné 1">
    <a:dk1>
      <a:sysClr val="windowText" lastClr="000000"/>
    </a:dk1>
    <a:lt1>
      <a:sysClr val="window" lastClr="FFFFFF"/>
    </a:lt1>
    <a:dk2>
      <a:srgbClr val="FFFFFF"/>
    </a:dk2>
    <a:lt2>
      <a:srgbClr val="ABDDF3"/>
    </a:lt2>
    <a:accent1>
      <a:srgbClr val="2EAAE1"/>
    </a:accent1>
    <a:accent2>
      <a:srgbClr val="131D2B"/>
    </a:accent2>
    <a:accent3>
      <a:srgbClr val="1AA380"/>
    </a:accent3>
    <a:accent4>
      <a:srgbClr val="F2CA6D"/>
    </a:accent4>
    <a:accent5>
      <a:srgbClr val="E85477"/>
    </a:accent5>
    <a:accent6>
      <a:srgbClr val="686767"/>
    </a:accent6>
    <a:hlink>
      <a:srgbClr val="6535F2"/>
    </a:hlink>
    <a:folHlink>
      <a:srgbClr val="7D5207"/>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Vlastné 1">
    <a:dk1>
      <a:sysClr val="windowText" lastClr="000000"/>
    </a:dk1>
    <a:lt1>
      <a:sysClr val="window" lastClr="FFFFFF"/>
    </a:lt1>
    <a:dk2>
      <a:srgbClr val="FFFFFF"/>
    </a:dk2>
    <a:lt2>
      <a:srgbClr val="ABDDF3"/>
    </a:lt2>
    <a:accent1>
      <a:srgbClr val="2EAAE1"/>
    </a:accent1>
    <a:accent2>
      <a:srgbClr val="131D2B"/>
    </a:accent2>
    <a:accent3>
      <a:srgbClr val="1AA380"/>
    </a:accent3>
    <a:accent4>
      <a:srgbClr val="F2CA6D"/>
    </a:accent4>
    <a:accent5>
      <a:srgbClr val="E85477"/>
    </a:accent5>
    <a:accent6>
      <a:srgbClr val="686767"/>
    </a:accent6>
    <a:hlink>
      <a:srgbClr val="6535F2"/>
    </a:hlink>
    <a:folHlink>
      <a:srgbClr val="7D5207"/>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Vlastné 1">
    <a:dk1>
      <a:sysClr val="windowText" lastClr="000000"/>
    </a:dk1>
    <a:lt1>
      <a:sysClr val="window" lastClr="FFFFFF"/>
    </a:lt1>
    <a:dk2>
      <a:srgbClr val="FFFFFF"/>
    </a:dk2>
    <a:lt2>
      <a:srgbClr val="ABDDF3"/>
    </a:lt2>
    <a:accent1>
      <a:srgbClr val="2EAAE1"/>
    </a:accent1>
    <a:accent2>
      <a:srgbClr val="131D2B"/>
    </a:accent2>
    <a:accent3>
      <a:srgbClr val="1AA380"/>
    </a:accent3>
    <a:accent4>
      <a:srgbClr val="F2CA6D"/>
    </a:accent4>
    <a:accent5>
      <a:srgbClr val="E85477"/>
    </a:accent5>
    <a:accent6>
      <a:srgbClr val="686767"/>
    </a:accent6>
    <a:hlink>
      <a:srgbClr val="6535F2"/>
    </a:hlink>
    <a:folHlink>
      <a:srgbClr val="7D5207"/>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Vlastné 1">
    <a:dk1>
      <a:sysClr val="windowText" lastClr="000000"/>
    </a:dk1>
    <a:lt1>
      <a:sysClr val="window" lastClr="FFFFFF"/>
    </a:lt1>
    <a:dk2>
      <a:srgbClr val="FFFFFF"/>
    </a:dk2>
    <a:lt2>
      <a:srgbClr val="ABDDF3"/>
    </a:lt2>
    <a:accent1>
      <a:srgbClr val="2EAAE1"/>
    </a:accent1>
    <a:accent2>
      <a:srgbClr val="131D2B"/>
    </a:accent2>
    <a:accent3>
      <a:srgbClr val="1AA380"/>
    </a:accent3>
    <a:accent4>
      <a:srgbClr val="F2CA6D"/>
    </a:accent4>
    <a:accent5>
      <a:srgbClr val="E85477"/>
    </a:accent5>
    <a:accent6>
      <a:srgbClr val="686767"/>
    </a:accent6>
    <a:hlink>
      <a:srgbClr val="6535F2"/>
    </a:hlink>
    <a:folHlink>
      <a:srgbClr val="7D5207"/>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AF76C0B26C81498CFD8AC112F772CE" ma:contentTypeVersion="14" ma:contentTypeDescription="Create a new document." ma:contentTypeScope="" ma:versionID="c71ea2df0db094d03d888fb309687deb">
  <xsd:schema xmlns:xsd="http://www.w3.org/2001/XMLSchema" xmlns:xs="http://www.w3.org/2001/XMLSchema" xmlns:p="http://schemas.microsoft.com/office/2006/metadata/properties" xmlns:ns3="8062c917-e9b8-4015-9289-6a243eaca367" xmlns:ns4="5184215f-6a36-4124-9f36-fa9781fc31bf" targetNamespace="http://schemas.microsoft.com/office/2006/metadata/properties" ma:root="true" ma:fieldsID="75a81589ce19101210b62543526259f1" ns3:_="" ns4:_="">
    <xsd:import namespace="8062c917-e9b8-4015-9289-6a243eaca367"/>
    <xsd:import namespace="5184215f-6a36-4124-9f36-fa9781fc31b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_activity" minOccurs="0"/>
                <xsd:element ref="ns4:MediaServiceObjectDetectorVersions" minOccurs="0"/>
                <xsd:element ref="ns4:MediaServiceDateTaken"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c917-e9b8-4015-9289-6a243eaca3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84215f-6a36-4124-9f36-fa9781fc31b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5184215f-6a36-4124-9f36-fa9781fc31b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F9E3F8-6803-495A-ABF1-4527A4A588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c917-e9b8-4015-9289-6a243eaca367"/>
    <ds:schemaRef ds:uri="5184215f-6a36-4124-9f36-fa9781fc31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F23AEB2-FE49-47AC-8DEE-F4F585A0023B}">
  <ds:schemaRefs>
    <ds:schemaRef ds:uri="http://schemas.microsoft.com/sharepoint/v3/contenttype/forms"/>
  </ds:schemaRefs>
</ds:datastoreItem>
</file>

<file path=customXml/itemProps3.xml><?xml version="1.0" encoding="utf-8"?>
<ds:datastoreItem xmlns:ds="http://schemas.openxmlformats.org/officeDocument/2006/customXml" ds:itemID="{5295B520-90E9-407D-A512-D5A1A9B52C04}">
  <ds:schemaRefs>
    <ds:schemaRef ds:uri="http://schemas.microsoft.com/office/2006/metadata/properties"/>
    <ds:schemaRef ds:uri="http://schemas.microsoft.com/office/infopath/2007/PartnerControls"/>
    <ds:schemaRef ds:uri="5184215f-6a36-4124-9f36-fa9781fc31bf"/>
  </ds:schemaRefs>
</ds:datastoreItem>
</file>

<file path=customXml/itemProps4.xml><?xml version="1.0" encoding="utf-8"?>
<ds:datastoreItem xmlns:ds="http://schemas.openxmlformats.org/officeDocument/2006/customXml" ds:itemID="{CD63F2EC-61EF-4F8B-B6BB-7D9B2329BD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46</Pages>
  <Words>12592</Words>
  <Characters>71778</Characters>
  <Application>Microsoft Office Word</Application>
  <DocSecurity>0</DocSecurity>
  <Lines>598</Lines>
  <Paragraphs>168</Paragraphs>
  <ScaleCrop>false</ScaleCrop>
  <HeadingPairs>
    <vt:vector size="2" baseType="variant">
      <vt:variant>
        <vt:lpstr>Názov</vt:lpstr>
      </vt:variant>
      <vt:variant>
        <vt:i4>1</vt:i4>
      </vt:variant>
    </vt:vector>
  </HeadingPairs>
  <TitlesOfParts>
    <vt:vector size="1" baseType="lpstr">
      <vt:lpstr/>
    </vt:vector>
  </TitlesOfParts>
  <Company>Ministerstvo financii SR</Company>
  <LinksUpToDate>false</LinksUpToDate>
  <CharactersWithSpaces>84202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Valaskova Janette</dc:creator>
  <cp:keywords/>
  <dc:description/>
  <cp:lastModifiedBy>Kovacova Silvia</cp:lastModifiedBy>
  <cp:revision>7</cp:revision>
  <cp:lastPrinted>2025-07-03T12:27:00Z</cp:lastPrinted>
  <dcterms:created xsi:type="dcterms:W3CDTF">2025-07-02T12:08:00Z</dcterms:created>
  <dcterms:modified xsi:type="dcterms:W3CDTF">2025-07-03T13:59:00Z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0x0101000DAF76C0B26C81498CFD8AC112F772CE</vt:lpwstr>
  </property>
</Properties>
</file>