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EB5B6" w14:textId="77777777" w:rsidR="0035653D" w:rsidRPr="00C93054" w:rsidRDefault="0035653D" w:rsidP="0035653D">
      <w:pPr>
        <w:spacing w:beforeLines="20" w:before="48" w:afterLines="40" w:after="96" w:line="240" w:lineRule="auto"/>
        <w:jc w:val="center"/>
        <w:rPr>
          <w:rFonts w:ascii="Times New Roman" w:hAnsi="Times New Roman" w:cs="Times New Roman"/>
          <w:b/>
          <w:color w:val="000000" w:themeColor="text1"/>
          <w:sz w:val="24"/>
          <w:szCs w:val="24"/>
          <w:lang w:eastAsia="sk-SK"/>
        </w:rPr>
      </w:pPr>
      <w:r w:rsidRPr="00C93054">
        <w:rPr>
          <w:rFonts w:ascii="Times New Roman" w:hAnsi="Times New Roman" w:cs="Times New Roman"/>
          <w:b/>
          <w:color w:val="000000" w:themeColor="text1"/>
          <w:sz w:val="24"/>
          <w:szCs w:val="24"/>
          <w:lang w:eastAsia="sk-SK"/>
        </w:rPr>
        <w:t>DOLOŽKA ZLUČITEĽNOSTI</w:t>
      </w:r>
    </w:p>
    <w:p w14:paraId="603DC694" w14:textId="0DE001FB" w:rsidR="0035653D" w:rsidRPr="00C93054" w:rsidRDefault="0035653D" w:rsidP="0035653D">
      <w:pPr>
        <w:tabs>
          <w:tab w:val="center" w:pos="4535"/>
          <w:tab w:val="left" w:pos="7720"/>
        </w:tabs>
        <w:spacing w:beforeLines="20" w:before="48" w:afterLines="40" w:after="96" w:line="240" w:lineRule="auto"/>
        <w:rPr>
          <w:rFonts w:ascii="Times New Roman" w:hAnsi="Times New Roman" w:cs="Times New Roman"/>
          <w:b/>
          <w:color w:val="000000" w:themeColor="text1"/>
          <w:sz w:val="24"/>
          <w:szCs w:val="24"/>
          <w:lang w:eastAsia="sk-SK"/>
        </w:rPr>
      </w:pPr>
      <w:r w:rsidRPr="00C93054">
        <w:rPr>
          <w:rFonts w:ascii="Times New Roman" w:hAnsi="Times New Roman" w:cs="Times New Roman"/>
          <w:b/>
          <w:color w:val="000000" w:themeColor="text1"/>
          <w:sz w:val="24"/>
          <w:szCs w:val="24"/>
          <w:lang w:eastAsia="sk-SK"/>
        </w:rPr>
        <w:tab/>
        <w:t xml:space="preserve">návrhu </w:t>
      </w:r>
      <w:r w:rsidR="00C93054" w:rsidRPr="00C93054">
        <w:rPr>
          <w:rFonts w:ascii="Times New Roman" w:hAnsi="Times New Roman" w:cs="Times New Roman"/>
          <w:b/>
          <w:color w:val="000000" w:themeColor="text1"/>
          <w:sz w:val="24"/>
          <w:szCs w:val="24"/>
          <w:lang w:eastAsia="sk-SK"/>
        </w:rPr>
        <w:t xml:space="preserve">právneho predpisu </w:t>
      </w:r>
      <w:r w:rsidRPr="00C93054">
        <w:rPr>
          <w:rFonts w:ascii="Times New Roman" w:hAnsi="Times New Roman" w:cs="Times New Roman"/>
          <w:b/>
          <w:color w:val="000000" w:themeColor="text1"/>
          <w:sz w:val="24"/>
          <w:szCs w:val="24"/>
          <w:lang w:eastAsia="sk-SK"/>
        </w:rPr>
        <w:tab/>
      </w:r>
    </w:p>
    <w:p w14:paraId="42879A54" w14:textId="77777777" w:rsidR="00C93054" w:rsidRDefault="00C93054" w:rsidP="00C93054">
      <w:pPr>
        <w:rPr>
          <w:rFonts w:ascii="Times New Roman" w:hAnsi="Times New Roman"/>
          <w:b/>
          <w:bCs/>
          <w:color w:val="1F2225"/>
          <w:sz w:val="24"/>
          <w:szCs w:val="24"/>
        </w:rPr>
      </w:pPr>
    </w:p>
    <w:p w14:paraId="0C024D87" w14:textId="56818992" w:rsidR="00C93054" w:rsidRPr="00C93054" w:rsidRDefault="00C93054" w:rsidP="00C93054">
      <w:pPr>
        <w:rPr>
          <w:rFonts w:ascii="Times New Roman" w:hAnsi="Times New Roman"/>
          <w:sz w:val="24"/>
          <w:szCs w:val="24"/>
        </w:rPr>
      </w:pPr>
      <w:r w:rsidRPr="00C93054">
        <w:rPr>
          <w:rFonts w:ascii="Times New Roman" w:hAnsi="Times New Roman"/>
          <w:b/>
          <w:bCs/>
          <w:color w:val="1F2225"/>
          <w:sz w:val="24"/>
          <w:szCs w:val="24"/>
        </w:rPr>
        <w:t>S PRÁVOM EURÓPSKEJ ÚNIE</w:t>
      </w:r>
    </w:p>
    <w:p w14:paraId="4F64DA1B" w14:textId="44CB56F1" w:rsidR="00C93054" w:rsidRPr="00C93054" w:rsidRDefault="00C93054" w:rsidP="00C93054">
      <w:pPr>
        <w:rPr>
          <w:rFonts w:ascii="Times New Roman" w:hAnsi="Times New Roman"/>
          <w:sz w:val="24"/>
          <w:szCs w:val="24"/>
        </w:rPr>
      </w:pPr>
      <w:r w:rsidRPr="00C93054">
        <w:rPr>
          <w:rFonts w:ascii="Times New Roman" w:hAnsi="Times New Roman"/>
          <w:b/>
          <w:bCs/>
          <w:color w:val="1F2225"/>
          <w:sz w:val="24"/>
          <w:szCs w:val="24"/>
        </w:rPr>
        <w:t>1. Predkladateľ návrhu právneho predpisu:</w:t>
      </w:r>
      <w:r w:rsidRPr="00C93054">
        <w:rPr>
          <w:rFonts w:ascii="Times New Roman" w:hAnsi="Times New Roman"/>
          <w:color w:val="1F2225"/>
          <w:sz w:val="24"/>
          <w:szCs w:val="24"/>
        </w:rPr>
        <w:t xml:space="preserve"> Poslanec Národnej rady Slovenskej republiky </w:t>
      </w:r>
      <w:r>
        <w:rPr>
          <w:rFonts w:ascii="Times New Roman" w:hAnsi="Times New Roman"/>
          <w:color w:val="1F2225"/>
          <w:sz w:val="24"/>
          <w:szCs w:val="24"/>
        </w:rPr>
        <w:t>Michal BARTEK</w:t>
      </w:r>
    </w:p>
    <w:p w14:paraId="6B102223" w14:textId="77777777" w:rsidR="00C93054" w:rsidRPr="00C93054" w:rsidRDefault="00C93054" w:rsidP="00C93054">
      <w:pPr>
        <w:rPr>
          <w:rFonts w:ascii="Times New Roman" w:hAnsi="Times New Roman"/>
          <w:sz w:val="24"/>
          <w:szCs w:val="24"/>
        </w:rPr>
      </w:pPr>
      <w:r w:rsidRPr="00C93054">
        <w:rPr>
          <w:rFonts w:ascii="Times New Roman" w:hAnsi="Times New Roman"/>
          <w:b/>
          <w:bCs/>
          <w:color w:val="1F2225"/>
          <w:sz w:val="24"/>
          <w:szCs w:val="24"/>
        </w:rPr>
        <w:t>2. Názov návrhu právneho predpisu:</w:t>
      </w:r>
      <w:r w:rsidRPr="00C93054">
        <w:rPr>
          <w:rFonts w:ascii="Times New Roman" w:hAnsi="Times New Roman"/>
          <w:color w:val="1F2225"/>
          <w:sz w:val="24"/>
          <w:szCs w:val="24"/>
        </w:rPr>
        <w:t xml:space="preserve"> Návrh zákona, ktorým sa mení a dopĺňa zákon č. 8/2009 Z. z. o cestnej premávke a o zmene a doplnení niektorých zákonov v znení neskorších predpisov a ktorým sa mení a dopĺňa vyhláška Ministerstva dopravy a výstavby Slovenskej republiky č. 134/2018 Z. z., ktorou sa ustanovujú podrobnosti o prevádzke vozidiel v cestnej premávke v znení neskorších predpisov</w:t>
      </w:r>
    </w:p>
    <w:p w14:paraId="64FA7ADE" w14:textId="77777777" w:rsidR="00C93054" w:rsidRPr="00C93054" w:rsidRDefault="00C93054" w:rsidP="00C93054">
      <w:pPr>
        <w:rPr>
          <w:rFonts w:ascii="Times New Roman" w:hAnsi="Times New Roman"/>
          <w:sz w:val="24"/>
          <w:szCs w:val="24"/>
        </w:rPr>
      </w:pPr>
      <w:r w:rsidRPr="00C93054">
        <w:rPr>
          <w:rFonts w:ascii="Times New Roman" w:hAnsi="Times New Roman"/>
          <w:b/>
          <w:bCs/>
          <w:color w:val="1F2225"/>
          <w:sz w:val="24"/>
          <w:szCs w:val="24"/>
        </w:rPr>
        <w:t>3. Problematika návrhu právneho predpisu:</w:t>
      </w:r>
    </w:p>
    <w:p w14:paraId="784894E6" w14:textId="77777777" w:rsidR="00C93054" w:rsidRPr="00C93054" w:rsidRDefault="00C93054" w:rsidP="00C93054">
      <w:pPr>
        <w:rPr>
          <w:rFonts w:ascii="Times New Roman" w:hAnsi="Times New Roman"/>
          <w:sz w:val="24"/>
          <w:szCs w:val="24"/>
        </w:rPr>
      </w:pPr>
      <w:r w:rsidRPr="00C93054">
        <w:rPr>
          <w:rFonts w:ascii="Times New Roman" w:hAnsi="Times New Roman"/>
          <w:color w:val="1F2225"/>
          <w:sz w:val="24"/>
          <w:szCs w:val="24"/>
        </w:rPr>
        <w:t xml:space="preserve">a) </w:t>
      </w:r>
      <w:r w:rsidRPr="00C93054">
        <w:rPr>
          <w:rFonts w:ascii="Times New Roman" w:hAnsi="Times New Roman"/>
          <w:b/>
          <w:bCs/>
          <w:color w:val="1F2225"/>
          <w:sz w:val="24"/>
          <w:szCs w:val="24"/>
        </w:rPr>
        <w:t>Je upravená v práve Európskej únie:</w:t>
      </w:r>
    </w:p>
    <w:p w14:paraId="13853E3C" w14:textId="77777777" w:rsidR="00C93054" w:rsidRPr="00C93054" w:rsidRDefault="00C93054" w:rsidP="00C93054">
      <w:pPr>
        <w:rPr>
          <w:rFonts w:ascii="Times New Roman" w:hAnsi="Times New Roman"/>
          <w:sz w:val="24"/>
          <w:szCs w:val="24"/>
        </w:rPr>
      </w:pPr>
      <w:r w:rsidRPr="00C93054">
        <w:rPr>
          <w:rFonts w:ascii="Times New Roman" w:hAnsi="Times New Roman"/>
          <w:color w:val="1F2225"/>
          <w:sz w:val="24"/>
          <w:szCs w:val="24"/>
        </w:rPr>
        <w:t>Čiastočne.</w:t>
      </w:r>
    </w:p>
    <w:p w14:paraId="79B12EE1" w14:textId="77777777" w:rsidR="00C93054" w:rsidRPr="00C93054" w:rsidRDefault="00C93054" w:rsidP="00C93054">
      <w:pPr>
        <w:rPr>
          <w:rFonts w:ascii="Times New Roman" w:hAnsi="Times New Roman"/>
          <w:sz w:val="24"/>
          <w:szCs w:val="24"/>
        </w:rPr>
      </w:pPr>
      <w:r w:rsidRPr="00C93054">
        <w:rPr>
          <w:rFonts w:ascii="Times New Roman" w:hAnsi="Times New Roman"/>
          <w:color w:val="1F2225"/>
          <w:sz w:val="24"/>
          <w:szCs w:val="24"/>
        </w:rPr>
        <w:t>Primárne právo: Článok 26 Zmluvy o fungovaní Európskej únie (ZFEU) – Vnútorný trh, Článok 91 ZFEU – Spoločná dopravná politika, Článok 114 ZFEU – Aproximácia právnych predpisov.</w:t>
      </w:r>
    </w:p>
    <w:p w14:paraId="1D605897" w14:textId="77777777" w:rsidR="00C93054" w:rsidRPr="00C93054" w:rsidRDefault="00C93054" w:rsidP="00C93054">
      <w:pPr>
        <w:rPr>
          <w:rFonts w:ascii="Times New Roman" w:hAnsi="Times New Roman"/>
          <w:sz w:val="24"/>
          <w:szCs w:val="24"/>
        </w:rPr>
      </w:pPr>
      <w:r w:rsidRPr="00C93054">
        <w:rPr>
          <w:rFonts w:ascii="Times New Roman" w:hAnsi="Times New Roman"/>
          <w:color w:val="1F2225"/>
          <w:sz w:val="24"/>
          <w:szCs w:val="24"/>
        </w:rPr>
        <w:t>Sekundárne právo:</w:t>
      </w:r>
    </w:p>
    <w:p w14:paraId="14334D15" w14:textId="77777777" w:rsidR="00C93054" w:rsidRPr="00C93054" w:rsidRDefault="00C93054" w:rsidP="00C93054">
      <w:pPr>
        <w:numPr>
          <w:ilvl w:val="0"/>
          <w:numId w:val="3"/>
        </w:numPr>
        <w:spacing w:before="120" w:after="120" w:line="264" w:lineRule="auto"/>
        <w:ind w:left="284" w:hanging="284"/>
        <w:rPr>
          <w:rFonts w:ascii="Times New Roman" w:hAnsi="Times New Roman"/>
          <w:sz w:val="24"/>
          <w:szCs w:val="24"/>
        </w:rPr>
      </w:pPr>
      <w:r w:rsidRPr="00C93054">
        <w:rPr>
          <w:rFonts w:ascii="Times New Roman" w:hAnsi="Times New Roman"/>
          <w:color w:val="1F2225"/>
          <w:sz w:val="24"/>
          <w:szCs w:val="24"/>
        </w:rPr>
        <w:t>Nariadenie Európskeho parlamentu a Rady (EÚ) 2018/858 z 30. mája 2018 o schvaľovaní motorových vozidiel a ich prípojných vozidiel, ako aj systémov, komponentov a samostatných technických jednotiek určených pre tieto vozidlá a o dohľade nad trhom s nimi (tzv. Rámcové nariadenie o typovom schvaľovaní).</w:t>
      </w:r>
    </w:p>
    <w:p w14:paraId="0F20E943" w14:textId="77777777" w:rsidR="00C93054" w:rsidRPr="00C93054" w:rsidRDefault="00C93054" w:rsidP="00C93054">
      <w:pPr>
        <w:numPr>
          <w:ilvl w:val="0"/>
          <w:numId w:val="3"/>
        </w:numPr>
        <w:spacing w:before="120" w:after="120" w:line="264" w:lineRule="auto"/>
        <w:ind w:left="284" w:hanging="284"/>
        <w:rPr>
          <w:rFonts w:ascii="Times New Roman" w:hAnsi="Times New Roman"/>
          <w:sz w:val="24"/>
          <w:szCs w:val="24"/>
        </w:rPr>
      </w:pPr>
      <w:r w:rsidRPr="00C93054">
        <w:rPr>
          <w:rFonts w:ascii="Times New Roman" w:hAnsi="Times New Roman"/>
          <w:color w:val="1F2225"/>
          <w:sz w:val="24"/>
          <w:szCs w:val="24"/>
        </w:rPr>
        <w:t>Nariadenie Európskeho parlamentu a Rady (EÚ) 2019/2144 zo 27. novembra 2019 o požiadavkách na typové schvaľovanie motorových vozidiel a ich prípojných vozidiel a systémov, komponentov a samostatných technických jednotiek určených pre tieto vozidlá, pokiaľ ide o ich všeobecnú bezpečnosť a ochranu cestujúcich vo vozidle a nechránených účastníkov cestnej premávky (tzv. Nariadenie o všeobecnej bezpečnosti vozidiel – GSR), ktoré nahradilo okrem iného Nariadenie Komisie (ES) č. 661/2009.</w:t>
      </w:r>
    </w:p>
    <w:p w14:paraId="7CA15F84" w14:textId="77777777" w:rsidR="00C93054" w:rsidRPr="00C93054" w:rsidRDefault="00C93054" w:rsidP="00C93054">
      <w:pPr>
        <w:numPr>
          <w:ilvl w:val="0"/>
          <w:numId w:val="3"/>
        </w:numPr>
        <w:spacing w:before="120" w:after="120" w:line="264" w:lineRule="auto"/>
        <w:ind w:left="284" w:hanging="284"/>
        <w:rPr>
          <w:rFonts w:ascii="Times New Roman" w:hAnsi="Times New Roman"/>
          <w:sz w:val="24"/>
          <w:szCs w:val="24"/>
        </w:rPr>
      </w:pPr>
      <w:r w:rsidRPr="00C93054">
        <w:rPr>
          <w:rFonts w:ascii="Times New Roman" w:hAnsi="Times New Roman"/>
          <w:color w:val="1F2225"/>
          <w:sz w:val="24"/>
          <w:szCs w:val="24"/>
        </w:rPr>
        <w:t xml:space="preserve">Relevantné predpisy Európskej hospodárskej komisie Organizácie Spojených národov (EHK OSN), ktoré sú záväzné pre EÚ na základe jej pristúpenia k Dohode EHK OSN z roku 1958 (napr. EHK OSN č. 48 o montáži zariadení na osvetlenie a svetelnú signalizáciu, EHK OSN č. 7 o predných a zadných svietidlách, brzdových svietidlách a smerových svietidlách, EHK OSN č. 53 o montáži zariadení na osvetlenie a svetelnú signalizáciu vozidiel kategórie L3, EHK OSN č. 148 o svetelných signalizačných zariadeniach). </w:t>
      </w:r>
      <w:r w:rsidRPr="00C93054">
        <w:rPr>
          <w:rFonts w:ascii="Times New Roman" w:hAnsi="Times New Roman"/>
          <w:b/>
          <w:bCs/>
          <w:color w:val="1F2225"/>
          <w:sz w:val="24"/>
          <w:szCs w:val="24"/>
        </w:rPr>
        <w:t>Poznámka:</w:t>
      </w:r>
      <w:r w:rsidRPr="00C93054">
        <w:rPr>
          <w:rFonts w:ascii="Times New Roman" w:hAnsi="Times New Roman"/>
          <w:color w:val="1F2225"/>
          <w:sz w:val="24"/>
          <w:szCs w:val="24"/>
        </w:rPr>
        <w:t xml:space="preserve"> V súčasnosti tieto predpisy EHK OSN explicitne neupravujú predné brzdové svetlo zelenej farby. Zelená farba nie je v súčasnosti definovaná ako farba pre svetelné signalizačné zariadenia (LSF) v štandardoch Medzinárodnej komisie pre osvetlenie (CIE) ani v predpise EHK OSN č. 48. Súčasná definícia brzdových svetiel v predpisoch EHK OSN sa vzťahuje na signalizáciu „ostatným účastníkom cestnej premávky </w:t>
      </w:r>
      <w:r w:rsidRPr="00C93054">
        <w:rPr>
          <w:rFonts w:ascii="Times New Roman" w:hAnsi="Times New Roman"/>
          <w:i/>
          <w:iCs/>
          <w:color w:val="1F2225"/>
          <w:sz w:val="24"/>
          <w:szCs w:val="24"/>
        </w:rPr>
        <w:t>za vozidlom</w:t>
      </w:r>
      <w:r w:rsidRPr="00C93054">
        <w:rPr>
          <w:rFonts w:ascii="Times New Roman" w:hAnsi="Times New Roman"/>
          <w:color w:val="1F2225"/>
          <w:sz w:val="24"/>
          <w:szCs w:val="24"/>
        </w:rPr>
        <w:t>“.</w:t>
      </w:r>
    </w:p>
    <w:p w14:paraId="55DA4349" w14:textId="77777777" w:rsidR="00C93054" w:rsidRPr="00C93054" w:rsidRDefault="00C93054" w:rsidP="00C93054">
      <w:pPr>
        <w:rPr>
          <w:rFonts w:ascii="Times New Roman" w:hAnsi="Times New Roman"/>
          <w:sz w:val="24"/>
          <w:szCs w:val="24"/>
        </w:rPr>
      </w:pPr>
      <w:r w:rsidRPr="00C93054">
        <w:rPr>
          <w:rFonts w:ascii="Times New Roman" w:hAnsi="Times New Roman"/>
          <w:color w:val="1F2225"/>
          <w:sz w:val="24"/>
          <w:szCs w:val="24"/>
        </w:rPr>
        <w:lastRenderedPageBreak/>
        <w:t>Judikatúra Súdneho dvora Európskej únie: Nie sú známe konkrétne rozhodnutia priamo sa týkajúce predných brzdových svetiel. Relevantná by však mohla byť judikatúra týkajúca sa voľného pohybu tovaru (čl. 34-36 ZFEU) a technických prekážok obchodu v prípade, že by národná úprava nebola v súlade s harmonizovanými pravidlami EÚ.</w:t>
      </w:r>
    </w:p>
    <w:p w14:paraId="31543CC9" w14:textId="77777777" w:rsidR="00C93054" w:rsidRPr="00C93054" w:rsidRDefault="00C93054" w:rsidP="00C93054">
      <w:pPr>
        <w:rPr>
          <w:rFonts w:ascii="Times New Roman" w:hAnsi="Times New Roman"/>
          <w:sz w:val="24"/>
          <w:szCs w:val="24"/>
        </w:rPr>
      </w:pPr>
      <w:r w:rsidRPr="00C93054">
        <w:rPr>
          <w:rFonts w:ascii="Times New Roman" w:hAnsi="Times New Roman"/>
          <w:color w:val="1F2225"/>
          <w:sz w:val="24"/>
          <w:szCs w:val="24"/>
        </w:rPr>
        <w:t xml:space="preserve">b) </w:t>
      </w:r>
      <w:r w:rsidRPr="00C93054">
        <w:rPr>
          <w:rFonts w:ascii="Times New Roman" w:hAnsi="Times New Roman"/>
          <w:b/>
          <w:bCs/>
          <w:color w:val="1F2225"/>
          <w:sz w:val="24"/>
          <w:szCs w:val="24"/>
        </w:rPr>
        <w:t>Nie je upravená v práve Európskej únie, pričom:</w:t>
      </w:r>
    </w:p>
    <w:p w14:paraId="07ACA8C4" w14:textId="77777777" w:rsidR="00C93054" w:rsidRPr="00C93054" w:rsidRDefault="00C93054" w:rsidP="00C93054">
      <w:pPr>
        <w:numPr>
          <w:ilvl w:val="0"/>
          <w:numId w:val="3"/>
        </w:numPr>
        <w:spacing w:before="120" w:after="120" w:line="264" w:lineRule="auto"/>
        <w:ind w:left="284" w:hanging="284"/>
        <w:rPr>
          <w:rFonts w:ascii="Times New Roman" w:hAnsi="Times New Roman"/>
          <w:sz w:val="24"/>
          <w:szCs w:val="24"/>
        </w:rPr>
      </w:pPr>
      <w:r w:rsidRPr="00C93054">
        <w:rPr>
          <w:rFonts w:ascii="Times New Roman" w:hAnsi="Times New Roman"/>
          <w:b/>
          <w:bCs/>
          <w:color w:val="1F2225"/>
          <w:sz w:val="24"/>
          <w:szCs w:val="24"/>
        </w:rPr>
        <w:t xml:space="preserve">Nie je obsiahnutá v </w:t>
      </w:r>
      <w:proofErr w:type="spellStart"/>
      <w:r w:rsidRPr="00C93054">
        <w:rPr>
          <w:rFonts w:ascii="Times New Roman" w:hAnsi="Times New Roman"/>
          <w:b/>
          <w:bCs/>
          <w:color w:val="1F2225"/>
          <w:sz w:val="24"/>
          <w:szCs w:val="24"/>
        </w:rPr>
        <w:t>acquis</w:t>
      </w:r>
      <w:proofErr w:type="spellEnd"/>
      <w:r w:rsidRPr="00C93054">
        <w:rPr>
          <w:rFonts w:ascii="Times New Roman" w:hAnsi="Times New Roman"/>
          <w:b/>
          <w:bCs/>
          <w:color w:val="1F2225"/>
          <w:sz w:val="24"/>
          <w:szCs w:val="24"/>
        </w:rPr>
        <w:t xml:space="preserve"> </w:t>
      </w:r>
      <w:proofErr w:type="spellStart"/>
      <w:r w:rsidRPr="00C93054">
        <w:rPr>
          <w:rFonts w:ascii="Times New Roman" w:hAnsi="Times New Roman"/>
          <w:b/>
          <w:bCs/>
          <w:color w:val="1F2225"/>
          <w:sz w:val="24"/>
          <w:szCs w:val="24"/>
        </w:rPr>
        <w:t>communautaire</w:t>
      </w:r>
      <w:proofErr w:type="spellEnd"/>
      <w:r w:rsidRPr="00C93054">
        <w:rPr>
          <w:rFonts w:ascii="Times New Roman" w:hAnsi="Times New Roman"/>
          <w:b/>
          <w:bCs/>
          <w:color w:val="1F2225"/>
          <w:sz w:val="24"/>
          <w:szCs w:val="24"/>
        </w:rPr>
        <w:t>:</w:t>
      </w:r>
      <w:r w:rsidRPr="00C93054">
        <w:rPr>
          <w:rFonts w:ascii="Times New Roman" w:hAnsi="Times New Roman"/>
          <w:color w:val="1F2225"/>
          <w:sz w:val="24"/>
          <w:szCs w:val="24"/>
        </w:rPr>
        <w:t xml:space="preserve"> Špecifická úprava predného brzdového svetla zelenej farby ako voliteľného prvku zatiaľ nie je komplexne harmonizovaná na úrovni EÚ. Existujúce harmonizované predpisy sa týkajú povinných a niektorých voliteľných svetelných zariadení, ale neobsahujú ustanovenia o PBS navrhovanej farby a funkcie.</w:t>
      </w:r>
    </w:p>
    <w:p w14:paraId="05D30E18" w14:textId="77777777" w:rsidR="00C93054" w:rsidRPr="00C93054" w:rsidRDefault="00C93054" w:rsidP="00C93054">
      <w:pPr>
        <w:numPr>
          <w:ilvl w:val="0"/>
          <w:numId w:val="3"/>
        </w:numPr>
        <w:spacing w:before="120" w:after="120" w:line="264" w:lineRule="auto"/>
        <w:ind w:left="284" w:hanging="284"/>
        <w:rPr>
          <w:rFonts w:ascii="Times New Roman" w:hAnsi="Times New Roman"/>
          <w:sz w:val="24"/>
          <w:szCs w:val="24"/>
        </w:rPr>
      </w:pPr>
      <w:r w:rsidRPr="00C93054">
        <w:rPr>
          <w:rFonts w:ascii="Times New Roman" w:hAnsi="Times New Roman"/>
          <w:b/>
          <w:bCs/>
          <w:color w:val="1F2225"/>
          <w:sz w:val="24"/>
          <w:szCs w:val="24"/>
        </w:rPr>
        <w:t>Úprava problematiky je vo výlučnej pôsobnosti Slovenskej republiky:</w:t>
      </w:r>
      <w:r w:rsidRPr="00C93054">
        <w:rPr>
          <w:rFonts w:ascii="Times New Roman" w:hAnsi="Times New Roman"/>
          <w:color w:val="1F2225"/>
          <w:sz w:val="24"/>
          <w:szCs w:val="24"/>
        </w:rPr>
        <w:t xml:space="preserve"> V oblastiach, ktoré nie sú plne harmonizované na úrovni EÚ, majú členské štáty možnosť prijímať vlastné technické predpisy za predpokladu, že sú v súlade so všeobecnými zásadami práva EÚ (najmä voľný pohyb tovaru) a že nepredstavujú neodôvodnenú prekážku obchodu. Zavedenie </w:t>
      </w:r>
      <w:r w:rsidRPr="00C93054">
        <w:rPr>
          <w:rFonts w:ascii="Times New Roman" w:hAnsi="Times New Roman"/>
          <w:i/>
          <w:iCs/>
          <w:color w:val="1F2225"/>
          <w:sz w:val="24"/>
          <w:szCs w:val="24"/>
        </w:rPr>
        <w:t>dobrovoľného</w:t>
      </w:r>
      <w:r w:rsidRPr="00C93054">
        <w:rPr>
          <w:rFonts w:ascii="Times New Roman" w:hAnsi="Times New Roman"/>
          <w:color w:val="1F2225"/>
          <w:sz w:val="24"/>
          <w:szCs w:val="24"/>
        </w:rPr>
        <w:t xml:space="preserve"> bezpečnostného prvku na národnej úrovni, ktorý zvyšuje bezpečnosť cestnej premávky (cieľ podporovaný EÚ), môže spadať do tejto kategórie, pokiaľ nie je v rozpore s existujúcimi harmonizovanými požiadavkami. Dokument "</w:t>
      </w:r>
      <w:proofErr w:type="spellStart"/>
      <w:r w:rsidRPr="00C93054">
        <w:rPr>
          <w:rFonts w:ascii="Times New Roman" w:hAnsi="Times New Roman"/>
          <w:color w:val="1F2225"/>
          <w:sz w:val="24"/>
          <w:szCs w:val="24"/>
        </w:rPr>
        <w:t>Further</w:t>
      </w:r>
      <w:proofErr w:type="spellEnd"/>
      <w:r w:rsidRPr="00C93054">
        <w:rPr>
          <w:rFonts w:ascii="Times New Roman" w:hAnsi="Times New Roman"/>
          <w:color w:val="1F2225"/>
          <w:sz w:val="24"/>
          <w:szCs w:val="24"/>
        </w:rPr>
        <w:t xml:space="preserve"> </w:t>
      </w:r>
      <w:proofErr w:type="spellStart"/>
      <w:r w:rsidRPr="00C93054">
        <w:rPr>
          <w:rFonts w:ascii="Times New Roman" w:hAnsi="Times New Roman"/>
          <w:color w:val="1F2225"/>
          <w:sz w:val="24"/>
          <w:szCs w:val="24"/>
        </w:rPr>
        <w:t>perspectives</w:t>
      </w:r>
      <w:proofErr w:type="spellEnd"/>
      <w:r w:rsidRPr="00C93054">
        <w:rPr>
          <w:rFonts w:ascii="Times New Roman" w:hAnsi="Times New Roman"/>
          <w:color w:val="1F2225"/>
          <w:sz w:val="24"/>
          <w:szCs w:val="24"/>
        </w:rPr>
        <w:t xml:space="preserve"> on </w:t>
      </w:r>
      <w:proofErr w:type="spellStart"/>
      <w:r w:rsidRPr="00C93054">
        <w:rPr>
          <w:rFonts w:ascii="Times New Roman" w:hAnsi="Times New Roman"/>
          <w:color w:val="1F2225"/>
          <w:sz w:val="24"/>
          <w:szCs w:val="24"/>
        </w:rPr>
        <w:t>introducing</w:t>
      </w:r>
      <w:proofErr w:type="spellEnd"/>
      <w:r w:rsidRPr="00C93054">
        <w:rPr>
          <w:rFonts w:ascii="Times New Roman" w:hAnsi="Times New Roman"/>
          <w:color w:val="1F2225"/>
          <w:sz w:val="24"/>
          <w:szCs w:val="24"/>
        </w:rPr>
        <w:t xml:space="preserve"> a Front </w:t>
      </w:r>
      <w:proofErr w:type="spellStart"/>
      <w:r w:rsidRPr="00C93054">
        <w:rPr>
          <w:rFonts w:ascii="Times New Roman" w:hAnsi="Times New Roman"/>
          <w:color w:val="1F2225"/>
          <w:sz w:val="24"/>
          <w:szCs w:val="24"/>
        </w:rPr>
        <w:t>Brake</w:t>
      </w:r>
      <w:proofErr w:type="spellEnd"/>
      <w:r w:rsidRPr="00C93054">
        <w:rPr>
          <w:rFonts w:ascii="Times New Roman" w:hAnsi="Times New Roman"/>
          <w:color w:val="1F2225"/>
          <w:sz w:val="24"/>
          <w:szCs w:val="24"/>
        </w:rPr>
        <w:t xml:space="preserve"> </w:t>
      </w:r>
      <w:proofErr w:type="spellStart"/>
      <w:r w:rsidRPr="00C93054">
        <w:rPr>
          <w:rFonts w:ascii="Times New Roman" w:hAnsi="Times New Roman"/>
          <w:color w:val="1F2225"/>
          <w:sz w:val="24"/>
          <w:szCs w:val="24"/>
        </w:rPr>
        <w:t>Light</w:t>
      </w:r>
      <w:proofErr w:type="spellEnd"/>
      <w:r w:rsidRPr="00C93054">
        <w:rPr>
          <w:rFonts w:ascii="Times New Roman" w:hAnsi="Times New Roman"/>
          <w:color w:val="1F2225"/>
          <w:sz w:val="24"/>
          <w:szCs w:val="24"/>
        </w:rPr>
        <w:t xml:space="preserve"> and </w:t>
      </w:r>
      <w:proofErr w:type="spellStart"/>
      <w:r w:rsidRPr="00C93054">
        <w:rPr>
          <w:rFonts w:ascii="Times New Roman" w:hAnsi="Times New Roman"/>
          <w:color w:val="1F2225"/>
          <w:sz w:val="24"/>
          <w:szCs w:val="24"/>
        </w:rPr>
        <w:t>accompanying</w:t>
      </w:r>
      <w:proofErr w:type="spellEnd"/>
      <w:r w:rsidRPr="00C93054">
        <w:rPr>
          <w:rFonts w:ascii="Times New Roman" w:hAnsi="Times New Roman"/>
          <w:color w:val="1F2225"/>
          <w:sz w:val="24"/>
          <w:szCs w:val="24"/>
        </w:rPr>
        <w:t xml:space="preserve"> </w:t>
      </w:r>
      <w:proofErr w:type="spellStart"/>
      <w:r w:rsidRPr="00C93054">
        <w:rPr>
          <w:rFonts w:ascii="Times New Roman" w:hAnsi="Times New Roman"/>
          <w:color w:val="1F2225"/>
          <w:sz w:val="24"/>
          <w:szCs w:val="24"/>
        </w:rPr>
        <w:t>steps</w:t>
      </w:r>
      <w:proofErr w:type="spellEnd"/>
      <w:r w:rsidRPr="00C93054">
        <w:rPr>
          <w:rFonts w:ascii="Times New Roman" w:hAnsi="Times New Roman"/>
          <w:color w:val="1F2225"/>
          <w:sz w:val="24"/>
          <w:szCs w:val="24"/>
        </w:rPr>
        <w:t>" potvrdzuje, že národná legislatíva môže upravovať dodatočnú montáž (</w:t>
      </w:r>
      <w:proofErr w:type="spellStart"/>
      <w:r w:rsidRPr="00C93054">
        <w:rPr>
          <w:rFonts w:ascii="Times New Roman" w:hAnsi="Times New Roman"/>
          <w:color w:val="1F2225"/>
          <w:sz w:val="24"/>
          <w:szCs w:val="24"/>
        </w:rPr>
        <w:t>retrofitting</w:t>
      </w:r>
      <w:proofErr w:type="spellEnd"/>
      <w:r w:rsidRPr="00C93054">
        <w:rPr>
          <w:rFonts w:ascii="Times New Roman" w:hAnsi="Times New Roman"/>
          <w:color w:val="1F2225"/>
          <w:sz w:val="24"/>
          <w:szCs w:val="24"/>
        </w:rPr>
        <w:t>) a že ostatné krajiny by mali akceptovať riadne schválené vozidlá.</w:t>
      </w:r>
    </w:p>
    <w:p w14:paraId="0CD06C9D" w14:textId="77777777" w:rsidR="00C93054" w:rsidRPr="00C93054" w:rsidRDefault="00C93054" w:rsidP="00C93054">
      <w:pPr>
        <w:rPr>
          <w:rFonts w:ascii="Times New Roman" w:hAnsi="Times New Roman"/>
          <w:sz w:val="24"/>
          <w:szCs w:val="24"/>
        </w:rPr>
      </w:pPr>
      <w:r w:rsidRPr="00C93054">
        <w:rPr>
          <w:rFonts w:ascii="Times New Roman" w:hAnsi="Times New Roman"/>
          <w:b/>
          <w:bCs/>
          <w:color w:val="1F2225"/>
          <w:sz w:val="24"/>
          <w:szCs w:val="24"/>
        </w:rPr>
        <w:t>4. Charakteristika návrhu právneho predpisu z hľadiska jeho zlučiteľnosti s právom Európskej únie:</w:t>
      </w:r>
    </w:p>
    <w:p w14:paraId="32E377DC" w14:textId="77777777" w:rsidR="00C93054" w:rsidRPr="00C93054" w:rsidRDefault="00C93054" w:rsidP="00C93054">
      <w:pPr>
        <w:rPr>
          <w:rFonts w:ascii="Times New Roman" w:hAnsi="Times New Roman"/>
          <w:sz w:val="24"/>
          <w:szCs w:val="24"/>
        </w:rPr>
      </w:pPr>
      <w:r w:rsidRPr="00C93054">
        <w:rPr>
          <w:rFonts w:ascii="Times New Roman" w:hAnsi="Times New Roman"/>
          <w:color w:val="1F2225"/>
          <w:sz w:val="24"/>
          <w:szCs w:val="24"/>
        </w:rPr>
        <w:t xml:space="preserve">Návrh zákona </w:t>
      </w:r>
      <w:r w:rsidRPr="00C93054">
        <w:rPr>
          <w:rFonts w:ascii="Times New Roman" w:hAnsi="Times New Roman"/>
          <w:b/>
          <w:bCs/>
          <w:color w:val="1F2225"/>
          <w:sz w:val="24"/>
          <w:szCs w:val="24"/>
        </w:rPr>
        <w:t>nie je aproximačným</w:t>
      </w:r>
      <w:r w:rsidRPr="00C93054">
        <w:rPr>
          <w:rFonts w:ascii="Times New Roman" w:hAnsi="Times New Roman"/>
          <w:color w:val="1F2225"/>
          <w:sz w:val="24"/>
          <w:szCs w:val="24"/>
        </w:rPr>
        <w:t xml:space="preserve"> právnym predpisom v tom zmysle, že by priamo preberal konkrétnu smernicu EÚ, ktorá by nebola dosiaľ transponovaná.</w:t>
      </w:r>
    </w:p>
    <w:p w14:paraId="5B7A0EEF" w14:textId="77777777" w:rsidR="00C93054" w:rsidRPr="00C93054" w:rsidRDefault="00C93054" w:rsidP="00C93054">
      <w:pPr>
        <w:rPr>
          <w:rFonts w:ascii="Times New Roman" w:hAnsi="Times New Roman"/>
          <w:sz w:val="24"/>
          <w:szCs w:val="24"/>
        </w:rPr>
      </w:pPr>
      <w:r w:rsidRPr="00C93054">
        <w:rPr>
          <w:rFonts w:ascii="Times New Roman" w:hAnsi="Times New Roman"/>
          <w:color w:val="1F2225"/>
          <w:sz w:val="24"/>
          <w:szCs w:val="24"/>
        </w:rPr>
        <w:t>Cieľom návrhu zákona je zvýšenie bezpečnosti cestnej premávky na území Slovenskej republiky, čo je v súlade so strategickými cieľmi Európskej únie v oblasti bezpečnosti dopravy (napr. „Vízia Nula“ – zníženie počtu smrteľných nehôd na cestách).</w:t>
      </w:r>
    </w:p>
    <w:p w14:paraId="749BC2C2" w14:textId="77777777" w:rsidR="00C93054" w:rsidRPr="00C93054" w:rsidRDefault="00C93054" w:rsidP="00C93054">
      <w:pPr>
        <w:rPr>
          <w:rFonts w:ascii="Times New Roman" w:hAnsi="Times New Roman"/>
          <w:sz w:val="24"/>
          <w:szCs w:val="24"/>
        </w:rPr>
      </w:pPr>
      <w:r w:rsidRPr="00C93054">
        <w:rPr>
          <w:rFonts w:ascii="Times New Roman" w:hAnsi="Times New Roman"/>
          <w:color w:val="1F2225"/>
          <w:sz w:val="24"/>
          <w:szCs w:val="24"/>
        </w:rPr>
        <w:t xml:space="preserve">Navrhovaná úprava umožňuje zavedenie </w:t>
      </w:r>
      <w:r w:rsidRPr="00C93054">
        <w:rPr>
          <w:rFonts w:ascii="Times New Roman" w:hAnsi="Times New Roman"/>
          <w:b/>
          <w:bCs/>
          <w:color w:val="1F2225"/>
          <w:sz w:val="24"/>
          <w:szCs w:val="24"/>
        </w:rPr>
        <w:t>dobrovoľného</w:t>
      </w:r>
      <w:r w:rsidRPr="00C93054">
        <w:rPr>
          <w:rFonts w:ascii="Times New Roman" w:hAnsi="Times New Roman"/>
          <w:color w:val="1F2225"/>
          <w:sz w:val="24"/>
          <w:szCs w:val="24"/>
        </w:rPr>
        <w:t xml:space="preserve"> bezpečnostného prvku.</w:t>
      </w:r>
    </w:p>
    <w:p w14:paraId="168B87D0" w14:textId="77777777" w:rsidR="00C93054" w:rsidRPr="00C93054" w:rsidRDefault="00C93054" w:rsidP="00C93054">
      <w:pPr>
        <w:numPr>
          <w:ilvl w:val="0"/>
          <w:numId w:val="3"/>
        </w:numPr>
        <w:spacing w:before="120" w:after="120" w:line="264" w:lineRule="auto"/>
        <w:ind w:left="284" w:hanging="284"/>
        <w:rPr>
          <w:rFonts w:ascii="Times New Roman" w:hAnsi="Times New Roman"/>
          <w:sz w:val="24"/>
          <w:szCs w:val="24"/>
        </w:rPr>
      </w:pPr>
      <w:r w:rsidRPr="00C93054">
        <w:rPr>
          <w:rFonts w:ascii="Times New Roman" w:hAnsi="Times New Roman"/>
          <w:b/>
          <w:bCs/>
          <w:color w:val="1F2225"/>
          <w:sz w:val="24"/>
          <w:szCs w:val="24"/>
        </w:rPr>
        <w:t>Súlad s princípom voľného pohybu tovaru:</w:t>
      </w:r>
      <w:r w:rsidRPr="00C93054">
        <w:rPr>
          <w:rFonts w:ascii="Times New Roman" w:hAnsi="Times New Roman"/>
          <w:color w:val="1F2225"/>
          <w:sz w:val="24"/>
          <w:szCs w:val="24"/>
        </w:rPr>
        <w:t xml:space="preserve"> Keďže ide o dobrovoľnú montáž, návrh priamo neukladá nové technické požiadavky na vozidlá uvádzané na trh, ktoré by mohli predstavovať prekážku voľnému pohybu tovaru. Vozidlá bez PBS budú môcť byť naďalej bez obmedzení prevádzkované a uvádzané na trh. Vozidlá vybavené PBS podľa navrhovaných špecifikácií budú môcť byť prevádzkované na území SR.</w:t>
      </w:r>
    </w:p>
    <w:p w14:paraId="01E5E94B" w14:textId="77777777" w:rsidR="00C93054" w:rsidRPr="00C93054" w:rsidRDefault="00C93054" w:rsidP="00C93054">
      <w:pPr>
        <w:numPr>
          <w:ilvl w:val="0"/>
          <w:numId w:val="3"/>
        </w:numPr>
        <w:spacing w:before="120" w:after="120" w:line="264" w:lineRule="auto"/>
        <w:ind w:left="284" w:hanging="284"/>
        <w:rPr>
          <w:rFonts w:ascii="Times New Roman" w:hAnsi="Times New Roman"/>
          <w:sz w:val="24"/>
          <w:szCs w:val="24"/>
        </w:rPr>
      </w:pPr>
      <w:r w:rsidRPr="00C93054">
        <w:rPr>
          <w:rFonts w:ascii="Times New Roman" w:hAnsi="Times New Roman"/>
          <w:b/>
          <w:bCs/>
          <w:color w:val="1F2225"/>
          <w:sz w:val="24"/>
          <w:szCs w:val="24"/>
        </w:rPr>
        <w:t>Technická harmonizácia:</w:t>
      </w:r>
      <w:r w:rsidRPr="00C93054">
        <w:rPr>
          <w:rFonts w:ascii="Times New Roman" w:hAnsi="Times New Roman"/>
          <w:color w:val="1F2225"/>
          <w:sz w:val="24"/>
          <w:szCs w:val="24"/>
        </w:rPr>
        <w:t xml:space="preserve"> Návrh sa dotýka oblasti technických požiadaviek na vozidlá, ktorá je do značnej miery harmonizovaná na úrovni EÚ prostredníctvom nariadení o typovom schvaľovaní a odkazov na predpisy EHK OSN. Súčasné harmonizované predpisy neupravujú predné brzdové svetlo zelenej farby. Návrh zákona preto predstavuje národnú iniciatívu.</w:t>
      </w:r>
    </w:p>
    <w:p w14:paraId="6C339498" w14:textId="77777777" w:rsidR="00C93054" w:rsidRPr="00C93054" w:rsidRDefault="00C93054" w:rsidP="00C93054">
      <w:pPr>
        <w:numPr>
          <w:ilvl w:val="0"/>
          <w:numId w:val="3"/>
        </w:numPr>
        <w:spacing w:before="120" w:after="120" w:line="264" w:lineRule="auto"/>
        <w:ind w:left="284" w:hanging="284"/>
        <w:rPr>
          <w:rFonts w:ascii="Times New Roman" w:hAnsi="Times New Roman"/>
          <w:sz w:val="24"/>
          <w:szCs w:val="24"/>
        </w:rPr>
      </w:pPr>
      <w:r w:rsidRPr="00C93054">
        <w:rPr>
          <w:rFonts w:ascii="Times New Roman" w:hAnsi="Times New Roman"/>
          <w:b/>
          <w:bCs/>
          <w:color w:val="1F2225"/>
          <w:sz w:val="24"/>
          <w:szCs w:val="24"/>
        </w:rPr>
        <w:t>Argumentácia pre súlad:</w:t>
      </w:r>
      <w:r w:rsidRPr="00C93054">
        <w:rPr>
          <w:rFonts w:ascii="Times New Roman" w:hAnsi="Times New Roman"/>
          <w:color w:val="1F2225"/>
          <w:sz w:val="24"/>
          <w:szCs w:val="24"/>
        </w:rPr>
        <w:t xml:space="preserve"> Navrhovaný prvok je </w:t>
      </w:r>
      <w:r w:rsidRPr="00C93054">
        <w:rPr>
          <w:rFonts w:ascii="Times New Roman" w:hAnsi="Times New Roman"/>
          <w:i/>
          <w:iCs/>
          <w:color w:val="1F2225"/>
          <w:sz w:val="24"/>
          <w:szCs w:val="24"/>
        </w:rPr>
        <w:t>dobrovoľný</w:t>
      </w:r>
      <w:r w:rsidRPr="00C93054">
        <w:rPr>
          <w:rFonts w:ascii="Times New Roman" w:hAnsi="Times New Roman"/>
          <w:color w:val="1F2225"/>
          <w:sz w:val="24"/>
          <w:szCs w:val="24"/>
        </w:rPr>
        <w:t xml:space="preserve">. Technické špecifikácie (najmä farba a funkcia) sú navrhnuté tak, aby sa minimalizovalo riziko zámeny s existujúcimi povinnými alebo povolenými svetelnými zariadeniami. Zelená farba pre </w:t>
      </w:r>
      <w:r w:rsidRPr="00C93054">
        <w:rPr>
          <w:rFonts w:ascii="Times New Roman" w:hAnsi="Times New Roman"/>
          <w:color w:val="1F2225"/>
          <w:sz w:val="24"/>
          <w:szCs w:val="24"/>
        </w:rPr>
        <w:lastRenderedPageBreak/>
        <w:t>predné brzdové svetlo je odlišná od farieb používaných pre iné signalizačné funkcie na prednej časti vozidla (biela, žltá). Dokument "</w:t>
      </w:r>
      <w:proofErr w:type="spellStart"/>
      <w:r w:rsidRPr="00C93054">
        <w:rPr>
          <w:rFonts w:ascii="Times New Roman" w:hAnsi="Times New Roman"/>
          <w:color w:val="1F2225"/>
          <w:sz w:val="24"/>
          <w:szCs w:val="24"/>
        </w:rPr>
        <w:t>Further</w:t>
      </w:r>
      <w:proofErr w:type="spellEnd"/>
      <w:r w:rsidRPr="00C93054">
        <w:rPr>
          <w:rFonts w:ascii="Times New Roman" w:hAnsi="Times New Roman"/>
          <w:color w:val="1F2225"/>
          <w:sz w:val="24"/>
          <w:szCs w:val="24"/>
        </w:rPr>
        <w:t xml:space="preserve"> </w:t>
      </w:r>
      <w:proofErr w:type="spellStart"/>
      <w:r w:rsidRPr="00C93054">
        <w:rPr>
          <w:rFonts w:ascii="Times New Roman" w:hAnsi="Times New Roman"/>
          <w:color w:val="1F2225"/>
          <w:sz w:val="24"/>
          <w:szCs w:val="24"/>
        </w:rPr>
        <w:t>perspectives</w:t>
      </w:r>
      <w:proofErr w:type="spellEnd"/>
      <w:r w:rsidRPr="00C93054">
        <w:rPr>
          <w:rFonts w:ascii="Times New Roman" w:hAnsi="Times New Roman"/>
          <w:color w:val="1F2225"/>
          <w:sz w:val="24"/>
          <w:szCs w:val="24"/>
        </w:rPr>
        <w:t>..." zdôrazňuje, že zelená farba zatiaľ nie je definovaná ako farba pre svetelné signalizačné zariadenia (LSF) v medzinárodných štandardoch CIE ani v predpise EHK OSN č. 48, a preto by si jej oficiálne zavedenie na medzinárodnej úrovni vyžadovalo doplnenie týchto štandardov. Súčasný návrh zákona rieši túto otázku na národnej úrovni pre dobrovoľné použitie. Požiadavka na homologizáciu (podľa existujúcich predpisov EHK OSN, ak budú doplnené, alebo podľa vnútroštátnych požiadaviek zabezpečujúcich ekvivalentnú úroveň bezpečnosti) má za cieľ zabezpečiť kvalitu a bezpečnosť zariadení. Navrhovaná slovenská legislatíva definuje PBS ako samostatné svetelné zariadenie, čím obchádza potrebu okamžitej zmeny medzinárodnej definície existujúcich (zadných) brzdových svetiel, ktorá sa vzťahuje na signalizáciu smerom dozadu.</w:t>
      </w:r>
    </w:p>
    <w:p w14:paraId="11D88DD3" w14:textId="77777777" w:rsidR="00C93054" w:rsidRPr="00C93054" w:rsidRDefault="00C93054" w:rsidP="00C93054">
      <w:pPr>
        <w:numPr>
          <w:ilvl w:val="0"/>
          <w:numId w:val="3"/>
        </w:numPr>
        <w:spacing w:before="120" w:after="120" w:line="264" w:lineRule="auto"/>
        <w:ind w:left="284" w:hanging="284"/>
        <w:rPr>
          <w:rFonts w:ascii="Times New Roman" w:hAnsi="Times New Roman"/>
          <w:sz w:val="24"/>
          <w:szCs w:val="24"/>
        </w:rPr>
      </w:pPr>
      <w:r w:rsidRPr="00C93054">
        <w:rPr>
          <w:rFonts w:ascii="Times New Roman" w:hAnsi="Times New Roman"/>
          <w:b/>
          <w:bCs/>
          <w:color w:val="1F2225"/>
          <w:sz w:val="24"/>
          <w:szCs w:val="24"/>
        </w:rPr>
        <w:t>Potenciálne otázky:</w:t>
      </w:r>
      <w:r w:rsidRPr="00C93054">
        <w:rPr>
          <w:rFonts w:ascii="Times New Roman" w:hAnsi="Times New Roman"/>
          <w:color w:val="1F2225"/>
          <w:sz w:val="24"/>
          <w:szCs w:val="24"/>
        </w:rPr>
        <w:t xml:space="preserve"> Ak by EÚ v budúcnosti prijala harmonizované pravidlá pre PBS, ktoré by boli odlišné od slovenskej úpravy, bola by potrebná adaptácia. Slovenská republika však môže prostredníctvom tejto národnej iniciatívy prispieť k diskusii a formovaniu budúcich medzinárodných štandardov.</w:t>
      </w:r>
    </w:p>
    <w:p w14:paraId="3BC592C5" w14:textId="77777777" w:rsidR="00C93054" w:rsidRPr="00C93054" w:rsidRDefault="00C93054" w:rsidP="00C93054">
      <w:pPr>
        <w:numPr>
          <w:ilvl w:val="0"/>
          <w:numId w:val="3"/>
        </w:numPr>
        <w:spacing w:before="120" w:after="120" w:line="264" w:lineRule="auto"/>
        <w:ind w:left="284" w:hanging="284"/>
        <w:rPr>
          <w:rFonts w:ascii="Times New Roman" w:hAnsi="Times New Roman"/>
          <w:sz w:val="24"/>
          <w:szCs w:val="24"/>
        </w:rPr>
      </w:pPr>
      <w:r w:rsidRPr="00C93054">
        <w:rPr>
          <w:rFonts w:ascii="Times New Roman" w:hAnsi="Times New Roman"/>
          <w:b/>
          <w:bCs/>
          <w:color w:val="1F2225"/>
          <w:sz w:val="24"/>
          <w:szCs w:val="24"/>
        </w:rPr>
        <w:t>Notifikačná povinnosť:</w:t>
      </w:r>
      <w:r w:rsidRPr="00C93054">
        <w:rPr>
          <w:rFonts w:ascii="Times New Roman" w:hAnsi="Times New Roman"/>
          <w:color w:val="1F2225"/>
          <w:sz w:val="24"/>
          <w:szCs w:val="24"/>
        </w:rPr>
        <w:t xml:space="preserve"> Podľa Smernice Európskeho parlamentu a Rady (EÚ) 2015/1535, ktorou sa stanovuje postup pri poskytovaní informácií v oblasti technických predpisov a pravidiel vzťahujúcich sa na služby informačnej spoločnosti, by mohla vzniknúť povinnosť notifikovať Európskej komisii návrh technického predpisu (vykonávacia vyhláška k zákonu). Cieľom je umožniť ostatným členským štátom a Komisii vyjadriť sa k návrhu a predísť vzniku nových technických prekážok obchodu.</w:t>
      </w:r>
    </w:p>
    <w:p w14:paraId="259C7579" w14:textId="77777777" w:rsidR="00C93054" w:rsidRPr="00C93054" w:rsidRDefault="00C93054" w:rsidP="00C93054">
      <w:pPr>
        <w:rPr>
          <w:rFonts w:ascii="Times New Roman" w:hAnsi="Times New Roman"/>
          <w:sz w:val="24"/>
          <w:szCs w:val="24"/>
        </w:rPr>
      </w:pPr>
      <w:r w:rsidRPr="00C93054">
        <w:rPr>
          <w:rFonts w:ascii="Times New Roman" w:hAnsi="Times New Roman"/>
          <w:b/>
          <w:bCs/>
          <w:color w:val="1F2225"/>
          <w:sz w:val="24"/>
          <w:szCs w:val="24"/>
        </w:rPr>
        <w:t>5. Stupeň zlučiteľnosti návrhu právneho predpisu s právom Európskej únie:</w:t>
      </w:r>
    </w:p>
    <w:p w14:paraId="7E5357A1" w14:textId="77777777" w:rsidR="00C93054" w:rsidRPr="00C93054" w:rsidRDefault="00C93054" w:rsidP="00C93054">
      <w:pPr>
        <w:rPr>
          <w:rFonts w:ascii="Times New Roman" w:hAnsi="Times New Roman"/>
          <w:sz w:val="24"/>
          <w:szCs w:val="24"/>
        </w:rPr>
      </w:pPr>
      <w:r w:rsidRPr="00C93054">
        <w:rPr>
          <w:rFonts w:ascii="Times New Roman" w:hAnsi="Times New Roman"/>
          <w:color w:val="1F2225"/>
          <w:sz w:val="24"/>
          <w:szCs w:val="24"/>
        </w:rPr>
        <w:t xml:space="preserve">S prihliadnutím na dobrovoľnosť navrhovaného prvku, jeho cieľ zvýšiť bezpečnosť cestnej premávky (ktorý je v súlade s cieľmi EÚ), a za predpokladu splnenia prípadnej notifikačnej povinnosti podľa smernice (EÚ) 2015/1535, sa navrhovaný právny predpis považuje za </w:t>
      </w:r>
      <w:r w:rsidRPr="00C93054">
        <w:rPr>
          <w:rFonts w:ascii="Times New Roman" w:hAnsi="Times New Roman"/>
          <w:b/>
          <w:bCs/>
          <w:color w:val="1F2225"/>
          <w:sz w:val="24"/>
          <w:szCs w:val="24"/>
        </w:rPr>
        <w:t>zlučiteľný</w:t>
      </w:r>
      <w:r w:rsidRPr="00C93054">
        <w:rPr>
          <w:rFonts w:ascii="Times New Roman" w:hAnsi="Times New Roman"/>
          <w:color w:val="1F2225"/>
          <w:sz w:val="24"/>
          <w:szCs w:val="24"/>
        </w:rPr>
        <w:t xml:space="preserve"> s právom Európskej únie.</w:t>
      </w:r>
    </w:p>
    <w:p w14:paraId="5E55AFED" w14:textId="77777777" w:rsidR="00C93054" w:rsidRPr="00C93054" w:rsidRDefault="00C93054" w:rsidP="00C93054">
      <w:pPr>
        <w:rPr>
          <w:rFonts w:ascii="Times New Roman" w:hAnsi="Times New Roman"/>
          <w:sz w:val="24"/>
          <w:szCs w:val="24"/>
        </w:rPr>
      </w:pPr>
      <w:r w:rsidRPr="00C93054">
        <w:rPr>
          <w:rFonts w:ascii="Times New Roman" w:hAnsi="Times New Roman"/>
          <w:color w:val="1F2225"/>
          <w:sz w:val="24"/>
          <w:szCs w:val="24"/>
        </w:rPr>
        <w:t>Návrh priamo neodporuje existujúcim harmonizovaným predpisom EÚ, keďže tie špecificky neupravujú ani nezakazujú predné brzdové svetlo zelenej farby ako dobrovoľný prvok na národnej úrovni za predpokladu, že neohrozuje funkciu povinných svetelných zariadení a bezpečnosť premávky.</w:t>
      </w:r>
    </w:p>
    <w:p w14:paraId="184AFB48" w14:textId="77777777" w:rsidR="00C93054" w:rsidRPr="00C93054" w:rsidRDefault="00C93054" w:rsidP="00C93054">
      <w:pPr>
        <w:rPr>
          <w:rFonts w:ascii="Times New Roman" w:hAnsi="Times New Roman"/>
          <w:sz w:val="24"/>
          <w:szCs w:val="24"/>
        </w:rPr>
      </w:pPr>
      <w:r w:rsidRPr="00C93054">
        <w:rPr>
          <w:rFonts w:ascii="Times New Roman" w:hAnsi="Times New Roman"/>
          <w:b/>
          <w:bCs/>
          <w:color w:val="1F2225"/>
          <w:sz w:val="24"/>
          <w:szCs w:val="24"/>
        </w:rPr>
        <w:t>Vyhlásenie predkladateľa:</w:t>
      </w:r>
    </w:p>
    <w:p w14:paraId="0F96A704" w14:textId="77777777" w:rsidR="00C93054" w:rsidRPr="00C93054" w:rsidRDefault="00C93054" w:rsidP="00C93054">
      <w:pPr>
        <w:rPr>
          <w:rFonts w:ascii="Times New Roman" w:hAnsi="Times New Roman"/>
          <w:sz w:val="24"/>
          <w:szCs w:val="24"/>
        </w:rPr>
      </w:pPr>
      <w:r w:rsidRPr="00C93054">
        <w:rPr>
          <w:rFonts w:ascii="Times New Roman" w:hAnsi="Times New Roman"/>
          <w:color w:val="1F2225"/>
          <w:sz w:val="24"/>
          <w:szCs w:val="24"/>
        </w:rPr>
        <w:t>Predkladateľ vyhlasuje, že návrh zákona je zlučiteľný s právom Európskej únie.</w:t>
      </w:r>
    </w:p>
    <w:p w14:paraId="1D295622" w14:textId="77777777" w:rsidR="00BE1CD3" w:rsidRPr="00C93054" w:rsidRDefault="00BE1CD3">
      <w:pPr>
        <w:rPr>
          <w:sz w:val="24"/>
          <w:szCs w:val="24"/>
        </w:rPr>
      </w:pPr>
    </w:p>
    <w:sectPr w:rsidR="00BE1CD3" w:rsidRPr="00C930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75AC6"/>
    <w:multiLevelType w:val="multilevel"/>
    <w:tmpl w:val="4A16A888"/>
    <w:lvl w:ilvl="0">
      <w:start w:val="1"/>
      <w:numFmt w:val="lowerLetter"/>
      <w:lvlText w:val="%1)"/>
      <w:lvlJc w:val="left"/>
      <w:pPr>
        <w:ind w:left="1068" w:hanging="358"/>
      </w:pPr>
      <w:rPr>
        <w:rFonts w:cs="Times New Roman"/>
      </w:rPr>
    </w:lvl>
    <w:lvl w:ilvl="1">
      <w:numFmt w:val="bullet"/>
      <w:lvlText w:val="–"/>
      <w:lvlJc w:val="left"/>
      <w:pPr>
        <w:ind w:left="642" w:hanging="289"/>
      </w:pPr>
      <w:rPr>
        <w:rFonts w:ascii="Times New Roman" w:hAnsi="Times New Roman"/>
      </w:rPr>
    </w:lvl>
    <w:lvl w:ilvl="2">
      <w:numFmt w:val="bullet"/>
      <w:lvlText w:val=""/>
      <w:lvlJc w:val="left"/>
      <w:pPr>
        <w:ind w:left="2516" w:hanging="360"/>
      </w:pPr>
      <w:rPr>
        <w:rFonts w:ascii="Wingdings" w:hAnsi="Wingdings"/>
      </w:rPr>
    </w:lvl>
    <w:lvl w:ilvl="3">
      <w:numFmt w:val="bullet"/>
      <w:lvlText w:val=""/>
      <w:lvlJc w:val="left"/>
      <w:pPr>
        <w:ind w:left="3236" w:hanging="360"/>
      </w:pPr>
      <w:rPr>
        <w:rFonts w:ascii="Symbol" w:hAnsi="Symbol"/>
      </w:rPr>
    </w:lvl>
    <w:lvl w:ilvl="4">
      <w:numFmt w:val="bullet"/>
      <w:lvlText w:val="o"/>
      <w:lvlJc w:val="left"/>
      <w:pPr>
        <w:ind w:left="3956" w:hanging="360"/>
      </w:pPr>
      <w:rPr>
        <w:rFonts w:ascii="Courier New" w:hAnsi="Courier New"/>
      </w:rPr>
    </w:lvl>
    <w:lvl w:ilvl="5">
      <w:numFmt w:val="bullet"/>
      <w:lvlText w:val=""/>
      <w:lvlJc w:val="left"/>
      <w:pPr>
        <w:ind w:left="4676" w:hanging="360"/>
      </w:pPr>
      <w:rPr>
        <w:rFonts w:ascii="Wingdings" w:hAnsi="Wingdings"/>
      </w:rPr>
    </w:lvl>
    <w:lvl w:ilvl="6">
      <w:numFmt w:val="bullet"/>
      <w:lvlText w:val=""/>
      <w:lvlJc w:val="left"/>
      <w:pPr>
        <w:ind w:left="5396" w:hanging="360"/>
      </w:pPr>
      <w:rPr>
        <w:rFonts w:ascii="Symbol" w:hAnsi="Symbol"/>
      </w:rPr>
    </w:lvl>
    <w:lvl w:ilvl="7">
      <w:numFmt w:val="bullet"/>
      <w:lvlText w:val="o"/>
      <w:lvlJc w:val="left"/>
      <w:pPr>
        <w:ind w:left="6116" w:hanging="360"/>
      </w:pPr>
      <w:rPr>
        <w:rFonts w:ascii="Courier New" w:hAnsi="Courier New"/>
      </w:rPr>
    </w:lvl>
    <w:lvl w:ilvl="8">
      <w:numFmt w:val="bullet"/>
      <w:lvlText w:val=""/>
      <w:lvlJc w:val="left"/>
      <w:pPr>
        <w:ind w:left="6836" w:hanging="360"/>
      </w:pPr>
      <w:rPr>
        <w:rFonts w:ascii="Wingdings" w:hAnsi="Wingdings"/>
      </w:rPr>
    </w:lvl>
  </w:abstractNum>
  <w:abstractNum w:abstractNumId="1" w15:restartNumberingAfterBreak="0">
    <w:nsid w:val="65CD2CE6"/>
    <w:multiLevelType w:val="hybridMultilevel"/>
    <w:tmpl w:val="C832E11C"/>
    <w:lvl w:ilvl="0" w:tplc="3BD81D2E">
      <w:start w:val="1"/>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57724D9"/>
    <w:multiLevelType w:val="multilevel"/>
    <w:tmpl w:val="BBEA8AF4"/>
    <w:lvl w:ilvl="0">
      <w:numFmt w:val="bullet"/>
      <w:lvlText w:val="-"/>
      <w:lvlJc w:val="left"/>
      <w:pPr>
        <w:ind w:left="1495" w:hanging="360"/>
      </w:pPr>
      <w:rPr>
        <w:rFonts w:ascii="Times New Roman" w:eastAsia="Times New Roman" w:hAnsi="Times New Roman"/>
      </w:rPr>
    </w:lvl>
    <w:lvl w:ilvl="1">
      <w:numFmt w:val="bullet"/>
      <w:lvlText w:val="o"/>
      <w:lvlJc w:val="left"/>
      <w:pPr>
        <w:ind w:left="2215" w:hanging="360"/>
      </w:pPr>
      <w:rPr>
        <w:rFonts w:ascii="Courier New" w:hAnsi="Courier New"/>
      </w:rPr>
    </w:lvl>
    <w:lvl w:ilvl="2">
      <w:numFmt w:val="bullet"/>
      <w:lvlText w:val=""/>
      <w:lvlJc w:val="left"/>
      <w:pPr>
        <w:ind w:left="2935" w:hanging="360"/>
      </w:pPr>
      <w:rPr>
        <w:rFonts w:ascii="Wingdings" w:hAnsi="Wingdings"/>
      </w:rPr>
    </w:lvl>
    <w:lvl w:ilvl="3">
      <w:numFmt w:val="bullet"/>
      <w:lvlText w:val=""/>
      <w:lvlJc w:val="left"/>
      <w:pPr>
        <w:ind w:left="3655" w:hanging="360"/>
      </w:pPr>
      <w:rPr>
        <w:rFonts w:ascii="Symbol" w:hAnsi="Symbol"/>
      </w:rPr>
    </w:lvl>
    <w:lvl w:ilvl="4">
      <w:numFmt w:val="bullet"/>
      <w:lvlText w:val="o"/>
      <w:lvlJc w:val="left"/>
      <w:pPr>
        <w:ind w:left="4375" w:hanging="360"/>
      </w:pPr>
      <w:rPr>
        <w:rFonts w:ascii="Courier New" w:hAnsi="Courier New"/>
      </w:rPr>
    </w:lvl>
    <w:lvl w:ilvl="5">
      <w:numFmt w:val="bullet"/>
      <w:lvlText w:val=""/>
      <w:lvlJc w:val="left"/>
      <w:pPr>
        <w:ind w:left="5095" w:hanging="360"/>
      </w:pPr>
      <w:rPr>
        <w:rFonts w:ascii="Wingdings" w:hAnsi="Wingdings"/>
      </w:rPr>
    </w:lvl>
    <w:lvl w:ilvl="6">
      <w:numFmt w:val="bullet"/>
      <w:lvlText w:val=""/>
      <w:lvlJc w:val="left"/>
      <w:pPr>
        <w:ind w:left="5815" w:hanging="360"/>
      </w:pPr>
      <w:rPr>
        <w:rFonts w:ascii="Symbol" w:hAnsi="Symbol"/>
      </w:rPr>
    </w:lvl>
    <w:lvl w:ilvl="7">
      <w:numFmt w:val="bullet"/>
      <w:lvlText w:val="o"/>
      <w:lvlJc w:val="left"/>
      <w:pPr>
        <w:ind w:left="6535" w:hanging="360"/>
      </w:pPr>
      <w:rPr>
        <w:rFonts w:ascii="Courier New" w:hAnsi="Courier New"/>
      </w:rPr>
    </w:lvl>
    <w:lvl w:ilvl="8">
      <w:numFmt w:val="bullet"/>
      <w:lvlText w:val=""/>
      <w:lvlJc w:val="left"/>
      <w:pPr>
        <w:ind w:left="7255" w:hanging="360"/>
      </w:pPr>
      <w:rPr>
        <w:rFonts w:ascii="Wingdings" w:hAnsi="Wingdings"/>
      </w:rPr>
    </w:lvl>
  </w:abstractNum>
  <w:num w:numId="1" w16cid:durableId="1885678795">
    <w:abstractNumId w:val="0"/>
  </w:num>
  <w:num w:numId="2" w16cid:durableId="531114184">
    <w:abstractNumId w:val="2"/>
  </w:num>
  <w:num w:numId="3" w16cid:durableId="2091481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53D"/>
    <w:rsid w:val="0035653D"/>
    <w:rsid w:val="00392864"/>
    <w:rsid w:val="004A6A46"/>
    <w:rsid w:val="00790420"/>
    <w:rsid w:val="00B37C17"/>
    <w:rsid w:val="00BE1CD3"/>
    <w:rsid w:val="00BE7CDB"/>
    <w:rsid w:val="00C9305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B2763"/>
  <w15:chartTrackingRefBased/>
  <w15:docId w15:val="{CEA88D4F-C8A8-4B63-BFA0-863ECCA80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53D"/>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1212</Words>
  <Characters>6913</Characters>
  <Application>Microsoft Office Word</Application>
  <DocSecurity>0</DocSecurity>
  <Lines>57</Lines>
  <Paragraphs>16</Paragraphs>
  <ScaleCrop>false</ScaleCrop>
  <Company/>
  <LinksUpToDate>false</LinksUpToDate>
  <CharactersWithSpaces>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Janíková, Michaela</dc:creator>
  <cp:keywords/>
  <dc:description/>
  <cp:lastModifiedBy>Monika Ivanusykova</cp:lastModifiedBy>
  <cp:revision>3</cp:revision>
  <dcterms:created xsi:type="dcterms:W3CDTF">2025-07-01T14:16:00Z</dcterms:created>
  <dcterms:modified xsi:type="dcterms:W3CDTF">2025-07-01T14:19:00Z</dcterms:modified>
</cp:coreProperties>
</file>