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425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00128F" w14:textId="14A7CBFE" w:rsidR="00DA1521" w:rsidRDefault="00DA1521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</w:t>
      </w:r>
    </w:p>
    <w:p w14:paraId="155A5835" w14:textId="77777777" w:rsidR="00DA1521" w:rsidRDefault="00DA1521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90162FB" w14:textId="042A66A1" w:rsidR="006032D4" w:rsidRDefault="006032D4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</w:t>
      </w:r>
    </w:p>
    <w:p w14:paraId="50F74C66" w14:textId="77777777" w:rsidR="006032D4" w:rsidRDefault="006032D4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123E0E4" w14:textId="1E31533D" w:rsidR="00DA1521" w:rsidRDefault="006032D4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14:paraId="4CA0EA47" w14:textId="33A39E1E" w:rsidR="006032D4" w:rsidRDefault="006032D4" w:rsidP="006032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89B0E7" w14:textId="44976955" w:rsidR="006032D4" w:rsidRDefault="006032D4" w:rsidP="006032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281EF3">
        <w:rPr>
          <w:rFonts w:ascii="Times New Roman" w:hAnsi="Times New Roman" w:cs="Times New Roman"/>
          <w:b/>
          <w:bCs/>
        </w:rPr>
        <w:t> 27.</w:t>
      </w:r>
      <w:r>
        <w:rPr>
          <w:rFonts w:ascii="Times New Roman" w:hAnsi="Times New Roman" w:cs="Times New Roman"/>
          <w:b/>
          <w:bCs/>
        </w:rPr>
        <w:t xml:space="preserve"> júna 2025</w:t>
      </w:r>
    </w:p>
    <w:p w14:paraId="1EDE551F" w14:textId="77777777" w:rsidR="006032D4" w:rsidRDefault="006032D4" w:rsidP="006032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54914A" w14:textId="7EF746BF" w:rsidR="00DA1521" w:rsidRPr="00DA1521" w:rsidRDefault="006032D4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 w:rsidR="00DA1521">
        <w:rPr>
          <w:rFonts w:ascii="Times New Roman" w:hAnsi="Times New Roman" w:cs="Times New Roman"/>
        </w:rPr>
        <w:t>stanovisk</w:t>
      </w:r>
      <w:r>
        <w:rPr>
          <w:rFonts w:ascii="Times New Roman" w:hAnsi="Times New Roman" w:cs="Times New Roman"/>
        </w:rPr>
        <w:t>u</w:t>
      </w:r>
      <w:r w:rsidR="00DA1521">
        <w:rPr>
          <w:rFonts w:ascii="Times New Roman" w:hAnsi="Times New Roman" w:cs="Times New Roman"/>
        </w:rPr>
        <w:t xml:space="preserve"> Slovenskej republiky k sankčnej politike Európskej únie voči Ruskej federácii </w:t>
      </w:r>
      <w:r w:rsidR="00DA1521" w:rsidRPr="00DA1521">
        <w:rPr>
          <w:rFonts w:ascii="Times New Roman" w:hAnsi="Times New Roman" w:cs="Times New Roman"/>
        </w:rPr>
        <w:t>podľa čl. 2 ods. 3 ústavného zákona č. 397/2004 Z. z. o spolupráci Národnej rady Slovenskej republiky a vlády Slovenskej republiky v záležitostiach Európskej únie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9D2B725" w14:textId="77777777" w:rsidR="00E1028E" w:rsidRPr="004379F8" w:rsidRDefault="00E1028E" w:rsidP="00E102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C38B4" w14:textId="06AA53DD" w:rsidR="00D02CFB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3A3C6A09" w14:textId="42E75BE6" w:rsidR="00F4132A" w:rsidRPr="002D4D2D" w:rsidRDefault="00F4132A" w:rsidP="002D4D2D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2D4D2D">
        <w:rPr>
          <w:rFonts w:ascii="Times New Roman" w:hAnsi="Times New Roman" w:cs="Times New Roman"/>
        </w:rPr>
        <w:t xml:space="preserve"> </w:t>
      </w:r>
    </w:p>
    <w:p w14:paraId="69A127CC" w14:textId="2B1ABD5C" w:rsidR="006032D4" w:rsidRDefault="006032D4" w:rsidP="006032D4">
      <w:pPr>
        <w:pStyle w:val="Odsekzoznamu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zreteľom na Chartu Organizácie Spojených národov,</w:t>
      </w:r>
    </w:p>
    <w:p w14:paraId="7EA32D59" w14:textId="335A3D62" w:rsidR="006032D4" w:rsidRDefault="006032D4" w:rsidP="006032D4">
      <w:pPr>
        <w:pStyle w:val="Odsekzoznamu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zreteľom na Zmluvu o Európskej únií,</w:t>
      </w:r>
    </w:p>
    <w:p w14:paraId="422D31E5" w14:textId="284A9E14" w:rsidR="00454CF1" w:rsidRDefault="00454CF1" w:rsidP="00454CF1">
      <w:pPr>
        <w:pStyle w:val="Odsekzoznamu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rešpektujúc zásady a princípy medzinárodného práva verejného,</w:t>
      </w:r>
    </w:p>
    <w:p w14:paraId="1D70AE23" w14:textId="7F674B49" w:rsidR="006032D4" w:rsidRPr="00640079" w:rsidRDefault="006032D4" w:rsidP="00640079">
      <w:pPr>
        <w:spacing w:after="0" w:line="276" w:lineRule="auto"/>
        <w:rPr>
          <w:rFonts w:ascii="Times New Roman" w:hAnsi="Times New Roman" w:cs="Times New Roman"/>
        </w:rPr>
      </w:pPr>
    </w:p>
    <w:p w14:paraId="2C7E5DCB" w14:textId="46A125D6" w:rsidR="00640079" w:rsidRDefault="00912A8E" w:rsidP="00912A8E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schvaľuje, stanovisko Slovenskej republiky k sankčnej politike Európskej únie voči Ruskej federácii </w:t>
      </w:r>
      <w:r w:rsidRPr="00DA1521">
        <w:rPr>
          <w:rFonts w:ascii="Times New Roman" w:hAnsi="Times New Roman" w:cs="Times New Roman"/>
        </w:rPr>
        <w:t>podľa čl. 2 ods. 3 ústavného zákona č. 397/2004 Z. z. o spolupráci Národnej rady Slovenskej republiky a vlády Slovenskej republiky v záležitostiach Európskej únie</w:t>
      </w:r>
      <w:r>
        <w:rPr>
          <w:rFonts w:ascii="Times New Roman" w:hAnsi="Times New Roman" w:cs="Times New Roman"/>
        </w:rPr>
        <w:t>:</w:t>
      </w:r>
    </w:p>
    <w:p w14:paraId="24C2F76F" w14:textId="77777777" w:rsidR="00912A8E" w:rsidRPr="00640079" w:rsidRDefault="00912A8E" w:rsidP="00912A8E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3001F039" w14:textId="5A6A0C6D" w:rsidR="00454CF1" w:rsidRPr="00454CF1" w:rsidRDefault="00454CF1" w:rsidP="00912A8E">
      <w:pPr>
        <w:pStyle w:val="Odsekzoznamu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konštatuje, že spoločná sankčná politika Európskej únie je účinným nástrojom spoločnej zahraničnej politiky </w:t>
      </w:r>
      <w:r w:rsidR="00C77A38">
        <w:rPr>
          <w:rFonts w:ascii="Times New Roman" w:hAnsi="Times New Roman" w:cs="Times New Roman"/>
        </w:rPr>
        <w:t xml:space="preserve">Európskej únie </w:t>
      </w:r>
      <w:r>
        <w:rPr>
          <w:rFonts w:ascii="Times New Roman" w:hAnsi="Times New Roman" w:cs="Times New Roman"/>
        </w:rPr>
        <w:t>voči</w:t>
      </w:r>
      <w:r w:rsidR="00B70BA9">
        <w:rPr>
          <w:rFonts w:ascii="Times New Roman" w:hAnsi="Times New Roman" w:cs="Times New Roman"/>
        </w:rPr>
        <w:t xml:space="preserve"> </w:t>
      </w:r>
      <w:r w:rsidR="00B70BA9" w:rsidRPr="00B70BA9">
        <w:rPr>
          <w:rFonts w:ascii="Times New Roman" w:hAnsi="Times New Roman" w:cs="Times New Roman"/>
        </w:rPr>
        <w:t>vlád</w:t>
      </w:r>
      <w:r w:rsidR="00B70BA9">
        <w:rPr>
          <w:rFonts w:ascii="Times New Roman" w:hAnsi="Times New Roman" w:cs="Times New Roman"/>
        </w:rPr>
        <w:t>am</w:t>
      </w:r>
      <w:r w:rsidR="00B70BA9" w:rsidRPr="00B70BA9">
        <w:rPr>
          <w:rFonts w:ascii="Times New Roman" w:hAnsi="Times New Roman" w:cs="Times New Roman"/>
        </w:rPr>
        <w:t xml:space="preserve"> </w:t>
      </w:r>
      <w:r w:rsidR="00B70BA9">
        <w:rPr>
          <w:rFonts w:ascii="Times New Roman" w:hAnsi="Times New Roman" w:cs="Times New Roman"/>
        </w:rPr>
        <w:t>nečlenských štátov Európskej únie</w:t>
      </w:r>
      <w:r w:rsidR="00B70BA9" w:rsidRPr="00B70BA9">
        <w:rPr>
          <w:rFonts w:ascii="Times New Roman" w:hAnsi="Times New Roman" w:cs="Times New Roman"/>
        </w:rPr>
        <w:t>, spoločnosti</w:t>
      </w:r>
      <w:r w:rsidR="00B70BA9">
        <w:rPr>
          <w:rFonts w:ascii="Times New Roman" w:hAnsi="Times New Roman" w:cs="Times New Roman"/>
        </w:rPr>
        <w:t>am</w:t>
      </w:r>
      <w:r w:rsidR="00B70BA9" w:rsidRPr="00B70BA9">
        <w:rPr>
          <w:rFonts w:ascii="Times New Roman" w:hAnsi="Times New Roman" w:cs="Times New Roman"/>
        </w:rPr>
        <w:t>, skupin</w:t>
      </w:r>
      <w:r w:rsidR="00B70BA9">
        <w:rPr>
          <w:rFonts w:ascii="Times New Roman" w:hAnsi="Times New Roman" w:cs="Times New Roman"/>
        </w:rPr>
        <w:t>ám,</w:t>
      </w:r>
      <w:r w:rsidR="00B70BA9" w:rsidRPr="00B70BA9">
        <w:rPr>
          <w:rFonts w:ascii="Times New Roman" w:hAnsi="Times New Roman" w:cs="Times New Roman"/>
        </w:rPr>
        <w:t xml:space="preserve"> organizáci</w:t>
      </w:r>
      <w:r w:rsidR="00B70BA9">
        <w:rPr>
          <w:rFonts w:ascii="Times New Roman" w:hAnsi="Times New Roman" w:cs="Times New Roman"/>
        </w:rPr>
        <w:t>ám</w:t>
      </w:r>
      <w:r w:rsidR="00B70BA9" w:rsidRPr="00B70BA9">
        <w:rPr>
          <w:rFonts w:ascii="Times New Roman" w:hAnsi="Times New Roman" w:cs="Times New Roman"/>
        </w:rPr>
        <w:t xml:space="preserve"> alebo jednotlivco</w:t>
      </w:r>
      <w:r w:rsidR="00EA723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 ktor</w:t>
      </w:r>
      <w:r w:rsidR="00EA7239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B70BA9">
        <w:rPr>
          <w:rFonts w:ascii="Times New Roman" w:hAnsi="Times New Roman" w:cs="Times New Roman"/>
        </w:rPr>
        <w:t>svojím konaním porušujú základy medzinárodného práva verejného, narúšajú mierové usporiadanie, či ohrozujú princípy demokracie</w:t>
      </w:r>
      <w:r w:rsidR="00B70BA9" w:rsidRPr="003C1BEE">
        <w:rPr>
          <w:rFonts w:ascii="Times New Roman" w:hAnsi="Times New Roman" w:cs="Times New Roman"/>
        </w:rPr>
        <w:t>;</w:t>
      </w:r>
    </w:p>
    <w:p w14:paraId="0ACA626B" w14:textId="77777777" w:rsidR="00454CF1" w:rsidRDefault="00454CF1" w:rsidP="00454CF1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66BB9524" w14:textId="4D53A8B3" w:rsidR="002D4D2D" w:rsidRDefault="00B70BA9" w:rsidP="00912A8E">
      <w:pPr>
        <w:pStyle w:val="Odsekzoznamu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zaväzuje vládu Slovenskej republiky, aby súhlasila</w:t>
      </w:r>
      <w:r w:rsidR="006032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 w:rsidR="006032D4">
        <w:rPr>
          <w:rFonts w:ascii="Times New Roman" w:hAnsi="Times New Roman" w:cs="Times New Roman"/>
        </w:rPr>
        <w:t>zavádzaním a využívaním sankčnej politiky Európskej únie voči Ruskej federácii</w:t>
      </w:r>
      <w:r w:rsidR="0086199A">
        <w:rPr>
          <w:rFonts w:ascii="Times New Roman" w:hAnsi="Times New Roman" w:cs="Times New Roman"/>
        </w:rPr>
        <w:t xml:space="preserve"> (vrátane vlády Ruskej federácie, členom vlády, jednotlivcovom, organizáciám, skupinám, inštitúciám, súkromným spoločnostiam, hnutiam, politickým stranám, bankám a finančným inštitúciám, </w:t>
      </w:r>
      <w:r w:rsidR="0086199A">
        <w:rPr>
          <w:rFonts w:ascii="Times New Roman" w:hAnsi="Times New Roman" w:cs="Times New Roman"/>
        </w:rPr>
        <w:lastRenderedPageBreak/>
        <w:t>mediálnym organizáciám a všetkým iným subjektom a jednotlivco</w:t>
      </w:r>
      <w:r w:rsidR="00EA7239">
        <w:rPr>
          <w:rFonts w:ascii="Times New Roman" w:hAnsi="Times New Roman" w:cs="Times New Roman"/>
        </w:rPr>
        <w:t>m</w:t>
      </w:r>
      <w:r w:rsidR="0086199A">
        <w:rPr>
          <w:rFonts w:ascii="Times New Roman" w:hAnsi="Times New Roman" w:cs="Times New Roman"/>
        </w:rPr>
        <w:t xml:space="preserve"> voči, ktorým sa sankcie zavádzajú)</w:t>
      </w:r>
      <w:r w:rsidR="006032D4">
        <w:rPr>
          <w:rFonts w:ascii="Times New Roman" w:hAnsi="Times New Roman" w:cs="Times New Roman"/>
        </w:rPr>
        <w:t xml:space="preserve"> ako reakcie na vojenskú agresiu Ruskej federácie na Ukrajine a porušovanie princípov medzinárodného práva verejného</w:t>
      </w:r>
      <w:r w:rsidR="00E1028E" w:rsidRPr="003C1BEE">
        <w:rPr>
          <w:rFonts w:ascii="Times New Roman" w:hAnsi="Times New Roman" w:cs="Times New Roman"/>
        </w:rPr>
        <w:t>;</w:t>
      </w:r>
    </w:p>
    <w:p w14:paraId="7241420D" w14:textId="77777777" w:rsidR="002D4D2D" w:rsidRDefault="002D4D2D" w:rsidP="002D4D2D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50F98EF3" w14:textId="1842E808" w:rsidR="00B70BA9" w:rsidRPr="00912A8E" w:rsidRDefault="00B70BA9" w:rsidP="00912A8E">
      <w:pPr>
        <w:pStyle w:val="Odsekzoznamu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 w:rsidRPr="00912A8E">
        <w:rPr>
          <w:rFonts w:ascii="Times New Roman" w:hAnsi="Times New Roman" w:cs="Times New Roman"/>
        </w:rPr>
        <w:t xml:space="preserve">zaväzuje vládu Slovenskej republiky, aby </w:t>
      </w:r>
      <w:r w:rsidR="00EA7239" w:rsidRPr="00912A8E">
        <w:rPr>
          <w:rFonts w:ascii="Times New Roman" w:hAnsi="Times New Roman" w:cs="Times New Roman"/>
        </w:rPr>
        <w:t>podporovala</w:t>
      </w:r>
      <w:r w:rsidR="006032D4" w:rsidRPr="00912A8E">
        <w:rPr>
          <w:rFonts w:ascii="Times New Roman" w:hAnsi="Times New Roman" w:cs="Times New Roman"/>
        </w:rPr>
        <w:t xml:space="preserve"> koordinovaný postup Európskej únie v prijímaní a uplatňovaní sankcií voči Ruskej federácii</w:t>
      </w:r>
      <w:r w:rsidR="002D4D2D" w:rsidRPr="00912A8E">
        <w:rPr>
          <w:rFonts w:ascii="Times New Roman" w:hAnsi="Times New Roman" w:cs="Times New Roman"/>
        </w:rPr>
        <w:t>;</w:t>
      </w:r>
    </w:p>
    <w:p w14:paraId="0B626BC9" w14:textId="77777777" w:rsidR="002D4D2D" w:rsidRPr="002D4D2D" w:rsidRDefault="002D4D2D" w:rsidP="002D4D2D">
      <w:pPr>
        <w:pStyle w:val="Odsekzoznamu"/>
        <w:rPr>
          <w:rFonts w:ascii="Times New Roman" w:hAnsi="Times New Roman" w:cs="Times New Roman"/>
        </w:rPr>
      </w:pPr>
    </w:p>
    <w:p w14:paraId="4CAC5C6C" w14:textId="216EF874" w:rsidR="002D4D2D" w:rsidRPr="00912A8E" w:rsidRDefault="00454CF1" w:rsidP="00912A8E">
      <w:pPr>
        <w:pStyle w:val="Odsekzoznamu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 w:rsidRPr="00912A8E">
        <w:rPr>
          <w:rFonts w:ascii="Times New Roman" w:hAnsi="Times New Roman" w:cs="Times New Roman"/>
        </w:rPr>
        <w:t>zaväzuje vládu Slovenskej republiky a jednotlivé ministerstvá, aby dodržiavali a zároveň dozerali na dodržiavanie zavedenej sankčnej politiky</w:t>
      </w:r>
      <w:r w:rsidR="002D4D2D" w:rsidRPr="00912A8E">
        <w:rPr>
          <w:rFonts w:ascii="Times New Roman" w:hAnsi="Times New Roman" w:cs="Times New Roman"/>
        </w:rPr>
        <w:t>;</w:t>
      </w:r>
    </w:p>
    <w:p w14:paraId="1A812126" w14:textId="77777777" w:rsidR="002056F8" w:rsidRPr="002056F8" w:rsidRDefault="002056F8" w:rsidP="002056F8">
      <w:pPr>
        <w:pStyle w:val="Odsekzoznamu"/>
        <w:rPr>
          <w:rFonts w:ascii="Times New Roman" w:hAnsi="Times New Roman" w:cs="Times New Roman"/>
        </w:rPr>
      </w:pPr>
    </w:p>
    <w:p w14:paraId="75D22923" w14:textId="0F889367" w:rsidR="002056F8" w:rsidRDefault="002056F8" w:rsidP="002D4D2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konštatuje, že podľa ústavného zákona č. 397/2004 Z. z. o spolupráci Národnej rady Slovenskej republiky a vlády Slovenskej republiky v záležitostiach Európskej únie</w:t>
      </w:r>
      <w:r w:rsidRPr="00E614AD">
        <w:rPr>
          <w:rFonts w:ascii="Times New Roman" w:hAnsi="Times New Roman" w:cs="Times New Roman"/>
        </w:rPr>
        <w:t>;</w:t>
      </w:r>
    </w:p>
    <w:p w14:paraId="34EA7E88" w14:textId="77777777" w:rsidR="002056F8" w:rsidRPr="002056F8" w:rsidRDefault="002056F8" w:rsidP="002056F8">
      <w:pPr>
        <w:pStyle w:val="Odsekzoznamu"/>
        <w:rPr>
          <w:rFonts w:ascii="Times New Roman" w:hAnsi="Times New Roman" w:cs="Times New Roman"/>
        </w:rPr>
      </w:pPr>
    </w:p>
    <w:p w14:paraId="588301D7" w14:textId="20B59044" w:rsidR="002056F8" w:rsidRDefault="002056F8" w:rsidP="002056F8">
      <w:pPr>
        <w:pStyle w:val="Odsekzoznamu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môže schvaľovať stanoviská Slovenskej republiky aj v ďalších záležitostiach Európskej únie, ak ju o to požiada vláda Slovenskej republiky alebo najmenej pätina poslancov Národnej rady Slovenskej republiky (čl. 2 ods. 3)</w:t>
      </w:r>
    </w:p>
    <w:p w14:paraId="06DD638D" w14:textId="487F905A" w:rsidR="002056F8" w:rsidRDefault="002056F8" w:rsidP="002056F8">
      <w:pPr>
        <w:pStyle w:val="Odsekzoznamu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sa Národná rada Slovenskej republiky nevyjadrí k návrhu stanoviska Slovenskej republiky do dvoch týždňov od jeho predloženia alebo ak Národná rada Slovenskej republiky neschváli návrh stanoviska Slovenskej republiky a zároveň neschváli v danej veci iné stanovisko, člen vlády je viazaný návrhom stanoviska (čl. 2 ods. 4)</w:t>
      </w:r>
    </w:p>
    <w:p w14:paraId="64D2143E" w14:textId="6F8A008A" w:rsidR="002056F8" w:rsidRDefault="002056F8" w:rsidP="002056F8">
      <w:pPr>
        <w:pStyle w:val="Odsekzoznamu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možné, aby Národná rada Slovenskej republiky zákonom poverila Výbor pre európskej záležitosti výkonom pôsobnosti schvaľovať stanoviská Slovenskej republiky v prípadoch, ak ju o to požiada najmenej pätina poslancov Národnej rady Slovenskej republiky (čl. 2 ods. 2)</w:t>
      </w:r>
    </w:p>
    <w:p w14:paraId="69AF5FFE" w14:textId="77777777" w:rsidR="002056F8" w:rsidRDefault="002056F8" w:rsidP="002056F8">
      <w:pPr>
        <w:pStyle w:val="Odsekzoznamu"/>
        <w:spacing w:after="0" w:line="276" w:lineRule="auto"/>
        <w:ind w:left="2084"/>
        <w:rPr>
          <w:rFonts w:ascii="Times New Roman" w:hAnsi="Times New Roman" w:cs="Times New Roman"/>
        </w:rPr>
      </w:pPr>
    </w:p>
    <w:p w14:paraId="49DE04F7" w14:textId="746C711E" w:rsidR="002056F8" w:rsidRDefault="002056F8" w:rsidP="002056F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zaväzuje vládu Slovenskej republiky</w:t>
      </w:r>
      <w:r w:rsidR="00822E20">
        <w:rPr>
          <w:rFonts w:ascii="Times New Roman" w:hAnsi="Times New Roman" w:cs="Times New Roman"/>
        </w:rPr>
        <w:t xml:space="preserve"> dôsledne</w:t>
      </w:r>
      <w:r>
        <w:rPr>
          <w:rFonts w:ascii="Times New Roman" w:hAnsi="Times New Roman" w:cs="Times New Roman"/>
        </w:rPr>
        <w:t xml:space="preserve"> rešpektovať stanovisko Národnej rady Slovenskej republiky uvedené v bodoch </w:t>
      </w:r>
      <w:r w:rsidR="00912A8E">
        <w:rPr>
          <w:rFonts w:ascii="Times New Roman" w:hAnsi="Times New Roman" w:cs="Times New Roman"/>
        </w:rPr>
        <w:t>A</w:t>
      </w:r>
      <w:r w:rsidR="003F68D9">
        <w:rPr>
          <w:rFonts w:ascii="Times New Roman" w:hAnsi="Times New Roman" w:cs="Times New Roman"/>
        </w:rPr>
        <w:t>.</w:t>
      </w:r>
      <w:r w:rsidR="00912A8E">
        <w:rPr>
          <w:rFonts w:ascii="Times New Roman" w:hAnsi="Times New Roman" w:cs="Times New Roman"/>
        </w:rPr>
        <w:t xml:space="preserve"> a)-d)</w:t>
      </w:r>
      <w:r>
        <w:rPr>
          <w:rFonts w:ascii="Times New Roman" w:hAnsi="Times New Roman" w:cs="Times New Roman"/>
        </w:rPr>
        <w:t xml:space="preserve"> tohto </w:t>
      </w:r>
      <w:r w:rsidR="003F68D9">
        <w:rPr>
          <w:rFonts w:ascii="Times New Roman" w:hAnsi="Times New Roman" w:cs="Times New Roman"/>
        </w:rPr>
        <w:t>uznesenia</w:t>
      </w:r>
      <w:r w:rsidR="00822E20">
        <w:rPr>
          <w:rFonts w:ascii="Times New Roman" w:hAnsi="Times New Roman" w:cs="Times New Roman"/>
        </w:rPr>
        <w:t xml:space="preserve"> a pri hlasovaniach a rokovaniach v inštitúciách a orgánoch Európskej únie ho </w:t>
      </w:r>
      <w:bookmarkStart w:id="0" w:name="_GoBack"/>
      <w:bookmarkEnd w:id="0"/>
      <w:r w:rsidR="00822E20">
        <w:rPr>
          <w:rFonts w:ascii="Times New Roman" w:hAnsi="Times New Roman" w:cs="Times New Roman"/>
        </w:rPr>
        <w:t>dodržiavať.</w:t>
      </w:r>
    </w:p>
    <w:p w14:paraId="7B5712AB" w14:textId="77777777" w:rsidR="0013506C" w:rsidRDefault="0013506C" w:rsidP="0013506C">
      <w:pPr>
        <w:spacing w:after="0" w:line="276" w:lineRule="auto"/>
        <w:rPr>
          <w:rFonts w:ascii="Times New Roman" w:hAnsi="Times New Roman" w:cs="Times New Roman"/>
        </w:rPr>
      </w:pPr>
    </w:p>
    <w:p w14:paraId="0A8EFC30" w14:textId="77777777" w:rsidR="007672FE" w:rsidRDefault="007672FE" w:rsidP="007672FE">
      <w:pPr>
        <w:spacing w:after="0" w:line="276" w:lineRule="auto"/>
        <w:rPr>
          <w:rFonts w:ascii="Times New Roman" w:hAnsi="Times New Roman" w:cs="Times New Roman"/>
        </w:rPr>
      </w:pPr>
    </w:p>
    <w:p w14:paraId="407E8BA7" w14:textId="77777777" w:rsidR="007672FE" w:rsidRDefault="007672FE" w:rsidP="007672FE">
      <w:pPr>
        <w:spacing w:after="0" w:line="276" w:lineRule="auto"/>
        <w:rPr>
          <w:rFonts w:ascii="Times New Roman" w:hAnsi="Times New Roman" w:cs="Times New Roman"/>
        </w:rPr>
      </w:pPr>
    </w:p>
    <w:p w14:paraId="58F7F41C" w14:textId="77777777" w:rsidR="007672FE" w:rsidRDefault="007672FE" w:rsidP="007672FE">
      <w:pPr>
        <w:spacing w:after="0" w:line="276" w:lineRule="auto"/>
        <w:rPr>
          <w:rFonts w:ascii="Times New Roman" w:hAnsi="Times New Roman" w:cs="Times New Roman"/>
        </w:rPr>
      </w:pPr>
    </w:p>
    <w:p w14:paraId="6E3AF05D" w14:textId="77777777" w:rsidR="007672FE" w:rsidRDefault="007672FE" w:rsidP="007672FE">
      <w:pPr>
        <w:spacing w:after="0" w:line="276" w:lineRule="auto"/>
        <w:rPr>
          <w:rFonts w:ascii="Times New Roman" w:hAnsi="Times New Roman" w:cs="Times New Roman"/>
        </w:rPr>
      </w:pPr>
    </w:p>
    <w:p w14:paraId="154CC107" w14:textId="77777777" w:rsidR="008B1F1C" w:rsidRPr="008B1F1C" w:rsidRDefault="008B1F1C" w:rsidP="007672FE">
      <w:pPr>
        <w:pStyle w:val="Odsekzoznamu"/>
        <w:jc w:val="right"/>
        <w:rPr>
          <w:rFonts w:ascii="Times New Roman" w:hAnsi="Times New Roman" w:cs="Times New Roman"/>
        </w:rPr>
      </w:pPr>
    </w:p>
    <w:p w14:paraId="2D2214C3" w14:textId="23F7046B" w:rsidR="003D5BA6" w:rsidRDefault="003D5BA6" w:rsidP="003B0259">
      <w:pPr>
        <w:spacing w:after="0" w:line="240" w:lineRule="auto"/>
        <w:ind w:firstLine="708"/>
        <w:jc w:val="left"/>
        <w:rPr>
          <w:rFonts w:ascii="Times New Roman" w:hAnsi="Times New Roman" w:cs="Times New Roman"/>
          <w:bCs/>
        </w:rPr>
      </w:pPr>
    </w:p>
    <w:p w14:paraId="15791DE5" w14:textId="77777777" w:rsidR="003B0259" w:rsidRDefault="003B0259" w:rsidP="003B0259">
      <w:pPr>
        <w:spacing w:after="0" w:line="240" w:lineRule="auto"/>
        <w:ind w:firstLine="708"/>
        <w:jc w:val="left"/>
        <w:rPr>
          <w:rFonts w:ascii="Times New Roman" w:hAnsi="Times New Roman" w:cs="Times New Roman"/>
          <w:bCs/>
        </w:rPr>
      </w:pPr>
    </w:p>
    <w:p w14:paraId="60E058F2" w14:textId="77777777" w:rsidR="003B0259" w:rsidRDefault="003B0259" w:rsidP="003B0259">
      <w:pPr>
        <w:spacing w:after="0" w:line="240" w:lineRule="auto"/>
        <w:ind w:firstLine="708"/>
        <w:jc w:val="left"/>
        <w:rPr>
          <w:rFonts w:ascii="Times New Roman" w:hAnsi="Times New Roman" w:cs="Times New Roman"/>
          <w:bCs/>
        </w:rPr>
      </w:pPr>
    </w:p>
    <w:p w14:paraId="205DD3ED" w14:textId="77777777" w:rsidR="003B0259" w:rsidRDefault="003B0259" w:rsidP="003B0259">
      <w:pPr>
        <w:spacing w:after="0" w:line="240" w:lineRule="auto"/>
        <w:ind w:firstLine="708"/>
        <w:jc w:val="left"/>
        <w:rPr>
          <w:rFonts w:ascii="Times New Roman" w:hAnsi="Times New Roman" w:cs="Times New Roman"/>
          <w:bCs/>
        </w:rPr>
      </w:pPr>
    </w:p>
    <w:p w14:paraId="056DBB3D" w14:textId="77777777" w:rsidR="003F68D9" w:rsidRDefault="003F68D9" w:rsidP="00446B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322181" w14:textId="77777777" w:rsidR="003F68D9" w:rsidRDefault="003F68D9" w:rsidP="00446B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7906B3" w14:textId="77777777" w:rsidR="003F68D9" w:rsidRDefault="003F68D9" w:rsidP="00446B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CEF791" w14:textId="77777777" w:rsidR="003F68D9" w:rsidRDefault="003F68D9" w:rsidP="00446B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580AED" w14:textId="071C1033" w:rsidR="003B0259" w:rsidRPr="003B0259" w:rsidRDefault="003B0259" w:rsidP="00446B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259">
        <w:rPr>
          <w:rFonts w:ascii="Times New Roman" w:hAnsi="Times New Roman" w:cs="Times New Roman"/>
          <w:b/>
        </w:rPr>
        <w:t xml:space="preserve">Bratislava </w:t>
      </w:r>
      <w:r w:rsidR="003F68D9">
        <w:rPr>
          <w:rFonts w:ascii="Times New Roman" w:hAnsi="Times New Roman" w:cs="Times New Roman"/>
          <w:b/>
        </w:rPr>
        <w:t xml:space="preserve">jún </w:t>
      </w:r>
      <w:r w:rsidRPr="003B0259">
        <w:rPr>
          <w:rFonts w:ascii="Times New Roman" w:hAnsi="Times New Roman" w:cs="Times New Roman"/>
          <w:b/>
        </w:rPr>
        <w:t>2025</w:t>
      </w:r>
    </w:p>
    <w:sectPr w:rsidR="003B0259" w:rsidRPr="003B02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B8DB1" w14:textId="77777777" w:rsidR="000833EC" w:rsidRDefault="000833EC" w:rsidP="001A66E5">
      <w:pPr>
        <w:spacing w:after="0" w:line="240" w:lineRule="auto"/>
      </w:pPr>
      <w:r>
        <w:separator/>
      </w:r>
    </w:p>
  </w:endnote>
  <w:endnote w:type="continuationSeparator" w:id="0">
    <w:p w14:paraId="40D9AE02" w14:textId="77777777" w:rsidR="000833EC" w:rsidRDefault="000833EC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AAA7D" w14:textId="77777777" w:rsidR="000833EC" w:rsidRDefault="000833EC" w:rsidP="001A66E5">
      <w:pPr>
        <w:spacing w:after="0" w:line="240" w:lineRule="auto"/>
      </w:pPr>
      <w:r>
        <w:separator/>
      </w:r>
    </w:p>
  </w:footnote>
  <w:footnote w:type="continuationSeparator" w:id="0">
    <w:p w14:paraId="571CACBB" w14:textId="77777777" w:rsidR="000833EC" w:rsidRDefault="000833EC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284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004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1724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444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164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3884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04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324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044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6520"/>
    <w:multiLevelType w:val="hybridMultilevel"/>
    <w:tmpl w:val="31F86070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7961A1"/>
    <w:multiLevelType w:val="hybridMultilevel"/>
    <w:tmpl w:val="86421B7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2D722AAD"/>
    <w:multiLevelType w:val="hybridMultilevel"/>
    <w:tmpl w:val="84E028FE"/>
    <w:lvl w:ilvl="0" w:tplc="630C3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E34526"/>
    <w:multiLevelType w:val="hybridMultilevel"/>
    <w:tmpl w:val="F1CE1858"/>
    <w:lvl w:ilvl="0" w:tplc="041B0017">
      <w:start w:val="1"/>
      <w:numFmt w:val="lowerLetter"/>
      <w:lvlText w:val="%1)"/>
      <w:lvlJc w:val="left"/>
      <w:pPr>
        <w:ind w:left="1900" w:hanging="360"/>
      </w:pPr>
    </w:lvl>
    <w:lvl w:ilvl="1" w:tplc="041B0019" w:tentative="1">
      <w:start w:val="1"/>
      <w:numFmt w:val="lowerLetter"/>
      <w:lvlText w:val="%2."/>
      <w:lvlJc w:val="left"/>
      <w:pPr>
        <w:ind w:left="2620" w:hanging="360"/>
      </w:pPr>
    </w:lvl>
    <w:lvl w:ilvl="2" w:tplc="041B001B" w:tentative="1">
      <w:start w:val="1"/>
      <w:numFmt w:val="lowerRoman"/>
      <w:lvlText w:val="%3."/>
      <w:lvlJc w:val="right"/>
      <w:pPr>
        <w:ind w:left="3340" w:hanging="180"/>
      </w:pPr>
    </w:lvl>
    <w:lvl w:ilvl="3" w:tplc="041B000F" w:tentative="1">
      <w:start w:val="1"/>
      <w:numFmt w:val="decimal"/>
      <w:lvlText w:val="%4."/>
      <w:lvlJc w:val="left"/>
      <w:pPr>
        <w:ind w:left="4060" w:hanging="360"/>
      </w:pPr>
    </w:lvl>
    <w:lvl w:ilvl="4" w:tplc="041B0019" w:tentative="1">
      <w:start w:val="1"/>
      <w:numFmt w:val="lowerLetter"/>
      <w:lvlText w:val="%5."/>
      <w:lvlJc w:val="left"/>
      <w:pPr>
        <w:ind w:left="4780" w:hanging="360"/>
      </w:pPr>
    </w:lvl>
    <w:lvl w:ilvl="5" w:tplc="041B001B" w:tentative="1">
      <w:start w:val="1"/>
      <w:numFmt w:val="lowerRoman"/>
      <w:lvlText w:val="%6."/>
      <w:lvlJc w:val="right"/>
      <w:pPr>
        <w:ind w:left="5500" w:hanging="180"/>
      </w:pPr>
    </w:lvl>
    <w:lvl w:ilvl="6" w:tplc="041B000F" w:tentative="1">
      <w:start w:val="1"/>
      <w:numFmt w:val="decimal"/>
      <w:lvlText w:val="%7."/>
      <w:lvlJc w:val="left"/>
      <w:pPr>
        <w:ind w:left="6220" w:hanging="360"/>
      </w:pPr>
    </w:lvl>
    <w:lvl w:ilvl="7" w:tplc="041B0019" w:tentative="1">
      <w:start w:val="1"/>
      <w:numFmt w:val="lowerLetter"/>
      <w:lvlText w:val="%8."/>
      <w:lvlJc w:val="left"/>
      <w:pPr>
        <w:ind w:left="6940" w:hanging="360"/>
      </w:pPr>
    </w:lvl>
    <w:lvl w:ilvl="8" w:tplc="041B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7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F86296"/>
    <w:multiLevelType w:val="hybridMultilevel"/>
    <w:tmpl w:val="DD8CDEA4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A1716"/>
    <w:multiLevelType w:val="hybridMultilevel"/>
    <w:tmpl w:val="45D4309C"/>
    <w:lvl w:ilvl="0" w:tplc="5EDA4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84061"/>
    <w:multiLevelType w:val="hybridMultilevel"/>
    <w:tmpl w:val="36DE37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934BF"/>
    <w:multiLevelType w:val="hybridMultilevel"/>
    <w:tmpl w:val="8BF477B4"/>
    <w:lvl w:ilvl="0" w:tplc="06D47496">
      <w:start w:val="8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9" w15:restartNumberingAfterBreak="0">
    <w:nsid w:val="673E73EE"/>
    <w:multiLevelType w:val="hybridMultilevel"/>
    <w:tmpl w:val="8D2AE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31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 w15:restartNumberingAfterBreak="0">
    <w:nsid w:val="7AFA2540"/>
    <w:multiLevelType w:val="hybridMultilevel"/>
    <w:tmpl w:val="A2309390"/>
    <w:lvl w:ilvl="0" w:tplc="041B0019">
      <w:start w:val="1"/>
      <w:numFmt w:val="lowerLetter"/>
      <w:lvlText w:val="%1.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1"/>
  </w:num>
  <w:num w:numId="2">
    <w:abstractNumId w:val="22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26"/>
  </w:num>
  <w:num w:numId="8">
    <w:abstractNumId w:val="30"/>
  </w:num>
  <w:num w:numId="9">
    <w:abstractNumId w:val="27"/>
  </w:num>
  <w:num w:numId="10">
    <w:abstractNumId w:val="23"/>
  </w:num>
  <w:num w:numId="11">
    <w:abstractNumId w:val="5"/>
  </w:num>
  <w:num w:numId="12">
    <w:abstractNumId w:val="21"/>
  </w:num>
  <w:num w:numId="13">
    <w:abstractNumId w:val="11"/>
  </w:num>
  <w:num w:numId="14">
    <w:abstractNumId w:val="20"/>
  </w:num>
  <w:num w:numId="15">
    <w:abstractNumId w:val="18"/>
  </w:num>
  <w:num w:numId="16">
    <w:abstractNumId w:val="32"/>
  </w:num>
  <w:num w:numId="17">
    <w:abstractNumId w:val="7"/>
  </w:num>
  <w:num w:numId="18">
    <w:abstractNumId w:val="15"/>
  </w:num>
  <w:num w:numId="19">
    <w:abstractNumId w:val="33"/>
  </w:num>
  <w:num w:numId="20">
    <w:abstractNumId w:val="14"/>
  </w:num>
  <w:num w:numId="21">
    <w:abstractNumId w:val="17"/>
  </w:num>
  <w:num w:numId="22">
    <w:abstractNumId w:val="10"/>
  </w:num>
  <w:num w:numId="23">
    <w:abstractNumId w:val="1"/>
  </w:num>
  <w:num w:numId="24">
    <w:abstractNumId w:val="9"/>
  </w:num>
  <w:num w:numId="25">
    <w:abstractNumId w:val="24"/>
  </w:num>
  <w:num w:numId="26">
    <w:abstractNumId w:val="4"/>
  </w:num>
  <w:num w:numId="27">
    <w:abstractNumId w:val="13"/>
  </w:num>
  <w:num w:numId="28">
    <w:abstractNumId w:val="34"/>
  </w:num>
  <w:num w:numId="29">
    <w:abstractNumId w:val="28"/>
  </w:num>
  <w:num w:numId="30">
    <w:abstractNumId w:val="19"/>
  </w:num>
  <w:num w:numId="31">
    <w:abstractNumId w:val="16"/>
  </w:num>
  <w:num w:numId="32">
    <w:abstractNumId w:val="25"/>
  </w:num>
  <w:num w:numId="33">
    <w:abstractNumId w:val="8"/>
  </w:num>
  <w:num w:numId="34">
    <w:abstractNumId w:val="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1C"/>
    <w:rsid w:val="00015E22"/>
    <w:rsid w:val="00017C52"/>
    <w:rsid w:val="00030394"/>
    <w:rsid w:val="000338C6"/>
    <w:rsid w:val="00035510"/>
    <w:rsid w:val="00036AE6"/>
    <w:rsid w:val="00073751"/>
    <w:rsid w:val="000833EC"/>
    <w:rsid w:val="000A7511"/>
    <w:rsid w:val="000B2F03"/>
    <w:rsid w:val="000C64A8"/>
    <w:rsid w:val="000D2F03"/>
    <w:rsid w:val="000E0197"/>
    <w:rsid w:val="000F266D"/>
    <w:rsid w:val="000F7CF2"/>
    <w:rsid w:val="0011404E"/>
    <w:rsid w:val="00117202"/>
    <w:rsid w:val="00122BD9"/>
    <w:rsid w:val="0013506C"/>
    <w:rsid w:val="00151505"/>
    <w:rsid w:val="00166937"/>
    <w:rsid w:val="00171DCC"/>
    <w:rsid w:val="001823A9"/>
    <w:rsid w:val="001905F8"/>
    <w:rsid w:val="001A66E5"/>
    <w:rsid w:val="001A7D0E"/>
    <w:rsid w:val="001B0738"/>
    <w:rsid w:val="001B2A34"/>
    <w:rsid w:val="001D1F50"/>
    <w:rsid w:val="001F7ABC"/>
    <w:rsid w:val="002056F8"/>
    <w:rsid w:val="00214BC7"/>
    <w:rsid w:val="00222774"/>
    <w:rsid w:val="00232FCD"/>
    <w:rsid w:val="002357D6"/>
    <w:rsid w:val="00241BAB"/>
    <w:rsid w:val="00242429"/>
    <w:rsid w:val="00267709"/>
    <w:rsid w:val="00281EF3"/>
    <w:rsid w:val="002847EA"/>
    <w:rsid w:val="00290E89"/>
    <w:rsid w:val="00291116"/>
    <w:rsid w:val="002B1871"/>
    <w:rsid w:val="002C282B"/>
    <w:rsid w:val="002D4D2D"/>
    <w:rsid w:val="002F04F3"/>
    <w:rsid w:val="002F1685"/>
    <w:rsid w:val="00334971"/>
    <w:rsid w:val="00366374"/>
    <w:rsid w:val="00380FEE"/>
    <w:rsid w:val="003A40E3"/>
    <w:rsid w:val="003B0259"/>
    <w:rsid w:val="003B533E"/>
    <w:rsid w:val="003C1BEE"/>
    <w:rsid w:val="003C40FB"/>
    <w:rsid w:val="003D0933"/>
    <w:rsid w:val="003D34F7"/>
    <w:rsid w:val="003D5BA6"/>
    <w:rsid w:val="003F3A1C"/>
    <w:rsid w:val="003F4182"/>
    <w:rsid w:val="003F5C12"/>
    <w:rsid w:val="003F68D9"/>
    <w:rsid w:val="00407DFD"/>
    <w:rsid w:val="004327BB"/>
    <w:rsid w:val="004379F8"/>
    <w:rsid w:val="00446B3B"/>
    <w:rsid w:val="00454CF1"/>
    <w:rsid w:val="004629E1"/>
    <w:rsid w:val="00475BBF"/>
    <w:rsid w:val="00476B81"/>
    <w:rsid w:val="00491D63"/>
    <w:rsid w:val="00496819"/>
    <w:rsid w:val="004C76BD"/>
    <w:rsid w:val="004E16B2"/>
    <w:rsid w:val="004E66C9"/>
    <w:rsid w:val="005057E6"/>
    <w:rsid w:val="0050693B"/>
    <w:rsid w:val="00515BB0"/>
    <w:rsid w:val="00565F62"/>
    <w:rsid w:val="005701B5"/>
    <w:rsid w:val="005A485D"/>
    <w:rsid w:val="005C183A"/>
    <w:rsid w:val="005E2F1E"/>
    <w:rsid w:val="006032D4"/>
    <w:rsid w:val="006254B6"/>
    <w:rsid w:val="00630EB0"/>
    <w:rsid w:val="00640079"/>
    <w:rsid w:val="00657656"/>
    <w:rsid w:val="0067441F"/>
    <w:rsid w:val="006B2E3A"/>
    <w:rsid w:val="006C3736"/>
    <w:rsid w:val="006E4061"/>
    <w:rsid w:val="006E66BB"/>
    <w:rsid w:val="007263BB"/>
    <w:rsid w:val="007326A9"/>
    <w:rsid w:val="00746AA1"/>
    <w:rsid w:val="0075090F"/>
    <w:rsid w:val="007672FE"/>
    <w:rsid w:val="007C64A8"/>
    <w:rsid w:val="007F4848"/>
    <w:rsid w:val="00800A81"/>
    <w:rsid w:val="00822E20"/>
    <w:rsid w:val="0086199A"/>
    <w:rsid w:val="008806F5"/>
    <w:rsid w:val="00895743"/>
    <w:rsid w:val="008A3711"/>
    <w:rsid w:val="008B1D0D"/>
    <w:rsid w:val="008B1F1C"/>
    <w:rsid w:val="008B7218"/>
    <w:rsid w:val="008F1AB5"/>
    <w:rsid w:val="009115E8"/>
    <w:rsid w:val="00912A8E"/>
    <w:rsid w:val="009301A7"/>
    <w:rsid w:val="00933B99"/>
    <w:rsid w:val="00945FB6"/>
    <w:rsid w:val="009506E8"/>
    <w:rsid w:val="0095277F"/>
    <w:rsid w:val="00964586"/>
    <w:rsid w:val="00964A76"/>
    <w:rsid w:val="00985AE1"/>
    <w:rsid w:val="00992255"/>
    <w:rsid w:val="009B1A5A"/>
    <w:rsid w:val="009D0E74"/>
    <w:rsid w:val="009E39B8"/>
    <w:rsid w:val="009E6BD2"/>
    <w:rsid w:val="00A1549D"/>
    <w:rsid w:val="00A160A5"/>
    <w:rsid w:val="00A206D7"/>
    <w:rsid w:val="00A21D45"/>
    <w:rsid w:val="00A42042"/>
    <w:rsid w:val="00A53EA1"/>
    <w:rsid w:val="00A63740"/>
    <w:rsid w:val="00A70002"/>
    <w:rsid w:val="00A73C58"/>
    <w:rsid w:val="00A7703B"/>
    <w:rsid w:val="00A93E6E"/>
    <w:rsid w:val="00AB6DC5"/>
    <w:rsid w:val="00AD4213"/>
    <w:rsid w:val="00AD4809"/>
    <w:rsid w:val="00AE4372"/>
    <w:rsid w:val="00AF1460"/>
    <w:rsid w:val="00AF5C9A"/>
    <w:rsid w:val="00B429C7"/>
    <w:rsid w:val="00B46DB6"/>
    <w:rsid w:val="00B525BC"/>
    <w:rsid w:val="00B62CFC"/>
    <w:rsid w:val="00B70BA9"/>
    <w:rsid w:val="00B9106A"/>
    <w:rsid w:val="00B93003"/>
    <w:rsid w:val="00BA3B15"/>
    <w:rsid w:val="00BB05F6"/>
    <w:rsid w:val="00BB1357"/>
    <w:rsid w:val="00C000A5"/>
    <w:rsid w:val="00C0339A"/>
    <w:rsid w:val="00C1451B"/>
    <w:rsid w:val="00C24182"/>
    <w:rsid w:val="00C272DF"/>
    <w:rsid w:val="00C42D62"/>
    <w:rsid w:val="00C74471"/>
    <w:rsid w:val="00C77A38"/>
    <w:rsid w:val="00CA6ED8"/>
    <w:rsid w:val="00CB0B27"/>
    <w:rsid w:val="00CB4664"/>
    <w:rsid w:val="00CB6CD9"/>
    <w:rsid w:val="00CC6C96"/>
    <w:rsid w:val="00CD2B1D"/>
    <w:rsid w:val="00CE3EF9"/>
    <w:rsid w:val="00CF7A2E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A1521"/>
    <w:rsid w:val="00DB1A06"/>
    <w:rsid w:val="00DC7E61"/>
    <w:rsid w:val="00E1028E"/>
    <w:rsid w:val="00E16C03"/>
    <w:rsid w:val="00E23E63"/>
    <w:rsid w:val="00E521F8"/>
    <w:rsid w:val="00E571D4"/>
    <w:rsid w:val="00E614AD"/>
    <w:rsid w:val="00E74060"/>
    <w:rsid w:val="00E80025"/>
    <w:rsid w:val="00E80DF3"/>
    <w:rsid w:val="00E837D8"/>
    <w:rsid w:val="00EA318F"/>
    <w:rsid w:val="00EA7239"/>
    <w:rsid w:val="00EC7926"/>
    <w:rsid w:val="00ED2791"/>
    <w:rsid w:val="00ED32BF"/>
    <w:rsid w:val="00EF1EC1"/>
    <w:rsid w:val="00EF4FA1"/>
    <w:rsid w:val="00EF5ABA"/>
    <w:rsid w:val="00F36CF1"/>
    <w:rsid w:val="00F4132A"/>
    <w:rsid w:val="00F425D7"/>
    <w:rsid w:val="00F43C96"/>
    <w:rsid w:val="00F45B0F"/>
    <w:rsid w:val="00F602DC"/>
    <w:rsid w:val="00F64E5E"/>
    <w:rsid w:val="00F77236"/>
    <w:rsid w:val="00F90462"/>
    <w:rsid w:val="00F90ADD"/>
    <w:rsid w:val="00F94FBC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1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1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DC22-B28E-4447-B400-33C9E0C0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Marcinková, Vladimíra, (asistent)</cp:lastModifiedBy>
  <cp:revision>13</cp:revision>
  <cp:lastPrinted>2025-06-27T07:33:00Z</cp:lastPrinted>
  <dcterms:created xsi:type="dcterms:W3CDTF">2025-06-06T13:46:00Z</dcterms:created>
  <dcterms:modified xsi:type="dcterms:W3CDTF">2025-06-27T07:36:00Z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