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C77B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54B5EAD6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0EB075FE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215955D4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2243E537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71A02000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26BA2F98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2BDFF69E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37C45361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28270B1C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05859282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1EAF138C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7C3C4F30" w14:textId="77777777" w:rsidR="008A49A8" w:rsidRDefault="008A49A8" w:rsidP="00A608B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7"/>
        </w:rPr>
      </w:pPr>
    </w:p>
    <w:p w14:paraId="7A433273" w14:textId="4F43258E" w:rsidR="00A608BA" w:rsidRPr="00D54C4B" w:rsidRDefault="00A608BA" w:rsidP="00A60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z</w:t>
      </w:r>
      <w:r w:rsidR="00860F1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 10. júna </w:t>
      </w:r>
      <w:r w:rsidRPr="00D54C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2025,</w:t>
      </w:r>
    </w:p>
    <w:p w14:paraId="7EF3618E" w14:textId="77777777" w:rsidR="00A608BA" w:rsidRPr="00D54C4B" w:rsidRDefault="00A608BA" w:rsidP="00A608BA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FCD8E15" w14:textId="32EA8882" w:rsidR="00D509BD" w:rsidRDefault="00D5045E" w:rsidP="00D5045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5045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ktorým sa mení a dopĺňa zákon č. 553/2003 Z. z. o odmeňovaní niektorých zamestnancov pri výkone práce vo verejnom záujme a o zmene a doplnení niektorých zákonov v znení neskorších predpisov a ktorým sa mení a dopĺňa zákon č. 138/2019 Z. z. o pedagogických zamestnancoch a odborných zamestnancoch a o zmene a doplnení niektorých zákonov v znení neskorších predpisov</w:t>
      </w:r>
    </w:p>
    <w:p w14:paraId="5A9CEED9" w14:textId="77777777" w:rsidR="00D5045E" w:rsidRPr="00D54C4B" w:rsidRDefault="00D5045E" w:rsidP="00D509B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F2754BC" w14:textId="77777777" w:rsidR="00A608BA" w:rsidRPr="00D54C4B" w:rsidRDefault="00A608BA" w:rsidP="00A608B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14:paraId="02EA971A" w14:textId="77777777" w:rsidR="00A608BA" w:rsidRPr="00D54C4B" w:rsidRDefault="00A608BA" w:rsidP="00A608BA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CB37C03" w14:textId="77777777" w:rsidR="00A608BA" w:rsidRPr="00D54C4B" w:rsidRDefault="00A608BA" w:rsidP="00A608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Čl. I</w:t>
      </w:r>
    </w:p>
    <w:p w14:paraId="56CB8E22" w14:textId="77777777" w:rsidR="00A608BA" w:rsidRPr="00D54C4B" w:rsidRDefault="00A608B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F7912" w14:textId="1FF4B702" w:rsidR="006F1689" w:rsidRPr="00D54C4B" w:rsidRDefault="006F1689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Zákon č. 553/2003 Z. z. o odmeňovaní niektorých zamestnancov pri výkone práce vo verejnom záujme a o zmene a doplnení niektorých zákonov v znení zákona č. 369/2004 Z. z., zákona č. 81/2005 Z. z., zákona č. 131/2005 Z. z., zákona č. 628/2005 Z. z., zákona č. 231/2006 Z. z., zákona č. 348/2007 Z. z., zákona č. 519/2007 Z. z., zákona č. 385/2008 Z. z., zákona č. 474/2008 Z. z., zákona č. 317/2009 Z. z., zákona č. 400/2009 Z. z., zákona č. 102/2010 Z. z., zákona č. 151/2010 Z. z., zákona č. 390/2011 Z. z., zákona č. 62/2012 Z. z., zákona č. 438/2012 Z. z., nálezu Ústavného súdu Slovenskej republiky č. 288/2013 Z. z., zákona č. 462/2013 Z. z., zákona č. 325/2014 Z. z., zákona č. 32/2015 Z. z., zákona č. 392/2015 Z. z., zákona č. 217/2016 Z. z., zákona č. 243/2017 Z. z., zákona č. 63/2018 Z. z., zákona č. 318/2018 Z. z., zákona č. 138/2019 Z. z., zákona č. 224/2019 Z. z., zákona č. 381/2019 Z. z., zákona č. 470/2019 Z. z., zákona č. 395/2021 Z. z., zákona č. 414/2021 Z. z., zákona č. 264/2022 Z. z., zákona č. 389/2022 Z. z., zákona č. 182/2023 Z. z.</w:t>
      </w:r>
      <w:r w:rsidR="009E359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zákona č. 295/2024 Z. z.</w:t>
      </w:r>
      <w:r w:rsidR="00EF2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9E359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376/2024 Z. z. </w:t>
      </w:r>
      <w:bookmarkStart w:id="0" w:name="_GoBack"/>
      <w:bookmarkEnd w:id="0"/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5A0223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mení a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dopĺňa takto:</w:t>
      </w:r>
    </w:p>
    <w:p w14:paraId="23449011" w14:textId="77777777" w:rsidR="00A10E06" w:rsidRPr="00D54C4B" w:rsidRDefault="00A10E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79E91" w14:textId="3F5AE734" w:rsidR="006B0FE8" w:rsidRPr="00D54C4B" w:rsidRDefault="006B0FE8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4 sa odsek 1 dopĺňa </w:t>
      </w:r>
      <w:r w:rsidR="004164AE" w:rsidRPr="004164AE">
        <w:rPr>
          <w:rFonts w:ascii="Times New Roman" w:hAnsi="Times New Roman" w:cs="Times New Roman"/>
          <w:color w:val="000000" w:themeColor="text1"/>
          <w:sz w:val="24"/>
          <w:szCs w:val="24"/>
        </w:rPr>
        <w:t>písmenom y)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ktoré </w:t>
      </w:r>
      <w:r w:rsidR="00BB5D3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znie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46AD19A" w14:textId="77777777" w:rsidR="00A10E06" w:rsidRPr="00D54C4B" w:rsidRDefault="00A10E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F7F23D" w14:textId="1D647D4D" w:rsidR="006B0FE8" w:rsidRPr="00D54C4B" w:rsidRDefault="006B0FE8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4164AE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D7DC8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) príplatok za hodnotenie pedagogického zamestnanca a odborného zamestnanca.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0314DA37" w14:textId="77777777" w:rsidR="00A10E06" w:rsidRPr="00D54C4B" w:rsidRDefault="00A10E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FFFECB" w14:textId="3327AA6C" w:rsidR="00055496" w:rsidRPr="00466497" w:rsidRDefault="00055496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>V § 4 ods. 4 prvej vete sa slová „v) a x)“ nahrádzajú slovami „v), x) a </w:t>
      </w:r>
      <w:r w:rsidR="004164AE" w:rsidRPr="004164AE">
        <w:rPr>
          <w:rFonts w:ascii="Times New Roman" w:hAnsi="Times New Roman" w:cs="Times New Roman"/>
          <w:color w:val="000000" w:themeColor="text1"/>
          <w:sz w:val="24"/>
          <w:szCs w:val="24"/>
        </w:rPr>
        <w:t>y)</w:t>
      </w:r>
      <w:r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2711CB0E" w14:textId="77777777" w:rsidR="00055496" w:rsidRDefault="00055496" w:rsidP="00055496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043178" w14:textId="1FD0DA16" w:rsidR="00786776" w:rsidRPr="005F3101" w:rsidRDefault="00786776" w:rsidP="0074751C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7 ods. </w:t>
      </w:r>
      <w:r w:rsidR="00B62045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za </w:t>
      </w:r>
      <w:r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tret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iu</w:t>
      </w:r>
      <w:r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vkladá nová štvrtá veta, ktorá znie: „Osobitná stupnica platových taríf zamestnancov pri výkone práce vo verejnom záujme, ktorí </w:t>
      </w:r>
      <w:r w:rsidR="00361C44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vykonávajú </w:t>
      </w:r>
      <w:r w:rsidR="009414FB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pracovné </w:t>
      </w:r>
      <w:r w:rsidR="00361C44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činnosti 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v škole, školskom zariadení</w:t>
      </w:r>
      <w:r w:rsidR="005F3101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, centre pre deti a rodiny, rehabilitačnom stredisku pre zrakovo postihnutých zriadenom Ministerstvom práce,</w:t>
      </w:r>
      <w:r w:rsid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101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sociálnych vecí a rodiny Slovenskej republiky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na vysokej škole</w:t>
      </w:r>
      <w:r w:rsidR="00CE2AFE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nie sú pedagogickými 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zamestnancami, odbornými zamestnancami alebo učiteľmi vysokých škôl a výskumnými a vývojovými zamestnancami (ďalej len „nepedagogickí zamestnanci“)</w:t>
      </w:r>
      <w:r w:rsidR="007301B3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236BC" w:rsidRPr="005F3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uvedená v prílohe č. 3a.“.</w:t>
      </w:r>
    </w:p>
    <w:p w14:paraId="05EA98FF" w14:textId="77777777" w:rsidR="001236BC" w:rsidRPr="00D54C4B" w:rsidRDefault="001236BC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FC354C" w14:textId="0D6533BF" w:rsidR="006B0FE8" w:rsidRPr="00D54C4B" w:rsidRDefault="006B0FE8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Za § 13b sa vkladá § 13c, ktorý vrátane nadpisu znie:</w:t>
      </w:r>
    </w:p>
    <w:p w14:paraId="51B27F3F" w14:textId="77777777" w:rsidR="00D864E4" w:rsidRDefault="00D864E4" w:rsidP="00D864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07A2A6" w14:textId="0D7EBA01" w:rsidR="006B0FE8" w:rsidRPr="00D54C4B" w:rsidRDefault="00133717" w:rsidP="00D864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„§ 13c</w:t>
      </w:r>
    </w:p>
    <w:p w14:paraId="7AF7C212" w14:textId="77777777" w:rsidR="00133717" w:rsidRPr="00D54C4B" w:rsidRDefault="00133717" w:rsidP="00A10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Príplatok za hodnotenie pedagogického zamestnanca a odborného zamestnanca</w:t>
      </w:r>
    </w:p>
    <w:p w14:paraId="0DDD31D7" w14:textId="77777777" w:rsidR="00A10E06" w:rsidRPr="00D54C4B" w:rsidRDefault="00A10E06" w:rsidP="00A10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DBDF9" w14:textId="7BF05C20" w:rsidR="00CB1FA6" w:rsidRPr="00D54C4B" w:rsidRDefault="00092437" w:rsidP="006929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Pedagogickému zamestnancovi alebo odbornému zamestnancovi, ktorý </w:t>
      </w:r>
      <w:r w:rsidR="004F2D9B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získal v hodnotení výsledok</w:t>
      </w:r>
      <w:r w:rsidR="00C2166A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4A3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vynikajúc</w:t>
      </w:r>
      <w:r w:rsidR="00182DF5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BC4A3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úrov</w:t>
      </w:r>
      <w:r w:rsidR="00182DF5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eň</w:t>
      </w:r>
      <w:r w:rsidR="00BC4A3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DF5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kvalita </w:t>
      </w:r>
      <w:r w:rsidR="00BC4A3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alebo </w:t>
      </w:r>
      <w:r w:rsidR="00C2166A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veľmi dobr</w:t>
      </w:r>
      <w:r w:rsidR="00182DF5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C2166A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úrov</w:t>
      </w:r>
      <w:r w:rsidR="00182DF5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eň a kvalita</w:t>
      </w:r>
      <w:r w:rsidR="00C2166A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371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podľa osobitného predpisu</w:t>
      </w:r>
      <w:r w:rsidR="004F2D9B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0500F" w:rsidRPr="00D54C4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30ab</w:t>
      </w:r>
      <w:r w:rsidR="0013371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F2D9B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patrí príplatok za hodnotenie pedagogického zamestnanca a odborného zamestnanca najmenej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E48C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sume</w:t>
      </w:r>
      <w:r w:rsidR="002E48C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uvedenej v prílohe č</w:t>
      </w:r>
      <w:r w:rsidR="00CB1FA6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E48C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</w:t>
      </w:r>
      <w:r w:rsidR="00EC75A4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ED1536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najviac</w:t>
      </w:r>
      <w:r w:rsidR="00EC75A4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13371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sume </w:t>
      </w:r>
      <w:r w:rsidR="00BD1806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3371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F2D9B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</w:t>
      </w:r>
      <w:r w:rsidR="00822B73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CB1FA6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platovej tarify platovej triedy a pracovnej triedy, do ktorej je zaradený.</w:t>
      </w:r>
      <w:r w:rsidR="00931443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5207" w:rsidRPr="00D75207">
        <w:rPr>
          <w:rFonts w:ascii="Times New Roman" w:hAnsi="Times New Roman" w:cs="Times New Roman"/>
          <w:color w:val="000000" w:themeColor="text1"/>
          <w:sz w:val="24"/>
          <w:szCs w:val="24"/>
        </w:rPr>
        <w:t>V  odôvodnenom prípade hodnom osobitného zreteľa možno priznať príplatok za hodnotenie pedagogického zamestnanca a odborného zamestnanca aj pedagogickému zamestnancovi alebo odbornému zamestnancovi, ktorý získal v hodnotení podľa osobitného predpisu</w:t>
      </w:r>
      <w:r w:rsidR="00D75207" w:rsidRPr="00D7520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30ab</w:t>
      </w:r>
      <w:r w:rsidR="00D75207" w:rsidRPr="00D75207">
        <w:rPr>
          <w:rFonts w:ascii="Times New Roman" w:hAnsi="Times New Roman" w:cs="Times New Roman"/>
          <w:color w:val="000000" w:themeColor="text1"/>
          <w:sz w:val="24"/>
          <w:szCs w:val="24"/>
        </w:rPr>
        <w:t>) výsledok štandardná úroveň a kvalita, najviac v sume 25 % z platovej tarify platovej triedy a pracovnej triedy, do ktorej je zaradený.</w:t>
      </w:r>
      <w:r w:rsidR="00D752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F4A" w:rsidRPr="00643F4A">
        <w:rPr>
          <w:rFonts w:ascii="Times New Roman" w:hAnsi="Times New Roman" w:cs="Times New Roman"/>
          <w:color w:val="000000" w:themeColor="text1"/>
          <w:sz w:val="24"/>
          <w:szCs w:val="24"/>
        </w:rPr>
        <w:t>Priznaním príplatku za hodnotenie pedagogického zamestnanca a odborného zamestnanca nie je dotknutý osobný príplatok podľa § 10.</w:t>
      </w:r>
      <w:r w:rsidR="00643F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443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Pravidlá </w:t>
      </w:r>
      <w:r w:rsidR="009F49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 </w:t>
      </w:r>
      <w:r w:rsidR="00931443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prizn</w:t>
      </w:r>
      <w:r w:rsidR="009F4976">
        <w:rPr>
          <w:rFonts w:ascii="Times New Roman" w:hAnsi="Times New Roman" w:cs="Times New Roman"/>
          <w:color w:val="000000" w:themeColor="text1"/>
          <w:sz w:val="24"/>
          <w:szCs w:val="24"/>
        </w:rPr>
        <w:t>anie</w:t>
      </w:r>
      <w:r w:rsidR="00931443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príplatku za hodnotenie pedagogického zamestnanca a odborného zamestnanca prerokuje riaditeľ v pedagogickej rade, ak je zriadená.</w:t>
      </w:r>
    </w:p>
    <w:p w14:paraId="64FDF47D" w14:textId="77777777" w:rsidR="00A10E06" w:rsidRPr="00D54C4B" w:rsidRDefault="00A10E06" w:rsidP="00837B0F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9942FD" w14:textId="3DE0C9E8" w:rsidR="005A08F9" w:rsidRPr="00D54C4B" w:rsidRDefault="004F2D9B" w:rsidP="006929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Príplatok za hodnotenie pedagogického zamestnanca a odborného zamestnanca prizná </w:t>
      </w:r>
      <w:r w:rsidR="005A08F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zamestnávateľ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prvého dňa </w:t>
      </w:r>
      <w:r w:rsidR="001519AC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kalendárneho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mesiaca nasledujúceho po mesiaci, v ktorom </w:t>
      </w:r>
      <w:r w:rsidR="005A08F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bolo </w:t>
      </w:r>
      <w:r w:rsidR="00BD1806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vykonané </w:t>
      </w:r>
      <w:r w:rsidR="005A08F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hodnotenie. Riaditeľovi školy alebo </w:t>
      </w:r>
      <w:r w:rsidR="00E0698F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riaditeľovi </w:t>
      </w:r>
      <w:r w:rsidR="005A08F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školského zariadenia prizná príplatok za hodnotenie pedagogického zamestnanca a odborného zamestnanca </w:t>
      </w:r>
      <w:r w:rsidR="00A22A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prvej vety </w:t>
      </w:r>
      <w:r w:rsidR="005A08F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zriaďovateľ.</w:t>
      </w:r>
      <w:r w:rsidR="00931443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BABCD1B" w14:textId="77777777" w:rsidR="00A10E06" w:rsidRPr="00D54C4B" w:rsidRDefault="00A10E06" w:rsidP="00837B0F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A1FF3" w14:textId="3FD03DF6" w:rsidR="00E17179" w:rsidRPr="00466497" w:rsidRDefault="00E17179" w:rsidP="00E1717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pedagogický zamestnanec alebo odborný zamestnanec nevykonáva prácu z dôvodu materskej dovolenky, otcovskej dovolenky alebo rodičovskej dovolenky, zamestnávateľ mu prizná príplatok za hodnotenie pedagogického zamestnanca a odborného zamestnanca od prvého dňa návratu do práce podľa sumy, ktorá mu bola priznaná </w:t>
      </w:r>
      <w:r w:rsidR="00453831"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>na základe</w:t>
      </w:r>
      <w:r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posledn</w:t>
      </w:r>
      <w:r w:rsidR="00453831"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>ého</w:t>
      </w:r>
      <w:r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vykonan</w:t>
      </w:r>
      <w:r w:rsidR="00453831"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>ého</w:t>
      </w:r>
      <w:r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hodnoten</w:t>
      </w:r>
      <w:r w:rsidR="00453831"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Pr="004664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zohľadňuje dobu vyplácania príplatku za hodnotenie pedagogického zamestnanca a odborného zamestnanca pred nástupom na materskú dovolenku, otcovskú dovolenku alebo na rodičovskú dovolenku.</w:t>
      </w:r>
    </w:p>
    <w:p w14:paraId="74E6FDCA" w14:textId="77777777" w:rsidR="00E17179" w:rsidRDefault="00E17179" w:rsidP="00E17179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E885EA" w14:textId="17C82959" w:rsidR="005A08F9" w:rsidRPr="00D54C4B" w:rsidRDefault="005A08F9" w:rsidP="006929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Príplatok za hodnotenie pedagogického zamestnanca a odborného zamestnanca zamestnávateľ vypláca </w:t>
      </w:r>
      <w:r w:rsidR="005E26FE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posledného dňa mesiaca, v ktorom </w:t>
      </w:r>
      <w:r w:rsidR="0089631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sa vykoná</w:t>
      </w:r>
      <w:r w:rsidR="005E26FE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E2F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nové</w:t>
      </w:r>
      <w:r w:rsidR="005E26FE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hodnotenie pedagogického zamestnanca alebo odborného zamestnanca</w:t>
      </w:r>
      <w:r w:rsidR="00D64E8A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445D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</w:t>
      </w:r>
      <w:r w:rsidR="00D53FA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="00D445D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vykoná </w:t>
      </w:r>
      <w:r w:rsidR="00F17E2F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nové </w:t>
      </w:r>
      <w:r w:rsidR="00D445D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hodnotenie pedagogického zamestnanca alebo odborného zamestnanca po uplynutí 12 mesiacov od </w:t>
      </w:r>
      <w:r w:rsidR="00F17E2F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predchádzajúceho</w:t>
      </w:r>
      <w:r w:rsidR="00D445D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hodnotenia, príplatok za hodnotenie pedagogického zamestnanca a odborného zamestnanca </w:t>
      </w:r>
      <w:r w:rsidR="005840BE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 w:rsidR="00F17E2F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vypláca počas</w:t>
      </w:r>
      <w:r w:rsidR="00D445D2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12 mesiacov. </w:t>
      </w:r>
    </w:p>
    <w:p w14:paraId="5B661449" w14:textId="77777777" w:rsidR="00A10E06" w:rsidRPr="00D54C4B" w:rsidRDefault="00A10E06" w:rsidP="00837B0F">
      <w:pPr>
        <w:pStyle w:val="Odsekzoznamu"/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509C9" w14:textId="65D07F8F" w:rsidR="005A08F9" w:rsidRPr="00D54C4B" w:rsidRDefault="00112ECA" w:rsidP="006929D1">
      <w:pPr>
        <w:pStyle w:val="Odsekzoznamu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pedagogický zamestnanec alebo odborný </w:t>
      </w:r>
      <w:r w:rsidRPr="00112ECA">
        <w:rPr>
          <w:rFonts w:ascii="Times New Roman" w:hAnsi="Times New Roman" w:cs="Times New Roman"/>
          <w:color w:val="000000" w:themeColor="text1"/>
          <w:sz w:val="24"/>
          <w:szCs w:val="24"/>
        </w:rPr>
        <w:t>zamestnanec nastúpi do pracovného pomeru k inému zamestnávateľovi</w:t>
      </w:r>
      <w:r w:rsidR="00560A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nepatrí mu príplatok za hodnotenie pedagogického zamestnanca a odborného zamestnanca, ktorý priznal predchádzajúci zamestnávateľ; to neplatí</w:t>
      </w:r>
      <w:r w:rsidR="00305EE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2E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ide o prechod práv a povinností z pracovnoprávnych vzťahov podľa § 28 ods. 1 Zákonníka práce</w:t>
      </w:r>
      <w:r w:rsidR="006255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08F9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F558FD" w14:textId="77777777" w:rsidR="00A10E06" w:rsidRPr="00D54C4B" w:rsidRDefault="00A10E06" w:rsidP="00837B0F">
      <w:pPr>
        <w:pStyle w:val="Odsekzoznamu"/>
        <w:spacing w:after="0" w:line="240" w:lineRule="auto"/>
        <w:ind w:left="284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3713C5" w14:textId="13C1B499" w:rsidR="00135230" w:rsidRPr="00D5045E" w:rsidRDefault="00DE40A3" w:rsidP="009717A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230">
        <w:rPr>
          <w:rFonts w:ascii="Times New Roman" w:hAnsi="Times New Roman" w:cs="Times New Roman"/>
          <w:color w:val="000000" w:themeColor="text1"/>
          <w:sz w:val="24"/>
          <w:szCs w:val="24"/>
        </w:rPr>
        <w:t>Zamestnávateľ odoberie príplatok za hodnotenie pedagogického zamestnanca a odborného zamestnanca od prvého dňa mesiaca nasledujúceho po mesiaci, v</w:t>
      </w:r>
      <w:r w:rsidR="00A72705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35230">
        <w:rPr>
          <w:rFonts w:ascii="Times New Roman" w:hAnsi="Times New Roman" w:cs="Times New Roman"/>
          <w:color w:val="000000" w:themeColor="text1"/>
          <w:sz w:val="24"/>
          <w:szCs w:val="24"/>
        </w:rPr>
        <w:t>ktorom</w:t>
      </w:r>
      <w:r w:rsidR="00A727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</w:t>
      </w:r>
      <w:r w:rsidR="00A72705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zamestnávateľ dozvedel, že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pedagogický zamestnanec alebo odborný zamestnanec porušil závažne pracovnú disciplínu</w:t>
      </w:r>
      <w:r w:rsidR="00643F4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43F4A" w:rsidRPr="00643F4A">
        <w:rPr>
          <w:rFonts w:ascii="Times New Roman" w:hAnsi="Times New Roman"/>
          <w:sz w:val="24"/>
          <w:szCs w:val="24"/>
        </w:rPr>
        <w:t xml:space="preserve"> </w:t>
      </w:r>
      <w:r w:rsidR="00643F4A" w:rsidRPr="00643F4A">
        <w:rPr>
          <w:rFonts w:ascii="Times New Roman" w:hAnsi="Times New Roman" w:cs="Times New Roman"/>
          <w:color w:val="000000" w:themeColor="text1"/>
          <w:sz w:val="24"/>
          <w:szCs w:val="24"/>
        </w:rPr>
        <w:t>alebo ho môže odobrať, ak pedagogický zamestnanec alebo odborný zamestnanec menej závažne porušil pracovnú disciplínu.</w:t>
      </w:r>
      <w:r w:rsidR="00135230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Riaditeľovi školy alebo riaditeľovi školského zariadenia odoberie príplatok za hodnotenie pedagogického zamestnanca a odborného zamestnanca podľa prvej vety zriaďovateľ. </w:t>
      </w:r>
    </w:p>
    <w:p w14:paraId="74C626E5" w14:textId="77777777" w:rsidR="00A10E06" w:rsidRPr="00D5045E" w:rsidRDefault="00A10E06" w:rsidP="00837B0F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CF2430" w14:textId="071B1F89" w:rsidR="00642B68" w:rsidRPr="00D5045E" w:rsidRDefault="005A08F9" w:rsidP="006929D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Príplatok za hodnotenie pedagogického zamestnanca a odborného zamestnanca sa určí pevnou sumou zaokrúhlenou na 50 eurocentov nahor.</w:t>
      </w:r>
      <w:r w:rsidR="00DE40A3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55AC2F29" w14:textId="77777777" w:rsidR="00A10E06" w:rsidRPr="00D5045E" w:rsidRDefault="00A10E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9A1D1F" w14:textId="21DE4726" w:rsidR="00133717" w:rsidRPr="00D5045E" w:rsidRDefault="00133717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Poznámka pod čiarou k odkazu </w:t>
      </w:r>
      <w:r w:rsidR="0090500F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30ab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znie:</w:t>
      </w:r>
    </w:p>
    <w:p w14:paraId="385C1750" w14:textId="19145FDE" w:rsidR="00133717" w:rsidRPr="00D5045E" w:rsidRDefault="00133717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90500F" w:rsidRPr="00D5045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30ab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D1806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70 ods. </w:t>
      </w:r>
      <w:r w:rsidR="00B62045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D1806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písm. a) a b) zákona č. 138/2019 Z. z. v znení zákona č .../2025 Z. z.“.</w:t>
      </w:r>
    </w:p>
    <w:p w14:paraId="3DAE92CD" w14:textId="77777777" w:rsidR="00D54C4B" w:rsidRPr="00D5045E" w:rsidRDefault="00D54C4B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5774D3" w14:textId="30B6CDB7" w:rsidR="00F373D4" w:rsidRDefault="00F373D4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23 </w:t>
      </w:r>
      <w:r w:rsidR="00D54FFA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ods. 1 písm. a)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4FFA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sa za slová „č. 3“ vkladajú slová „a osobitnú stupnicu platových taríf nepedagogických zamestnancov uvedenú v prílohe č. 3a“.</w:t>
      </w:r>
    </w:p>
    <w:p w14:paraId="6FFEA0E5" w14:textId="77777777" w:rsidR="008A49A8" w:rsidRPr="00D5045E" w:rsidRDefault="008A49A8" w:rsidP="008A49A8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3F4D45" w14:textId="2A2980D8" w:rsidR="00DE40A3" w:rsidRPr="00D5045E" w:rsidRDefault="00DE40A3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28 odsek 1 </w:t>
      </w:r>
      <w:r w:rsidR="00C7695A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znie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C8429D4" w14:textId="77777777" w:rsidR="00A10E06" w:rsidRPr="00D5045E" w:rsidRDefault="00A10E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459B16" w14:textId="1392EE99" w:rsidR="00DE40A3" w:rsidRPr="00D5045E" w:rsidRDefault="00DE40A3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„(1) </w:t>
      </w:r>
      <w:r w:rsidR="00900B42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Nariadenie vlády ustanoví zvýšené stupnice platových taríf alebo zvýšené sumy príplatku za hodnotenie pedagogického zamestnanca a odborného zamestnanca a termín ich účinnosti v nadväznosti na kolektívnu zmluvu vyššieho stupňa</w:t>
      </w:r>
      <w:r w:rsidR="00D3183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900B42" w:rsidRPr="00D5045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36</w:t>
      </w:r>
      <w:r w:rsidR="00900B42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) to neplatí pre platové tarify zamestnancov pri výkone práce vo verejnom záujme v zahraničí, platové tarify nepedagogických zamestnancov v zahraničí, platové tarify pedagogických zamestnancov a odborných zamestnancov v zahraničí a platové tarify učiteľov vysokých škôl a výskumných a vývojových zamestnancov v zahraničí. Ak sa zvýšenie platových taríf alebo zvýšenie súm príplatku za hodnotenie pedagogického zamestnanca a odborného zamestnanca nedohodne v kolektívnej zmluve vyššieho stupňa, rozsah ich zvýšenia a termín účinnosti sa ustanoví v zákone o štátnom rozpočte.“.</w:t>
      </w:r>
    </w:p>
    <w:p w14:paraId="7A5B5236" w14:textId="77777777" w:rsidR="00C7695A" w:rsidRPr="00D5045E" w:rsidRDefault="00C7695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DDCCD" w14:textId="51DD6C4C" w:rsidR="00C7695A" w:rsidRPr="00D5045E" w:rsidRDefault="00C7695A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V § 28 ods. 2 druhej vete sa slová „č. 4“ nahrádzajú slovami „č. 3a, 4“.</w:t>
      </w:r>
    </w:p>
    <w:p w14:paraId="369071F5" w14:textId="77777777" w:rsidR="00D54C4B" w:rsidRPr="00D5045E" w:rsidRDefault="00D54C4B" w:rsidP="00D54C4B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132E16" w14:textId="79DB1E91" w:rsidR="00C7695A" w:rsidRPr="00D5045E" w:rsidRDefault="00C7695A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28 odsek 2 znie: </w:t>
      </w:r>
    </w:p>
    <w:p w14:paraId="57DBB71D" w14:textId="77777777" w:rsidR="00C7695A" w:rsidRPr="00D5045E" w:rsidRDefault="00C7695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CCB6C" w14:textId="77777777" w:rsidR="00DE40A3" w:rsidRPr="00D5045E" w:rsidRDefault="00C7695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DE40A3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Zvýšené platové tarify vo zvýšených stupniciach platových taríf a zvýšené sumy príplatku za hodnotenie pedagogického zamestnanca a odborného zamestnanca sa zaokrúhľujú na 50 eurocentov nahor. Základná stupnica platových taríf uvedená v prílohe č. 3, osobitné stupnice platových taríf uvedené v prílohách č. 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3a, </w:t>
      </w:r>
      <w:r w:rsidR="00DE40A3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4 a 5 a sumy príplatku za hodnotenie pedagogického zamestnanca a odborného zamestnanca uvedené v prílohe č. 4 strácajú platnosť ustanovením zvýšených stupníc platových taríf alebo zvýšených súm príplatku za hodnotenie pedagogického zamestnanca a odborného zamestnanca podľa odseku 1.“.</w:t>
      </w:r>
    </w:p>
    <w:p w14:paraId="3CE4C527" w14:textId="77777777" w:rsidR="00A10E06" w:rsidRPr="00D5045E" w:rsidRDefault="00A10E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1EA860" w14:textId="06D80E25" w:rsidR="0008062E" w:rsidRDefault="00D3183A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3A">
        <w:rPr>
          <w:rFonts w:ascii="Times New Roman" w:hAnsi="Times New Roman" w:cs="Times New Roman"/>
          <w:color w:val="000000" w:themeColor="text1"/>
          <w:sz w:val="24"/>
          <w:szCs w:val="24"/>
        </w:rPr>
        <w:t>Za § 28 sa vkladá § 28a, ktorý znie:</w:t>
      </w:r>
    </w:p>
    <w:p w14:paraId="48EEA602" w14:textId="77777777" w:rsidR="00D3183A" w:rsidRDefault="00D3183A" w:rsidP="00D3183A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D2DB9" w14:textId="77777777" w:rsidR="00D3183A" w:rsidRPr="008A49A8" w:rsidRDefault="00D3183A" w:rsidP="008A49A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49A8">
        <w:rPr>
          <w:rFonts w:ascii="Times New Roman" w:hAnsi="Times New Roman" w:cs="Times New Roman"/>
          <w:color w:val="000000" w:themeColor="text1"/>
          <w:sz w:val="24"/>
          <w:szCs w:val="24"/>
        </w:rPr>
        <w:t>„§ 28a</w:t>
      </w:r>
    </w:p>
    <w:p w14:paraId="4DF00D50" w14:textId="77777777" w:rsidR="00D3183A" w:rsidRPr="00D3183A" w:rsidRDefault="00D3183A" w:rsidP="00D3183A">
      <w:pPr>
        <w:pStyle w:val="Odsekzoznamu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3BA09D" w14:textId="77777777" w:rsidR="00D3183A" w:rsidRPr="00D3183A" w:rsidRDefault="00D3183A" w:rsidP="008A49A8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Opatrenie, ktoré vydá ministerstvo zahraničných vecí, ustanoví zvýšené stupnice platových taríf zamestnancov pri výkone práce vo verejnom záujme v zahraničí, platových taríf </w:t>
      </w:r>
      <w:r w:rsidRPr="00D3183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pedagogických zamestnancov a odborných zamestnancov v zahraničí, platových taríf nepedagogických zamestnancov v zahraničí a platových taríf učiteľov vysokých škôl a výskumných a vývojových zamestnancov v zahraničí. Opatrenie sa vyhlási uverejnením jeho úplného znenia v Zbierke zákonov Slovenskej republiky.</w:t>
      </w:r>
    </w:p>
    <w:p w14:paraId="438D65C0" w14:textId="77777777" w:rsidR="00D3183A" w:rsidRPr="00D3183A" w:rsidRDefault="00D3183A" w:rsidP="008A49A8">
      <w:pPr>
        <w:pStyle w:val="Odsekzoznamu"/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9AE3FC" w14:textId="42691E1C" w:rsidR="00D3183A" w:rsidRPr="00D5045E" w:rsidRDefault="00D3183A" w:rsidP="008A49A8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3A">
        <w:rPr>
          <w:rFonts w:ascii="Times New Roman" w:hAnsi="Times New Roman" w:cs="Times New Roman"/>
          <w:color w:val="000000" w:themeColor="text1"/>
          <w:sz w:val="24"/>
          <w:szCs w:val="24"/>
        </w:rPr>
        <w:t>Stupnice platových taríf a platové tarify zamestnancov pri výkone práce vo verejnom záujme v zahraničí platné k 31. decembru sa od 1. januára nasledujúceho kalendárneho roka zvyšujú opatrením podľa odseku 1 o mieru medziročného rastu spotrebiteľských cien uplatňovanú v New Yorku za kalendárny rok, ktorý predchádza kalendárnemu roku, v ktorom sa platový koeficient určuje. Miera medziročného rastu spotrebiteľských cien podľa prvej vety sa zaokrúhľuje na jedno desatinné miesto. Zvýšené stupnice platových taríf a platové tarify sa zaokrúhľujú na 50 eurocentov nahor. Ak nedôjde k medziročnému rastu spotrebiteľských cien podľa prvej vety, stupnice platových taríf a platové tarify od 1. januára nasledujúceho kalendárneho roka zostávajú zachované.“.</w:t>
      </w:r>
    </w:p>
    <w:p w14:paraId="1E54C89A" w14:textId="77777777" w:rsidR="0008062E" w:rsidRPr="00D5045E" w:rsidRDefault="0008062E" w:rsidP="0008062E">
      <w:pPr>
        <w:pStyle w:val="Odsekzoznamu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6C379F" w14:textId="17128CB4" w:rsidR="00571060" w:rsidRPr="00D5045E" w:rsidRDefault="0024314B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314B">
        <w:rPr>
          <w:rFonts w:ascii="Times New Roman" w:hAnsi="Times New Roman" w:cs="Times New Roman"/>
          <w:color w:val="000000" w:themeColor="text1"/>
          <w:sz w:val="24"/>
          <w:szCs w:val="24"/>
        </w:rPr>
        <w:t>Za § 32j sa vkladá § 32k</w:t>
      </w:r>
      <w:r w:rsidR="004E7817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, ktor</w:t>
      </w:r>
      <w:r w:rsidR="00BB5D39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ý</w:t>
      </w:r>
      <w:r w:rsidR="004E7817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vrátane nadpis</w:t>
      </w:r>
      <w:r w:rsidR="00BB5D39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4E7817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B5D39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znie</w:t>
      </w:r>
      <w:r w:rsidR="004E7817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089FAC6" w14:textId="77777777" w:rsidR="00D864E4" w:rsidRDefault="00D864E4" w:rsidP="00D864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CC411" w14:textId="228F35D8" w:rsidR="003B1606" w:rsidRPr="00D5045E" w:rsidRDefault="004E7817" w:rsidP="00D864E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,,</w:t>
      </w:r>
      <w:r w:rsidR="003B1606" w:rsidRPr="00D5045E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</w:t>
      </w:r>
      <w:r w:rsidR="0024314B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32k</w:t>
      </w:r>
    </w:p>
    <w:p w14:paraId="34FA7BD2" w14:textId="77777777" w:rsidR="003B1606" w:rsidRPr="00D5045E" w:rsidRDefault="003B1606" w:rsidP="00A10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Prechodné ustanovenia k úpravám účinným od 1. januára 2026</w:t>
      </w:r>
    </w:p>
    <w:p w14:paraId="086CF13F" w14:textId="77777777" w:rsidR="00A10E06" w:rsidRPr="00D5045E" w:rsidRDefault="00A10E06" w:rsidP="00A10E0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6FBC13" w14:textId="521EA209" w:rsidR="00A2665D" w:rsidRPr="00D5045E" w:rsidRDefault="003B16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665D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(1) </w:t>
      </w:r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Zamestnávateľ prizná od 1. januára 2026 príplatok za hodnotenie pedagogického zamestnanca a odborného zamestnanca pedagogickému zamestnancovi alebo odbornému zamestnancovi, ktor</w:t>
      </w:r>
      <w:r w:rsidR="005E26FE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ému zamestnávateľ vykonal hodnotenie pedagogického zamestnanca </w:t>
      </w:r>
      <w:r w:rsidR="00630464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alebo odborného zamestnanca </w:t>
      </w:r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31. </w:t>
      </w:r>
      <w:r w:rsidR="00DD2E2E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decembra</w:t>
      </w:r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AD7EBD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2E13" w:rsidRPr="00CA2E13">
        <w:rPr>
          <w:rFonts w:ascii="Times New Roman" w:hAnsi="Times New Roman" w:cs="Times New Roman"/>
          <w:color w:val="000000" w:themeColor="text1"/>
          <w:sz w:val="24"/>
          <w:szCs w:val="24"/>
        </w:rPr>
        <w:t>Zriaďovateľ prizná od 1. januára 2026 príplatok za hodnotenie pedagogického zamestnanca a odborného zamestnanca riaditeľovi školy alebo riaditeľovi školského zariadenia, ktorému zriaďovateľ vykonal hodnotenie pedagogického zamestnanca alebo odborného zamestnanca do 31. decembra 2025.</w:t>
      </w:r>
    </w:p>
    <w:p w14:paraId="178F1BF7" w14:textId="77777777" w:rsidR="00A10E06" w:rsidRPr="00D5045E" w:rsidRDefault="00A10E06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309E42" w14:textId="5008182D" w:rsidR="00983EFE" w:rsidRPr="00D5045E" w:rsidRDefault="00A2665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bookmarkStart w:id="1" w:name="_Hlk189740147"/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Príplatok za hodnotenie pedagogického zamestnanca a odborného zamestnanca 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</w:t>
      </w:r>
      <w:r w:rsidR="00AF15A8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odseku 1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sa do 31. augusta 202</w:t>
      </w:r>
      <w:r w:rsidR="00AD7EBD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8CF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vypláca </w:t>
      </w:r>
      <w:r w:rsidR="000F19B1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mesačne v</w:t>
      </w:r>
      <w:r w:rsidR="00442257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 sume uvedenej v prílohe č. 4</w:t>
      </w:r>
      <w:r w:rsidR="00054E2B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B73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</w:t>
      </w:r>
      <w:r w:rsidR="00054E2B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platovej tarify platovej triedy a pracovnej triedy, do ktorej je zaradený.</w:t>
      </w:r>
      <w:bookmarkEnd w:id="1"/>
    </w:p>
    <w:p w14:paraId="6194453F" w14:textId="103165FF" w:rsidR="006F29D2" w:rsidRPr="00D5045E" w:rsidRDefault="006F29D2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228E86" w14:textId="45A376B0" w:rsidR="006F29D2" w:rsidRPr="00D5045E" w:rsidRDefault="006F29D2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r w:rsidR="000B436F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Postup podľa § 13c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použije prvýkrát </w:t>
      </w:r>
      <w:r w:rsidR="00ED756F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od 1. septembra 2027</w:t>
      </w:r>
      <w:r w:rsidR="00D71C60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hodnotenie </w:t>
      </w:r>
      <w:r w:rsidR="00DD1587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pedagogického zamestnanca a odborného zamestnanca </w:t>
      </w:r>
      <w:r w:rsidR="00D71C60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vykonané v školskom roku 2026/2027.</w:t>
      </w:r>
    </w:p>
    <w:p w14:paraId="2C34276A" w14:textId="77777777" w:rsidR="00983EFE" w:rsidRPr="00D5045E" w:rsidRDefault="00983EFE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1A53D9" w14:textId="77777777" w:rsidR="00CD2619" w:rsidRPr="00D5045E" w:rsidRDefault="00983EFE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F29D2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C85348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ákladom pre </w:t>
      </w:r>
      <w:r w:rsidR="00C85348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prvé 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zvýšenie stupnice platových taríf </w:t>
      </w:r>
      <w:r w:rsidR="009547D0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pedagogických zamestnancov a odborných zamestnancov </w:t>
      </w:r>
      <w:r w:rsidR="00C85348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1. januári 2026 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súčet platovej tarify </w:t>
      </w:r>
      <w:r w:rsidR="00C02144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platovej triedy a pracovnej triedy, do ktorej je zaradený, 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a príplatku za hodnotenie pedagogického zamestnanca a odborného zamestnanca</w:t>
      </w:r>
      <w:r w:rsidR="00AE33D3"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podľa predpisov účinných od 1. januára 2026</w:t>
      </w: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EE8AF3" w14:textId="77777777" w:rsidR="00CD2619" w:rsidRPr="00D5045E" w:rsidRDefault="00CD2619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3CA35" w14:textId="3ACFFFC1" w:rsidR="00CA2E13" w:rsidRPr="00CA2E13" w:rsidRDefault="00CD2619" w:rsidP="00634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4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(5) </w:t>
      </w:r>
      <w:r w:rsidR="00CA2E13" w:rsidRPr="00CA2E13">
        <w:rPr>
          <w:rFonts w:ascii="Times New Roman" w:hAnsi="Times New Roman" w:cs="Times New Roman"/>
          <w:color w:val="000000" w:themeColor="text1"/>
          <w:sz w:val="24"/>
          <w:szCs w:val="24"/>
        </w:rPr>
        <w:t>Pri zvýšení platových taríf podľa § 28a v roku 2026 sa použijú stupnice platových taríf účinné k 31. decembru 2025 vynásobené číslom</w:t>
      </w:r>
    </w:p>
    <w:p w14:paraId="6D7133FC" w14:textId="77777777" w:rsidR="00CA2E13" w:rsidRPr="00CA2E13" w:rsidRDefault="00CA2E13" w:rsidP="00CA2E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E13">
        <w:rPr>
          <w:rFonts w:ascii="Times New Roman" w:hAnsi="Times New Roman" w:cs="Times New Roman"/>
          <w:color w:val="000000" w:themeColor="text1"/>
          <w:sz w:val="24"/>
          <w:szCs w:val="24"/>
        </w:rPr>
        <w:t>0,905 pre základnú stupnicu platových taríf zamestnancov pri výkone práce vo verejnom záujme a osobitnú stupnicu platových taríf nepedagogických zamestnancov,</w:t>
      </w:r>
    </w:p>
    <w:p w14:paraId="2AE4377F" w14:textId="77777777" w:rsidR="00CA2E13" w:rsidRPr="00CA2E13" w:rsidRDefault="00CA2E13" w:rsidP="00CA2E1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E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0,966 pre osobitnú stupnicu platových taríf učiteľov vysokých škôl a výskumných a vývojových zamestnancov, </w:t>
      </w:r>
    </w:p>
    <w:p w14:paraId="67D8D463" w14:textId="1488601E" w:rsidR="00EE6AF7" w:rsidRPr="00CA2E13" w:rsidRDefault="00CA2E13" w:rsidP="00CA2E1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2E13">
        <w:rPr>
          <w:rFonts w:ascii="Times New Roman" w:hAnsi="Times New Roman" w:cs="Times New Roman"/>
          <w:color w:val="000000" w:themeColor="text1"/>
          <w:sz w:val="24"/>
          <w:szCs w:val="24"/>
        </w:rPr>
        <w:t>0,8575 pre platové tarify pedagogických zamestnancov a odborných zamestnancov.</w:t>
      </w:r>
      <w:r w:rsidR="00AD7EBD" w:rsidRPr="00CA2E13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983EFE" w:rsidRPr="00CA2E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58D3BA" w14:textId="77777777" w:rsidR="001575ED" w:rsidRPr="00D5045E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816C8" w14:textId="6548B56F" w:rsidR="00241B00" w:rsidRPr="00D54C4B" w:rsidRDefault="00241B00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Za prílohu č. 3 sa vkladá príloha č. 3a, ktorá vrátane nadpisu znie:</w:t>
      </w:r>
    </w:p>
    <w:p w14:paraId="6A6ED733" w14:textId="77777777" w:rsidR="00241B00" w:rsidRPr="00D54C4B" w:rsidRDefault="00241B00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42AE46" w14:textId="77777777" w:rsidR="00241B00" w:rsidRPr="00D54C4B" w:rsidRDefault="00241B00" w:rsidP="00241B0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„Príloha č. 3a k zákonu č. 553/2003 Z. z.</w:t>
      </w:r>
    </w:p>
    <w:p w14:paraId="4E2478BD" w14:textId="77777777" w:rsidR="00241B00" w:rsidRPr="00D54C4B" w:rsidRDefault="00241B00" w:rsidP="00A10E0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38C52C" w14:textId="77777777" w:rsidR="00757A3E" w:rsidRPr="00D54C4B" w:rsidRDefault="00757A3E" w:rsidP="00757A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Osobitná stupnica platových taríf nepedagogických zamestnancov </w:t>
      </w:r>
    </w:p>
    <w:p w14:paraId="64F11302" w14:textId="77777777" w:rsidR="00757A3E" w:rsidRPr="00D54C4B" w:rsidRDefault="00757A3E" w:rsidP="00757A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 eurách mesačne)</w:t>
      </w: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cr/>
      </w:r>
    </w:p>
    <w:tbl>
      <w:tblPr>
        <w:tblpPr w:leftFromText="141" w:rightFromText="141" w:vertAnchor="page" w:horzAnchor="margin" w:tblpXSpec="center" w:tblpY="3427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847"/>
        <w:gridCol w:w="745"/>
        <w:gridCol w:w="745"/>
        <w:gridCol w:w="745"/>
        <w:gridCol w:w="855"/>
        <w:gridCol w:w="855"/>
        <w:gridCol w:w="855"/>
        <w:gridCol w:w="855"/>
        <w:gridCol w:w="855"/>
        <w:gridCol w:w="855"/>
        <w:gridCol w:w="855"/>
        <w:gridCol w:w="855"/>
      </w:tblGrid>
      <w:tr w:rsidR="006929D1" w:rsidRPr="00D54C4B" w14:paraId="5ABC7774" w14:textId="77777777" w:rsidTr="001575ED">
        <w:trPr>
          <w:trHeight w:val="4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30E6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BFBE3E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1963CD8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Platový stupeň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39A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340FA2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4EC8E03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Počet rokov praxe</w:t>
            </w:r>
          </w:p>
        </w:tc>
        <w:tc>
          <w:tcPr>
            <w:tcW w:w="90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6D1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Stupnica platových taríf podľa platových tried a platových stupňov</w:t>
            </w:r>
          </w:p>
        </w:tc>
      </w:tr>
      <w:tr w:rsidR="006929D1" w:rsidRPr="00D54C4B" w14:paraId="469BBACC" w14:textId="77777777" w:rsidTr="001575ED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846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8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EC6D5B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90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1516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 l a t o v á  t r i e d a</w:t>
            </w:r>
          </w:p>
        </w:tc>
      </w:tr>
      <w:tr w:rsidR="006929D1" w:rsidRPr="00D54C4B" w14:paraId="0A67211F" w14:textId="77777777" w:rsidTr="001575ED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A05A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837A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F26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4E3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0E1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6E5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94E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E926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F76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E14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EC2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D82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170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</w:tr>
      <w:tr w:rsidR="006929D1" w:rsidRPr="00D54C4B" w14:paraId="57E452AA" w14:textId="77777777" w:rsidTr="001575ED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C1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5A5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8FF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743,50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318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759,00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DB5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788,50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580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834,00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C4D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898,50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F36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984,00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751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1041,50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E5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1151,50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69E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1262,50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AEA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1373,00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6B2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1485,00</w:t>
            </w:r>
          </w:p>
        </w:tc>
      </w:tr>
      <w:tr w:rsidR="006929D1" w:rsidRPr="00D54C4B" w14:paraId="7989F356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36F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BC6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F80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751,50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6C4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767,00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837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797,00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30B0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842,00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82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908,00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E92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993,50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CA2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1052,00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E9A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1163,50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91B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1274,50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2B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1387,50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61B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1500,50</w:t>
            </w:r>
          </w:p>
        </w:tc>
      </w:tr>
      <w:tr w:rsidR="006929D1" w:rsidRPr="00D54C4B" w14:paraId="0A608811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111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94D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6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1B3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759,00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A52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774,00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C95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805,00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596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851,50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C5F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917,00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71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1004,00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C2B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1063,50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EE5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1175,00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F22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1288,00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748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1400,50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EE8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1516,00</w:t>
            </w:r>
          </w:p>
        </w:tc>
      </w:tr>
      <w:tr w:rsidR="006929D1" w:rsidRPr="00D54C4B" w14:paraId="1F09055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BCC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1ED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1F2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767,00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0530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781,50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9D1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812,50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823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859,50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C31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926,00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F36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1013,50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3F7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1073,50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974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1186,50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9F1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1301,00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6F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1414,50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8F4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1530,50</w:t>
            </w:r>
          </w:p>
        </w:tc>
      </w:tr>
      <w:tr w:rsidR="006929D1" w:rsidRPr="00D54C4B" w14:paraId="779018B8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A7D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A70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12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E14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776,50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646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792,00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FC4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824,00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9AA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871,00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3D0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939,50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1EF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FF7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1088,50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87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1203,50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C78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1318,50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F45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1434,50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929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1552,50</w:t>
            </w:r>
          </w:p>
        </w:tc>
      </w:tr>
      <w:tr w:rsidR="006929D1" w:rsidRPr="00D54C4B" w14:paraId="0B5830E9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4CB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1A4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4ED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788,50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410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804,50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A3B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835,50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26A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884,50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BA1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953,00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E8C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1043,00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439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1104,50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3EB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1220,50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CF2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1338,50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728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1455,50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3B1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1574,00</w:t>
            </w:r>
          </w:p>
        </w:tc>
      </w:tr>
      <w:tr w:rsidR="006929D1" w:rsidRPr="00D54C4B" w14:paraId="1A3ED52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13A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4435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221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798,50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E93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815,50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905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847,50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22C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24B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967,00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E35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1058,00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B1AD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1120,00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26E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1238,00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8D4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1356,50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F38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1476,50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D6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1596,50</w:t>
            </w:r>
          </w:p>
        </w:tc>
      </w:tr>
      <w:tr w:rsidR="006929D1" w:rsidRPr="00D54C4B" w14:paraId="0C66EDC5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119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8DF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21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7BE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811,00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BBA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827,00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512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859,50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19F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910,50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104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980,50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A35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1073,00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B7D9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1135,50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4DF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1256,00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B7B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1375,50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4C1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1496,50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C8F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1618,50</w:t>
            </w:r>
          </w:p>
        </w:tc>
      </w:tr>
      <w:tr w:rsidR="006929D1" w:rsidRPr="00D54C4B" w14:paraId="78271BE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53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FC3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75E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821,50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965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838,50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0C2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870,50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F74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921,50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1D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993,50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AC2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1087,50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38B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1151,50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ED5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1273,00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190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1394,50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C7E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1517,00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E91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1641,00</w:t>
            </w:r>
          </w:p>
        </w:tc>
      </w:tr>
      <w:tr w:rsidR="006929D1" w:rsidRPr="00D54C4B" w14:paraId="690B0810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7793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014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F9E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832,50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F49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850,00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4C7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883,00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B55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934,50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CBD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1006,00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50F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1102,50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027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1166,50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C7A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1290,00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460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1414,50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580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1538,00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7B8D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1663,00</w:t>
            </w:r>
          </w:p>
        </w:tc>
      </w:tr>
      <w:tr w:rsidR="006929D1" w:rsidRPr="00D54C4B" w14:paraId="4BDC6B27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1469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2DE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32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CED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847,50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DD9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863,50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526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3EF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951,00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975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1025,50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F05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1121,00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570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1187,50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996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1312,00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14C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1439,00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43B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1565,00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E39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1694,00</w:t>
            </w:r>
          </w:p>
        </w:tc>
      </w:tr>
      <w:tr w:rsidR="006929D1" w:rsidRPr="00D54C4B" w14:paraId="736DAAB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99B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3C6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36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CC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862,00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F82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880,00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162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914,50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FD0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967,50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35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1043,00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0BA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1141,00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73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1209,00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7F9C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1335,00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FF5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1463,50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A77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24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1723,00</w:t>
            </w:r>
          </w:p>
        </w:tc>
      </w:tr>
      <w:tr w:rsidR="006929D1" w:rsidRPr="00D54C4B" w14:paraId="5874144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C29D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0FD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C8A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877,00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6E9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895,00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21B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930,00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76B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984,50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59B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1061,00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B34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1160,50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74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1229,00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61C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1358,50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C9B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1489,00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253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1618,50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626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1753,00</w:t>
            </w:r>
          </w:p>
        </w:tc>
      </w:tr>
      <w:tr w:rsidR="006929D1" w:rsidRPr="00D54C4B" w14:paraId="36C44610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DD5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7BD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nad 40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DA1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892,00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F05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911,00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AAA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946,00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891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1002,00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2B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1078,50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61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1181,00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A34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1249,50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8C2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1381,50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D27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1515,50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D81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1647,50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323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1782,50</w:t>
            </w:r>
          </w:p>
        </w:tc>
      </w:tr>
    </w:tbl>
    <w:p w14:paraId="22C09993" w14:textId="77777777" w:rsidR="00757A3E" w:rsidRPr="00D54C4B" w:rsidRDefault="00757A3E" w:rsidP="00F9596B">
      <w:pPr>
        <w:rPr>
          <w:rFonts w:ascii="Times New Roman" w:hAnsi="Times New Roman" w:cs="Times New Roman"/>
          <w:color w:val="000000" w:themeColor="text1"/>
        </w:rPr>
      </w:pPr>
      <w:r w:rsidRPr="00D54C4B">
        <w:rPr>
          <w:rFonts w:ascii="Times New Roman" w:hAnsi="Times New Roman" w:cs="Times New Roman"/>
          <w:color w:val="000000" w:themeColor="text1"/>
        </w:rPr>
        <w:t>“.</w:t>
      </w:r>
    </w:p>
    <w:p w14:paraId="51D05400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033554C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C5C2186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57ECE26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CB751AF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FC5842A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76BEDB7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28B50A1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5A137CF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4E6DBAF" w14:textId="77777777" w:rsidR="001575ED" w:rsidRPr="00D54C4B" w:rsidRDefault="001575ED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786C075" w14:textId="209CD013" w:rsidR="00C7695A" w:rsidRPr="00D54C4B" w:rsidRDefault="00C7695A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Príloha č. 3a vrátane nadpisu znie:</w:t>
      </w:r>
    </w:p>
    <w:p w14:paraId="67923A51" w14:textId="77777777" w:rsidR="00C7695A" w:rsidRPr="00D54C4B" w:rsidRDefault="00C7695A" w:rsidP="00C769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D43241" w14:textId="77777777" w:rsidR="00C7695A" w:rsidRPr="00D54C4B" w:rsidRDefault="00C7695A" w:rsidP="00C769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„Príloha č. 3a k zákonu č. 553/2003 Z. z.</w:t>
      </w:r>
    </w:p>
    <w:p w14:paraId="3A98D8FB" w14:textId="77777777" w:rsidR="00757A3E" w:rsidRPr="00D54C4B" w:rsidRDefault="00757A3E" w:rsidP="00C769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C8E848" w14:textId="77777777" w:rsidR="00757A3E" w:rsidRPr="00D54C4B" w:rsidRDefault="00757A3E" w:rsidP="00757A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Osobitná stupnica platových taríf nepedagogických zamestnancov </w:t>
      </w:r>
    </w:p>
    <w:p w14:paraId="7A83D67D" w14:textId="77777777" w:rsidR="00757A3E" w:rsidRPr="00D54C4B" w:rsidRDefault="00757A3E" w:rsidP="00757A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 eurách mesačne)</w:t>
      </w:r>
    </w:p>
    <w:tbl>
      <w:tblPr>
        <w:tblpPr w:leftFromText="141" w:rightFromText="141" w:vertAnchor="page" w:horzAnchor="margin" w:tblpXSpec="center" w:tblpY="3294"/>
        <w:tblW w:w="10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847"/>
        <w:gridCol w:w="745"/>
        <w:gridCol w:w="753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6929D1" w:rsidRPr="00D54C4B" w14:paraId="61B777F9" w14:textId="77777777" w:rsidTr="00FD743A">
        <w:trPr>
          <w:trHeight w:val="4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86C6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9F4648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FC20543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Platový stupeň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089D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9C60223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C4CAF3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Počet rokov praxe</w:t>
            </w:r>
          </w:p>
        </w:tc>
        <w:tc>
          <w:tcPr>
            <w:tcW w:w="92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9A04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Stupnica platových taríf podľa platových tried a platových stupňov</w:t>
            </w:r>
          </w:p>
        </w:tc>
      </w:tr>
      <w:tr w:rsidR="006929D1" w:rsidRPr="00D54C4B" w14:paraId="07EAAF36" w14:textId="77777777" w:rsidTr="00FD743A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268A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84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3F6407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92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3CE9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 l a t o v á  t r i e d a</w:t>
            </w:r>
          </w:p>
        </w:tc>
      </w:tr>
      <w:tr w:rsidR="006929D1" w:rsidRPr="00D54C4B" w14:paraId="328BDA7E" w14:textId="77777777" w:rsidTr="00FD743A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0716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8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C2F0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DD8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A66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5D57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C1F1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607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938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C95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990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A5E4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F28A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843B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</w:tr>
      <w:tr w:rsidR="006929D1" w:rsidRPr="00D54C4B" w14:paraId="5E62D249" w14:textId="77777777" w:rsidTr="00FD743A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E10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876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 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8883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796,00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59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812,50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20E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844,00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531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892,50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B2A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961,50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A34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1053,00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BE0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1114,50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3CC5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1232,50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AE6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1351,00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C1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1469,50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1E1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1589,00</w:t>
            </w:r>
          </w:p>
        </w:tc>
      </w:tr>
      <w:tr w:rsidR="006929D1" w:rsidRPr="00D54C4B" w14:paraId="522228C5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1F6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6C1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30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804,50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8F3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821,00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9D0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853,00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C96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901,00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1BF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972,00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88A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1063,50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21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1126,00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74A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1245,00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1A6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1364,00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D4E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1485,00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DE8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1606,00</w:t>
            </w:r>
          </w:p>
        </w:tc>
      </w:tr>
      <w:tr w:rsidR="006929D1" w:rsidRPr="00D54C4B" w14:paraId="4287AAC7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FE0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6B6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6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F08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812,50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9DD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828,50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240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861,50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950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911,50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485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981,50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3C2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1074,50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520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1138,00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905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1257,50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28A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1378,50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5A9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26B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1622,50</w:t>
            </w:r>
          </w:p>
        </w:tc>
      </w:tr>
      <w:tr w:rsidR="006929D1" w:rsidRPr="00D54C4B" w14:paraId="173EEA49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5BC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FB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9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C85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821,00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309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836,50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C90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869,50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DA6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920,00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83B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991,00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360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1084,50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CB5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1149,00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69AC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1270,00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8E4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1392,50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1D0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1514,00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BF5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1638,00</w:t>
            </w:r>
          </w:p>
        </w:tc>
      </w:tr>
      <w:tr w:rsidR="006929D1" w:rsidRPr="00D54C4B" w14:paraId="5AD08E56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B42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40D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12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526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831,00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E7E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847,50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6D9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882,00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4B6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932,00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4B5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1005,50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26C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F99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1165,00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C00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1288,00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239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1411,00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172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1535,00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B91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1661,50</w:t>
            </w:r>
          </w:p>
        </w:tc>
      </w:tr>
      <w:tr w:rsidR="006929D1" w:rsidRPr="00D54C4B" w14:paraId="36C6C1BA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5C4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AE6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15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9E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844,00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CBF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861,00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103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70F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946,50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884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1020,00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78EA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1116,50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25C3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1182,00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9C6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1306,00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114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1432,50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C64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1557,50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8AC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1684,50</w:t>
            </w:r>
          </w:p>
        </w:tc>
      </w:tr>
      <w:tr w:rsidR="006929D1" w:rsidRPr="00D54C4B" w14:paraId="3B79A1D8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BB9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3A1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557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854,50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621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873,00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E39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907,00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FC2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960,00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F7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1035,00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AA5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1132,50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514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1198,50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96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1325,00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552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1451,50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BFF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1580,00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37C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1708,50</w:t>
            </w:r>
          </w:p>
        </w:tc>
      </w:tr>
      <w:tr w:rsidR="006929D1" w:rsidRPr="00D54C4B" w14:paraId="21D86782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A44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E6B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21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55B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868,00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601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885,00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246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920,00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7F6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974,50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56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1049,50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547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1148,50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2D3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1215,00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8B7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1344,00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4BE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1472,00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6CD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1601,50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07E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1732,00</w:t>
            </w:r>
          </w:p>
        </w:tc>
      </w:tr>
      <w:tr w:rsidR="006929D1" w:rsidRPr="00D54C4B" w14:paraId="5A627D0B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AA1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E3B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24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B54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879,50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88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747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931,50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AD2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986,50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ACA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1063,50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435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1164,00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E45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1232,50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2DA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1362,50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5603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76D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1623,50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40C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1756,00</w:t>
            </w:r>
          </w:p>
        </w:tc>
      </w:tr>
      <w:tr w:rsidR="006929D1" w:rsidRPr="00D54C4B" w14:paraId="26496FCA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EBF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E5F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28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BA4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891,00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204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909,50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D4E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945,00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A53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1000,00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2BA3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1076,50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AFC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1180,00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566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1248,50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0B0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1380,50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D71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1514,00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AAF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1646,00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FFB3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1779,50</w:t>
            </w:r>
          </w:p>
        </w:tc>
      </w:tr>
      <w:tr w:rsidR="006929D1" w:rsidRPr="00D54C4B" w14:paraId="02B3CD2B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524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3D7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32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1B3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907,00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886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924,00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FAE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961,50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BA8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1018,00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868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1097,50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35A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1199,50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BD8E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1271,00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B66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1404,00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0BC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1540,00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84A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1675,00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B19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1813,00</w:t>
            </w:r>
          </w:p>
        </w:tc>
      </w:tr>
      <w:tr w:rsidR="006929D1" w:rsidRPr="00D54C4B" w14:paraId="370DC599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9FE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F3A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36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27E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922,50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D741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942,00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9D6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979,00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B222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1035,50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12A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1116,50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4EE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1221,00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44B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1294,00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E9B0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1428,50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CA2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1566,00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3CD8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1703,50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A24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1844,00</w:t>
            </w:r>
          </w:p>
        </w:tc>
      </w:tr>
      <w:tr w:rsidR="006929D1" w:rsidRPr="00D54C4B" w14:paraId="62672CB9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4F9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C82B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E69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938,50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5DC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958,00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AD5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995,50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4A0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1053,50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D89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1135,50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0D5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1242,00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943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1315,50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614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1454,00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C69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1593,50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E39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1732,00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B0D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1876,00</w:t>
            </w:r>
          </w:p>
        </w:tc>
      </w:tr>
      <w:tr w:rsidR="006929D1" w:rsidRPr="00D54C4B" w14:paraId="38FE6D3F" w14:textId="77777777" w:rsidTr="00FD743A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AE9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A96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nad 40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DD4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954,50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4C3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975,00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19D7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1012,50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3ABA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1072,50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C172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1154,00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FE04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1264,00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C3DC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1337,00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91AF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1478,50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A5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1622,00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EA8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1763,00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60F5" w14:textId="77777777" w:rsidR="00FD743A" w:rsidRPr="00D54C4B" w:rsidRDefault="00FD743A" w:rsidP="00FD7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1907,50</w:t>
            </w:r>
          </w:p>
        </w:tc>
      </w:tr>
    </w:tbl>
    <w:p w14:paraId="13B1E65A" w14:textId="77777777" w:rsidR="001575ED" w:rsidRPr="00D54C4B" w:rsidRDefault="00FD743A" w:rsidP="00FD74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2ADEC3B8" w14:textId="77777777" w:rsidR="001575ED" w:rsidRPr="00D54C4B" w:rsidRDefault="001575ED" w:rsidP="00757A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072616" w14:textId="77777777" w:rsidR="00757A3E" w:rsidRPr="00D54C4B" w:rsidRDefault="00757A3E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4CF555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736C8176" w14:textId="77777777" w:rsidR="00FD743A" w:rsidRPr="00D54C4B" w:rsidRDefault="00FD743A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24AF85ED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7CB1AAE3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46F5C5D8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5DB3C137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54083B56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5AD942B5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5BE10C3E" w14:textId="77777777" w:rsidR="001575ED" w:rsidRPr="00D54C4B" w:rsidRDefault="001575ED" w:rsidP="00241B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639F9557" w14:textId="5ED62EBB" w:rsidR="00241B00" w:rsidRPr="00D54C4B" w:rsidRDefault="00241B00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Príloha č. 4 vrátane nadpisu znie:</w:t>
      </w:r>
    </w:p>
    <w:p w14:paraId="7C311D3E" w14:textId="77777777" w:rsidR="00241B00" w:rsidRPr="00D54C4B" w:rsidRDefault="00241B00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3BD048" w14:textId="77777777" w:rsidR="00241B00" w:rsidRPr="00D54C4B" w:rsidRDefault="00241B00" w:rsidP="00241B0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„Príloha č. 4 k zákonu č. 553/2003 Z. z.</w:t>
      </w:r>
    </w:p>
    <w:p w14:paraId="28B21E45" w14:textId="77777777" w:rsidR="00241B00" w:rsidRPr="00D54C4B" w:rsidRDefault="00241B00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3FF4D1" w14:textId="77777777" w:rsidR="00241B00" w:rsidRPr="00D54C4B" w:rsidRDefault="00241B00" w:rsidP="00241B0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P</w:t>
      </w:r>
      <w:r w:rsidR="00E325B2" w:rsidRPr="00D54C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latové tarify pedagogických zamestnancov a odborných zamestnancov</w:t>
      </w:r>
    </w:p>
    <w:p w14:paraId="349FC5CD" w14:textId="77777777" w:rsidR="00241B00" w:rsidRPr="00D54C4B" w:rsidRDefault="00241B00" w:rsidP="00241B0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(v eurách mesačne)</w:t>
      </w:r>
    </w:p>
    <w:tbl>
      <w:tblPr>
        <w:tblStyle w:val="Mriekatabuky"/>
        <w:tblW w:w="8642" w:type="dxa"/>
        <w:tblLook w:val="04A0" w:firstRow="1" w:lastRow="0" w:firstColumn="1" w:lastColumn="0" w:noHBand="0" w:noVBand="1"/>
      </w:tblPr>
      <w:tblGrid>
        <w:gridCol w:w="1834"/>
        <w:gridCol w:w="3123"/>
        <w:gridCol w:w="3685"/>
      </w:tblGrid>
      <w:tr w:rsidR="006929D1" w:rsidRPr="00D54C4B" w14:paraId="2C54E5A3" w14:textId="77777777" w:rsidTr="00757A3E">
        <w:tc>
          <w:tcPr>
            <w:tcW w:w="8642" w:type="dxa"/>
            <w:gridSpan w:val="3"/>
          </w:tcPr>
          <w:p w14:paraId="70741513" w14:textId="77777777" w:rsidR="00757A3E" w:rsidRPr="00D54C4B" w:rsidRDefault="00757A3E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595E4F" w14:textId="77777777" w:rsidR="00757A3E" w:rsidRPr="00D54C4B" w:rsidRDefault="00757A3E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Stupnica platových taríf</w:t>
            </w:r>
          </w:p>
          <w:p w14:paraId="6F83BF75" w14:textId="77777777" w:rsidR="00757A3E" w:rsidRPr="00D54C4B" w:rsidRDefault="00757A3E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9D1" w:rsidRPr="00D54C4B" w14:paraId="06BDEC27" w14:textId="77777777" w:rsidTr="00757A3E">
        <w:tc>
          <w:tcPr>
            <w:tcW w:w="1834" w:type="dxa"/>
          </w:tcPr>
          <w:p w14:paraId="4FFA7AE7" w14:textId="77777777" w:rsidR="00757A3E" w:rsidRPr="00D54C4B" w:rsidRDefault="00757A3E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Platová trieda</w:t>
            </w:r>
          </w:p>
        </w:tc>
        <w:tc>
          <w:tcPr>
            <w:tcW w:w="3123" w:type="dxa"/>
          </w:tcPr>
          <w:p w14:paraId="5749BDD8" w14:textId="77777777" w:rsidR="00757A3E" w:rsidRPr="00D54C4B" w:rsidRDefault="00757A3E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Pracovná trieda</w:t>
            </w:r>
          </w:p>
        </w:tc>
        <w:tc>
          <w:tcPr>
            <w:tcW w:w="3685" w:type="dxa"/>
          </w:tcPr>
          <w:p w14:paraId="4304DDB6" w14:textId="77777777" w:rsidR="00757A3E" w:rsidRPr="00D54C4B" w:rsidRDefault="00757A3E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Platová tarifa</w:t>
            </w:r>
          </w:p>
          <w:p w14:paraId="2CBA6B95" w14:textId="77777777" w:rsidR="00757A3E" w:rsidRPr="00D54C4B" w:rsidRDefault="00757A3E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9D1" w:rsidRPr="00D54C4B" w14:paraId="166D9D95" w14:textId="77777777" w:rsidTr="00757A3E">
        <w:tc>
          <w:tcPr>
            <w:tcW w:w="1834" w:type="dxa"/>
            <w:vMerge w:val="restart"/>
          </w:tcPr>
          <w:p w14:paraId="3F195069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EA77B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14:paraId="1DDC03A2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C84318D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1004,00</w:t>
            </w:r>
          </w:p>
        </w:tc>
      </w:tr>
      <w:tr w:rsidR="006929D1" w:rsidRPr="00D54C4B" w14:paraId="77361189" w14:textId="77777777" w:rsidTr="00757A3E">
        <w:tc>
          <w:tcPr>
            <w:tcW w:w="1834" w:type="dxa"/>
            <w:vMerge/>
          </w:tcPr>
          <w:p w14:paraId="064308D1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4B5E96E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1C900F1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1073,50</w:t>
            </w:r>
          </w:p>
        </w:tc>
      </w:tr>
      <w:tr w:rsidR="006929D1" w:rsidRPr="00D54C4B" w14:paraId="0AF35D07" w14:textId="77777777" w:rsidTr="00757A3E">
        <w:tc>
          <w:tcPr>
            <w:tcW w:w="1834" w:type="dxa"/>
            <w:vMerge w:val="restart"/>
          </w:tcPr>
          <w:p w14:paraId="704BBBDD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72FA4F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14:paraId="69F96743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FFB68E2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1111,50</w:t>
            </w:r>
          </w:p>
        </w:tc>
      </w:tr>
      <w:tr w:rsidR="006929D1" w:rsidRPr="00D54C4B" w14:paraId="0771AF81" w14:textId="77777777" w:rsidTr="00757A3E">
        <w:tc>
          <w:tcPr>
            <w:tcW w:w="1834" w:type="dxa"/>
            <w:vMerge/>
          </w:tcPr>
          <w:p w14:paraId="35448E7D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</w:tcPr>
          <w:p w14:paraId="221B2D0D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79C04D2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1186,00</w:t>
            </w:r>
          </w:p>
        </w:tc>
      </w:tr>
      <w:tr w:rsidR="006929D1" w:rsidRPr="00D54C4B" w14:paraId="71FBAFCF" w14:textId="77777777" w:rsidTr="00757A3E">
        <w:tc>
          <w:tcPr>
            <w:tcW w:w="1834" w:type="dxa"/>
            <w:vMerge w:val="restart"/>
          </w:tcPr>
          <w:p w14:paraId="2F6698B8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FD8ECF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14:paraId="535C4502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5D04535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1243,00</w:t>
            </w:r>
          </w:p>
        </w:tc>
      </w:tr>
      <w:tr w:rsidR="006929D1" w:rsidRPr="00D54C4B" w14:paraId="7475DD1A" w14:textId="77777777" w:rsidTr="00757A3E">
        <w:tc>
          <w:tcPr>
            <w:tcW w:w="1834" w:type="dxa"/>
            <w:vMerge/>
          </w:tcPr>
          <w:p w14:paraId="5F9482D2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F6B9E69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EA9001B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1327,00</w:t>
            </w:r>
          </w:p>
        </w:tc>
      </w:tr>
      <w:tr w:rsidR="006929D1" w:rsidRPr="00D54C4B" w14:paraId="4271AC5A" w14:textId="77777777" w:rsidTr="00757A3E">
        <w:tc>
          <w:tcPr>
            <w:tcW w:w="1834" w:type="dxa"/>
            <w:vMerge w:val="restart"/>
          </w:tcPr>
          <w:p w14:paraId="68B031B8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042AD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23" w:type="dxa"/>
          </w:tcPr>
          <w:p w14:paraId="4FBAB0BA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481AAD28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1356,50</w:t>
            </w:r>
          </w:p>
        </w:tc>
      </w:tr>
      <w:tr w:rsidR="006929D1" w:rsidRPr="00D54C4B" w14:paraId="24CAF889" w14:textId="77777777" w:rsidTr="00757A3E">
        <w:tc>
          <w:tcPr>
            <w:tcW w:w="1834" w:type="dxa"/>
            <w:vMerge/>
          </w:tcPr>
          <w:p w14:paraId="1DEDC3DA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57F3CCA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3D4BECDF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1446,50</w:t>
            </w:r>
          </w:p>
        </w:tc>
      </w:tr>
      <w:tr w:rsidR="006929D1" w:rsidRPr="00D54C4B" w14:paraId="0BC0D437" w14:textId="77777777" w:rsidTr="00757A3E">
        <w:tc>
          <w:tcPr>
            <w:tcW w:w="1834" w:type="dxa"/>
            <w:vMerge w:val="restart"/>
          </w:tcPr>
          <w:p w14:paraId="19AD6B3A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F7402D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23" w:type="dxa"/>
          </w:tcPr>
          <w:p w14:paraId="2465C95A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6FEA54B7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1519,50</w:t>
            </w:r>
          </w:p>
        </w:tc>
      </w:tr>
      <w:tr w:rsidR="006929D1" w:rsidRPr="00D54C4B" w14:paraId="5B9BD68D" w14:textId="77777777" w:rsidTr="00757A3E">
        <w:tc>
          <w:tcPr>
            <w:tcW w:w="1834" w:type="dxa"/>
            <w:vMerge/>
          </w:tcPr>
          <w:p w14:paraId="7F99EC76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</w:tcPr>
          <w:p w14:paraId="4F116AB2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6A3703DB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1621,00</w:t>
            </w:r>
          </w:p>
        </w:tc>
      </w:tr>
      <w:tr w:rsidR="006929D1" w:rsidRPr="00D54C4B" w14:paraId="2A1A2345" w14:textId="77777777" w:rsidTr="00757A3E">
        <w:tc>
          <w:tcPr>
            <w:tcW w:w="1834" w:type="dxa"/>
            <w:vMerge w:val="restart"/>
          </w:tcPr>
          <w:p w14:paraId="0482D1F1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BCC18D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23" w:type="dxa"/>
          </w:tcPr>
          <w:p w14:paraId="4959FE23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14:paraId="1C775C3C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1700,50</w:t>
            </w:r>
          </w:p>
        </w:tc>
      </w:tr>
      <w:tr w:rsidR="006929D1" w:rsidRPr="00D54C4B" w14:paraId="6F70AC5D" w14:textId="77777777" w:rsidTr="00757A3E">
        <w:tc>
          <w:tcPr>
            <w:tcW w:w="1834" w:type="dxa"/>
            <w:vMerge/>
          </w:tcPr>
          <w:p w14:paraId="47C7CDC1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3" w:type="dxa"/>
          </w:tcPr>
          <w:p w14:paraId="572D4E16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0198E31" w14:textId="77777777" w:rsidR="00757A3E" w:rsidRPr="00D54C4B" w:rsidRDefault="00757A3E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1815,50</w:t>
            </w:r>
          </w:p>
        </w:tc>
      </w:tr>
    </w:tbl>
    <w:p w14:paraId="50915F53" w14:textId="77777777" w:rsidR="00757A3E" w:rsidRPr="00D54C4B" w:rsidRDefault="00757A3E" w:rsidP="00757A3E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8"/>
        </w:rPr>
        <w:t>“.</w:t>
      </w:r>
    </w:p>
    <w:p w14:paraId="7402DE12" w14:textId="77777777" w:rsidR="00241B00" w:rsidRPr="00D54C4B" w:rsidRDefault="00241B00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E6076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B975561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7B31ACB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D17AC32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035DAD3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D189044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26362B6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9CEAA11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85F5919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4CE9BE6B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3E3ADA66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2D9587D" w14:textId="46A56F37" w:rsidR="00EE6AF7" w:rsidRPr="00D54C4B" w:rsidRDefault="00EE6AF7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Príloha č. 4 </w:t>
      </w:r>
      <w:r w:rsidR="006923A7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vrátane nadpisu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znie:</w:t>
      </w:r>
    </w:p>
    <w:p w14:paraId="1724A0A9" w14:textId="77777777" w:rsidR="00D467E2" w:rsidRPr="00D54C4B" w:rsidRDefault="00D467E2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4206C" w14:textId="77777777" w:rsidR="00D467E2" w:rsidRPr="00D54C4B" w:rsidRDefault="00D467E2" w:rsidP="00D467E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„Príloha č. 4</w:t>
      </w:r>
      <w:r w:rsidR="00241B00"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 zákonu č. 553/2003 Z. z.</w:t>
      </w:r>
    </w:p>
    <w:p w14:paraId="31CCD5CF" w14:textId="77777777" w:rsidR="00D467E2" w:rsidRPr="00D54C4B" w:rsidRDefault="00D467E2" w:rsidP="00D467E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14:paraId="1A33225F" w14:textId="2C07BF68" w:rsidR="00D467E2" w:rsidRPr="00D54C4B" w:rsidRDefault="00D467E2" w:rsidP="00560A7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P</w:t>
      </w:r>
      <w:r w:rsidR="00E325B2" w:rsidRPr="00D54C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latové tarify pedagogických zamestnancov a odborných zamestnancov</w:t>
      </w:r>
      <w:r w:rsidR="00560A7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a p</w:t>
      </w:r>
      <w:r w:rsidR="00560A73"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ríplatok za hodnotenie</w:t>
      </w:r>
      <w:r w:rsidR="00560A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60A73"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pedagogického zamestnanca a odborného zamestnanca</w:t>
      </w:r>
    </w:p>
    <w:p w14:paraId="36BA4485" w14:textId="77777777" w:rsidR="00D467E2" w:rsidRPr="00D54C4B" w:rsidRDefault="00D467E2" w:rsidP="00D467E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(v eurách mesačne)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1834"/>
        <w:gridCol w:w="1900"/>
        <w:gridCol w:w="1931"/>
        <w:gridCol w:w="3544"/>
      </w:tblGrid>
      <w:tr w:rsidR="006929D1" w:rsidRPr="00D54C4B" w14:paraId="54721750" w14:textId="77777777" w:rsidTr="00757A3E">
        <w:tc>
          <w:tcPr>
            <w:tcW w:w="9209" w:type="dxa"/>
            <w:gridSpan w:val="4"/>
          </w:tcPr>
          <w:p w14:paraId="22E36A06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673B81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Stupnica platových taríf </w:t>
            </w:r>
          </w:p>
          <w:p w14:paraId="586276BD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6929D1" w:rsidRPr="00D54C4B" w14:paraId="5C03EBA0" w14:textId="77777777" w:rsidTr="00757A3E">
        <w:tc>
          <w:tcPr>
            <w:tcW w:w="1834" w:type="dxa"/>
          </w:tcPr>
          <w:p w14:paraId="37F52C0F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Platová trieda</w:t>
            </w:r>
          </w:p>
        </w:tc>
        <w:tc>
          <w:tcPr>
            <w:tcW w:w="1900" w:type="dxa"/>
          </w:tcPr>
          <w:p w14:paraId="53A806AD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Pracovná trieda</w:t>
            </w:r>
          </w:p>
        </w:tc>
        <w:tc>
          <w:tcPr>
            <w:tcW w:w="1931" w:type="dxa"/>
          </w:tcPr>
          <w:p w14:paraId="701502C5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Platová tarifa</w:t>
            </w:r>
          </w:p>
          <w:p w14:paraId="71183D4B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9F45E81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Príplatok za hodnotenie</w:t>
            </w:r>
          </w:p>
          <w:p w14:paraId="3EDA693C" w14:textId="77777777" w:rsidR="00D467E2" w:rsidRPr="00D54C4B" w:rsidRDefault="00D467E2" w:rsidP="00757A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pedagogického zamestnanca a odborného zamestnanca </w:t>
            </w:r>
          </w:p>
        </w:tc>
      </w:tr>
      <w:tr w:rsidR="006929D1" w:rsidRPr="00D54C4B" w14:paraId="66C3C11A" w14:textId="77777777" w:rsidTr="00757A3E">
        <w:tc>
          <w:tcPr>
            <w:tcW w:w="1834" w:type="dxa"/>
            <w:vMerge w:val="restart"/>
          </w:tcPr>
          <w:p w14:paraId="1D73483F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A75AAC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00" w:type="dxa"/>
          </w:tcPr>
          <w:p w14:paraId="314E64C2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14:paraId="277C2C03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1054,50</w:t>
            </w:r>
          </w:p>
        </w:tc>
        <w:tc>
          <w:tcPr>
            <w:tcW w:w="3544" w:type="dxa"/>
          </w:tcPr>
          <w:p w14:paraId="61B13825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20,50</w:t>
            </w:r>
          </w:p>
        </w:tc>
      </w:tr>
      <w:tr w:rsidR="006929D1" w:rsidRPr="00D54C4B" w14:paraId="1AE264E4" w14:textId="77777777" w:rsidTr="00757A3E">
        <w:tc>
          <w:tcPr>
            <w:tcW w:w="1834" w:type="dxa"/>
            <w:vMerge/>
          </w:tcPr>
          <w:p w14:paraId="7ED3DE3B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1016AD5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14:paraId="4E6C2859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1127,50</w:t>
            </w:r>
          </w:p>
        </w:tc>
        <w:tc>
          <w:tcPr>
            <w:tcW w:w="3544" w:type="dxa"/>
          </w:tcPr>
          <w:p w14:paraId="2654B64D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21,50</w:t>
            </w:r>
          </w:p>
        </w:tc>
      </w:tr>
      <w:tr w:rsidR="006929D1" w:rsidRPr="00D54C4B" w14:paraId="747D4A23" w14:textId="77777777" w:rsidTr="00757A3E">
        <w:tc>
          <w:tcPr>
            <w:tcW w:w="1834" w:type="dxa"/>
            <w:vMerge w:val="restart"/>
          </w:tcPr>
          <w:p w14:paraId="7A454C27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875F64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00" w:type="dxa"/>
          </w:tcPr>
          <w:p w14:paraId="17635679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14:paraId="58F91CF3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1167,50</w:t>
            </w:r>
          </w:p>
        </w:tc>
        <w:tc>
          <w:tcPr>
            <w:tcW w:w="3544" w:type="dxa"/>
          </w:tcPr>
          <w:p w14:paraId="67D86A92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22,50</w:t>
            </w:r>
          </w:p>
        </w:tc>
      </w:tr>
      <w:tr w:rsidR="006929D1" w:rsidRPr="00D54C4B" w14:paraId="41F12006" w14:textId="77777777" w:rsidTr="00757A3E">
        <w:tc>
          <w:tcPr>
            <w:tcW w:w="1834" w:type="dxa"/>
            <w:vMerge/>
          </w:tcPr>
          <w:p w14:paraId="05921E86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1A9AD41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14:paraId="756887C1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1245,50</w:t>
            </w:r>
          </w:p>
        </w:tc>
        <w:tc>
          <w:tcPr>
            <w:tcW w:w="3544" w:type="dxa"/>
          </w:tcPr>
          <w:p w14:paraId="462CDB98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24,00</w:t>
            </w:r>
          </w:p>
        </w:tc>
      </w:tr>
      <w:tr w:rsidR="006929D1" w:rsidRPr="00D54C4B" w14:paraId="1BDF48A9" w14:textId="77777777" w:rsidTr="00757A3E">
        <w:tc>
          <w:tcPr>
            <w:tcW w:w="1834" w:type="dxa"/>
            <w:vMerge w:val="restart"/>
          </w:tcPr>
          <w:p w14:paraId="5A665CCC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02D70D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0" w:type="dxa"/>
          </w:tcPr>
          <w:p w14:paraId="1C00D881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14:paraId="677E8AFA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1305,50</w:t>
            </w:r>
          </w:p>
        </w:tc>
        <w:tc>
          <w:tcPr>
            <w:tcW w:w="3544" w:type="dxa"/>
          </w:tcPr>
          <w:p w14:paraId="7CA688E9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25,00</w:t>
            </w:r>
          </w:p>
        </w:tc>
      </w:tr>
      <w:tr w:rsidR="006929D1" w:rsidRPr="00D54C4B" w14:paraId="24BE4FFF" w14:textId="77777777" w:rsidTr="00757A3E">
        <w:tc>
          <w:tcPr>
            <w:tcW w:w="1834" w:type="dxa"/>
            <w:vMerge/>
          </w:tcPr>
          <w:p w14:paraId="5FF3322A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FD86CFF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14:paraId="7CDA3026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1393,50</w:t>
            </w:r>
          </w:p>
        </w:tc>
        <w:tc>
          <w:tcPr>
            <w:tcW w:w="3544" w:type="dxa"/>
          </w:tcPr>
          <w:p w14:paraId="597626E0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27,00</w:t>
            </w:r>
          </w:p>
        </w:tc>
      </w:tr>
      <w:tr w:rsidR="006929D1" w:rsidRPr="00D54C4B" w14:paraId="071A7D93" w14:textId="77777777" w:rsidTr="00757A3E">
        <w:tc>
          <w:tcPr>
            <w:tcW w:w="1834" w:type="dxa"/>
            <w:vMerge w:val="restart"/>
          </w:tcPr>
          <w:p w14:paraId="340F9D57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13D2D1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00" w:type="dxa"/>
          </w:tcPr>
          <w:p w14:paraId="518B8F51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14:paraId="7205E5C6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1424,50</w:t>
            </w:r>
          </w:p>
        </w:tc>
        <w:tc>
          <w:tcPr>
            <w:tcW w:w="3544" w:type="dxa"/>
          </w:tcPr>
          <w:p w14:paraId="674CC47A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27,50</w:t>
            </w:r>
          </w:p>
        </w:tc>
      </w:tr>
      <w:tr w:rsidR="006929D1" w:rsidRPr="00D54C4B" w14:paraId="02FF4DC1" w14:textId="77777777" w:rsidTr="00757A3E">
        <w:tc>
          <w:tcPr>
            <w:tcW w:w="1834" w:type="dxa"/>
            <w:vMerge/>
          </w:tcPr>
          <w:p w14:paraId="1E50308B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05630A8F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14:paraId="4398BD0E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1519,00</w:t>
            </w:r>
          </w:p>
        </w:tc>
        <w:tc>
          <w:tcPr>
            <w:tcW w:w="3544" w:type="dxa"/>
          </w:tcPr>
          <w:p w14:paraId="5599A943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29,00</w:t>
            </w:r>
          </w:p>
        </w:tc>
      </w:tr>
      <w:tr w:rsidR="006929D1" w:rsidRPr="00D54C4B" w14:paraId="57928568" w14:textId="77777777" w:rsidTr="00757A3E">
        <w:tc>
          <w:tcPr>
            <w:tcW w:w="1834" w:type="dxa"/>
            <w:vMerge w:val="restart"/>
          </w:tcPr>
          <w:p w14:paraId="1756937F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653352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00" w:type="dxa"/>
          </w:tcPr>
          <w:p w14:paraId="186ECCE0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14:paraId="6DB6590E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1595,50</w:t>
            </w:r>
          </w:p>
        </w:tc>
        <w:tc>
          <w:tcPr>
            <w:tcW w:w="3544" w:type="dxa"/>
          </w:tcPr>
          <w:p w14:paraId="07836A52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30,50</w:t>
            </w:r>
          </w:p>
        </w:tc>
      </w:tr>
      <w:tr w:rsidR="006929D1" w:rsidRPr="00D54C4B" w14:paraId="7A6B2548" w14:textId="77777777" w:rsidTr="00757A3E">
        <w:tc>
          <w:tcPr>
            <w:tcW w:w="1834" w:type="dxa"/>
            <w:vMerge/>
          </w:tcPr>
          <w:p w14:paraId="2B14DAC6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A19984C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14:paraId="22F4888F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1702,50</w:t>
            </w:r>
          </w:p>
        </w:tc>
        <w:tc>
          <w:tcPr>
            <w:tcW w:w="3544" w:type="dxa"/>
          </w:tcPr>
          <w:p w14:paraId="1A278D79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32,50</w:t>
            </w:r>
          </w:p>
        </w:tc>
      </w:tr>
      <w:tr w:rsidR="006929D1" w:rsidRPr="00D54C4B" w14:paraId="3D52B7C4" w14:textId="77777777" w:rsidTr="00757A3E">
        <w:tc>
          <w:tcPr>
            <w:tcW w:w="1834" w:type="dxa"/>
            <w:vMerge w:val="restart"/>
          </w:tcPr>
          <w:p w14:paraId="7B82428C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3FFDC1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00" w:type="dxa"/>
          </w:tcPr>
          <w:p w14:paraId="64F6A98E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1" w:type="dxa"/>
          </w:tcPr>
          <w:p w14:paraId="65D3A19F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1786,00</w:t>
            </w:r>
          </w:p>
        </w:tc>
        <w:tc>
          <w:tcPr>
            <w:tcW w:w="3544" w:type="dxa"/>
          </w:tcPr>
          <w:p w14:paraId="02EC4654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34,50</w:t>
            </w:r>
          </w:p>
        </w:tc>
      </w:tr>
      <w:tr w:rsidR="006929D1" w:rsidRPr="00D54C4B" w14:paraId="0A0438B0" w14:textId="77777777" w:rsidTr="00757A3E">
        <w:tc>
          <w:tcPr>
            <w:tcW w:w="1834" w:type="dxa"/>
            <w:vMerge/>
          </w:tcPr>
          <w:p w14:paraId="2960BD56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0" w:type="dxa"/>
          </w:tcPr>
          <w:p w14:paraId="7F4C62A2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1" w:type="dxa"/>
          </w:tcPr>
          <w:p w14:paraId="3070CB40" w14:textId="77777777" w:rsidR="00D467E2" w:rsidRPr="00D54C4B" w:rsidRDefault="00D467E2" w:rsidP="00757A3E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1906,50</w:t>
            </w:r>
          </w:p>
        </w:tc>
        <w:tc>
          <w:tcPr>
            <w:tcW w:w="3544" w:type="dxa"/>
          </w:tcPr>
          <w:p w14:paraId="72322D64" w14:textId="77777777" w:rsidR="00D467E2" w:rsidRPr="00D54C4B" w:rsidRDefault="00D467E2" w:rsidP="00757A3E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4C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36,50</w:t>
            </w:r>
          </w:p>
        </w:tc>
      </w:tr>
    </w:tbl>
    <w:p w14:paraId="5EFF65DE" w14:textId="77777777" w:rsidR="00D467E2" w:rsidRPr="00D54C4B" w:rsidRDefault="00D467E2" w:rsidP="00D467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C4B">
        <w:rPr>
          <w:rFonts w:ascii="Times New Roman" w:hAnsi="Times New Roman" w:cs="Times New Roman"/>
          <w:color w:val="000000" w:themeColor="text1"/>
          <w:sz w:val="28"/>
          <w:szCs w:val="28"/>
        </w:rPr>
        <w:t>“.</w:t>
      </w:r>
    </w:p>
    <w:p w14:paraId="06F3DCC1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54688931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4963F5AA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1AD464EF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6130E70F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2C1D1A2B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7381B6CA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524E550C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22219C55" w14:textId="77777777" w:rsidR="001575ED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</w:rPr>
      </w:pPr>
    </w:p>
    <w:p w14:paraId="3A960016" w14:textId="30F7A5D5" w:rsidR="001A036D" w:rsidRPr="00D54C4B" w:rsidRDefault="001A036D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Príloha č. 5 vrátane nadpisu znie:</w:t>
      </w:r>
    </w:p>
    <w:p w14:paraId="278E10DA" w14:textId="77777777" w:rsidR="001A036D" w:rsidRPr="00D54C4B" w:rsidRDefault="001A036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295244" w14:textId="77777777" w:rsidR="001A036D" w:rsidRPr="00D54C4B" w:rsidRDefault="001A036D" w:rsidP="001A03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„Príloha č. 5 k zákonu č. 553/2003 Z. z.</w:t>
      </w:r>
    </w:p>
    <w:p w14:paraId="1C45B0BB" w14:textId="77777777" w:rsidR="00757A3E" w:rsidRPr="00D54C4B" w:rsidRDefault="00757A3E" w:rsidP="001A03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9A7FD" w14:textId="77777777" w:rsidR="00757A3E" w:rsidRPr="00D54C4B" w:rsidRDefault="00757A3E" w:rsidP="00757A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Osobitná stupnica platových taríf učiteľov vysokých škôl a výskumných a vývojových zamestnancov</w:t>
      </w:r>
    </w:p>
    <w:p w14:paraId="79CE5545" w14:textId="77777777" w:rsidR="00757A3E" w:rsidRPr="00D54C4B" w:rsidRDefault="00757A3E" w:rsidP="00757A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AA3964" w14:textId="77777777" w:rsidR="001A036D" w:rsidRPr="00D54C4B" w:rsidRDefault="00757A3E" w:rsidP="00757A3E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 eurách mesačne)</w:t>
      </w:r>
    </w:p>
    <w:tbl>
      <w:tblPr>
        <w:tblpPr w:leftFromText="141" w:rightFromText="141" w:vertAnchor="page" w:horzAnchor="margin" w:tblpY="3752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989"/>
        <w:gridCol w:w="1134"/>
        <w:gridCol w:w="1276"/>
        <w:gridCol w:w="1549"/>
        <w:gridCol w:w="1286"/>
        <w:gridCol w:w="1276"/>
        <w:gridCol w:w="1134"/>
      </w:tblGrid>
      <w:tr w:rsidR="006929D1" w:rsidRPr="00D54C4B" w14:paraId="271596F2" w14:textId="77777777" w:rsidTr="001575ED">
        <w:trPr>
          <w:trHeight w:val="4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9EC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4A0E07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AD0CFD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Platový stupeň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0A7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074F4A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1DBB0A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Počet rokov praxe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7AD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Stupnica platových taríf podľa platových tried a platových stupňov</w:t>
            </w:r>
          </w:p>
        </w:tc>
      </w:tr>
      <w:tr w:rsidR="006929D1" w:rsidRPr="00D54C4B" w14:paraId="5098C8F3" w14:textId="77777777" w:rsidTr="001575ED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C856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A7735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010F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 l a t o v á  t r i e d a</w:t>
            </w:r>
          </w:p>
        </w:tc>
      </w:tr>
      <w:tr w:rsidR="006929D1" w:rsidRPr="00D54C4B" w14:paraId="6B77FCDB" w14:textId="77777777" w:rsidTr="001575ED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1E29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EFCF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C8E5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C7E7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4D5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63A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23A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E48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</w:tr>
      <w:tr w:rsidR="006929D1" w:rsidRPr="00D54C4B" w14:paraId="302AF9A4" w14:textId="77777777" w:rsidTr="001575ED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4F2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4CB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796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1097,50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30B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1278,00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ACD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1370,50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4FF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1466,00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198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1573,00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964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1698,00</w:t>
            </w:r>
          </w:p>
        </w:tc>
      </w:tr>
      <w:tr w:rsidR="006929D1" w:rsidRPr="00D54C4B" w14:paraId="0F2ED694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D11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F26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C53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C0B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1304,50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48B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1397,00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16E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D886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FED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1731,50</w:t>
            </w:r>
          </w:p>
        </w:tc>
      </w:tr>
      <w:tr w:rsidR="006929D1" w:rsidRPr="00D54C4B" w14:paraId="7A81A8A6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960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4F1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7A0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3EE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1336,50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C80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1433,00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A3C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0C3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9A2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1775,50</w:t>
            </w:r>
          </w:p>
        </w:tc>
      </w:tr>
      <w:tr w:rsidR="006929D1" w:rsidRPr="00D54C4B" w14:paraId="15E48905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EA6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71A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6C3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1168,00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2B3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1363,00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770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1459,50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60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B20E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1677,50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210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1807,50</w:t>
            </w:r>
          </w:p>
        </w:tc>
      </w:tr>
      <w:tr w:rsidR="006929D1" w:rsidRPr="00D54C4B" w14:paraId="74390655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543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96A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680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1193,50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A89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1393,00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A77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1492,00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F2B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488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E27C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1847,00</w:t>
            </w:r>
          </w:p>
        </w:tc>
      </w:tr>
      <w:tr w:rsidR="006929D1" w:rsidRPr="00D54C4B" w14:paraId="167AC3CA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F38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27B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5F0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A1E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1422,50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BE8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1521,50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8BD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DEC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1751,00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457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1887,00</w:t>
            </w:r>
          </w:p>
        </w:tc>
      </w:tr>
      <w:tr w:rsidR="006929D1" w:rsidRPr="00D54C4B" w14:paraId="52FD78C2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5D7A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EF2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313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FF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1459,50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03A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1565,00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21F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1672,50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24C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1795,50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5E7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1937,50</w:t>
            </w:r>
          </w:p>
        </w:tc>
      </w:tr>
      <w:tr w:rsidR="006929D1" w:rsidRPr="00D54C4B" w14:paraId="53DC6427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848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9FB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F37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063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1507,00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A03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1612,50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FEF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0E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7D3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2001,50</w:t>
            </w:r>
          </w:p>
        </w:tc>
      </w:tr>
      <w:tr w:rsidR="006929D1" w:rsidRPr="00D54C4B" w14:paraId="5844459C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019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B40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56E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6DA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1555,50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619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1666,00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916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F55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F1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2066,50</w:t>
            </w:r>
          </w:p>
        </w:tc>
      </w:tr>
      <w:tr w:rsidR="006929D1" w:rsidRPr="00D54C4B" w14:paraId="663BBBF9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539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244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39E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E30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1604,50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858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1719,50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4B2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BE8B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1976,50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BFD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2132,00</w:t>
            </w:r>
          </w:p>
        </w:tc>
      </w:tr>
      <w:tr w:rsidR="006929D1" w:rsidRPr="00D54C4B" w14:paraId="4E6D5187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3EF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293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948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1416,50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B01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1650,50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B45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1772,50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A64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3CE5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78F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2198,50</w:t>
            </w:r>
          </w:p>
        </w:tc>
      </w:tr>
      <w:tr w:rsidR="006929D1" w:rsidRPr="00D54C4B" w14:paraId="542D1C2A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91E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B11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E5E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1456,50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606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1700,50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4F2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1821,00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193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F85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209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2260,00</w:t>
            </w:r>
          </w:p>
        </w:tc>
      </w:tr>
      <w:tr w:rsidR="006929D1" w:rsidRPr="00D54C4B" w14:paraId="2200C29F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47A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CE0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904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1485,50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F8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1735,50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929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1857,00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76F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1990,50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B03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6F2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2305,50</w:t>
            </w:r>
          </w:p>
        </w:tc>
      </w:tr>
      <w:tr w:rsidR="006929D1" w:rsidRPr="00D54C4B" w14:paraId="21BDB355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21F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F7A5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nad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50F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D26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1742,50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80B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1866,00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1C9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2000,50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AC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2147,00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29A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2318,00</w:t>
            </w:r>
          </w:p>
        </w:tc>
      </w:tr>
    </w:tbl>
    <w:p w14:paraId="0595836C" w14:textId="77777777" w:rsidR="00E325B2" w:rsidRPr="00D54C4B" w:rsidRDefault="00F9596B" w:rsidP="00757A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53DF7AE8" w14:textId="77777777" w:rsidR="00F9596B" w:rsidRPr="00D54C4B" w:rsidRDefault="00F9596B" w:rsidP="00757A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3F7B0AB8" w14:textId="77777777" w:rsidR="00E325B2" w:rsidRPr="00D54C4B" w:rsidRDefault="00E325B2" w:rsidP="00E325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E571905" w14:textId="77777777" w:rsidR="001575ED" w:rsidRPr="00D54C4B" w:rsidRDefault="001575E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E67CF67" w14:textId="77777777" w:rsidR="001575ED" w:rsidRPr="00D54C4B" w:rsidRDefault="001575E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0F8C5C31" w14:textId="77777777" w:rsidR="001575ED" w:rsidRPr="00D54C4B" w:rsidRDefault="001575E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6B97901" w14:textId="77777777" w:rsidR="001575ED" w:rsidRPr="00D54C4B" w:rsidRDefault="001575E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463CD7D" w14:textId="77777777" w:rsidR="001575ED" w:rsidRPr="00D54C4B" w:rsidRDefault="001575E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63CF221A" w14:textId="77777777" w:rsidR="001575ED" w:rsidRPr="00D54C4B" w:rsidRDefault="001575E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C5C3CA7" w14:textId="77777777" w:rsidR="001575ED" w:rsidRPr="00D54C4B" w:rsidRDefault="001575E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198F9A27" w14:textId="1E921878" w:rsidR="001A036D" w:rsidRPr="00D54C4B" w:rsidRDefault="001A036D" w:rsidP="00D54C4B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Príloha č. 5 vrátane nadpisu znie:</w:t>
      </w:r>
    </w:p>
    <w:p w14:paraId="35198896" w14:textId="77777777" w:rsidR="001A036D" w:rsidRPr="00D54C4B" w:rsidRDefault="001A036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9A1BC" w14:textId="77777777" w:rsidR="001A036D" w:rsidRPr="00D54C4B" w:rsidRDefault="001A036D" w:rsidP="001A036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„Príloha č. 5 k zákonu č. 553/2003 Z. z.</w:t>
      </w:r>
    </w:p>
    <w:p w14:paraId="33DE6876" w14:textId="77777777" w:rsidR="001A036D" w:rsidRPr="00D54C4B" w:rsidRDefault="001A036D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A556C" w14:textId="77777777" w:rsidR="00F9596B" w:rsidRPr="00D54C4B" w:rsidRDefault="00F9596B" w:rsidP="00F9596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Osobitná stupnica platových taríf učiteľov vysokých škôl a výskumných a vývojových zamestnancov</w:t>
      </w:r>
    </w:p>
    <w:p w14:paraId="028C1948" w14:textId="77777777" w:rsidR="00F9596B" w:rsidRPr="00D54C4B" w:rsidRDefault="00F9596B" w:rsidP="00F9596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B29B2C" w14:textId="77777777" w:rsidR="00F9596B" w:rsidRPr="00D54C4B" w:rsidRDefault="00F9596B" w:rsidP="001575ED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(v eurách mesačne)</w:t>
      </w:r>
    </w:p>
    <w:tbl>
      <w:tblPr>
        <w:tblpPr w:leftFromText="141" w:rightFromText="141" w:vertAnchor="page" w:horzAnchor="margin" w:tblpY="4055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989"/>
        <w:gridCol w:w="1134"/>
        <w:gridCol w:w="1276"/>
        <w:gridCol w:w="1549"/>
        <w:gridCol w:w="1286"/>
        <w:gridCol w:w="1276"/>
        <w:gridCol w:w="1134"/>
      </w:tblGrid>
      <w:tr w:rsidR="006929D1" w:rsidRPr="00D54C4B" w14:paraId="48A470C1" w14:textId="77777777" w:rsidTr="001575ED">
        <w:trPr>
          <w:trHeight w:val="49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7D3C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0F84869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A2CD82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Platový stupeň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E177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B86A69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7B0D1F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Počet rokov praxe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703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Stupnica platových taríf podľa platových tried a platových stupňov</w:t>
            </w:r>
          </w:p>
        </w:tc>
      </w:tr>
      <w:tr w:rsidR="006929D1" w:rsidRPr="00D54C4B" w14:paraId="386F5C5F" w14:textId="77777777" w:rsidTr="001575ED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66B3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9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ACCD5C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271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D54C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 l a t o v á   t r i e d a</w:t>
            </w:r>
          </w:p>
        </w:tc>
      </w:tr>
      <w:tr w:rsidR="006929D1" w:rsidRPr="00D54C4B" w14:paraId="64CAD75A" w14:textId="77777777" w:rsidTr="001575ED">
        <w:trPr>
          <w:trHeight w:val="498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7792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9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EF84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76F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C8E6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75D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74C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D9D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5293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</w:tr>
      <w:tr w:rsidR="006929D1" w:rsidRPr="00D54C4B" w14:paraId="0CD98367" w14:textId="77777777" w:rsidTr="001575ED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969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466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965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1174,50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8FA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1367,50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8E3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1466,50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0B8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1569,00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FB2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017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1817,00</w:t>
            </w:r>
          </w:p>
        </w:tc>
      </w:tr>
      <w:tr w:rsidR="006929D1" w:rsidRPr="00D54C4B" w14:paraId="01F60652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CC1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D87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161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E65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1396,00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A45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BC4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A52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1718,50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3C8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1853,00</w:t>
            </w:r>
          </w:p>
        </w:tc>
      </w:tr>
      <w:tr w:rsidR="006929D1" w:rsidRPr="00D54C4B" w14:paraId="627FA7E2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290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654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678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1227,50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462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1430,50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BC9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1533,50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4A0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1639,00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438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1761,50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BA0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1900,00</w:t>
            </w:r>
          </w:p>
        </w:tc>
      </w:tr>
      <w:tr w:rsidR="006929D1" w:rsidRPr="00D54C4B" w14:paraId="0BE4B1F1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8874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AA8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61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64A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1458,50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126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1562,00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4BB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8CB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45E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1934,50</w:t>
            </w:r>
          </w:p>
        </w:tc>
      </w:tr>
      <w:tr w:rsidR="006929D1" w:rsidRPr="00D54C4B" w14:paraId="1C0E9762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1EE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42A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420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0C3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1491,00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9BB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1596,50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724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6F8F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BF6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1976,50</w:t>
            </w:r>
          </w:p>
        </w:tc>
      </w:tr>
      <w:tr w:rsidR="006929D1" w:rsidRPr="00D54C4B" w14:paraId="19240FC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5BD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839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454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527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1522,50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504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1628,50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997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7D1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B5C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2019,50</w:t>
            </w:r>
          </w:p>
        </w:tc>
      </w:tr>
      <w:tr w:rsidR="006929D1" w:rsidRPr="00D54C4B" w14:paraId="3905F9A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F0A4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573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157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83A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1562,00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3B3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1675,00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49C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7E7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1921,50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31A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2073,50</w:t>
            </w:r>
          </w:p>
        </w:tc>
      </w:tr>
      <w:tr w:rsidR="006929D1" w:rsidRPr="00D54C4B" w14:paraId="58DF483E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5C4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085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488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1380,50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E3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1612,50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EE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1725,50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273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1850,50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5F9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3865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2142,00</w:t>
            </w:r>
          </w:p>
        </w:tc>
      </w:tr>
      <w:tr w:rsidR="006929D1" w:rsidRPr="00D54C4B" w14:paraId="0B05347D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4C4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7D9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10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113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1664,50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3A5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1783,00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901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B71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C75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2211,50</w:t>
            </w:r>
          </w:p>
        </w:tc>
      </w:tr>
      <w:tr w:rsidR="006929D1" w:rsidRPr="00D54C4B" w14:paraId="29DC2060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4C8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4B2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0F6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90C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1717,00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CCA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1840,00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C2E1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C34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9C91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2281,50</w:t>
            </w:r>
          </w:p>
        </w:tc>
      </w:tr>
      <w:tr w:rsidR="006929D1" w:rsidRPr="00D54C4B" w14:paraId="338CB739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BC9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719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57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B43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1766,50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86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1897,00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D91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2029,50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0F9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F15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2352,50</w:t>
            </w:r>
          </w:p>
        </w:tc>
      </w:tr>
      <w:tr w:rsidR="006929D1" w:rsidRPr="00D54C4B" w14:paraId="2E04D87D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D6C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7EA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36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0898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1558,50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519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1820,00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CCD2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1948,50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6FD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2089,50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8EA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2242,00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C7C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2418,50</w:t>
            </w:r>
          </w:p>
        </w:tc>
      </w:tr>
      <w:tr w:rsidR="006929D1" w:rsidRPr="00D54C4B" w14:paraId="0F6C9EFF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F9E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834B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do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7C56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1589,50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A98A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1857,00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E063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1987,00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3DC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F3C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C267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2467,00</w:t>
            </w:r>
          </w:p>
        </w:tc>
      </w:tr>
      <w:tr w:rsidR="006929D1" w:rsidRPr="00D54C4B" w14:paraId="05F045E2" w14:textId="77777777" w:rsidTr="001575ED">
        <w:trPr>
          <w:trHeight w:val="498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4B3E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629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 xml:space="preserve">nad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F9C0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1597,00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16FD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1864,50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B264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1997,00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6EEF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2141,00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A10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2297,50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CAC9" w14:textId="77777777" w:rsidR="001575ED" w:rsidRPr="00D54C4B" w:rsidRDefault="001575ED" w:rsidP="00157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D54C4B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2480,50</w:t>
            </w:r>
          </w:p>
        </w:tc>
      </w:tr>
    </w:tbl>
    <w:p w14:paraId="6DB59FCD" w14:textId="77777777" w:rsidR="00FE6D6C" w:rsidRPr="00D54C4B" w:rsidRDefault="00FE6D6C" w:rsidP="001A03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C07E38" w14:textId="77777777" w:rsidR="009F65B3" w:rsidRPr="00D54C4B" w:rsidRDefault="001575ED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B4CB4C0" w14:textId="68BEEAEF" w:rsidR="00A608BA" w:rsidRPr="00D54C4B" w:rsidRDefault="00A608B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47D412" w14:textId="019FC369" w:rsidR="00A608BA" w:rsidRPr="00D54C4B" w:rsidRDefault="00A608B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832D6" w14:textId="60633593" w:rsidR="00A608BA" w:rsidRPr="00D54C4B" w:rsidRDefault="00A608B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0B3B0B" w14:textId="1EE4EB64" w:rsidR="00A608BA" w:rsidRPr="00D54C4B" w:rsidRDefault="00A608BA" w:rsidP="00A10E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F9DDF" w14:textId="77777777" w:rsidR="00D54C4B" w:rsidRDefault="00D54C4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B2ECDCC" w14:textId="0C09E313" w:rsidR="00A608BA" w:rsidRPr="008A49A8" w:rsidRDefault="00D54C4B" w:rsidP="00D54C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49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Čl. II</w:t>
      </w:r>
    </w:p>
    <w:p w14:paraId="2833F259" w14:textId="77777777" w:rsidR="00D54C4B" w:rsidRPr="008A49A8" w:rsidRDefault="00D54C4B" w:rsidP="00A608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3192B4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Zákon č. 138/2019 Z. z. o pedagogických zamestnancoch a odborných zamestnancoch a o zmene a doplnení niektorých zákonov v znení zákona č. 209/2019 Z. z., zákona č. 310/2019 Z. z., zákona č. 271/2021 Z. z., zákona č. 414/2021 Z. z., zákona č. 92/2022 Z. z., zákona č. 128/2022 Z. z., zákona č. 136/2023 Z. z., zákona č. 182/2023 Z. z. a zákona č. 291/2024 Z. z. sa mení a dopĺňa takto:</w:t>
      </w:r>
    </w:p>
    <w:p w14:paraId="70D5A6FB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3CFBD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V § 70 sa za odsek 5 vkladá nový odsek 6, ktorý znie: </w:t>
      </w:r>
    </w:p>
    <w:p w14:paraId="28F55682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0492B0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„(6) Výsledkom hodnotenia pedagogického zamestnanca a odborného zamestnanca je vyjadrenie úrovne a kvality výkonu pracovnej činnosti ako </w:t>
      </w:r>
    </w:p>
    <w:p w14:paraId="357C657F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vynikajúca úroveň a kvalita, </w:t>
      </w:r>
    </w:p>
    <w:p w14:paraId="004E80C6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b) veľmi dobrá úroveň a kvalita,</w:t>
      </w:r>
    </w:p>
    <w:p w14:paraId="5EAED1EB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c) štandardná úroveň a kvalita,</w:t>
      </w:r>
    </w:p>
    <w:p w14:paraId="73B801BB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d) uspokojivá úroveň a kvalita,</w:t>
      </w:r>
    </w:p>
    <w:p w14:paraId="75275798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e) neuspokojivá úroveň a kvalita.“.</w:t>
      </w:r>
    </w:p>
    <w:p w14:paraId="01585B62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B66724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Doterajšie odseky 6 až 11 sa označujú ako odseky 7 až 12.</w:t>
      </w:r>
    </w:p>
    <w:p w14:paraId="319F8DD2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108A01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2. V § 70 ods. 7 písmeno c) znie:</w:t>
      </w:r>
    </w:p>
    <w:p w14:paraId="028B249B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07F26D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„c) priznanie osobného príplatku, príplatku za hodnotenie pedagogického zamestnanca a odborného zamestnanca alebo odmeny podľa osobitného predpisu,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33a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)“.</w:t>
      </w:r>
    </w:p>
    <w:p w14:paraId="5EEC0834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3A41C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Poznámka pod čiarou k odkazu 33a znie:</w:t>
      </w:r>
    </w:p>
    <w:p w14:paraId="46BB8B41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33a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) § 10, § 13c a § 20 zákona č. 553/2003 Z. z. v znení neskorších predpisov.“.</w:t>
      </w:r>
    </w:p>
    <w:p w14:paraId="23DA2896" w14:textId="77777777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3D285" w14:textId="41283305" w:rsidR="00A608BA" w:rsidRPr="00D54C4B" w:rsidRDefault="00A608BA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3.  V § 70 ods. 10 sa slová „organizáciu zriadenú ministerstvom školstva“ nahrádzajú slovami „regionálny úrad“.</w:t>
      </w:r>
    </w:p>
    <w:p w14:paraId="037650CA" w14:textId="6D060C87" w:rsidR="0021260E" w:rsidRPr="00D54C4B" w:rsidRDefault="0021260E" w:rsidP="00A608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1B8B42" w14:textId="3E1AA63E" w:rsidR="0021260E" w:rsidRPr="008A49A8" w:rsidRDefault="0021260E" w:rsidP="002126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49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Čl. III</w:t>
      </w:r>
    </w:p>
    <w:p w14:paraId="384FA82F" w14:textId="62F3DC6D" w:rsidR="0021260E" w:rsidRPr="008A49A8" w:rsidRDefault="0021260E" w:rsidP="0021260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05C3B22" w14:textId="1AE7935A" w:rsidR="0021260E" w:rsidRDefault="0021260E" w:rsidP="00212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zákon nadobúda účinnosť 1. septembra 2025 okrem čl. </w:t>
      </w:r>
      <w:r w:rsidR="00371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bodov 1, </w:t>
      </w:r>
      <w:r w:rsidR="00C01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4, 6, </w:t>
      </w:r>
      <w:r w:rsidR="0008062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C01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až </w:t>
      </w:r>
      <w:r w:rsidR="0008062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 w:rsidR="0008062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 w:rsidR="0008062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010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16 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čl. </w:t>
      </w:r>
      <w:r w:rsidRPr="003107E1">
        <w:rPr>
          <w:rFonts w:ascii="Times New Roman" w:hAnsi="Times New Roman" w:cs="Times New Roman"/>
          <w:color w:val="000000" w:themeColor="text1"/>
          <w:sz w:val="24"/>
          <w:szCs w:val="24"/>
        </w:rPr>
        <w:t>II</w:t>
      </w:r>
      <w:r w:rsidRPr="00D54C4B">
        <w:rPr>
          <w:rFonts w:ascii="Times New Roman" w:hAnsi="Times New Roman" w:cs="Times New Roman"/>
          <w:color w:val="000000" w:themeColor="text1"/>
          <w:sz w:val="24"/>
          <w:szCs w:val="24"/>
        </w:rPr>
        <w:t>, ktoré nadobúdajú účinnosť 1. januára 2026.</w:t>
      </w:r>
    </w:p>
    <w:p w14:paraId="410CB598" w14:textId="1F9F5027" w:rsidR="008A49A8" w:rsidRDefault="008A49A8" w:rsidP="00212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D2AA08" w14:textId="77777777" w:rsidR="008A49A8" w:rsidRPr="00D54C4B" w:rsidRDefault="008A49A8" w:rsidP="002126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2A2A7" w14:textId="75B8083A" w:rsidR="008A49A8" w:rsidRDefault="008A49A8" w:rsidP="008A49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2098EB" w14:textId="77777777" w:rsidR="008A49A8" w:rsidRPr="008A49A8" w:rsidRDefault="008A49A8" w:rsidP="008A49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76829D" w14:textId="77777777" w:rsidR="008A49A8" w:rsidRPr="008A49A8" w:rsidRDefault="008A49A8" w:rsidP="008A4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9A8">
        <w:rPr>
          <w:rFonts w:ascii="Times New Roman" w:eastAsia="Calibri" w:hAnsi="Times New Roman" w:cs="Times New Roman"/>
          <w:sz w:val="24"/>
          <w:szCs w:val="24"/>
        </w:rPr>
        <w:t>prezident Slovenskej republiky</w:t>
      </w:r>
    </w:p>
    <w:p w14:paraId="207D7F61" w14:textId="77777777" w:rsidR="008A49A8" w:rsidRP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8C6483" w14:textId="6D973CC5" w:rsid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0343C1" w14:textId="77777777" w:rsidR="008A49A8" w:rsidRP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3A21DA" w14:textId="77777777" w:rsidR="008A49A8" w:rsidRP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318EB2" w14:textId="77777777" w:rsidR="008A49A8" w:rsidRPr="008A49A8" w:rsidRDefault="008A49A8" w:rsidP="008A4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9A8">
        <w:rPr>
          <w:rFonts w:ascii="Times New Roman" w:eastAsia="Calibri" w:hAnsi="Times New Roman" w:cs="Times New Roman"/>
          <w:sz w:val="24"/>
          <w:szCs w:val="24"/>
        </w:rPr>
        <w:t>predseda Národnej rady Slovenskej republiky</w:t>
      </w:r>
    </w:p>
    <w:p w14:paraId="2F3C2F16" w14:textId="77777777" w:rsidR="008A49A8" w:rsidRP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E73277" w14:textId="3E4B3C6C" w:rsid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759D7FE" w14:textId="77777777" w:rsidR="008A49A8" w:rsidRP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09833C" w14:textId="77777777" w:rsidR="008A49A8" w:rsidRPr="008A49A8" w:rsidRDefault="008A49A8" w:rsidP="008A49A8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FC50E5" w14:textId="77777777" w:rsidR="008A49A8" w:rsidRPr="008A49A8" w:rsidRDefault="008A49A8" w:rsidP="008A49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49A8">
        <w:rPr>
          <w:rFonts w:ascii="Times New Roman" w:eastAsia="Calibri" w:hAnsi="Times New Roman" w:cs="Times New Roman"/>
          <w:sz w:val="24"/>
          <w:szCs w:val="24"/>
        </w:rPr>
        <w:t>predseda vlády Slovenskej republiky</w:t>
      </w:r>
    </w:p>
    <w:sectPr w:rsidR="008A49A8" w:rsidRPr="008A49A8" w:rsidSect="008A49A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B3C40" w14:textId="77777777" w:rsidR="008A49A8" w:rsidRDefault="008A49A8" w:rsidP="008A49A8">
      <w:pPr>
        <w:spacing w:after="0" w:line="240" w:lineRule="auto"/>
      </w:pPr>
      <w:r>
        <w:separator/>
      </w:r>
    </w:p>
  </w:endnote>
  <w:endnote w:type="continuationSeparator" w:id="0">
    <w:p w14:paraId="6F4FD070" w14:textId="77777777" w:rsidR="008A49A8" w:rsidRDefault="008A49A8" w:rsidP="008A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3555790"/>
      <w:docPartObj>
        <w:docPartGallery w:val="Page Numbers (Bottom of Page)"/>
        <w:docPartUnique/>
      </w:docPartObj>
    </w:sdtPr>
    <w:sdtEndPr/>
    <w:sdtContent>
      <w:p w14:paraId="200A108D" w14:textId="7D194746" w:rsidR="008A49A8" w:rsidRDefault="008A49A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01B">
          <w:rPr>
            <w:noProof/>
          </w:rPr>
          <w:t>2</w:t>
        </w:r>
        <w:r>
          <w:fldChar w:fldCharType="end"/>
        </w:r>
      </w:p>
    </w:sdtContent>
  </w:sdt>
  <w:p w14:paraId="23CB01BF" w14:textId="77777777" w:rsidR="008A49A8" w:rsidRDefault="008A49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7906C" w14:textId="77777777" w:rsidR="008A49A8" w:rsidRDefault="008A49A8" w:rsidP="008A49A8">
      <w:pPr>
        <w:spacing w:after="0" w:line="240" w:lineRule="auto"/>
      </w:pPr>
      <w:r>
        <w:separator/>
      </w:r>
    </w:p>
  </w:footnote>
  <w:footnote w:type="continuationSeparator" w:id="0">
    <w:p w14:paraId="43EF15DB" w14:textId="77777777" w:rsidR="008A49A8" w:rsidRDefault="008A49A8" w:rsidP="008A4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10B"/>
    <w:multiLevelType w:val="hybridMultilevel"/>
    <w:tmpl w:val="5A5AB418"/>
    <w:lvl w:ilvl="0" w:tplc="48C2A1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3519CD"/>
    <w:multiLevelType w:val="hybridMultilevel"/>
    <w:tmpl w:val="FE0CDFF0"/>
    <w:lvl w:ilvl="0" w:tplc="17F8FCBA">
      <w:start w:val="1"/>
      <w:numFmt w:val="decimal"/>
      <w:lvlText w:val="(%1)"/>
      <w:lvlJc w:val="left"/>
      <w:pPr>
        <w:ind w:left="756" w:hanging="396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40B3E"/>
    <w:multiLevelType w:val="multilevel"/>
    <w:tmpl w:val="CB6A47F2"/>
    <w:styleLink w:val="CurrentList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A10E2"/>
    <w:multiLevelType w:val="hybridMultilevel"/>
    <w:tmpl w:val="DFF8EF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00CA"/>
    <w:multiLevelType w:val="hybridMultilevel"/>
    <w:tmpl w:val="5C80086C"/>
    <w:lvl w:ilvl="0" w:tplc="6F6C03D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5E86"/>
    <w:multiLevelType w:val="hybridMultilevel"/>
    <w:tmpl w:val="AAD07632"/>
    <w:lvl w:ilvl="0" w:tplc="FFD08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19"/>
    <w:rsid w:val="0002552C"/>
    <w:rsid w:val="00032663"/>
    <w:rsid w:val="00046377"/>
    <w:rsid w:val="00054E2B"/>
    <w:rsid w:val="00055496"/>
    <w:rsid w:val="000641D0"/>
    <w:rsid w:val="0008062E"/>
    <w:rsid w:val="00092437"/>
    <w:rsid w:val="000A04C3"/>
    <w:rsid w:val="000B1FBC"/>
    <w:rsid w:val="000B436F"/>
    <w:rsid w:val="000C2393"/>
    <w:rsid w:val="000F19B1"/>
    <w:rsid w:val="00112ECA"/>
    <w:rsid w:val="00116519"/>
    <w:rsid w:val="001175BE"/>
    <w:rsid w:val="001236BC"/>
    <w:rsid w:val="00133717"/>
    <w:rsid w:val="00135230"/>
    <w:rsid w:val="00137BF1"/>
    <w:rsid w:val="001519AC"/>
    <w:rsid w:val="001575ED"/>
    <w:rsid w:val="00161C9E"/>
    <w:rsid w:val="00182DF5"/>
    <w:rsid w:val="00191F8B"/>
    <w:rsid w:val="001A036D"/>
    <w:rsid w:val="001A15A5"/>
    <w:rsid w:val="001F2867"/>
    <w:rsid w:val="0021260E"/>
    <w:rsid w:val="00241B00"/>
    <w:rsid w:val="0024314B"/>
    <w:rsid w:val="0024514B"/>
    <w:rsid w:val="00262022"/>
    <w:rsid w:val="00263B2B"/>
    <w:rsid w:val="002E48C2"/>
    <w:rsid w:val="00301C63"/>
    <w:rsid w:val="00305EE3"/>
    <w:rsid w:val="003107E1"/>
    <w:rsid w:val="0033363A"/>
    <w:rsid w:val="00361C44"/>
    <w:rsid w:val="003715E0"/>
    <w:rsid w:val="003A0D34"/>
    <w:rsid w:val="003B1606"/>
    <w:rsid w:val="003F55A9"/>
    <w:rsid w:val="004164AE"/>
    <w:rsid w:val="00442257"/>
    <w:rsid w:val="00453831"/>
    <w:rsid w:val="00466497"/>
    <w:rsid w:val="00470101"/>
    <w:rsid w:val="00480F5D"/>
    <w:rsid w:val="004A475B"/>
    <w:rsid w:val="004D28AD"/>
    <w:rsid w:val="004D3131"/>
    <w:rsid w:val="004D3C82"/>
    <w:rsid w:val="004E23A6"/>
    <w:rsid w:val="004E7817"/>
    <w:rsid w:val="004F2D9B"/>
    <w:rsid w:val="004F2F43"/>
    <w:rsid w:val="00515800"/>
    <w:rsid w:val="00560A73"/>
    <w:rsid w:val="00567FA9"/>
    <w:rsid w:val="00571060"/>
    <w:rsid w:val="00583764"/>
    <w:rsid w:val="005840BE"/>
    <w:rsid w:val="00596D53"/>
    <w:rsid w:val="005A0223"/>
    <w:rsid w:val="005A08F9"/>
    <w:rsid w:val="005A6D8F"/>
    <w:rsid w:val="005E26FE"/>
    <w:rsid w:val="005F3101"/>
    <w:rsid w:val="00612B8B"/>
    <w:rsid w:val="0061687D"/>
    <w:rsid w:val="006200B9"/>
    <w:rsid w:val="00625510"/>
    <w:rsid w:val="00627429"/>
    <w:rsid w:val="00630464"/>
    <w:rsid w:val="006325F2"/>
    <w:rsid w:val="006343D7"/>
    <w:rsid w:val="00642B68"/>
    <w:rsid w:val="00643F4A"/>
    <w:rsid w:val="006611C5"/>
    <w:rsid w:val="00663B7B"/>
    <w:rsid w:val="006807FD"/>
    <w:rsid w:val="006862C5"/>
    <w:rsid w:val="006923A7"/>
    <w:rsid w:val="006929D1"/>
    <w:rsid w:val="006B0FE8"/>
    <w:rsid w:val="006C0DB7"/>
    <w:rsid w:val="006C526A"/>
    <w:rsid w:val="006F1689"/>
    <w:rsid w:val="006F29D2"/>
    <w:rsid w:val="00705072"/>
    <w:rsid w:val="007301B3"/>
    <w:rsid w:val="00732C05"/>
    <w:rsid w:val="00742A28"/>
    <w:rsid w:val="00757A3E"/>
    <w:rsid w:val="00767D1D"/>
    <w:rsid w:val="00785EF2"/>
    <w:rsid w:val="00786776"/>
    <w:rsid w:val="007877EC"/>
    <w:rsid w:val="007D1AC4"/>
    <w:rsid w:val="007E631B"/>
    <w:rsid w:val="00805F42"/>
    <w:rsid w:val="00810776"/>
    <w:rsid w:val="00822B73"/>
    <w:rsid w:val="0083150B"/>
    <w:rsid w:val="00837B0F"/>
    <w:rsid w:val="00847A5F"/>
    <w:rsid w:val="00860F16"/>
    <w:rsid w:val="008728CF"/>
    <w:rsid w:val="00894EA2"/>
    <w:rsid w:val="00896317"/>
    <w:rsid w:val="008A320E"/>
    <w:rsid w:val="008A3C2D"/>
    <w:rsid w:val="008A49A8"/>
    <w:rsid w:val="008C5ECD"/>
    <w:rsid w:val="008F3437"/>
    <w:rsid w:val="008F466F"/>
    <w:rsid w:val="00900B42"/>
    <w:rsid w:val="0090500F"/>
    <w:rsid w:val="0092394D"/>
    <w:rsid w:val="00923C84"/>
    <w:rsid w:val="00931443"/>
    <w:rsid w:val="00931BE3"/>
    <w:rsid w:val="009414FB"/>
    <w:rsid w:val="009430E0"/>
    <w:rsid w:val="00950024"/>
    <w:rsid w:val="00953A45"/>
    <w:rsid w:val="009547D0"/>
    <w:rsid w:val="009717A9"/>
    <w:rsid w:val="00971CE5"/>
    <w:rsid w:val="00974543"/>
    <w:rsid w:val="00980F92"/>
    <w:rsid w:val="00983EFE"/>
    <w:rsid w:val="009A5839"/>
    <w:rsid w:val="009E3599"/>
    <w:rsid w:val="009E413A"/>
    <w:rsid w:val="009F4976"/>
    <w:rsid w:val="009F65B3"/>
    <w:rsid w:val="00A10E06"/>
    <w:rsid w:val="00A16B96"/>
    <w:rsid w:val="00A20F19"/>
    <w:rsid w:val="00A22A5F"/>
    <w:rsid w:val="00A2665D"/>
    <w:rsid w:val="00A27523"/>
    <w:rsid w:val="00A608BA"/>
    <w:rsid w:val="00A72705"/>
    <w:rsid w:val="00A7659B"/>
    <w:rsid w:val="00A82631"/>
    <w:rsid w:val="00A83124"/>
    <w:rsid w:val="00AB43BA"/>
    <w:rsid w:val="00AD7EBD"/>
    <w:rsid w:val="00AE33D3"/>
    <w:rsid w:val="00AF15A8"/>
    <w:rsid w:val="00AF2E4D"/>
    <w:rsid w:val="00AF65B4"/>
    <w:rsid w:val="00AF796A"/>
    <w:rsid w:val="00B62045"/>
    <w:rsid w:val="00B64E77"/>
    <w:rsid w:val="00B7492F"/>
    <w:rsid w:val="00B82675"/>
    <w:rsid w:val="00BA1EFA"/>
    <w:rsid w:val="00BB5D39"/>
    <w:rsid w:val="00BC4A37"/>
    <w:rsid w:val="00BD1806"/>
    <w:rsid w:val="00BD7DC8"/>
    <w:rsid w:val="00BF04A1"/>
    <w:rsid w:val="00C01071"/>
    <w:rsid w:val="00C02144"/>
    <w:rsid w:val="00C04131"/>
    <w:rsid w:val="00C2166A"/>
    <w:rsid w:val="00C25ACA"/>
    <w:rsid w:val="00C42B83"/>
    <w:rsid w:val="00C657C4"/>
    <w:rsid w:val="00C7695A"/>
    <w:rsid w:val="00C85348"/>
    <w:rsid w:val="00CA2E13"/>
    <w:rsid w:val="00CA5E4B"/>
    <w:rsid w:val="00CB1FA6"/>
    <w:rsid w:val="00CD2619"/>
    <w:rsid w:val="00CE2AFE"/>
    <w:rsid w:val="00CF0078"/>
    <w:rsid w:val="00D3183A"/>
    <w:rsid w:val="00D445D2"/>
    <w:rsid w:val="00D467E2"/>
    <w:rsid w:val="00D5045E"/>
    <w:rsid w:val="00D509BD"/>
    <w:rsid w:val="00D50BC4"/>
    <w:rsid w:val="00D53FA9"/>
    <w:rsid w:val="00D54C4B"/>
    <w:rsid w:val="00D54FFA"/>
    <w:rsid w:val="00D64E8A"/>
    <w:rsid w:val="00D71C60"/>
    <w:rsid w:val="00D74F5D"/>
    <w:rsid w:val="00D75207"/>
    <w:rsid w:val="00D840CD"/>
    <w:rsid w:val="00D864E4"/>
    <w:rsid w:val="00DB6F6E"/>
    <w:rsid w:val="00DD1587"/>
    <w:rsid w:val="00DD2E2E"/>
    <w:rsid w:val="00DE2119"/>
    <w:rsid w:val="00DE40A3"/>
    <w:rsid w:val="00DF0CF7"/>
    <w:rsid w:val="00DF4B1D"/>
    <w:rsid w:val="00E0698F"/>
    <w:rsid w:val="00E17179"/>
    <w:rsid w:val="00E21888"/>
    <w:rsid w:val="00E325B2"/>
    <w:rsid w:val="00E80DA5"/>
    <w:rsid w:val="00EA22FB"/>
    <w:rsid w:val="00EC75A4"/>
    <w:rsid w:val="00ED1536"/>
    <w:rsid w:val="00ED27B7"/>
    <w:rsid w:val="00ED756F"/>
    <w:rsid w:val="00EE6AF7"/>
    <w:rsid w:val="00EF1CB5"/>
    <w:rsid w:val="00EF201B"/>
    <w:rsid w:val="00EF2289"/>
    <w:rsid w:val="00EF5AF7"/>
    <w:rsid w:val="00F0303C"/>
    <w:rsid w:val="00F1745F"/>
    <w:rsid w:val="00F17E2F"/>
    <w:rsid w:val="00F276D8"/>
    <w:rsid w:val="00F373D4"/>
    <w:rsid w:val="00F73DFA"/>
    <w:rsid w:val="00F9596B"/>
    <w:rsid w:val="00FA0F74"/>
    <w:rsid w:val="00FA5B3C"/>
    <w:rsid w:val="00FA6416"/>
    <w:rsid w:val="00FB7913"/>
    <w:rsid w:val="00FD207A"/>
    <w:rsid w:val="00FD743A"/>
    <w:rsid w:val="00F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98A8F"/>
  <w15:chartTrackingRefBased/>
  <w15:docId w15:val="{8A385E45-96C1-4C40-B023-88C593CF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F2D9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E41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E41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E41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E41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E413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4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413A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8C5ECD"/>
    <w:rPr>
      <w:color w:val="0563C1"/>
      <w:u w:val="single"/>
    </w:rPr>
  </w:style>
  <w:style w:type="table" w:styleId="Mriekatabuky">
    <w:name w:val="Table Grid"/>
    <w:basedOn w:val="Normlnatabuka"/>
    <w:uiPriority w:val="39"/>
    <w:rsid w:val="00D46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929D1"/>
    <w:pPr>
      <w:numPr>
        <w:numId w:val="3"/>
      </w:numPr>
    </w:pPr>
  </w:style>
  <w:style w:type="paragraph" w:styleId="Bezriadkovania">
    <w:name w:val="No Spacing"/>
    <w:uiPriority w:val="1"/>
    <w:qFormat/>
    <w:rsid w:val="00AB43BA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Revzia">
    <w:name w:val="Revision"/>
    <w:hidden/>
    <w:uiPriority w:val="99"/>
    <w:semiHidden/>
    <w:rsid w:val="004164A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A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49A8"/>
  </w:style>
  <w:style w:type="paragraph" w:styleId="Pta">
    <w:name w:val="footer"/>
    <w:basedOn w:val="Normlny"/>
    <w:link w:val="PtaChar"/>
    <w:uiPriority w:val="99"/>
    <w:unhideWhenUsed/>
    <w:rsid w:val="008A4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12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11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8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01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27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63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424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891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71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183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7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90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6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9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2894</Words>
  <Characters>16497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Sitarčík Ján</dc:creator>
  <cp:keywords/>
  <dc:description/>
  <cp:lastModifiedBy>Durgalová, Veronika</cp:lastModifiedBy>
  <cp:revision>3</cp:revision>
  <cp:lastPrinted>2025-06-10T09:27:00Z</cp:lastPrinted>
  <dcterms:created xsi:type="dcterms:W3CDTF">2025-06-10T09:28:00Z</dcterms:created>
  <dcterms:modified xsi:type="dcterms:W3CDTF">2025-06-10T13:39:00Z</dcterms:modified>
</cp:coreProperties>
</file>