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957D9" w14:textId="77777777" w:rsidR="00153B43" w:rsidRPr="00002F51" w:rsidRDefault="00153B43" w:rsidP="00305EFA">
      <w:pPr>
        <w:spacing w:after="120"/>
        <w:jc w:val="both"/>
        <w:rPr>
          <w:rFonts w:ascii="Cambria" w:hAnsi="Cambria"/>
          <w:sz w:val="22"/>
          <w:szCs w:val="22"/>
          <w:lang w:val="sk-SK"/>
        </w:rPr>
      </w:pPr>
    </w:p>
    <w:p w14:paraId="0A2BE6CB" w14:textId="4BB3A691" w:rsidR="00153B43" w:rsidRPr="00002F51" w:rsidRDefault="00E94E3A" w:rsidP="00305EFA">
      <w:pPr>
        <w:pStyle w:val="Heading1"/>
        <w:tabs>
          <w:tab w:val="right" w:pos="8958"/>
        </w:tabs>
        <w:spacing w:after="120"/>
        <w:rPr>
          <w:rFonts w:ascii="Cambria" w:hAnsi="Cambria"/>
          <w:sz w:val="22"/>
          <w:szCs w:val="22"/>
        </w:rPr>
      </w:pPr>
      <w:r w:rsidRPr="00002F51">
        <w:rPr>
          <w:rFonts w:ascii="Cambria" w:hAnsi="Cambria"/>
          <w:sz w:val="22"/>
          <w:szCs w:val="22"/>
        </w:rPr>
        <w:t>PREDKLADACIA SPRÁVA</w:t>
      </w:r>
    </w:p>
    <w:p w14:paraId="5141ADBF" w14:textId="77777777" w:rsidR="00153B43" w:rsidRPr="00002F51" w:rsidRDefault="00153B43" w:rsidP="00305EFA">
      <w:pPr>
        <w:pStyle w:val="BodyText"/>
        <w:spacing w:after="120"/>
        <w:jc w:val="both"/>
        <w:rPr>
          <w:rFonts w:ascii="Cambria" w:hAnsi="Cambria"/>
          <w:sz w:val="22"/>
          <w:szCs w:val="22"/>
          <w:lang w:val="sk-SK"/>
        </w:rPr>
      </w:pPr>
    </w:p>
    <w:p w14:paraId="7DBC88DC" w14:textId="77777777" w:rsidR="00153B43" w:rsidRPr="00002F51" w:rsidRDefault="00153B43" w:rsidP="00305EFA">
      <w:pPr>
        <w:pStyle w:val="BodyText"/>
        <w:spacing w:after="120"/>
        <w:ind w:right="902" w:firstLine="720"/>
        <w:jc w:val="both"/>
        <w:rPr>
          <w:rFonts w:ascii="Cambria" w:hAnsi="Cambria"/>
          <w:sz w:val="22"/>
          <w:szCs w:val="22"/>
          <w:lang w:val="sk-SK"/>
        </w:rPr>
      </w:pPr>
    </w:p>
    <w:p w14:paraId="44DB5722" w14:textId="233E04FD" w:rsidR="00571795" w:rsidRPr="00EC7251" w:rsidRDefault="00210C2D" w:rsidP="00305EFA">
      <w:pPr>
        <w:pStyle w:val="BodyText"/>
        <w:tabs>
          <w:tab w:val="right" w:pos="8958"/>
        </w:tabs>
        <w:spacing w:after="120"/>
        <w:ind w:right="-40" w:firstLine="720"/>
        <w:jc w:val="both"/>
        <w:rPr>
          <w:rFonts w:ascii="Cambria" w:hAnsi="Cambria"/>
          <w:sz w:val="22"/>
          <w:szCs w:val="22"/>
          <w:lang w:val="sk-SK"/>
        </w:rPr>
      </w:pPr>
      <w:r w:rsidRPr="00EC7251">
        <w:rPr>
          <w:rFonts w:ascii="Cambria" w:hAnsi="Cambria"/>
          <w:sz w:val="22"/>
          <w:szCs w:val="22"/>
          <w:lang w:val="sk-SK"/>
        </w:rPr>
        <w:t xml:space="preserve">Správu </w:t>
      </w:r>
      <w:r w:rsidR="00AA133F">
        <w:rPr>
          <w:rFonts w:ascii="Cambria" w:hAnsi="Cambria"/>
          <w:sz w:val="22"/>
          <w:szCs w:val="22"/>
          <w:lang w:val="sk-SK"/>
        </w:rPr>
        <w:t>o </w:t>
      </w:r>
      <w:r w:rsidRPr="00EC7251">
        <w:rPr>
          <w:rFonts w:ascii="Cambria" w:hAnsi="Cambria"/>
          <w:sz w:val="22"/>
          <w:szCs w:val="22"/>
          <w:lang w:val="sk-SK"/>
        </w:rPr>
        <w:t xml:space="preserve">finančnej stabilite </w:t>
      </w:r>
      <w:r w:rsidR="00B07737" w:rsidRPr="00EC7251">
        <w:rPr>
          <w:rFonts w:ascii="Cambria" w:hAnsi="Cambria"/>
          <w:sz w:val="22"/>
          <w:szCs w:val="22"/>
          <w:lang w:val="sk-SK"/>
        </w:rPr>
        <w:t>–</w:t>
      </w:r>
      <w:r w:rsidR="000A09D6" w:rsidRPr="00EC7251">
        <w:rPr>
          <w:rFonts w:ascii="Cambria" w:hAnsi="Cambria"/>
          <w:sz w:val="22"/>
          <w:szCs w:val="22"/>
          <w:lang w:val="sk-SK"/>
        </w:rPr>
        <w:t xml:space="preserve"> </w:t>
      </w:r>
      <w:r w:rsidR="00B07737" w:rsidRPr="00EC7251">
        <w:rPr>
          <w:rFonts w:ascii="Cambria" w:hAnsi="Cambria"/>
          <w:sz w:val="22"/>
          <w:szCs w:val="22"/>
          <w:lang w:val="sk-SK"/>
        </w:rPr>
        <w:t>máj 202</w:t>
      </w:r>
      <w:r w:rsidR="00EC7251" w:rsidRPr="00EC7251">
        <w:rPr>
          <w:rFonts w:ascii="Cambria" w:hAnsi="Cambria"/>
          <w:sz w:val="22"/>
          <w:szCs w:val="22"/>
          <w:lang w:val="sk-SK"/>
        </w:rPr>
        <w:t>5</w:t>
      </w:r>
      <w:r w:rsidR="00A42C91" w:rsidRPr="00EC7251">
        <w:rPr>
          <w:rFonts w:ascii="Cambria" w:hAnsi="Cambria"/>
          <w:sz w:val="22"/>
          <w:szCs w:val="22"/>
          <w:lang w:val="sk-SK"/>
        </w:rPr>
        <w:t xml:space="preserve"> </w:t>
      </w:r>
      <w:r w:rsidR="00571795" w:rsidRPr="00EC7251">
        <w:rPr>
          <w:rFonts w:ascii="Cambria" w:hAnsi="Cambria"/>
          <w:sz w:val="22"/>
          <w:szCs w:val="22"/>
          <w:lang w:val="sk-SK"/>
        </w:rPr>
        <w:t xml:space="preserve">predkladá Národná banka Slovenska po jej schválení Bankovou radou NBS na základe povinnosti, ktorá Národnej banke Slovenska vyplýva </w:t>
      </w:r>
      <w:r w:rsidR="00AA133F">
        <w:rPr>
          <w:rFonts w:ascii="Cambria" w:hAnsi="Cambria"/>
          <w:sz w:val="22"/>
          <w:szCs w:val="22"/>
          <w:lang w:val="sk-SK"/>
        </w:rPr>
        <w:t>z </w:t>
      </w:r>
      <w:r w:rsidR="00571795" w:rsidRPr="00EC7251">
        <w:rPr>
          <w:rFonts w:ascii="Cambria" w:hAnsi="Cambria"/>
          <w:sz w:val="22"/>
          <w:szCs w:val="22"/>
          <w:lang w:val="sk-SK"/>
        </w:rPr>
        <w:t>§</w:t>
      </w:r>
      <w:r w:rsidR="00A04579" w:rsidRPr="00EC7251">
        <w:rPr>
          <w:rFonts w:ascii="Cambria" w:hAnsi="Cambria"/>
          <w:sz w:val="22"/>
          <w:szCs w:val="22"/>
          <w:lang w:val="sk-SK"/>
        </w:rPr>
        <w:t> </w:t>
      </w:r>
      <w:r w:rsidR="00571795" w:rsidRPr="00EC7251">
        <w:rPr>
          <w:rFonts w:ascii="Cambria" w:hAnsi="Cambria"/>
          <w:sz w:val="22"/>
          <w:szCs w:val="22"/>
          <w:lang w:val="sk-SK"/>
        </w:rPr>
        <w:t xml:space="preserve">1 ods. 3 písm. </w:t>
      </w:r>
      <w:r w:rsidR="00384192" w:rsidRPr="00EC7251">
        <w:rPr>
          <w:rFonts w:ascii="Cambria" w:hAnsi="Cambria"/>
          <w:sz w:val="22"/>
          <w:szCs w:val="22"/>
          <w:lang w:val="sk-SK"/>
        </w:rPr>
        <w:t>i</w:t>
      </w:r>
      <w:r w:rsidR="00571795" w:rsidRPr="00EC7251">
        <w:rPr>
          <w:rFonts w:ascii="Cambria" w:hAnsi="Cambria"/>
          <w:sz w:val="22"/>
          <w:szCs w:val="22"/>
          <w:lang w:val="sk-SK"/>
        </w:rPr>
        <w:t xml:space="preserve">) zákona </w:t>
      </w:r>
      <w:r w:rsidR="00AA133F">
        <w:rPr>
          <w:rFonts w:ascii="Cambria" w:hAnsi="Cambria"/>
          <w:sz w:val="22"/>
          <w:szCs w:val="22"/>
          <w:lang w:val="sk-SK"/>
        </w:rPr>
        <w:t>č. </w:t>
      </w:r>
      <w:r w:rsidR="00571795" w:rsidRPr="00EC7251">
        <w:rPr>
          <w:rFonts w:ascii="Cambria" w:hAnsi="Cambria"/>
          <w:sz w:val="22"/>
          <w:szCs w:val="22"/>
          <w:lang w:val="sk-SK"/>
        </w:rPr>
        <w:t xml:space="preserve">747/2004 Z. z. </w:t>
      </w:r>
      <w:r w:rsidR="00AA133F">
        <w:rPr>
          <w:rFonts w:ascii="Cambria" w:hAnsi="Cambria"/>
          <w:sz w:val="22"/>
          <w:szCs w:val="22"/>
          <w:lang w:val="sk-SK"/>
        </w:rPr>
        <w:t>o </w:t>
      </w:r>
      <w:r w:rsidR="00571795" w:rsidRPr="00EC7251">
        <w:rPr>
          <w:rFonts w:ascii="Cambria" w:hAnsi="Cambria"/>
          <w:sz w:val="22"/>
          <w:szCs w:val="22"/>
          <w:lang w:val="sk-SK"/>
        </w:rPr>
        <w:t xml:space="preserve">dohľade nad finančným trhom </w:t>
      </w:r>
      <w:r w:rsidR="00AA133F">
        <w:rPr>
          <w:rFonts w:ascii="Cambria" w:hAnsi="Cambria"/>
          <w:sz w:val="22"/>
          <w:szCs w:val="22"/>
          <w:lang w:val="sk-SK"/>
        </w:rPr>
        <w:t>a o </w:t>
      </w:r>
      <w:r w:rsidR="000A09D6" w:rsidRPr="00EC7251">
        <w:rPr>
          <w:rFonts w:ascii="Cambria" w:hAnsi="Cambria"/>
          <w:sz w:val="22"/>
          <w:szCs w:val="22"/>
          <w:lang w:val="sk-SK"/>
        </w:rPr>
        <w:t xml:space="preserve">zmene </w:t>
      </w:r>
      <w:r w:rsidR="00AA133F">
        <w:rPr>
          <w:rFonts w:ascii="Cambria" w:hAnsi="Cambria"/>
          <w:sz w:val="22"/>
          <w:szCs w:val="22"/>
          <w:lang w:val="sk-SK"/>
        </w:rPr>
        <w:t>a </w:t>
      </w:r>
      <w:r w:rsidR="000A09D6" w:rsidRPr="00EC7251">
        <w:rPr>
          <w:rFonts w:ascii="Cambria" w:hAnsi="Cambria"/>
          <w:sz w:val="22"/>
          <w:szCs w:val="22"/>
          <w:lang w:val="sk-SK"/>
        </w:rPr>
        <w:t>doplnení niektorých zákonov</w:t>
      </w:r>
      <w:r w:rsidR="00AF1010" w:rsidRPr="00EC7251">
        <w:rPr>
          <w:rFonts w:ascii="Cambria" w:hAnsi="Cambria"/>
          <w:sz w:val="22"/>
          <w:szCs w:val="22"/>
          <w:lang w:val="sk-SK"/>
        </w:rPr>
        <w:t xml:space="preserve"> </w:t>
      </w:r>
      <w:r w:rsidR="00AA133F">
        <w:rPr>
          <w:rFonts w:ascii="Cambria" w:hAnsi="Cambria"/>
          <w:sz w:val="22"/>
          <w:szCs w:val="22"/>
          <w:lang w:val="sk-SK"/>
        </w:rPr>
        <w:t>v </w:t>
      </w:r>
      <w:r w:rsidR="00AF1010" w:rsidRPr="00EC7251">
        <w:rPr>
          <w:rFonts w:ascii="Cambria" w:hAnsi="Cambria"/>
          <w:sz w:val="22"/>
          <w:szCs w:val="22"/>
          <w:lang w:val="sk-SK"/>
        </w:rPr>
        <w:t>znení neskorších predpisov</w:t>
      </w:r>
      <w:r w:rsidR="000A09D6" w:rsidRPr="00EC7251">
        <w:rPr>
          <w:rFonts w:ascii="Cambria" w:hAnsi="Cambria"/>
          <w:sz w:val="22"/>
          <w:szCs w:val="22"/>
          <w:lang w:val="sk-SK"/>
        </w:rPr>
        <w:t>.</w:t>
      </w:r>
    </w:p>
    <w:p w14:paraId="37BE00AD" w14:textId="6A7DCB4C" w:rsidR="00EC7251" w:rsidRPr="0025080A" w:rsidRDefault="00EC7251" w:rsidP="00EC7251">
      <w:pPr>
        <w:tabs>
          <w:tab w:val="left" w:pos="9072"/>
        </w:tabs>
        <w:spacing w:after="120"/>
        <w:ind w:firstLine="709"/>
        <w:jc w:val="both"/>
        <w:rPr>
          <w:rFonts w:ascii="Cambria" w:hAnsi="Cambria"/>
          <w:sz w:val="22"/>
          <w:szCs w:val="22"/>
          <w:highlight w:val="yellow"/>
          <w:lang w:val="sk-SK"/>
        </w:rPr>
      </w:pPr>
      <w:r w:rsidRPr="0025080A">
        <w:rPr>
          <w:rFonts w:ascii="Cambria" w:hAnsi="Cambria"/>
          <w:sz w:val="22"/>
          <w:szCs w:val="22"/>
          <w:lang w:val="sk-SK"/>
        </w:rPr>
        <w:t xml:space="preserve">Hlavné posolstvo </w:t>
      </w:r>
      <w:r>
        <w:rPr>
          <w:rFonts w:ascii="Cambria" w:hAnsi="Cambria"/>
          <w:sz w:val="22"/>
          <w:szCs w:val="22"/>
          <w:lang w:val="sk-SK"/>
        </w:rPr>
        <w:t>správy</w:t>
      </w:r>
      <w:r w:rsidRPr="0025080A">
        <w:rPr>
          <w:rFonts w:ascii="Cambria" w:hAnsi="Cambria"/>
          <w:sz w:val="22"/>
          <w:szCs w:val="22"/>
          <w:lang w:val="sk-SK"/>
        </w:rPr>
        <w:t xml:space="preserve"> je jednoznačné: situácia ohľadom finančnej stability sa </w:t>
      </w:r>
      <w:r w:rsidR="00AA133F">
        <w:rPr>
          <w:rFonts w:ascii="Cambria" w:hAnsi="Cambria"/>
          <w:sz w:val="22"/>
          <w:szCs w:val="22"/>
          <w:lang w:val="sk-SK"/>
        </w:rPr>
        <w:t>v </w:t>
      </w:r>
      <w:r w:rsidRPr="0025080A">
        <w:rPr>
          <w:rFonts w:ascii="Cambria" w:hAnsi="Cambria"/>
          <w:sz w:val="22"/>
          <w:szCs w:val="22"/>
          <w:lang w:val="sk-SK"/>
        </w:rPr>
        <w:t xml:space="preserve">uplynulom období vyvíjala priaznivo, ale predvídať ďalší vývoj je dnes extrémne náročné. </w:t>
      </w:r>
      <w:r w:rsidR="00AA133F">
        <w:rPr>
          <w:rFonts w:ascii="Cambria" w:hAnsi="Cambria"/>
          <w:sz w:val="22"/>
          <w:szCs w:val="22"/>
          <w:lang w:val="sk-SK"/>
        </w:rPr>
        <w:t>V </w:t>
      </w:r>
      <w:r w:rsidRPr="0025080A">
        <w:rPr>
          <w:rFonts w:ascii="Cambria" w:hAnsi="Cambria"/>
          <w:sz w:val="22"/>
          <w:szCs w:val="22"/>
          <w:lang w:val="sk-SK"/>
        </w:rPr>
        <w:t xml:space="preserve">zozname hlavných rizík dominujú napätie </w:t>
      </w:r>
      <w:r w:rsidR="00AA133F">
        <w:rPr>
          <w:rFonts w:ascii="Cambria" w:hAnsi="Cambria"/>
          <w:sz w:val="22"/>
          <w:szCs w:val="22"/>
          <w:lang w:val="sk-SK"/>
        </w:rPr>
        <w:t>v </w:t>
      </w:r>
      <w:r w:rsidRPr="0025080A">
        <w:rPr>
          <w:rFonts w:ascii="Cambria" w:hAnsi="Cambria"/>
          <w:sz w:val="22"/>
          <w:szCs w:val="22"/>
          <w:lang w:val="sk-SK"/>
        </w:rPr>
        <w:t xml:space="preserve">medzinárodných obchodných vzťahoch, udržateľnosť verejného dlhu </w:t>
      </w:r>
      <w:r w:rsidR="00AA133F">
        <w:rPr>
          <w:rFonts w:ascii="Cambria" w:hAnsi="Cambria"/>
          <w:sz w:val="22"/>
          <w:szCs w:val="22"/>
          <w:lang w:val="sk-SK"/>
        </w:rPr>
        <w:t>a </w:t>
      </w:r>
      <w:r w:rsidRPr="0025080A">
        <w:rPr>
          <w:rFonts w:ascii="Cambria" w:hAnsi="Cambria"/>
          <w:sz w:val="22"/>
          <w:szCs w:val="22"/>
          <w:lang w:val="sk-SK"/>
        </w:rPr>
        <w:t xml:space="preserve">geopolitické riziká. Ohlásené zvyšovanie ciel bolo natoľko razantné, že ho možno prirovnať </w:t>
      </w:r>
      <w:r w:rsidR="00AA133F">
        <w:rPr>
          <w:rFonts w:ascii="Cambria" w:hAnsi="Cambria"/>
          <w:sz w:val="22"/>
          <w:szCs w:val="22"/>
          <w:lang w:val="sk-SK"/>
        </w:rPr>
        <w:t>k </w:t>
      </w:r>
      <w:r w:rsidRPr="0025080A">
        <w:rPr>
          <w:rFonts w:ascii="Cambria" w:hAnsi="Cambria"/>
          <w:sz w:val="22"/>
          <w:szCs w:val="22"/>
          <w:lang w:val="sk-SK"/>
        </w:rPr>
        <w:t xml:space="preserve">zemetraseniu </w:t>
      </w:r>
      <w:r w:rsidR="00AA133F">
        <w:rPr>
          <w:rFonts w:ascii="Cambria" w:hAnsi="Cambria"/>
          <w:sz w:val="22"/>
          <w:szCs w:val="22"/>
          <w:lang w:val="sk-SK"/>
        </w:rPr>
        <w:t>v </w:t>
      </w:r>
      <w:r w:rsidRPr="0025080A">
        <w:rPr>
          <w:rFonts w:ascii="Cambria" w:hAnsi="Cambria"/>
          <w:sz w:val="22"/>
          <w:szCs w:val="22"/>
          <w:lang w:val="sk-SK"/>
        </w:rPr>
        <w:t xml:space="preserve">globálnom obchode. Obavy sa týkajú najmä hroziaceho útlmu zahraničného dopytu. Slovensko bude tiež týmto vývojom zasiahnuté, keďže je exportne orientovanou ekonomikou, </w:t>
      </w:r>
      <w:r w:rsidR="00AA133F">
        <w:rPr>
          <w:rFonts w:ascii="Cambria" w:hAnsi="Cambria"/>
          <w:sz w:val="22"/>
          <w:szCs w:val="22"/>
          <w:lang w:val="sk-SK"/>
        </w:rPr>
        <w:t>v </w:t>
      </w:r>
      <w:r w:rsidRPr="0025080A">
        <w:rPr>
          <w:rFonts w:ascii="Cambria" w:hAnsi="Cambria"/>
          <w:sz w:val="22"/>
          <w:szCs w:val="22"/>
          <w:lang w:val="sk-SK"/>
        </w:rPr>
        <w:t xml:space="preserve">ktorej zároveň majú kľúčovú úlohu práve odvetvia dotknuté clami. Zatiaľ sa nejaví, že by finančná stabilita na Slovensku bola týmito rizikami bezprostredne zasiahnutá. Hlavný problém spočíva skôr </w:t>
      </w:r>
      <w:r w:rsidR="00AA133F">
        <w:rPr>
          <w:rFonts w:ascii="Cambria" w:hAnsi="Cambria"/>
          <w:sz w:val="22"/>
          <w:szCs w:val="22"/>
          <w:lang w:val="sk-SK"/>
        </w:rPr>
        <w:t>v </w:t>
      </w:r>
      <w:r w:rsidRPr="0025080A">
        <w:rPr>
          <w:rFonts w:ascii="Cambria" w:hAnsi="Cambria"/>
          <w:sz w:val="22"/>
          <w:szCs w:val="22"/>
          <w:lang w:val="sk-SK"/>
        </w:rPr>
        <w:t xml:space="preserve">neistote, </w:t>
      </w:r>
      <w:r w:rsidR="00AA133F">
        <w:rPr>
          <w:rFonts w:ascii="Cambria" w:hAnsi="Cambria"/>
          <w:sz w:val="22"/>
          <w:szCs w:val="22"/>
          <w:lang w:val="sk-SK"/>
        </w:rPr>
        <w:t>v </w:t>
      </w:r>
      <w:r w:rsidRPr="0025080A">
        <w:rPr>
          <w:rFonts w:ascii="Cambria" w:hAnsi="Cambria"/>
          <w:sz w:val="22"/>
          <w:szCs w:val="22"/>
          <w:lang w:val="sk-SK"/>
        </w:rPr>
        <w:t xml:space="preserve">náročnosti predvídať ďalší vývoj </w:t>
      </w:r>
      <w:r w:rsidR="00AA133F">
        <w:rPr>
          <w:rFonts w:ascii="Cambria" w:hAnsi="Cambria"/>
          <w:sz w:val="22"/>
          <w:szCs w:val="22"/>
          <w:lang w:val="sk-SK"/>
        </w:rPr>
        <w:t>a </w:t>
      </w:r>
      <w:r w:rsidRPr="0025080A">
        <w:rPr>
          <w:rFonts w:ascii="Cambria" w:hAnsi="Cambria"/>
          <w:sz w:val="22"/>
          <w:szCs w:val="22"/>
          <w:lang w:val="sk-SK"/>
        </w:rPr>
        <w:t>celkovom ekonomickom útlme.</w:t>
      </w:r>
    </w:p>
    <w:p w14:paraId="0F2CB143" w14:textId="167CA55C" w:rsidR="00EC7251" w:rsidRPr="0025080A" w:rsidRDefault="00EC7251" w:rsidP="00EC7251">
      <w:pPr>
        <w:tabs>
          <w:tab w:val="left" w:pos="9072"/>
        </w:tabs>
        <w:spacing w:after="120"/>
        <w:ind w:firstLine="709"/>
        <w:jc w:val="both"/>
        <w:rPr>
          <w:rFonts w:ascii="Cambria" w:hAnsi="Cambria"/>
          <w:sz w:val="22"/>
          <w:szCs w:val="22"/>
          <w:highlight w:val="yellow"/>
          <w:lang w:val="sk-SK"/>
        </w:rPr>
      </w:pPr>
      <w:r w:rsidRPr="0025080A">
        <w:rPr>
          <w:rFonts w:ascii="Cambria" w:hAnsi="Cambria"/>
          <w:sz w:val="22"/>
          <w:szCs w:val="22"/>
          <w:lang w:val="sk-SK"/>
        </w:rPr>
        <w:t xml:space="preserve">Klesajúce úrokové sadzby postupne priniesli oživenie do úverového aj realitného trhu. Najvýraznejšie ho vidieť na trhu rezidenčných nehnuteľností, čo sa prejavilo pozitívnymi očakávaniami </w:t>
      </w:r>
      <w:r w:rsidR="00AA133F">
        <w:rPr>
          <w:rFonts w:ascii="Cambria" w:hAnsi="Cambria"/>
          <w:sz w:val="22"/>
          <w:szCs w:val="22"/>
          <w:lang w:val="sk-SK"/>
        </w:rPr>
        <w:t>o </w:t>
      </w:r>
      <w:r w:rsidRPr="0025080A">
        <w:rPr>
          <w:rFonts w:ascii="Cambria" w:hAnsi="Cambria"/>
          <w:sz w:val="22"/>
          <w:szCs w:val="22"/>
          <w:lang w:val="sk-SK"/>
        </w:rPr>
        <w:t xml:space="preserve">ďalšom vývoji. Oživenie pokračuje aj pri hypotékach. Hoci </w:t>
      </w:r>
      <w:r w:rsidR="00AA133F">
        <w:rPr>
          <w:rFonts w:ascii="Cambria" w:hAnsi="Cambria"/>
          <w:sz w:val="22"/>
          <w:szCs w:val="22"/>
          <w:lang w:val="sk-SK"/>
        </w:rPr>
        <w:t>v </w:t>
      </w:r>
      <w:r w:rsidRPr="0025080A">
        <w:rPr>
          <w:rFonts w:ascii="Cambria" w:hAnsi="Cambria"/>
          <w:sz w:val="22"/>
          <w:szCs w:val="22"/>
          <w:lang w:val="sk-SK"/>
        </w:rPr>
        <w:t xml:space="preserve">porovnaní </w:t>
      </w:r>
      <w:r w:rsidR="00AA133F">
        <w:rPr>
          <w:rFonts w:ascii="Cambria" w:hAnsi="Cambria"/>
          <w:sz w:val="22"/>
          <w:szCs w:val="22"/>
          <w:lang w:val="sk-SK"/>
        </w:rPr>
        <w:t>s </w:t>
      </w:r>
      <w:r w:rsidRPr="0025080A">
        <w:rPr>
          <w:rFonts w:ascii="Cambria" w:hAnsi="Cambria"/>
          <w:sz w:val="22"/>
          <w:szCs w:val="22"/>
          <w:lang w:val="sk-SK"/>
        </w:rPr>
        <w:t>nehnuteľnosťami je miernejšie, trend je pomerne stabilný. Dopyt rastie najmä vďaka nižším sadzbám, ktoré pozvoľna klesajú od polovice roka 2024. Pri úverovaní podnikov je oživenie najslabšie, ale aspoň sa zastavil predchádzajúci pokles portfólia úverov.</w:t>
      </w:r>
    </w:p>
    <w:p w14:paraId="40990499" w14:textId="283EC551" w:rsidR="00EC7251" w:rsidRPr="0025080A" w:rsidRDefault="00EC7251" w:rsidP="00EC7251">
      <w:pPr>
        <w:tabs>
          <w:tab w:val="left" w:pos="9072"/>
        </w:tabs>
        <w:spacing w:after="120"/>
        <w:ind w:firstLine="709"/>
        <w:jc w:val="both"/>
        <w:rPr>
          <w:rFonts w:ascii="Cambria" w:hAnsi="Cambria"/>
          <w:sz w:val="22"/>
          <w:szCs w:val="22"/>
          <w:highlight w:val="yellow"/>
          <w:lang w:val="sk-SK"/>
        </w:rPr>
      </w:pPr>
      <w:r w:rsidRPr="0025080A">
        <w:rPr>
          <w:rFonts w:ascii="Cambria" w:hAnsi="Cambria"/>
          <w:sz w:val="22"/>
          <w:szCs w:val="22"/>
          <w:lang w:val="sk-SK"/>
        </w:rPr>
        <w:t xml:space="preserve">Vyššie sadzby nespôsobili nárast zlyhaných úverov. Na finančnej situácii podnikov sa </w:t>
      </w:r>
      <w:r w:rsidR="00AA133F">
        <w:rPr>
          <w:rFonts w:ascii="Cambria" w:hAnsi="Cambria"/>
          <w:sz w:val="22"/>
          <w:szCs w:val="22"/>
          <w:lang w:val="sk-SK"/>
        </w:rPr>
        <w:t>v </w:t>
      </w:r>
      <w:r w:rsidRPr="0025080A">
        <w:rPr>
          <w:rFonts w:ascii="Cambria" w:hAnsi="Cambria"/>
          <w:sz w:val="22"/>
          <w:szCs w:val="22"/>
          <w:lang w:val="sk-SK"/>
        </w:rPr>
        <w:t xml:space="preserve">roku 2024 podpísal slabý vývoj tržieb. Ten sa síce začiatkom roka oživil, podniky však čelia výraznej neistote ohľadom ďalšieho vývoja, ako aj vplyvu vyšších daní. Situácia </w:t>
      </w:r>
      <w:r w:rsidR="00AA133F">
        <w:rPr>
          <w:rFonts w:ascii="Cambria" w:hAnsi="Cambria"/>
          <w:sz w:val="22"/>
          <w:szCs w:val="22"/>
          <w:lang w:val="sk-SK"/>
        </w:rPr>
        <w:t>v </w:t>
      </w:r>
      <w:r w:rsidRPr="0025080A">
        <w:rPr>
          <w:rFonts w:ascii="Cambria" w:hAnsi="Cambria"/>
          <w:sz w:val="22"/>
          <w:szCs w:val="22"/>
          <w:lang w:val="sk-SK"/>
        </w:rPr>
        <w:t xml:space="preserve">segmente komerčných nehnuteľností zostáva krehká, pribúdajú však pozitívne signály. Pozitívnou správou je, že zhoršenie podmienok </w:t>
      </w:r>
      <w:r w:rsidR="00AA133F">
        <w:rPr>
          <w:rFonts w:ascii="Cambria" w:hAnsi="Cambria"/>
          <w:sz w:val="22"/>
          <w:szCs w:val="22"/>
          <w:lang w:val="sk-SK"/>
        </w:rPr>
        <w:t>v </w:t>
      </w:r>
      <w:r w:rsidRPr="0025080A">
        <w:rPr>
          <w:rFonts w:ascii="Cambria" w:hAnsi="Cambria"/>
          <w:sz w:val="22"/>
          <w:szCs w:val="22"/>
          <w:lang w:val="sk-SK"/>
        </w:rPr>
        <w:t xml:space="preserve">globálnom obchode síce môže zasiahnuť niektoré individuálne podniky, nemalo by však predstavovať systémové riziko pre bankový sektor. </w:t>
      </w:r>
      <w:r w:rsidR="00AA133F">
        <w:rPr>
          <w:rFonts w:ascii="Cambria" w:hAnsi="Cambria"/>
          <w:sz w:val="22"/>
          <w:szCs w:val="22"/>
          <w:lang w:val="sk-SK"/>
        </w:rPr>
        <w:t>V </w:t>
      </w:r>
      <w:r w:rsidRPr="0025080A">
        <w:rPr>
          <w:rFonts w:ascii="Cambria" w:hAnsi="Cambria"/>
          <w:sz w:val="22"/>
          <w:szCs w:val="22"/>
          <w:lang w:val="sk-SK"/>
        </w:rPr>
        <w:t>domácnostiach sa tiež prechodne pribrzdilo predchádzajúce zlepšovanie ich finančnej situácie. Postupne by sa mala opäť znížiť aj citlivosť existujúcich úverov na prípadné šoky.</w:t>
      </w:r>
    </w:p>
    <w:p w14:paraId="49523055" w14:textId="417411FF" w:rsidR="00EC7251" w:rsidRPr="0025080A" w:rsidRDefault="00EC7251" w:rsidP="00EC7251">
      <w:pPr>
        <w:tabs>
          <w:tab w:val="left" w:pos="9072"/>
        </w:tabs>
        <w:spacing w:after="120"/>
        <w:ind w:firstLine="709"/>
        <w:jc w:val="both"/>
        <w:rPr>
          <w:rFonts w:ascii="Cambria" w:hAnsi="Cambria"/>
          <w:sz w:val="22"/>
          <w:szCs w:val="22"/>
          <w:highlight w:val="yellow"/>
          <w:lang w:val="sk-SK"/>
        </w:rPr>
      </w:pPr>
      <w:r w:rsidRPr="0025080A">
        <w:rPr>
          <w:rFonts w:ascii="Cambria" w:hAnsi="Cambria"/>
          <w:sz w:val="22"/>
          <w:szCs w:val="22"/>
          <w:lang w:val="sk-SK"/>
        </w:rPr>
        <w:t xml:space="preserve">Odolnosť bánk </w:t>
      </w:r>
      <w:r w:rsidR="00AA133F">
        <w:rPr>
          <w:rFonts w:ascii="Cambria" w:hAnsi="Cambria"/>
          <w:sz w:val="22"/>
          <w:szCs w:val="22"/>
          <w:lang w:val="sk-SK"/>
        </w:rPr>
        <w:t>v </w:t>
      </w:r>
      <w:r w:rsidRPr="0025080A">
        <w:rPr>
          <w:rFonts w:ascii="Cambria" w:hAnsi="Cambria"/>
          <w:sz w:val="22"/>
          <w:szCs w:val="22"/>
          <w:lang w:val="sk-SK"/>
        </w:rPr>
        <w:t xml:space="preserve">oblasti kapitálovej primeranosti aj likvidity je blízko svojich rekordných úrovní. Dôležitým pilierom ziskovosti naďalej zostávajú čisté úrokové príjmy. Tie by </w:t>
      </w:r>
      <w:r w:rsidR="00AA133F">
        <w:rPr>
          <w:rFonts w:ascii="Cambria" w:hAnsi="Cambria"/>
          <w:sz w:val="22"/>
          <w:szCs w:val="22"/>
          <w:lang w:val="sk-SK"/>
        </w:rPr>
        <w:t>v </w:t>
      </w:r>
      <w:r w:rsidRPr="0025080A">
        <w:rPr>
          <w:rFonts w:ascii="Cambria" w:hAnsi="Cambria"/>
          <w:sz w:val="22"/>
          <w:szCs w:val="22"/>
          <w:lang w:val="sk-SK"/>
        </w:rPr>
        <w:t xml:space="preserve">najbližších dvoch rokoch mali ešte ďalej rásť, hoci pomalšie ako </w:t>
      </w:r>
      <w:r w:rsidR="00AA133F">
        <w:rPr>
          <w:rFonts w:ascii="Cambria" w:hAnsi="Cambria"/>
          <w:sz w:val="22"/>
          <w:szCs w:val="22"/>
          <w:lang w:val="sk-SK"/>
        </w:rPr>
        <w:t>v </w:t>
      </w:r>
      <w:r w:rsidRPr="0025080A">
        <w:rPr>
          <w:rFonts w:ascii="Cambria" w:hAnsi="Cambria"/>
          <w:sz w:val="22"/>
          <w:szCs w:val="22"/>
          <w:lang w:val="sk-SK"/>
        </w:rPr>
        <w:t>minulosti. Odolnosť bánk potvrdilo tak stresové testovanie, ako aj nezávislé hodnotenie od Medzinárodného menového fondu.</w:t>
      </w:r>
    </w:p>
    <w:p w14:paraId="7115030B" w14:textId="7D866EF8" w:rsidR="00EC7251" w:rsidRPr="0025080A" w:rsidRDefault="00EC7251" w:rsidP="00EC7251">
      <w:pPr>
        <w:tabs>
          <w:tab w:val="left" w:pos="9072"/>
        </w:tabs>
        <w:spacing w:after="120"/>
        <w:ind w:firstLine="709"/>
        <w:jc w:val="both"/>
        <w:rPr>
          <w:rFonts w:ascii="Cambria" w:hAnsi="Cambria"/>
          <w:sz w:val="22"/>
          <w:szCs w:val="22"/>
          <w:lang w:val="sk-SK"/>
        </w:rPr>
      </w:pPr>
      <w:r w:rsidRPr="0025080A">
        <w:rPr>
          <w:rFonts w:ascii="Cambria" w:hAnsi="Cambria"/>
          <w:sz w:val="22"/>
          <w:szCs w:val="22"/>
          <w:lang w:val="sk-SK"/>
        </w:rPr>
        <w:t xml:space="preserve">Nastavenie nástrojov makroprudenciálnej politiky je primerané aktuálnym rizikám, </w:t>
      </w:r>
      <w:r w:rsidR="00AA133F">
        <w:rPr>
          <w:rFonts w:ascii="Cambria" w:hAnsi="Cambria"/>
          <w:sz w:val="22"/>
          <w:szCs w:val="22"/>
          <w:lang w:val="sk-SK"/>
        </w:rPr>
        <w:t>a </w:t>
      </w:r>
      <w:r w:rsidRPr="0025080A">
        <w:rPr>
          <w:rFonts w:ascii="Cambria" w:hAnsi="Cambria"/>
          <w:sz w:val="22"/>
          <w:szCs w:val="22"/>
          <w:lang w:val="sk-SK"/>
        </w:rPr>
        <w:t>nie je potrebné ho meniť.</w:t>
      </w:r>
    </w:p>
    <w:p w14:paraId="4E22B8DA" w14:textId="4C3A567C" w:rsidR="00EC7251" w:rsidRPr="0025080A" w:rsidRDefault="00EC7251" w:rsidP="00EC7251">
      <w:pPr>
        <w:tabs>
          <w:tab w:val="left" w:pos="9072"/>
        </w:tabs>
        <w:spacing w:after="120"/>
        <w:ind w:firstLine="709"/>
        <w:jc w:val="both"/>
        <w:rPr>
          <w:rFonts w:ascii="Cambria" w:hAnsi="Cambria"/>
          <w:sz w:val="22"/>
          <w:szCs w:val="22"/>
          <w:lang w:val="sk-SK"/>
        </w:rPr>
      </w:pPr>
      <w:r w:rsidRPr="0025080A">
        <w:rPr>
          <w:rFonts w:ascii="Cambria" w:hAnsi="Cambria"/>
          <w:sz w:val="22"/>
          <w:szCs w:val="22"/>
          <w:lang w:val="sk-SK"/>
        </w:rPr>
        <w:t xml:space="preserve">Správa obsahuje tri boxy. Jeden sa zameriava na vplyv demografie – starnúceho obyvateľstva – na dlhodobý vývoj portfólia hypoték. Druhý bližšie skúma vplyv zhoršenia podmienok </w:t>
      </w:r>
      <w:r w:rsidR="00AA133F">
        <w:rPr>
          <w:rFonts w:ascii="Cambria" w:hAnsi="Cambria"/>
          <w:sz w:val="22"/>
          <w:szCs w:val="22"/>
          <w:lang w:val="sk-SK"/>
        </w:rPr>
        <w:t>v </w:t>
      </w:r>
      <w:r w:rsidRPr="0025080A">
        <w:rPr>
          <w:rFonts w:ascii="Cambria" w:hAnsi="Cambria"/>
          <w:sz w:val="22"/>
          <w:szCs w:val="22"/>
          <w:lang w:val="sk-SK"/>
        </w:rPr>
        <w:t xml:space="preserve">globálnom obchode na kreditné riziko podnikov. Konštatuje, že zavedenie ciel na export do USA by nemalo významne zhoršiť kvalitu úverov </w:t>
      </w:r>
      <w:r w:rsidR="00AA133F">
        <w:rPr>
          <w:rFonts w:ascii="Cambria" w:hAnsi="Cambria"/>
          <w:sz w:val="22"/>
          <w:szCs w:val="22"/>
          <w:lang w:val="sk-SK"/>
        </w:rPr>
        <w:t>v </w:t>
      </w:r>
      <w:r w:rsidRPr="0025080A">
        <w:rPr>
          <w:rFonts w:ascii="Cambria" w:hAnsi="Cambria"/>
          <w:sz w:val="22"/>
          <w:szCs w:val="22"/>
          <w:lang w:val="sk-SK"/>
        </w:rPr>
        <w:t>domácich bankách. Tretí box po technickej stránke popisuje scenáre makroekonomického vývoja pre účely modelovania nepriaznivých scenárov.</w:t>
      </w:r>
    </w:p>
    <w:p w14:paraId="6CA5AB8D" w14:textId="443E340E" w:rsidR="006C2A8B" w:rsidRPr="00305EFA" w:rsidRDefault="006C2A8B" w:rsidP="00EC7251">
      <w:pPr>
        <w:pStyle w:val="BodyText"/>
        <w:tabs>
          <w:tab w:val="right" w:pos="8958"/>
        </w:tabs>
        <w:spacing w:after="120"/>
        <w:ind w:right="-42" w:firstLine="720"/>
        <w:jc w:val="both"/>
        <w:rPr>
          <w:rFonts w:ascii="Cambria" w:hAnsi="Cambria"/>
          <w:sz w:val="22"/>
          <w:szCs w:val="22"/>
          <w:lang w:val="sk-SK"/>
        </w:rPr>
      </w:pPr>
    </w:p>
    <w:sectPr w:rsidR="006C2A8B" w:rsidRPr="00305EFA" w:rsidSect="006C105D">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DB24D" w14:textId="77777777" w:rsidR="00E94E3A" w:rsidRDefault="00E94E3A" w:rsidP="00E94E3A">
      <w:r>
        <w:separator/>
      </w:r>
    </w:p>
  </w:endnote>
  <w:endnote w:type="continuationSeparator" w:id="0">
    <w:p w14:paraId="73A05D16" w14:textId="77777777" w:rsidR="00E94E3A" w:rsidRDefault="00E94E3A" w:rsidP="00E9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85788"/>
      <w:docPartObj>
        <w:docPartGallery w:val="Page Numbers (Bottom of Page)"/>
        <w:docPartUnique/>
      </w:docPartObj>
    </w:sdtPr>
    <w:sdtEndPr>
      <w:rPr>
        <w:noProof/>
      </w:rPr>
    </w:sdtEndPr>
    <w:sdtContent>
      <w:p w14:paraId="5A289884" w14:textId="17DD54C0" w:rsidR="00E94E3A" w:rsidRDefault="00E94E3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w:t>
        </w:r>
        <w:r w:rsidR="004F18C7">
          <w:rPr>
            <w:noProof/>
          </w:rPr>
          <w:fldChar w:fldCharType="begin"/>
        </w:r>
        <w:r w:rsidR="004F18C7">
          <w:rPr>
            <w:noProof/>
          </w:rPr>
          <w:instrText xml:space="preserve"> NUMPAGES  \* Arabic  \* MERGEFORMAT </w:instrText>
        </w:r>
        <w:r w:rsidR="004F18C7">
          <w:rPr>
            <w:noProof/>
          </w:rPr>
          <w:fldChar w:fldCharType="separate"/>
        </w:r>
        <w:r w:rsidR="004F18C7">
          <w:rPr>
            <w:noProof/>
          </w:rPr>
          <w:t>1</w:t>
        </w:r>
        <w:r w:rsidR="004F18C7">
          <w:rPr>
            <w:noProof/>
          </w:rPr>
          <w:fldChar w:fldCharType="end"/>
        </w:r>
      </w:p>
    </w:sdtContent>
  </w:sdt>
  <w:p w14:paraId="7A8E70CE" w14:textId="77777777" w:rsidR="00E94E3A" w:rsidRDefault="00E94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82EDB" w14:textId="77777777" w:rsidR="00E94E3A" w:rsidRDefault="00E94E3A" w:rsidP="00E94E3A">
      <w:r>
        <w:separator/>
      </w:r>
    </w:p>
  </w:footnote>
  <w:footnote w:type="continuationSeparator" w:id="0">
    <w:p w14:paraId="44C25F75" w14:textId="77777777" w:rsidR="00E94E3A" w:rsidRDefault="00E94E3A" w:rsidP="00E94E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A6"/>
    <w:rsid w:val="00002F51"/>
    <w:rsid w:val="000371ED"/>
    <w:rsid w:val="0009486C"/>
    <w:rsid w:val="000A09D6"/>
    <w:rsid w:val="000C4F57"/>
    <w:rsid w:val="000E73BA"/>
    <w:rsid w:val="00135B99"/>
    <w:rsid w:val="00153B43"/>
    <w:rsid w:val="0018643D"/>
    <w:rsid w:val="001D5BA2"/>
    <w:rsid w:val="001E7E28"/>
    <w:rsid w:val="00210C2D"/>
    <w:rsid w:val="00240614"/>
    <w:rsid w:val="002943D5"/>
    <w:rsid w:val="002D11A6"/>
    <w:rsid w:val="00305EFA"/>
    <w:rsid w:val="00317B4F"/>
    <w:rsid w:val="00345B75"/>
    <w:rsid w:val="00345C57"/>
    <w:rsid w:val="00384192"/>
    <w:rsid w:val="00394F1F"/>
    <w:rsid w:val="003C2FDF"/>
    <w:rsid w:val="0047031D"/>
    <w:rsid w:val="004833E3"/>
    <w:rsid w:val="00491E7C"/>
    <w:rsid w:val="004B7CE4"/>
    <w:rsid w:val="004D5DDD"/>
    <w:rsid w:val="004E4E4A"/>
    <w:rsid w:val="004F18C7"/>
    <w:rsid w:val="00516EEA"/>
    <w:rsid w:val="00522E3C"/>
    <w:rsid w:val="00533F97"/>
    <w:rsid w:val="00556429"/>
    <w:rsid w:val="00565426"/>
    <w:rsid w:val="00565520"/>
    <w:rsid w:val="00571795"/>
    <w:rsid w:val="005A302C"/>
    <w:rsid w:val="005F6137"/>
    <w:rsid w:val="00604D7E"/>
    <w:rsid w:val="00634101"/>
    <w:rsid w:val="006527DB"/>
    <w:rsid w:val="006715F4"/>
    <w:rsid w:val="006836C3"/>
    <w:rsid w:val="006C105D"/>
    <w:rsid w:val="006C2A8B"/>
    <w:rsid w:val="006D708B"/>
    <w:rsid w:val="007779FC"/>
    <w:rsid w:val="007C11CF"/>
    <w:rsid w:val="008055B5"/>
    <w:rsid w:val="00836AC8"/>
    <w:rsid w:val="0084291B"/>
    <w:rsid w:val="008563A1"/>
    <w:rsid w:val="00866F7C"/>
    <w:rsid w:val="00887364"/>
    <w:rsid w:val="008B6111"/>
    <w:rsid w:val="008D1AB9"/>
    <w:rsid w:val="00967AFB"/>
    <w:rsid w:val="0098033E"/>
    <w:rsid w:val="009A69AE"/>
    <w:rsid w:val="009B4B0F"/>
    <w:rsid w:val="00A039DF"/>
    <w:rsid w:val="00A04579"/>
    <w:rsid w:val="00A07260"/>
    <w:rsid w:val="00A34032"/>
    <w:rsid w:val="00A42C91"/>
    <w:rsid w:val="00AA133F"/>
    <w:rsid w:val="00AA5735"/>
    <w:rsid w:val="00AB1659"/>
    <w:rsid w:val="00AF1010"/>
    <w:rsid w:val="00B07737"/>
    <w:rsid w:val="00B41E97"/>
    <w:rsid w:val="00B50A7D"/>
    <w:rsid w:val="00B53766"/>
    <w:rsid w:val="00B92895"/>
    <w:rsid w:val="00BF49B3"/>
    <w:rsid w:val="00BF7751"/>
    <w:rsid w:val="00C117E5"/>
    <w:rsid w:val="00C522F0"/>
    <w:rsid w:val="00C554B7"/>
    <w:rsid w:val="00C726C5"/>
    <w:rsid w:val="00C77CAA"/>
    <w:rsid w:val="00C833FC"/>
    <w:rsid w:val="00D12EEA"/>
    <w:rsid w:val="00D81BB7"/>
    <w:rsid w:val="00D8385B"/>
    <w:rsid w:val="00DB57EC"/>
    <w:rsid w:val="00DD4281"/>
    <w:rsid w:val="00DD7149"/>
    <w:rsid w:val="00E3200B"/>
    <w:rsid w:val="00E36E14"/>
    <w:rsid w:val="00E43567"/>
    <w:rsid w:val="00E51A7E"/>
    <w:rsid w:val="00E52954"/>
    <w:rsid w:val="00E94E3A"/>
    <w:rsid w:val="00E97B58"/>
    <w:rsid w:val="00EC7251"/>
    <w:rsid w:val="00ED79B4"/>
    <w:rsid w:val="00F065A1"/>
    <w:rsid w:val="00F53712"/>
    <w:rsid w:val="00F65282"/>
    <w:rsid w:val="00FC7587"/>
    <w:rsid w:val="00FF57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A2A6"/>
  <w15:chartTrackingRefBased/>
  <w15:docId w15:val="{E440C541-29D4-4708-BD58-B05978E5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43"/>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153B43"/>
    <w:pPr>
      <w:keepNext/>
      <w:jc w:val="center"/>
      <w:outlineLvl w:val="0"/>
    </w:pPr>
    <w:rPr>
      <w:b/>
      <w:bCs/>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53B43"/>
    <w:rPr>
      <w:rFonts w:ascii="Times New Roman" w:eastAsia="Times New Roman" w:hAnsi="Times New Roman" w:cs="Times New Roman"/>
      <w:b/>
      <w:bCs/>
      <w:sz w:val="24"/>
      <w:szCs w:val="24"/>
    </w:rPr>
  </w:style>
  <w:style w:type="paragraph" w:styleId="BodyText">
    <w:name w:val="Body Text"/>
    <w:basedOn w:val="Normal"/>
    <w:link w:val="BodyTextChar"/>
    <w:rsid w:val="00153B43"/>
    <w:pPr>
      <w:ind w:right="903"/>
    </w:pPr>
  </w:style>
  <w:style w:type="character" w:customStyle="1" w:styleId="BodyTextChar">
    <w:name w:val="Body Text Char"/>
    <w:link w:val="BodyText"/>
    <w:rsid w:val="00153B43"/>
    <w:rPr>
      <w:rFonts w:ascii="Times New Roman" w:eastAsia="Times New Roman" w:hAnsi="Times New Roman" w:cs="Times New Roman"/>
      <w:sz w:val="24"/>
      <w:szCs w:val="24"/>
      <w:lang w:val="en-US"/>
    </w:rPr>
  </w:style>
  <w:style w:type="paragraph" w:styleId="Title">
    <w:name w:val="Title"/>
    <w:basedOn w:val="Normal"/>
    <w:link w:val="TitleChar"/>
    <w:qFormat/>
    <w:rsid w:val="00153B43"/>
    <w:pPr>
      <w:jc w:val="center"/>
    </w:pPr>
    <w:rPr>
      <w:b/>
      <w:bCs/>
      <w:lang w:val="sk-SK" w:eastAsia="sk-SK"/>
    </w:rPr>
  </w:style>
  <w:style w:type="character" w:customStyle="1" w:styleId="TitleChar">
    <w:name w:val="Title Char"/>
    <w:link w:val="Title"/>
    <w:rsid w:val="00153B43"/>
    <w:rPr>
      <w:rFonts w:ascii="Times New Roman" w:eastAsia="Times New Roman" w:hAnsi="Times New Roman" w:cs="Times New Roman"/>
      <w:b/>
      <w:bCs/>
      <w:sz w:val="24"/>
      <w:szCs w:val="24"/>
      <w:lang w:eastAsia="sk-SK"/>
    </w:rPr>
  </w:style>
  <w:style w:type="paragraph" w:styleId="BalloonText">
    <w:name w:val="Balloon Text"/>
    <w:basedOn w:val="Normal"/>
    <w:link w:val="BalloonTextChar"/>
    <w:uiPriority w:val="99"/>
    <w:semiHidden/>
    <w:unhideWhenUsed/>
    <w:rsid w:val="00D12EEA"/>
    <w:rPr>
      <w:rFonts w:ascii="Segoe UI" w:hAnsi="Segoe UI" w:cs="Segoe UI"/>
      <w:sz w:val="18"/>
      <w:szCs w:val="18"/>
    </w:rPr>
  </w:style>
  <w:style w:type="character" w:customStyle="1" w:styleId="BalloonTextChar">
    <w:name w:val="Balloon Text Char"/>
    <w:link w:val="BalloonText"/>
    <w:uiPriority w:val="99"/>
    <w:semiHidden/>
    <w:rsid w:val="00D12EEA"/>
    <w:rPr>
      <w:rFonts w:ascii="Segoe UI" w:eastAsia="Times New Roman" w:hAnsi="Segoe UI" w:cs="Segoe UI"/>
      <w:sz w:val="18"/>
      <w:szCs w:val="18"/>
      <w:lang w:val="en-US" w:eastAsia="en-US"/>
    </w:rPr>
  </w:style>
  <w:style w:type="paragraph" w:styleId="Header">
    <w:name w:val="header"/>
    <w:basedOn w:val="Normal"/>
    <w:link w:val="HeaderChar"/>
    <w:uiPriority w:val="99"/>
    <w:unhideWhenUsed/>
    <w:rsid w:val="00E94E3A"/>
    <w:pPr>
      <w:tabs>
        <w:tab w:val="center" w:pos="4536"/>
        <w:tab w:val="right" w:pos="9072"/>
      </w:tabs>
    </w:pPr>
  </w:style>
  <w:style w:type="character" w:customStyle="1" w:styleId="HeaderChar">
    <w:name w:val="Header Char"/>
    <w:basedOn w:val="DefaultParagraphFont"/>
    <w:link w:val="Header"/>
    <w:uiPriority w:val="99"/>
    <w:rsid w:val="00E94E3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E94E3A"/>
    <w:pPr>
      <w:tabs>
        <w:tab w:val="center" w:pos="4536"/>
        <w:tab w:val="right" w:pos="9072"/>
      </w:tabs>
    </w:pPr>
  </w:style>
  <w:style w:type="character" w:customStyle="1" w:styleId="FooterChar">
    <w:name w:val="Footer Char"/>
    <w:basedOn w:val="DefaultParagraphFont"/>
    <w:link w:val="Footer"/>
    <w:uiPriority w:val="99"/>
    <w:rsid w:val="00E94E3A"/>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4F4F-A0C4-47B2-AFA4-BB22FD21A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Madelova</dc:creator>
  <cp:keywords/>
  <dc:description/>
  <cp:lastModifiedBy>Tarábková Martina</cp:lastModifiedBy>
  <cp:revision>20</cp:revision>
  <cp:lastPrinted>2024-06-14T11:17:00Z</cp:lastPrinted>
  <dcterms:created xsi:type="dcterms:W3CDTF">2022-11-25T06:32:00Z</dcterms:created>
  <dcterms:modified xsi:type="dcterms:W3CDTF">2025-05-22T14:43:00Z</dcterms:modified>
</cp:coreProperties>
</file>