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D1FDC" w14:textId="77777777" w:rsidR="005B48FD" w:rsidRPr="00152D86" w:rsidRDefault="005B48FD" w:rsidP="005B48FD">
      <w:pPr>
        <w:jc w:val="center"/>
        <w:rPr>
          <w:rFonts w:ascii="Times New Roman" w:eastAsia="Calibri" w:hAnsi="Times New Roman" w:cs="Times New Roman"/>
          <w:b/>
          <w:sz w:val="24"/>
          <w:szCs w:val="24"/>
        </w:rPr>
      </w:pPr>
      <w:r w:rsidRPr="00152D86">
        <w:rPr>
          <w:rFonts w:ascii="Times New Roman" w:eastAsia="Calibri" w:hAnsi="Times New Roman" w:cs="Times New Roman"/>
          <w:b/>
          <w:sz w:val="24"/>
          <w:szCs w:val="24"/>
        </w:rPr>
        <w:t>Analýza vplyvov na podnikateľské prostredie</w:t>
      </w:r>
    </w:p>
    <w:p w14:paraId="156C003C" w14:textId="77777777" w:rsidR="005B48FD" w:rsidRPr="00152D86" w:rsidRDefault="005B48FD" w:rsidP="005B48FD">
      <w:pPr>
        <w:spacing w:after="0" w:line="240" w:lineRule="auto"/>
        <w:jc w:val="both"/>
        <w:rPr>
          <w:rFonts w:ascii="Times New Roman" w:hAnsi="Times New Roman" w:cs="Times New Roman"/>
          <w:sz w:val="24"/>
          <w:szCs w:val="24"/>
        </w:rPr>
      </w:pPr>
      <w:r w:rsidRPr="00152D86">
        <w:rPr>
          <w:rFonts w:ascii="Times New Roman" w:eastAsia="Calibri" w:hAnsi="Times New Roman" w:cs="Times New Roman"/>
          <w:b/>
          <w:sz w:val="24"/>
          <w:szCs w:val="24"/>
        </w:rPr>
        <w:t xml:space="preserve">Názov materiálu: </w:t>
      </w:r>
      <w:r w:rsidRPr="00152D86">
        <w:rPr>
          <w:rFonts w:ascii="Times New Roman" w:hAnsi="Times New Roman" w:cs="Times New Roman"/>
          <w:sz w:val="24"/>
          <w:szCs w:val="24"/>
        </w:rPr>
        <w:t xml:space="preserve">Návrh zákona, ktorým sa mení a dopĺňa zákon č. 108/2024 Z. z. o ochrane spotrebiteľa a o zmene a doplnení niektorých zákonov a ktorým sa menia a dopĺňajú niektoré zákony </w:t>
      </w:r>
    </w:p>
    <w:p w14:paraId="6B51B1F2" w14:textId="77777777" w:rsidR="005B48FD" w:rsidRPr="00152D86" w:rsidRDefault="005B48FD" w:rsidP="005B48FD">
      <w:pPr>
        <w:spacing w:after="0" w:line="240" w:lineRule="auto"/>
        <w:jc w:val="both"/>
        <w:rPr>
          <w:rFonts w:ascii="Times New Roman" w:hAnsi="Times New Roman" w:cs="Times New Roman"/>
          <w:sz w:val="24"/>
          <w:szCs w:val="24"/>
        </w:rPr>
      </w:pPr>
    </w:p>
    <w:p w14:paraId="38247AF0" w14:textId="77777777" w:rsidR="005B48FD" w:rsidRPr="00152D86" w:rsidRDefault="005B48FD" w:rsidP="005B48FD">
      <w:pPr>
        <w:jc w:val="both"/>
        <w:rPr>
          <w:rFonts w:ascii="Times New Roman" w:eastAsia="Calibri" w:hAnsi="Times New Roman" w:cs="Times New Roman"/>
          <w:b/>
          <w:sz w:val="24"/>
          <w:szCs w:val="24"/>
        </w:rPr>
      </w:pPr>
      <w:r w:rsidRPr="00152D86">
        <w:rPr>
          <w:rFonts w:ascii="Times New Roman" w:eastAsia="Calibri" w:hAnsi="Times New Roman" w:cs="Times New Roman"/>
          <w:b/>
          <w:sz w:val="24"/>
          <w:szCs w:val="24"/>
        </w:rPr>
        <w:t xml:space="preserve">Predkladateľ: </w:t>
      </w:r>
      <w:r w:rsidRPr="00152D86">
        <w:rPr>
          <w:rFonts w:ascii="Times New Roman" w:eastAsia="Calibri" w:hAnsi="Times New Roman" w:cs="Times New Roman"/>
          <w:sz w:val="24"/>
          <w:szCs w:val="24"/>
          <w:lang w:eastAsia="sk-SK"/>
        </w:rPr>
        <w:t>Ministerstvo hospodárstva Slovenskej republiky</w:t>
      </w:r>
    </w:p>
    <w:p w14:paraId="6A8D23EC" w14:textId="77777777" w:rsidR="005B48FD" w:rsidRPr="00152D86" w:rsidRDefault="005B48FD" w:rsidP="005B48FD">
      <w:pPr>
        <w:jc w:val="both"/>
        <w:rPr>
          <w:rFonts w:ascii="Times New Roman" w:eastAsia="Calibri" w:hAnsi="Times New Roman" w:cs="Times New Roman"/>
          <w:b/>
          <w:sz w:val="24"/>
          <w:szCs w:val="24"/>
        </w:rPr>
      </w:pPr>
      <w:r w:rsidRPr="00152D86">
        <w:rPr>
          <w:rFonts w:ascii="Times New Roman" w:eastAsia="Calibri" w:hAnsi="Times New Roman" w:cs="Times New Roman"/>
          <w:b/>
          <w:sz w:val="24"/>
          <w:szCs w:val="24"/>
        </w:rPr>
        <w:t>3.1 Náklady regulácie</w:t>
      </w:r>
    </w:p>
    <w:p w14:paraId="43A813AA" w14:textId="77777777" w:rsidR="005B48FD" w:rsidRPr="00152D86" w:rsidRDefault="005B48FD" w:rsidP="005B48FD">
      <w:pPr>
        <w:tabs>
          <w:tab w:val="left" w:pos="8025"/>
        </w:tabs>
        <w:rPr>
          <w:rFonts w:ascii="Times New Roman" w:eastAsia="Calibri" w:hAnsi="Times New Roman" w:cs="Times New Roman"/>
          <w:bCs/>
          <w:i/>
          <w:iCs/>
          <w:sz w:val="24"/>
          <w:szCs w:val="24"/>
        </w:rPr>
      </w:pPr>
      <w:r w:rsidRPr="00152D86">
        <w:rPr>
          <w:rFonts w:ascii="Times New Roman" w:eastAsia="Calibri" w:hAnsi="Times New Roman" w:cs="Times New Roman"/>
          <w:b/>
          <w:i/>
          <w:iCs/>
          <w:sz w:val="24"/>
          <w:szCs w:val="24"/>
        </w:rPr>
        <w:t xml:space="preserve">3.1.1 Súhrnná tabuľka nákladov regulácie </w:t>
      </w:r>
      <w:r w:rsidRPr="00152D86">
        <w:rPr>
          <w:rFonts w:ascii="Times New Roman" w:eastAsia="Calibri" w:hAnsi="Times New Roman" w:cs="Times New Roman"/>
          <w:b/>
          <w:i/>
          <w:iCs/>
          <w:sz w:val="24"/>
          <w:szCs w:val="24"/>
        </w:rPr>
        <w:tab/>
      </w:r>
    </w:p>
    <w:p w14:paraId="22072F0F" w14:textId="77777777" w:rsidR="005B48FD" w:rsidRPr="00152D86" w:rsidRDefault="005B48FD" w:rsidP="005B48FD">
      <w:pPr>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náklady </w:t>
      </w:r>
      <w:proofErr w:type="spellStart"/>
      <w:r w:rsidRPr="00152D86">
        <w:rPr>
          <w:rFonts w:ascii="Times New Roman" w:eastAsia="Calibri" w:hAnsi="Times New Roman" w:cs="Times New Roman"/>
          <w:i/>
          <w:sz w:val="24"/>
          <w:szCs w:val="24"/>
        </w:rPr>
        <w:t>goldplatingu</w:t>
      </w:r>
      <w:proofErr w:type="spellEnd"/>
      <w:r w:rsidRPr="00152D86">
        <w:rPr>
          <w:rFonts w:ascii="Times New Roman" w:eastAsia="Calibri" w:hAnsi="Times New Roman" w:cs="Times New Roman"/>
          <w:i/>
          <w:sz w:val="24"/>
          <w:szCs w:val="24"/>
          <w:vertAlign w:val="superscript"/>
        </w:rPr>
        <w:footnoteReference w:id="1"/>
      </w:r>
      <w:r w:rsidRPr="00152D86">
        <w:rPr>
          <w:rFonts w:ascii="Times New Roman" w:eastAsia="Calibri" w:hAnsi="Times New Roman" w:cs="Times New Roman"/>
          <w:i/>
          <w:sz w:val="24"/>
          <w:szCs w:val="24"/>
        </w:rPr>
        <w:t xml:space="preserve"> na podnikateľské prostredie. </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5B48FD" w:rsidRPr="00152D86" w14:paraId="05AF2CCD" w14:textId="77777777" w:rsidTr="00D737D8">
        <w:trPr>
          <w:trHeight w:val="270"/>
        </w:trPr>
        <w:tc>
          <w:tcPr>
            <w:tcW w:w="146" w:type="dxa"/>
            <w:tcBorders>
              <w:top w:val="nil"/>
              <w:left w:val="nil"/>
              <w:bottom w:val="nil"/>
              <w:right w:val="nil"/>
            </w:tcBorders>
            <w:shd w:val="clear" w:color="auto" w:fill="auto"/>
            <w:noWrap/>
            <w:vAlign w:val="bottom"/>
            <w:hideMark/>
          </w:tcPr>
          <w:p w14:paraId="08A5252C"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nil"/>
              <w:bottom w:val="nil"/>
              <w:right w:val="nil"/>
            </w:tcBorders>
            <w:shd w:val="clear" w:color="auto" w:fill="auto"/>
            <w:noWrap/>
            <w:vAlign w:val="bottom"/>
            <w:hideMark/>
          </w:tcPr>
          <w:p w14:paraId="428FD0D7"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2792" w:type="dxa"/>
            <w:gridSpan w:val="2"/>
            <w:tcBorders>
              <w:top w:val="nil"/>
              <w:left w:val="nil"/>
              <w:bottom w:val="nil"/>
              <w:right w:val="nil"/>
            </w:tcBorders>
            <w:shd w:val="clear" w:color="auto" w:fill="auto"/>
            <w:noWrap/>
            <w:vAlign w:val="bottom"/>
            <w:hideMark/>
          </w:tcPr>
          <w:p w14:paraId="224BA95D"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160" w:type="dxa"/>
            <w:tcBorders>
              <w:top w:val="nil"/>
              <w:left w:val="nil"/>
              <w:bottom w:val="nil"/>
              <w:right w:val="nil"/>
            </w:tcBorders>
            <w:shd w:val="clear" w:color="auto" w:fill="auto"/>
            <w:noWrap/>
            <w:vAlign w:val="bottom"/>
            <w:hideMark/>
          </w:tcPr>
          <w:p w14:paraId="4BAD25C8"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2716" w:type="dxa"/>
            <w:gridSpan w:val="2"/>
            <w:tcBorders>
              <w:top w:val="nil"/>
              <w:left w:val="nil"/>
              <w:bottom w:val="nil"/>
              <w:right w:val="nil"/>
            </w:tcBorders>
            <w:shd w:val="clear" w:color="auto" w:fill="auto"/>
            <w:noWrap/>
            <w:vAlign w:val="bottom"/>
            <w:hideMark/>
          </w:tcPr>
          <w:p w14:paraId="4C8F510F"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160" w:type="dxa"/>
            <w:tcBorders>
              <w:top w:val="nil"/>
              <w:left w:val="nil"/>
              <w:bottom w:val="nil"/>
              <w:right w:val="nil"/>
            </w:tcBorders>
            <w:shd w:val="clear" w:color="auto" w:fill="auto"/>
            <w:noWrap/>
            <w:vAlign w:val="bottom"/>
            <w:hideMark/>
          </w:tcPr>
          <w:p w14:paraId="31257967" w14:textId="77777777" w:rsidR="005B48FD" w:rsidRPr="00152D86" w:rsidRDefault="005B48FD" w:rsidP="00D737D8">
            <w:pPr>
              <w:spacing w:after="0" w:line="240" w:lineRule="auto"/>
              <w:jc w:val="center"/>
              <w:rPr>
                <w:rFonts w:ascii="Times New Roman" w:eastAsia="Times New Roman" w:hAnsi="Times New Roman" w:cs="Times New Roman"/>
                <w:color w:val="000000"/>
                <w:sz w:val="24"/>
                <w:szCs w:val="24"/>
                <w:lang w:eastAsia="sk-SK"/>
              </w:rPr>
            </w:pPr>
          </w:p>
        </w:tc>
      </w:tr>
      <w:tr w:rsidR="005B48FD" w:rsidRPr="00152D86" w14:paraId="001A2AE9" w14:textId="77777777" w:rsidTr="00D737D8">
        <w:trPr>
          <w:gridAfter w:val="2"/>
          <w:wAfter w:w="583" w:type="dxa"/>
          <w:trHeight w:val="451"/>
        </w:trPr>
        <w:tc>
          <w:tcPr>
            <w:tcW w:w="146" w:type="dxa"/>
            <w:tcBorders>
              <w:top w:val="nil"/>
              <w:left w:val="nil"/>
              <w:bottom w:val="nil"/>
              <w:right w:val="nil"/>
            </w:tcBorders>
            <w:shd w:val="clear" w:color="auto" w:fill="auto"/>
            <w:noWrap/>
            <w:vAlign w:val="bottom"/>
            <w:hideMark/>
          </w:tcPr>
          <w:p w14:paraId="2C5679C8"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AC82C" w14:textId="77777777" w:rsidR="005B48FD" w:rsidRPr="00152D86" w:rsidRDefault="005B48FD" w:rsidP="00D737D8">
            <w:pPr>
              <w:spacing w:after="0" w:line="240" w:lineRule="auto"/>
              <w:jc w:val="center"/>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32E03A5"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4EAB9B"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Zníženie nákladov v € na PP</w:t>
            </w:r>
          </w:p>
        </w:tc>
      </w:tr>
      <w:tr w:rsidR="005B48FD" w:rsidRPr="00152D86" w14:paraId="00B399D6" w14:textId="77777777" w:rsidTr="00D737D8">
        <w:trPr>
          <w:gridAfter w:val="2"/>
          <w:wAfter w:w="583" w:type="dxa"/>
          <w:trHeight w:val="600"/>
        </w:trPr>
        <w:tc>
          <w:tcPr>
            <w:tcW w:w="146" w:type="dxa"/>
            <w:tcBorders>
              <w:top w:val="nil"/>
              <w:left w:val="nil"/>
              <w:bottom w:val="nil"/>
              <w:right w:val="nil"/>
            </w:tcBorders>
            <w:shd w:val="clear" w:color="auto" w:fill="auto"/>
            <w:noWrap/>
            <w:vAlign w:val="bottom"/>
            <w:hideMark/>
          </w:tcPr>
          <w:p w14:paraId="06ECD8B5"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74243BD"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 xml:space="preserve">A. Dane, odvody, clá a poplatky, ktorých cieľom je znižovať negatívne </w:t>
            </w:r>
            <w:proofErr w:type="spellStart"/>
            <w:r w:rsidRPr="00152D86">
              <w:rPr>
                <w:rFonts w:ascii="Times New Roman" w:eastAsia="Times New Roman" w:hAnsi="Times New Roman" w:cs="Times New Roman"/>
                <w:b/>
                <w:bCs/>
                <w:i/>
                <w:iCs/>
                <w:color w:val="000000"/>
                <w:sz w:val="24"/>
                <w:szCs w:val="24"/>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42D836A"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71175B49"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816014C"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6F3C8B29"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r>
      <w:tr w:rsidR="005B48FD" w:rsidRPr="00152D86" w14:paraId="05F18F40" w14:textId="77777777" w:rsidTr="00D737D8">
        <w:trPr>
          <w:gridAfter w:val="2"/>
          <w:wAfter w:w="583" w:type="dxa"/>
          <w:trHeight w:val="420"/>
        </w:trPr>
        <w:tc>
          <w:tcPr>
            <w:tcW w:w="146" w:type="dxa"/>
            <w:tcBorders>
              <w:top w:val="nil"/>
              <w:left w:val="nil"/>
              <w:bottom w:val="nil"/>
              <w:right w:val="nil"/>
            </w:tcBorders>
            <w:shd w:val="clear" w:color="auto" w:fill="auto"/>
            <w:noWrap/>
            <w:vAlign w:val="bottom"/>
            <w:hideMark/>
          </w:tcPr>
          <w:p w14:paraId="052156A0"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B04EE39"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733EB97"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5DE1C337"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90AFA22"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752ACC6E"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r>
      <w:tr w:rsidR="005B48FD" w:rsidRPr="00152D86" w14:paraId="52B98D34" w14:textId="77777777" w:rsidTr="00D737D8">
        <w:trPr>
          <w:gridAfter w:val="2"/>
          <w:wAfter w:w="583" w:type="dxa"/>
          <w:trHeight w:val="612"/>
        </w:trPr>
        <w:tc>
          <w:tcPr>
            <w:tcW w:w="146" w:type="dxa"/>
            <w:tcBorders>
              <w:top w:val="nil"/>
              <w:left w:val="nil"/>
              <w:bottom w:val="nil"/>
              <w:right w:val="nil"/>
            </w:tcBorders>
            <w:shd w:val="clear" w:color="auto" w:fill="auto"/>
            <w:noWrap/>
            <w:vAlign w:val="bottom"/>
            <w:hideMark/>
          </w:tcPr>
          <w:p w14:paraId="1F114452"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476CEDC"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CEABC4B"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24465227"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8CA71E4"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49801BDB"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27 264</w:t>
            </w:r>
          </w:p>
        </w:tc>
      </w:tr>
      <w:tr w:rsidR="005B48FD" w:rsidRPr="00152D86" w14:paraId="7FB942F9" w14:textId="77777777" w:rsidTr="00D737D8">
        <w:trPr>
          <w:gridAfter w:val="2"/>
          <w:wAfter w:w="583" w:type="dxa"/>
          <w:trHeight w:val="480"/>
        </w:trPr>
        <w:tc>
          <w:tcPr>
            <w:tcW w:w="146" w:type="dxa"/>
            <w:tcBorders>
              <w:top w:val="nil"/>
              <w:left w:val="nil"/>
              <w:bottom w:val="nil"/>
              <w:right w:val="nil"/>
            </w:tcBorders>
            <w:shd w:val="clear" w:color="auto" w:fill="auto"/>
            <w:noWrap/>
            <w:vAlign w:val="bottom"/>
            <w:hideMark/>
          </w:tcPr>
          <w:p w14:paraId="336AEC44"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7F6C785"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150F27D"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167 229</w:t>
            </w:r>
            <w:r w:rsidRPr="00152D86">
              <w:rPr>
                <w:rFonts w:ascii="Times New Roman" w:eastAsia="Times New Roman" w:hAnsi="Times New Roman" w:cs="Times New Roman"/>
                <w:b/>
                <w:bCs/>
                <w:color w:val="000000"/>
                <w:sz w:val="24"/>
                <w:szCs w:val="24"/>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9736F97"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3C8CC6F4"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r>
      <w:tr w:rsidR="005B48FD" w:rsidRPr="00152D86" w14:paraId="71E64D24" w14:textId="77777777" w:rsidTr="00D737D8">
        <w:trPr>
          <w:gridAfter w:val="2"/>
          <w:wAfter w:w="583" w:type="dxa"/>
          <w:trHeight w:val="480"/>
        </w:trPr>
        <w:tc>
          <w:tcPr>
            <w:tcW w:w="146" w:type="dxa"/>
            <w:tcBorders>
              <w:top w:val="nil"/>
              <w:left w:val="nil"/>
              <w:bottom w:val="nil"/>
              <w:right w:val="nil"/>
            </w:tcBorders>
            <w:shd w:val="clear" w:color="auto" w:fill="auto"/>
            <w:noWrap/>
            <w:vAlign w:val="bottom"/>
          </w:tcPr>
          <w:p w14:paraId="014B3D7A"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3E821DE7"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20C203AF"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180 286</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4E140A91"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0</w:t>
            </w:r>
          </w:p>
        </w:tc>
      </w:tr>
      <w:tr w:rsidR="005B48FD" w:rsidRPr="00152D86" w14:paraId="1D69D65E" w14:textId="77777777" w:rsidTr="00D737D8">
        <w:trPr>
          <w:gridAfter w:val="2"/>
          <w:wAfter w:w="583" w:type="dxa"/>
          <w:trHeight w:val="600"/>
        </w:trPr>
        <w:tc>
          <w:tcPr>
            <w:tcW w:w="146" w:type="dxa"/>
            <w:tcBorders>
              <w:top w:val="nil"/>
              <w:left w:val="nil"/>
              <w:bottom w:val="nil"/>
              <w:right w:val="nil"/>
            </w:tcBorders>
            <w:shd w:val="clear" w:color="auto" w:fill="auto"/>
            <w:noWrap/>
            <w:vAlign w:val="bottom"/>
            <w:hideMark/>
          </w:tcPr>
          <w:p w14:paraId="2B2A5092"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161B97F"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6D160969"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0173FDE7"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347 514</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9E04B07"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0CAB29A8"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27 264</w:t>
            </w:r>
          </w:p>
        </w:tc>
      </w:tr>
      <w:tr w:rsidR="005B48FD" w:rsidRPr="00152D86" w14:paraId="6C93A1B2" w14:textId="77777777" w:rsidTr="00D737D8">
        <w:trPr>
          <w:trHeight w:val="270"/>
        </w:trPr>
        <w:tc>
          <w:tcPr>
            <w:tcW w:w="146" w:type="dxa"/>
            <w:tcBorders>
              <w:top w:val="nil"/>
              <w:left w:val="nil"/>
              <w:bottom w:val="nil"/>
              <w:right w:val="nil"/>
            </w:tcBorders>
            <w:shd w:val="clear" w:color="auto" w:fill="auto"/>
            <w:noWrap/>
            <w:vAlign w:val="bottom"/>
            <w:hideMark/>
          </w:tcPr>
          <w:p w14:paraId="0051A0CE"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nil"/>
              <w:bottom w:val="nil"/>
              <w:right w:val="nil"/>
            </w:tcBorders>
            <w:shd w:val="clear" w:color="auto" w:fill="auto"/>
            <w:noWrap/>
            <w:vAlign w:val="bottom"/>
            <w:hideMark/>
          </w:tcPr>
          <w:p w14:paraId="5692AB58"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2792" w:type="dxa"/>
            <w:gridSpan w:val="2"/>
            <w:tcBorders>
              <w:top w:val="nil"/>
              <w:left w:val="nil"/>
              <w:bottom w:val="nil"/>
              <w:right w:val="nil"/>
            </w:tcBorders>
            <w:shd w:val="clear" w:color="auto" w:fill="auto"/>
            <w:vAlign w:val="center"/>
            <w:hideMark/>
          </w:tcPr>
          <w:p w14:paraId="53C424C3"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26C3343E"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2716" w:type="dxa"/>
            <w:gridSpan w:val="2"/>
            <w:tcBorders>
              <w:top w:val="nil"/>
              <w:left w:val="nil"/>
              <w:bottom w:val="nil"/>
              <w:right w:val="nil"/>
            </w:tcBorders>
            <w:shd w:val="clear" w:color="auto" w:fill="auto"/>
            <w:vAlign w:val="center"/>
            <w:hideMark/>
          </w:tcPr>
          <w:p w14:paraId="29B7FB7A"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12373FB4"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r>
      <w:tr w:rsidR="005B48FD" w:rsidRPr="00152D86" w14:paraId="23DBCB27" w14:textId="77777777" w:rsidTr="00D737D8">
        <w:trPr>
          <w:gridAfter w:val="2"/>
          <w:wAfter w:w="583" w:type="dxa"/>
          <w:trHeight w:val="412"/>
        </w:trPr>
        <w:tc>
          <w:tcPr>
            <w:tcW w:w="146" w:type="dxa"/>
            <w:tcBorders>
              <w:top w:val="nil"/>
              <w:left w:val="nil"/>
              <w:bottom w:val="nil"/>
              <w:right w:val="nil"/>
            </w:tcBorders>
            <w:shd w:val="clear" w:color="auto" w:fill="auto"/>
            <w:noWrap/>
            <w:vAlign w:val="bottom"/>
            <w:hideMark/>
          </w:tcPr>
          <w:p w14:paraId="76AF2A8A"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FFDA28"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r w:rsidRPr="00152D86">
              <w:rPr>
                <w:rFonts w:ascii="Times New Roman" w:eastAsia="Times New Roman" w:hAnsi="Times New Roman" w:cs="Times New Roman"/>
                <w:i/>
                <w:iCs/>
                <w:color w:val="000000"/>
                <w:sz w:val="24"/>
                <w:szCs w:val="24"/>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A610B45"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7FA2EA3"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Zníženie nákladov v € na PP</w:t>
            </w:r>
          </w:p>
        </w:tc>
      </w:tr>
      <w:tr w:rsidR="005B48FD" w:rsidRPr="00152D86" w14:paraId="563437BE" w14:textId="77777777" w:rsidTr="00D737D8">
        <w:trPr>
          <w:gridAfter w:val="2"/>
          <w:wAfter w:w="583" w:type="dxa"/>
          <w:trHeight w:val="840"/>
        </w:trPr>
        <w:tc>
          <w:tcPr>
            <w:tcW w:w="146" w:type="dxa"/>
            <w:tcBorders>
              <w:top w:val="nil"/>
              <w:left w:val="nil"/>
              <w:bottom w:val="nil"/>
              <w:right w:val="nil"/>
            </w:tcBorders>
            <w:shd w:val="clear" w:color="auto" w:fill="auto"/>
            <w:noWrap/>
            <w:vAlign w:val="bottom"/>
            <w:hideMark/>
          </w:tcPr>
          <w:p w14:paraId="420D69E4"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7A417B0"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F. Úplná harmonizácia práva EÚ</w:t>
            </w:r>
            <w:r w:rsidRPr="00152D86">
              <w:rPr>
                <w:rFonts w:ascii="Times New Roman" w:eastAsia="Times New Roman" w:hAnsi="Times New Roman" w:cs="Times New Roman"/>
                <w:b/>
                <w:bCs/>
                <w:i/>
                <w:iCs/>
                <w:color w:val="000000"/>
                <w:sz w:val="24"/>
                <w:szCs w:val="24"/>
                <w:lang w:eastAsia="sk-SK"/>
              </w:rPr>
              <w:br/>
            </w:r>
            <w:r w:rsidRPr="00152D86">
              <w:rPr>
                <w:rFonts w:ascii="Times New Roman" w:eastAsia="Times New Roman" w:hAnsi="Times New Roman" w:cs="Times New Roman"/>
                <w:i/>
                <w:iCs/>
                <w:color w:val="000000"/>
                <w:sz w:val="24"/>
                <w:szCs w:val="24"/>
                <w:lang w:eastAsia="sk-SK"/>
              </w:rPr>
              <w:t xml:space="preserve">(okrem daní, odvodov, ciel a poplatkov, ktorých cieľom je znižovať negatívne </w:t>
            </w:r>
            <w:proofErr w:type="spellStart"/>
            <w:r w:rsidRPr="00152D86">
              <w:rPr>
                <w:rFonts w:ascii="Times New Roman" w:eastAsia="Times New Roman" w:hAnsi="Times New Roman" w:cs="Times New Roman"/>
                <w:i/>
                <w:iCs/>
                <w:color w:val="000000"/>
                <w:sz w:val="24"/>
                <w:szCs w:val="24"/>
                <w:lang w:eastAsia="sk-SK"/>
              </w:rPr>
              <w:t>externality</w:t>
            </w:r>
            <w:proofErr w:type="spellEnd"/>
            <w:r w:rsidRPr="00152D86">
              <w:rPr>
                <w:rFonts w:ascii="Times New Roman" w:eastAsia="Times New Roman" w:hAnsi="Times New Roman" w:cs="Times New Roman"/>
                <w:i/>
                <w:iCs/>
                <w:color w:val="000000"/>
                <w:sz w:val="24"/>
                <w:szCs w:val="24"/>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D2D75D6"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p w14:paraId="240E3D61" w14:textId="77777777" w:rsidR="005B48FD" w:rsidRPr="00152D86" w:rsidRDefault="005B48FD" w:rsidP="00D737D8">
            <w:pPr>
              <w:jc w:val="center"/>
              <w:rPr>
                <w:rFonts w:ascii="Times New Roman" w:hAnsi="Times New Roman" w:cs="Times New Roman"/>
                <w:b/>
                <w:bCs/>
                <w:color w:val="000000"/>
                <w:sz w:val="24"/>
                <w:szCs w:val="24"/>
              </w:rPr>
            </w:pPr>
            <w:r w:rsidRPr="00152D86">
              <w:rPr>
                <w:rFonts w:ascii="Times New Roman" w:hAnsi="Times New Roman" w:cs="Times New Roman"/>
                <w:b/>
                <w:bCs/>
                <w:color w:val="000000"/>
                <w:sz w:val="24"/>
                <w:szCs w:val="24"/>
              </w:rPr>
              <w:t>347 514</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1557346"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r w:rsidRPr="00152D86">
              <w:rPr>
                <w:rFonts w:ascii="Times New Roman" w:hAnsi="Times New Roman" w:cs="Times New Roman"/>
                <w:b/>
                <w:bCs/>
                <w:color w:val="000000"/>
                <w:sz w:val="24"/>
                <w:szCs w:val="24"/>
              </w:rPr>
              <w:t>27 264</w:t>
            </w:r>
          </w:p>
        </w:tc>
      </w:tr>
      <w:tr w:rsidR="005B48FD" w:rsidRPr="00152D86" w14:paraId="318D8313" w14:textId="77777777" w:rsidTr="00D737D8">
        <w:trPr>
          <w:gridAfter w:val="2"/>
          <w:wAfter w:w="583" w:type="dxa"/>
          <w:trHeight w:val="486"/>
        </w:trPr>
        <w:tc>
          <w:tcPr>
            <w:tcW w:w="146" w:type="dxa"/>
            <w:tcBorders>
              <w:top w:val="nil"/>
              <w:left w:val="nil"/>
              <w:bottom w:val="nil"/>
              <w:right w:val="nil"/>
            </w:tcBorders>
            <w:shd w:val="clear" w:color="auto" w:fill="auto"/>
            <w:noWrap/>
            <w:vAlign w:val="bottom"/>
            <w:hideMark/>
          </w:tcPr>
          <w:p w14:paraId="2C4B62C5"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18E4E0" w14:textId="77777777" w:rsidR="005B48FD" w:rsidRPr="00152D86" w:rsidRDefault="005B48FD" w:rsidP="00D737D8">
            <w:pPr>
              <w:spacing w:after="0" w:line="240" w:lineRule="auto"/>
              <w:rPr>
                <w:rFonts w:ascii="Times New Roman" w:eastAsia="Times New Roman" w:hAnsi="Times New Roman" w:cs="Times New Roman"/>
                <w:b/>
                <w:bCs/>
                <w:i/>
                <w:iCs/>
                <w:color w:val="000000"/>
                <w:sz w:val="24"/>
                <w:szCs w:val="24"/>
                <w:lang w:eastAsia="sk-SK"/>
              </w:rPr>
            </w:pPr>
            <w:r w:rsidRPr="00152D86">
              <w:rPr>
                <w:rFonts w:ascii="Times New Roman" w:eastAsia="Times New Roman" w:hAnsi="Times New Roman" w:cs="Times New Roman"/>
                <w:b/>
                <w:bCs/>
                <w:i/>
                <w:iCs/>
                <w:color w:val="000000"/>
                <w:sz w:val="24"/>
                <w:szCs w:val="24"/>
                <w:lang w:eastAsia="sk-SK"/>
              </w:rPr>
              <w:t xml:space="preserve">G. </w:t>
            </w:r>
            <w:proofErr w:type="spellStart"/>
            <w:r w:rsidRPr="00152D86">
              <w:rPr>
                <w:rFonts w:ascii="Times New Roman" w:eastAsia="Times New Roman" w:hAnsi="Times New Roman" w:cs="Times New Roman"/>
                <w:b/>
                <w:bCs/>
                <w:i/>
                <w:iCs/>
                <w:color w:val="000000"/>
                <w:sz w:val="24"/>
                <w:szCs w:val="24"/>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D113FE3"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9CCD17D"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r w:rsidRPr="00152D86">
              <w:rPr>
                <w:rFonts w:ascii="Times New Roman" w:hAnsi="Times New Roman" w:cs="Times New Roman"/>
                <w:b/>
                <w:bCs/>
                <w:color w:val="000000"/>
                <w:sz w:val="24"/>
                <w:szCs w:val="24"/>
              </w:rPr>
              <w:t>0</w:t>
            </w:r>
          </w:p>
        </w:tc>
      </w:tr>
      <w:tr w:rsidR="005B48FD" w:rsidRPr="00152D86" w14:paraId="2F6A0AD0" w14:textId="77777777" w:rsidTr="00D737D8">
        <w:trPr>
          <w:trHeight w:val="360"/>
        </w:trPr>
        <w:tc>
          <w:tcPr>
            <w:tcW w:w="146" w:type="dxa"/>
            <w:tcBorders>
              <w:top w:val="nil"/>
              <w:left w:val="nil"/>
              <w:bottom w:val="nil"/>
              <w:right w:val="nil"/>
            </w:tcBorders>
            <w:shd w:val="clear" w:color="auto" w:fill="auto"/>
            <w:noWrap/>
            <w:vAlign w:val="bottom"/>
            <w:hideMark/>
          </w:tcPr>
          <w:p w14:paraId="1CEA4180"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nil"/>
              <w:bottom w:val="nil"/>
              <w:right w:val="nil"/>
            </w:tcBorders>
            <w:shd w:val="clear" w:color="auto" w:fill="auto"/>
            <w:noWrap/>
            <w:vAlign w:val="bottom"/>
            <w:hideMark/>
          </w:tcPr>
          <w:p w14:paraId="61DF9DEB"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2792" w:type="dxa"/>
            <w:gridSpan w:val="2"/>
            <w:tcBorders>
              <w:top w:val="nil"/>
              <w:left w:val="nil"/>
              <w:bottom w:val="nil"/>
              <w:right w:val="nil"/>
            </w:tcBorders>
            <w:shd w:val="clear" w:color="auto" w:fill="auto"/>
            <w:vAlign w:val="center"/>
            <w:hideMark/>
          </w:tcPr>
          <w:p w14:paraId="5ABA3914"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352CA602"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2716" w:type="dxa"/>
            <w:gridSpan w:val="2"/>
            <w:tcBorders>
              <w:top w:val="nil"/>
              <w:left w:val="nil"/>
              <w:bottom w:val="nil"/>
              <w:right w:val="nil"/>
            </w:tcBorders>
            <w:shd w:val="clear" w:color="auto" w:fill="auto"/>
            <w:vAlign w:val="center"/>
            <w:hideMark/>
          </w:tcPr>
          <w:p w14:paraId="0CE96A3B"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719D0231"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p>
        </w:tc>
      </w:tr>
      <w:tr w:rsidR="005B48FD" w:rsidRPr="00152D86" w14:paraId="05BFFC28" w14:textId="77777777" w:rsidTr="00D737D8">
        <w:trPr>
          <w:gridAfter w:val="2"/>
          <w:wAfter w:w="583" w:type="dxa"/>
          <w:trHeight w:val="390"/>
        </w:trPr>
        <w:tc>
          <w:tcPr>
            <w:tcW w:w="146" w:type="dxa"/>
            <w:tcBorders>
              <w:top w:val="nil"/>
              <w:left w:val="nil"/>
              <w:bottom w:val="nil"/>
              <w:right w:val="nil"/>
            </w:tcBorders>
            <w:shd w:val="clear" w:color="auto" w:fill="auto"/>
            <w:noWrap/>
            <w:vAlign w:val="bottom"/>
            <w:hideMark/>
          </w:tcPr>
          <w:p w14:paraId="122D8E87"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C19706"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r w:rsidRPr="00152D86">
              <w:rPr>
                <w:rFonts w:ascii="Times New Roman" w:eastAsia="Times New Roman" w:hAnsi="Times New Roman" w:cs="Times New Roman"/>
                <w:i/>
                <w:iCs/>
                <w:color w:val="000000"/>
                <w:sz w:val="24"/>
                <w:szCs w:val="24"/>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35CBB40C" w14:textId="77777777" w:rsidR="005B48FD" w:rsidRPr="00152D86" w:rsidRDefault="005B48FD" w:rsidP="00D737D8">
            <w:pPr>
              <w:spacing w:after="0" w:line="240" w:lineRule="auto"/>
              <w:jc w:val="center"/>
              <w:rPr>
                <w:rFonts w:ascii="Times New Roman" w:eastAsia="Times New Roman" w:hAnsi="Times New Roman" w:cs="Times New Roman"/>
                <w:color w:val="000000"/>
                <w:sz w:val="24"/>
                <w:szCs w:val="24"/>
                <w:lang w:eastAsia="sk-SK"/>
              </w:rPr>
            </w:pPr>
            <w:r w:rsidRPr="00152D86">
              <w:rPr>
                <w:rFonts w:ascii="Times New Roman" w:eastAsia="Times New Roman" w:hAnsi="Times New Roman" w:cs="Times New Roman"/>
                <w:color w:val="000000"/>
                <w:sz w:val="24"/>
                <w:szCs w:val="24"/>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2C6F55E" w14:textId="77777777" w:rsidR="005B48FD" w:rsidRPr="00152D86" w:rsidRDefault="005B48FD" w:rsidP="00D737D8">
            <w:pPr>
              <w:spacing w:after="0" w:line="240" w:lineRule="auto"/>
              <w:jc w:val="center"/>
              <w:rPr>
                <w:rFonts w:ascii="Times New Roman" w:eastAsia="Times New Roman" w:hAnsi="Times New Roman" w:cs="Times New Roman"/>
                <w:color w:val="000000"/>
                <w:sz w:val="24"/>
                <w:szCs w:val="24"/>
                <w:lang w:eastAsia="sk-SK"/>
              </w:rPr>
            </w:pPr>
            <w:r w:rsidRPr="00152D86">
              <w:rPr>
                <w:rFonts w:ascii="Times New Roman" w:eastAsia="Times New Roman" w:hAnsi="Times New Roman" w:cs="Times New Roman"/>
                <w:color w:val="000000"/>
                <w:sz w:val="24"/>
                <w:szCs w:val="24"/>
                <w:lang w:eastAsia="sk-SK"/>
              </w:rPr>
              <w:t>OUT</w:t>
            </w:r>
          </w:p>
        </w:tc>
      </w:tr>
      <w:tr w:rsidR="005B48FD" w:rsidRPr="00152D86" w14:paraId="5185AC28" w14:textId="77777777" w:rsidTr="00D737D8">
        <w:trPr>
          <w:gridAfter w:val="2"/>
          <w:wAfter w:w="583" w:type="dxa"/>
          <w:trHeight w:val="390"/>
        </w:trPr>
        <w:tc>
          <w:tcPr>
            <w:tcW w:w="146" w:type="dxa"/>
            <w:tcBorders>
              <w:top w:val="nil"/>
              <w:left w:val="nil"/>
              <w:bottom w:val="nil"/>
              <w:right w:val="nil"/>
            </w:tcBorders>
            <w:shd w:val="clear" w:color="auto" w:fill="auto"/>
            <w:noWrap/>
            <w:vAlign w:val="bottom"/>
            <w:hideMark/>
          </w:tcPr>
          <w:p w14:paraId="31393850" w14:textId="77777777" w:rsidR="005B48FD" w:rsidRPr="00152D86" w:rsidRDefault="005B48FD" w:rsidP="00D737D8">
            <w:pPr>
              <w:spacing w:after="0" w:line="240" w:lineRule="auto"/>
              <w:rPr>
                <w:rFonts w:ascii="Times New Roman" w:eastAsia="Times New Roman" w:hAnsi="Times New Roman" w:cs="Times New Roman"/>
                <w:color w:val="000000"/>
                <w:sz w:val="24"/>
                <w:szCs w:val="24"/>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B322E39" w14:textId="77777777" w:rsidR="005B48FD" w:rsidRPr="00152D86" w:rsidRDefault="005B48FD" w:rsidP="00D737D8">
            <w:pPr>
              <w:spacing w:after="0" w:line="240" w:lineRule="auto"/>
              <w:rPr>
                <w:rFonts w:ascii="Times New Roman" w:eastAsia="Times New Roman" w:hAnsi="Times New Roman" w:cs="Times New Roman"/>
                <w:i/>
                <w:iCs/>
                <w:color w:val="000000"/>
                <w:sz w:val="24"/>
                <w:szCs w:val="24"/>
                <w:lang w:eastAsia="sk-SK"/>
              </w:rPr>
            </w:pPr>
            <w:r w:rsidRPr="00152D86">
              <w:rPr>
                <w:rFonts w:ascii="Times New Roman" w:eastAsia="Times New Roman" w:hAnsi="Times New Roman" w:cs="Times New Roman"/>
                <w:b/>
                <w:i/>
                <w:iCs/>
                <w:color w:val="000000"/>
                <w:sz w:val="24"/>
                <w:szCs w:val="24"/>
                <w:lang w:eastAsia="sk-SK"/>
              </w:rPr>
              <w:t>H.</w:t>
            </w:r>
            <w:r w:rsidRPr="00152D86">
              <w:rPr>
                <w:rFonts w:ascii="Times New Roman" w:eastAsia="Times New Roman" w:hAnsi="Times New Roman" w:cs="Times New Roman"/>
                <w:i/>
                <w:iCs/>
                <w:color w:val="000000"/>
                <w:sz w:val="24"/>
                <w:szCs w:val="24"/>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4F2446C1"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r w:rsidRPr="00152D86">
              <w:rPr>
                <w:rFonts w:ascii="Times New Roman" w:hAnsi="Times New Roman" w:cs="Times New Roman"/>
                <w:b/>
                <w:bCs/>
                <w:color w:val="000000"/>
                <w:sz w:val="24"/>
                <w:szCs w:val="24"/>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DBB324E"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4"/>
                <w:szCs w:val="24"/>
                <w:lang w:eastAsia="sk-SK"/>
              </w:rPr>
            </w:pPr>
            <w:r w:rsidRPr="00152D86">
              <w:rPr>
                <w:rFonts w:ascii="Times New Roman" w:eastAsia="Times New Roman" w:hAnsi="Times New Roman" w:cs="Times New Roman"/>
                <w:b/>
                <w:bCs/>
                <w:color w:val="000000"/>
                <w:sz w:val="24"/>
                <w:szCs w:val="24"/>
                <w:lang w:eastAsia="sk-SK"/>
              </w:rPr>
              <w:t> </w:t>
            </w:r>
            <w:r w:rsidRPr="00152D86">
              <w:rPr>
                <w:rFonts w:ascii="Times New Roman" w:hAnsi="Times New Roman" w:cs="Times New Roman"/>
                <w:b/>
                <w:bCs/>
                <w:color w:val="000000"/>
                <w:sz w:val="24"/>
                <w:szCs w:val="24"/>
              </w:rPr>
              <w:t>0</w:t>
            </w:r>
          </w:p>
        </w:tc>
      </w:tr>
    </w:tbl>
    <w:p w14:paraId="102A61DC" w14:textId="68CD1E51" w:rsidR="005B48FD" w:rsidRPr="00152D86" w:rsidRDefault="005B48FD" w:rsidP="005B48FD">
      <w:pPr>
        <w:rPr>
          <w:rFonts w:ascii="Times New Roman" w:eastAsia="Calibri" w:hAnsi="Times New Roman" w:cs="Times New Roman"/>
          <w:b/>
          <w:sz w:val="24"/>
          <w:szCs w:val="24"/>
        </w:rPr>
        <w:sectPr w:rsidR="005B48FD" w:rsidRPr="00152D86" w:rsidSect="00941683">
          <w:pgSz w:w="11906" w:h="16838"/>
          <w:pgMar w:top="993" w:right="1417" w:bottom="1417" w:left="1417" w:header="708" w:footer="708" w:gutter="0"/>
          <w:pgNumType w:start="1"/>
          <w:cols w:space="708"/>
          <w:docGrid w:linePitch="360"/>
        </w:sectPr>
      </w:pPr>
      <w:bookmarkStart w:id="0" w:name="_GoBack"/>
      <w:bookmarkEnd w:id="0"/>
    </w:p>
    <w:p w14:paraId="44F8FAE8" w14:textId="77777777" w:rsidR="005B48FD" w:rsidRPr="00152D86" w:rsidRDefault="005B48FD" w:rsidP="005B48FD">
      <w:pPr>
        <w:rPr>
          <w:rFonts w:ascii="Times New Roman" w:eastAsia="Calibri" w:hAnsi="Times New Roman" w:cs="Times New Roman"/>
          <w:b/>
          <w:i/>
          <w:iCs/>
          <w:sz w:val="24"/>
          <w:szCs w:val="24"/>
        </w:rPr>
      </w:pPr>
      <w:r w:rsidRPr="00152D86">
        <w:rPr>
          <w:rFonts w:ascii="Times New Roman" w:eastAsia="Calibri" w:hAnsi="Times New Roman" w:cs="Times New Roman"/>
          <w:b/>
          <w:i/>
          <w:iCs/>
          <w:sz w:val="24"/>
          <w:szCs w:val="24"/>
        </w:rPr>
        <w:t>3.1.2 Výpočty vplyvov jednotlivých regulácií na zmeny v nákladoch podnikateľov</w:t>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r w:rsidRPr="00152D86">
        <w:rPr>
          <w:rFonts w:ascii="Times New Roman" w:eastAsia="Calibri" w:hAnsi="Times New Roman" w:cs="Times New Roman"/>
          <w:i/>
          <w:sz w:val="24"/>
          <w:szCs w:val="24"/>
        </w:rPr>
        <w:tab/>
      </w:r>
    </w:p>
    <w:p w14:paraId="1EBE62C9" w14:textId="77777777" w:rsidR="005B48FD" w:rsidRPr="00152D86" w:rsidRDefault="005B48FD" w:rsidP="005B48FD">
      <w:pPr>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Tabuľka č. 2: Výpočet vplyvov jednotlivých regulácií (nahraďte rovnakou tabuľkou po vyplnení Kalkulačky nákladov):</w:t>
      </w:r>
    </w:p>
    <w:p w14:paraId="08E07DF5" w14:textId="77777777" w:rsidR="005B48FD" w:rsidRPr="00152D86" w:rsidRDefault="005B48FD" w:rsidP="005B48FD">
      <w:pPr>
        <w:jc w:val="both"/>
        <w:rPr>
          <w:rFonts w:ascii="Times New Roman" w:eastAsia="Calibri" w:hAnsi="Times New Roman" w:cs="Times New Roman"/>
          <w:i/>
          <w:sz w:val="24"/>
          <w:szCs w:val="24"/>
        </w:rPr>
      </w:pPr>
    </w:p>
    <w:tbl>
      <w:tblPr>
        <w:tblW w:w="14175" w:type="dxa"/>
        <w:jc w:val="center"/>
        <w:tblCellMar>
          <w:left w:w="70" w:type="dxa"/>
          <w:right w:w="70" w:type="dxa"/>
        </w:tblCellMar>
        <w:tblLook w:val="04A0" w:firstRow="1" w:lastRow="0" w:firstColumn="1" w:lastColumn="0" w:noHBand="0" w:noVBand="1"/>
      </w:tblPr>
      <w:tblGrid>
        <w:gridCol w:w="495"/>
        <w:gridCol w:w="1904"/>
        <w:gridCol w:w="963"/>
        <w:gridCol w:w="1205"/>
        <w:gridCol w:w="1684"/>
        <w:gridCol w:w="945"/>
        <w:gridCol w:w="1119"/>
        <w:gridCol w:w="989"/>
        <w:gridCol w:w="832"/>
        <w:gridCol w:w="1011"/>
        <w:gridCol w:w="944"/>
        <w:gridCol w:w="894"/>
        <w:gridCol w:w="1190"/>
      </w:tblGrid>
      <w:tr w:rsidR="005B48FD" w:rsidRPr="00152D86" w14:paraId="07338F0B" w14:textId="77777777" w:rsidTr="00D737D8">
        <w:trPr>
          <w:cantSplit/>
          <w:trHeight w:val="276"/>
          <w:jc w:val="center"/>
        </w:trPr>
        <w:tc>
          <w:tcPr>
            <w:tcW w:w="9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4CD7AD"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bookmarkStart w:id="1" w:name="RANGE!A23:M35"/>
            <w:proofErr w:type="spellStart"/>
            <w:r w:rsidRPr="00152D86">
              <w:rPr>
                <w:rFonts w:ascii="Times New Roman" w:eastAsia="Times New Roman" w:hAnsi="Times New Roman" w:cs="Times New Roman"/>
                <w:b/>
                <w:bCs/>
                <w:color w:val="000000"/>
                <w:sz w:val="20"/>
                <w:szCs w:val="24"/>
                <w:lang w:eastAsia="sk-SK"/>
              </w:rPr>
              <w:t>P.č</w:t>
            </w:r>
            <w:proofErr w:type="spellEnd"/>
            <w:r w:rsidRPr="00152D86">
              <w:rPr>
                <w:rFonts w:ascii="Times New Roman" w:eastAsia="Times New Roman" w:hAnsi="Times New Roman" w:cs="Times New Roman"/>
                <w:b/>
                <w:bCs/>
                <w:color w:val="000000"/>
                <w:sz w:val="20"/>
                <w:szCs w:val="24"/>
                <w:lang w:eastAsia="sk-SK"/>
              </w:rPr>
              <w:t>.</w:t>
            </w:r>
            <w:bookmarkEnd w:id="1"/>
          </w:p>
        </w:tc>
        <w:tc>
          <w:tcPr>
            <w:tcW w:w="476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FAE01D"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Zrozumiteľný a stručný opis regulácie </w:t>
            </w:r>
            <w:r w:rsidRPr="00152D86">
              <w:rPr>
                <w:rFonts w:ascii="Times New Roman" w:eastAsia="Times New Roman" w:hAnsi="Times New Roman" w:cs="Times New Roman"/>
                <w:b/>
                <w:bCs/>
                <w:color w:val="000000"/>
                <w:sz w:val="20"/>
                <w:szCs w:val="24"/>
                <w:lang w:eastAsia="sk-SK"/>
              </w:rPr>
              <w:br/>
              <w:t xml:space="preserve">(dôvod zvýšenia/zníženia nákladov na PP a dôvod ponechania nákladov na PP, ktoré </w:t>
            </w:r>
            <w:proofErr w:type="spellStart"/>
            <w:r w:rsidRPr="00152D86">
              <w:rPr>
                <w:rFonts w:ascii="Times New Roman" w:eastAsia="Times New Roman" w:hAnsi="Times New Roman" w:cs="Times New Roman"/>
                <w:b/>
                <w:bCs/>
                <w:color w:val="000000"/>
                <w:sz w:val="20"/>
                <w:szCs w:val="24"/>
                <w:lang w:eastAsia="sk-SK"/>
              </w:rPr>
              <w:t>su</w:t>
            </w:r>
            <w:proofErr w:type="spellEnd"/>
            <w:r w:rsidRPr="00152D86">
              <w:rPr>
                <w:rFonts w:ascii="Times New Roman" w:eastAsia="Times New Roman" w:hAnsi="Times New Roman" w:cs="Times New Roman"/>
                <w:b/>
                <w:bCs/>
                <w:color w:val="000000"/>
                <w:sz w:val="20"/>
                <w:szCs w:val="24"/>
                <w:lang w:eastAsia="sk-SK"/>
              </w:rPr>
              <w:t xml:space="preserve"> </w:t>
            </w:r>
            <w:proofErr w:type="spellStart"/>
            <w:r w:rsidRPr="00152D86">
              <w:rPr>
                <w:rFonts w:ascii="Times New Roman" w:eastAsia="Times New Roman" w:hAnsi="Times New Roman" w:cs="Times New Roman"/>
                <w:b/>
                <w:bCs/>
                <w:color w:val="000000"/>
                <w:sz w:val="20"/>
                <w:szCs w:val="24"/>
                <w:lang w:eastAsia="sk-SK"/>
              </w:rPr>
              <w:t>goldplatingom</w:t>
            </w:r>
            <w:proofErr w:type="spellEnd"/>
            <w:r w:rsidRPr="00152D86">
              <w:rPr>
                <w:rFonts w:ascii="Times New Roman" w:eastAsia="Times New Roman" w:hAnsi="Times New Roman" w:cs="Times New Roman"/>
                <w:b/>
                <w:bCs/>
                <w:color w:val="000000"/>
                <w:sz w:val="20"/>
                <w:szCs w:val="24"/>
                <w:lang w:eastAsia="sk-SK"/>
              </w:rPr>
              <w:t>)</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8749153"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Číslo normy</w:t>
            </w:r>
            <w:r w:rsidRPr="00152D86">
              <w:rPr>
                <w:rFonts w:ascii="Times New Roman" w:eastAsia="Times New Roman" w:hAnsi="Times New Roman" w:cs="Times New Roman"/>
                <w:b/>
                <w:bCs/>
                <w:color w:val="000000"/>
                <w:sz w:val="20"/>
                <w:szCs w:val="24"/>
                <w:lang w:eastAsia="sk-SK"/>
              </w:rPr>
              <w:br/>
            </w:r>
            <w:r w:rsidRPr="00152D86">
              <w:rPr>
                <w:rFonts w:ascii="Times New Roman" w:eastAsia="Times New Roman" w:hAnsi="Times New Roman" w:cs="Times New Roman"/>
                <w:color w:val="000000"/>
                <w:sz w:val="20"/>
                <w:szCs w:val="24"/>
                <w:lang w:eastAsia="sk-SK"/>
              </w:rPr>
              <w:t>(zákona, vyhlášky a pod.)</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AF8005B"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Lokalizácia</w:t>
            </w:r>
            <w:r w:rsidRPr="00152D86">
              <w:rPr>
                <w:rFonts w:ascii="Times New Roman" w:eastAsia="Times New Roman" w:hAnsi="Times New Roman" w:cs="Times New Roman"/>
                <w:b/>
                <w:bCs/>
                <w:color w:val="000000"/>
                <w:sz w:val="20"/>
                <w:szCs w:val="24"/>
                <w:lang w:eastAsia="sk-SK"/>
              </w:rPr>
              <w:br/>
              <w:t>(§, ods., čl.,...)</w:t>
            </w:r>
          </w:p>
        </w:tc>
        <w:tc>
          <w:tcPr>
            <w:tcW w:w="63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328FC8"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Pôvod regulácie: </w:t>
            </w:r>
            <w:r w:rsidRPr="00152D86">
              <w:rPr>
                <w:rFonts w:ascii="Times New Roman" w:eastAsia="Times New Roman" w:hAnsi="Times New Roman" w:cs="Times New Roman"/>
                <w:b/>
                <w:bCs/>
                <w:color w:val="000000"/>
                <w:sz w:val="20"/>
                <w:szCs w:val="24"/>
                <w:lang w:eastAsia="sk-SK"/>
              </w:rPr>
              <w:br/>
            </w:r>
            <w:r w:rsidRPr="00152D86">
              <w:rPr>
                <w:rFonts w:ascii="Times New Roman" w:eastAsia="Times New Roman" w:hAnsi="Times New Roman" w:cs="Times New Roman"/>
                <w:color w:val="000000"/>
                <w:sz w:val="20"/>
                <w:szCs w:val="24"/>
                <w:lang w:eastAsia="sk-SK"/>
              </w:rPr>
              <w:t xml:space="preserve">SK/EÚ úplná </w:t>
            </w:r>
            <w:proofErr w:type="spellStart"/>
            <w:r w:rsidRPr="00152D86">
              <w:rPr>
                <w:rFonts w:ascii="Times New Roman" w:eastAsia="Times New Roman" w:hAnsi="Times New Roman" w:cs="Times New Roman"/>
                <w:color w:val="000000"/>
                <w:sz w:val="20"/>
                <w:szCs w:val="24"/>
                <w:lang w:eastAsia="sk-SK"/>
              </w:rPr>
              <w:t>harm</w:t>
            </w:r>
            <w:proofErr w:type="spellEnd"/>
            <w:r w:rsidRPr="00152D86">
              <w:rPr>
                <w:rFonts w:ascii="Times New Roman" w:eastAsia="Times New Roman" w:hAnsi="Times New Roman" w:cs="Times New Roman"/>
                <w:color w:val="000000"/>
                <w:sz w:val="20"/>
                <w:szCs w:val="24"/>
                <w:lang w:eastAsia="sk-SK"/>
              </w:rPr>
              <w:t>./</w:t>
            </w:r>
            <w:r w:rsidRPr="00152D86">
              <w:rPr>
                <w:rFonts w:ascii="Times New Roman" w:eastAsia="Times New Roman" w:hAnsi="Times New Roman" w:cs="Times New Roman"/>
                <w:color w:val="000000"/>
                <w:sz w:val="20"/>
                <w:szCs w:val="24"/>
                <w:lang w:eastAsia="sk-SK"/>
              </w:rPr>
              <w:br/>
            </w:r>
            <w:proofErr w:type="spellStart"/>
            <w:r w:rsidRPr="00152D86">
              <w:rPr>
                <w:rFonts w:ascii="Times New Roman" w:eastAsia="Times New Roman" w:hAnsi="Times New Roman" w:cs="Times New Roman"/>
                <w:color w:val="000000"/>
                <w:sz w:val="20"/>
                <w:szCs w:val="24"/>
                <w:lang w:eastAsia="sk-SK"/>
              </w:rPr>
              <w:t>goldplating</w:t>
            </w:r>
            <w:proofErr w:type="spellEnd"/>
          </w:p>
        </w:tc>
        <w:tc>
          <w:tcPr>
            <w:tcW w:w="106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C2B4B5"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Účinnosť regulácie</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9B87C7"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Kategória </w:t>
            </w:r>
            <w:proofErr w:type="spellStart"/>
            <w:r w:rsidRPr="00152D86">
              <w:rPr>
                <w:rFonts w:ascii="Times New Roman" w:eastAsia="Times New Roman" w:hAnsi="Times New Roman" w:cs="Times New Roman"/>
                <w:b/>
                <w:bCs/>
                <w:color w:val="000000"/>
                <w:sz w:val="20"/>
                <w:szCs w:val="24"/>
                <w:lang w:eastAsia="sk-SK"/>
              </w:rPr>
              <w:t>dotk</w:t>
            </w:r>
            <w:proofErr w:type="spellEnd"/>
            <w:r w:rsidRPr="00152D86">
              <w:rPr>
                <w:rFonts w:ascii="Times New Roman" w:eastAsia="Times New Roman" w:hAnsi="Times New Roman" w:cs="Times New Roman"/>
                <w:b/>
                <w:bCs/>
                <w:color w:val="000000"/>
                <w:sz w:val="20"/>
                <w:szCs w:val="24"/>
                <w:lang w:eastAsia="sk-SK"/>
              </w:rPr>
              <w:t>. subjektov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B4B93C"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Počet </w:t>
            </w:r>
            <w:proofErr w:type="spellStart"/>
            <w:r w:rsidRPr="00152D86">
              <w:rPr>
                <w:rFonts w:ascii="Times New Roman" w:eastAsia="Times New Roman" w:hAnsi="Times New Roman" w:cs="Times New Roman"/>
                <w:b/>
                <w:bCs/>
                <w:color w:val="000000"/>
                <w:sz w:val="20"/>
                <w:szCs w:val="24"/>
                <w:lang w:eastAsia="sk-SK"/>
              </w:rPr>
              <w:t>dotk</w:t>
            </w:r>
            <w:proofErr w:type="spellEnd"/>
            <w:r w:rsidRPr="00152D86">
              <w:rPr>
                <w:rFonts w:ascii="Times New Roman" w:eastAsia="Times New Roman" w:hAnsi="Times New Roman" w:cs="Times New Roman"/>
                <w:b/>
                <w:bCs/>
                <w:color w:val="000000"/>
                <w:sz w:val="20"/>
                <w:szCs w:val="24"/>
                <w:lang w:eastAsia="sk-SK"/>
              </w:rPr>
              <w:t xml:space="preserve">. subjektov spolu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32E167"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Vplyv na 1 podnik. v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FE0582"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Vplyv na kategóriu </w:t>
            </w:r>
            <w:proofErr w:type="spellStart"/>
            <w:r w:rsidRPr="00152D86">
              <w:rPr>
                <w:rFonts w:ascii="Times New Roman" w:eastAsia="Times New Roman" w:hAnsi="Times New Roman" w:cs="Times New Roman"/>
                <w:b/>
                <w:bCs/>
                <w:color w:val="000000"/>
                <w:sz w:val="20"/>
                <w:szCs w:val="24"/>
                <w:lang w:eastAsia="sk-SK"/>
              </w:rPr>
              <w:t>dotk</w:t>
            </w:r>
            <w:proofErr w:type="spellEnd"/>
            <w:r w:rsidRPr="00152D86">
              <w:rPr>
                <w:rFonts w:ascii="Times New Roman" w:eastAsia="Times New Roman" w:hAnsi="Times New Roman" w:cs="Times New Roman"/>
                <w:b/>
                <w:bCs/>
                <w:color w:val="000000"/>
                <w:sz w:val="20"/>
                <w:szCs w:val="24"/>
                <w:lang w:eastAsia="sk-SK"/>
              </w:rPr>
              <w:t>. subjektov v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2624F1"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Druh vplyvu</w:t>
            </w:r>
            <w:r w:rsidRPr="00152D86">
              <w:rPr>
                <w:rFonts w:ascii="Times New Roman" w:eastAsia="Times New Roman" w:hAnsi="Times New Roman" w:cs="Times New Roman"/>
                <w:b/>
                <w:bCs/>
                <w:color w:val="000000"/>
                <w:sz w:val="20"/>
                <w:szCs w:val="24"/>
                <w:lang w:eastAsia="sk-SK"/>
              </w:rPr>
              <w:br/>
            </w:r>
            <w:r w:rsidRPr="00152D86">
              <w:rPr>
                <w:rFonts w:ascii="Times New Roman" w:eastAsia="Times New Roman" w:hAnsi="Times New Roman" w:cs="Times New Roman"/>
                <w:color w:val="000000"/>
                <w:sz w:val="20"/>
                <w:szCs w:val="24"/>
                <w:lang w:eastAsia="sk-SK"/>
              </w:rPr>
              <w:t xml:space="preserve">In (zvyšuje náklady) / </w:t>
            </w:r>
            <w:r w:rsidRPr="00152D86">
              <w:rPr>
                <w:rFonts w:ascii="Times New Roman" w:eastAsia="Times New Roman" w:hAnsi="Times New Roman" w:cs="Times New Roman"/>
                <w:color w:val="000000"/>
                <w:sz w:val="20"/>
                <w:szCs w:val="24"/>
                <w:lang w:eastAsia="sk-SK"/>
              </w:rPr>
              <w:br/>
            </w:r>
            <w:proofErr w:type="spellStart"/>
            <w:r w:rsidRPr="00152D86">
              <w:rPr>
                <w:rFonts w:ascii="Times New Roman" w:eastAsia="Times New Roman" w:hAnsi="Times New Roman" w:cs="Times New Roman"/>
                <w:color w:val="000000"/>
                <w:sz w:val="20"/>
                <w:szCs w:val="24"/>
                <w:lang w:eastAsia="sk-SK"/>
              </w:rPr>
              <w:t>Out</w:t>
            </w:r>
            <w:proofErr w:type="spellEnd"/>
            <w:r w:rsidRPr="00152D86">
              <w:rPr>
                <w:rFonts w:ascii="Times New Roman" w:eastAsia="Times New Roman" w:hAnsi="Times New Roman" w:cs="Times New Roman"/>
                <w:color w:val="000000"/>
                <w:sz w:val="20"/>
                <w:szCs w:val="24"/>
                <w:lang w:eastAsia="sk-SK"/>
              </w:rPr>
              <w:t xml:space="preserve"> (znižuje náklady) / Nemení sa</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640DC9"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r w:rsidRPr="00152D86">
              <w:rPr>
                <w:rFonts w:ascii="Times New Roman" w:eastAsia="Times New Roman" w:hAnsi="Times New Roman" w:cs="Times New Roman"/>
                <w:b/>
                <w:bCs/>
                <w:color w:val="000000"/>
                <w:sz w:val="20"/>
                <w:szCs w:val="24"/>
                <w:lang w:eastAsia="sk-SK"/>
              </w:rPr>
              <w:t xml:space="preserve">1in2out </w:t>
            </w:r>
            <w:r w:rsidRPr="00152D86">
              <w:rPr>
                <w:rFonts w:ascii="Times New Roman" w:eastAsia="Times New Roman" w:hAnsi="Times New Roman" w:cs="Times New Roman"/>
                <w:b/>
                <w:bCs/>
                <w:color w:val="000000"/>
                <w:sz w:val="20"/>
                <w:szCs w:val="24"/>
                <w:lang w:eastAsia="sk-SK"/>
              </w:rPr>
              <w:br/>
              <w:t>celkom</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71C8DC" w14:textId="77777777" w:rsidR="005B48FD" w:rsidRPr="00152D86" w:rsidRDefault="005B48FD" w:rsidP="00D737D8">
            <w:pPr>
              <w:spacing w:after="0" w:line="240" w:lineRule="auto"/>
              <w:jc w:val="center"/>
              <w:rPr>
                <w:rFonts w:ascii="Times New Roman" w:eastAsia="Times New Roman" w:hAnsi="Times New Roman" w:cs="Times New Roman"/>
                <w:b/>
                <w:bCs/>
                <w:color w:val="000000"/>
                <w:sz w:val="20"/>
                <w:szCs w:val="24"/>
                <w:lang w:eastAsia="sk-SK"/>
              </w:rPr>
            </w:pPr>
            <w:proofErr w:type="spellStart"/>
            <w:r w:rsidRPr="00152D86">
              <w:rPr>
                <w:rFonts w:ascii="Times New Roman" w:eastAsia="Times New Roman" w:hAnsi="Times New Roman" w:cs="Times New Roman"/>
                <w:b/>
                <w:bCs/>
                <w:color w:val="000000"/>
                <w:sz w:val="20"/>
                <w:szCs w:val="24"/>
                <w:lang w:eastAsia="sk-SK"/>
              </w:rPr>
              <w:t>Goldplating</w:t>
            </w:r>
            <w:proofErr w:type="spellEnd"/>
            <w:r w:rsidRPr="00152D86">
              <w:rPr>
                <w:rFonts w:ascii="Times New Roman" w:eastAsia="Times New Roman" w:hAnsi="Times New Roman" w:cs="Times New Roman"/>
                <w:b/>
                <w:bCs/>
                <w:color w:val="000000"/>
                <w:sz w:val="20"/>
                <w:szCs w:val="24"/>
                <w:lang w:eastAsia="sk-SK"/>
              </w:rPr>
              <w:t xml:space="preserve"> celkom</w:t>
            </w:r>
          </w:p>
        </w:tc>
      </w:tr>
      <w:tr w:rsidR="005B48FD" w:rsidRPr="00152D86" w14:paraId="6294412C" w14:textId="77777777" w:rsidTr="00D737D8">
        <w:trPr>
          <w:cantSplit/>
          <w:trHeight w:val="450"/>
          <w:jc w:val="center"/>
        </w:trPr>
        <w:tc>
          <w:tcPr>
            <w:tcW w:w="9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035ADB"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47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C176CC"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47F757E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6F368F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63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0ED33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0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C934F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013DF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1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B432C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2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0DFA80"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3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4FEF6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9FC8E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EC718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CC6039"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r>
      <w:tr w:rsidR="005B48FD" w:rsidRPr="00152D86" w14:paraId="45AD17F9" w14:textId="77777777" w:rsidTr="00D737D8">
        <w:trPr>
          <w:cantSplit/>
          <w:trHeight w:val="450"/>
          <w:jc w:val="center"/>
        </w:trPr>
        <w:tc>
          <w:tcPr>
            <w:tcW w:w="9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952659"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47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ED1DB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399D93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02EBD65"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63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2477D2"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0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15B2F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7F9B5A"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1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779B9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2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97FBA5"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3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9DA6FB"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1BD450"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ACAE8B"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B0EE26"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r>
      <w:tr w:rsidR="005B48FD" w:rsidRPr="00152D86" w14:paraId="6D0485FF" w14:textId="77777777" w:rsidTr="00D737D8">
        <w:trPr>
          <w:cantSplit/>
          <w:trHeight w:val="450"/>
          <w:jc w:val="center"/>
        </w:trPr>
        <w:tc>
          <w:tcPr>
            <w:tcW w:w="9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7D821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47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F3EBD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49AB883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496BD5D"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63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EB88E1"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0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EEEF6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62860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1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BC84F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2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451FEA"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3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E6325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2627B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CF92B1"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3B7500"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r>
      <w:tr w:rsidR="005B48FD" w:rsidRPr="00152D86" w14:paraId="1008404F" w14:textId="77777777" w:rsidTr="00D737D8">
        <w:trPr>
          <w:cantSplit/>
          <w:trHeight w:val="450"/>
          <w:jc w:val="center"/>
        </w:trPr>
        <w:tc>
          <w:tcPr>
            <w:tcW w:w="9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95715C"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47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2ABBA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B6DB85B"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B4647DD"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63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3FA3BB"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0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E790A7D"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9410D0"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1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55C64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2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A3FC36"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3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0F97D5"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4095BA"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BCE81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21C827"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r>
      <w:tr w:rsidR="005B48FD" w:rsidRPr="00152D86" w14:paraId="3824894D" w14:textId="77777777" w:rsidTr="00D737D8">
        <w:trPr>
          <w:cantSplit/>
          <w:trHeight w:val="450"/>
          <w:jc w:val="center"/>
        </w:trPr>
        <w:tc>
          <w:tcPr>
            <w:tcW w:w="9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7DCC2"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47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FCD1F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90F181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6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31C08C4"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63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891BF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0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01FD76"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657CF1"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1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772B19"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24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BD608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3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2D2463"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D9C1C8"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98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EBEAFF"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c>
          <w:tcPr>
            <w:tcW w:w="1460"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A33491" w14:textId="77777777" w:rsidR="005B48FD" w:rsidRPr="00152D86" w:rsidRDefault="005B48FD" w:rsidP="00D737D8">
            <w:pPr>
              <w:spacing w:after="0" w:line="240" w:lineRule="auto"/>
              <w:rPr>
                <w:rFonts w:ascii="Times New Roman" w:eastAsia="Times New Roman" w:hAnsi="Times New Roman" w:cs="Times New Roman"/>
                <w:b/>
                <w:bCs/>
                <w:color w:val="000000"/>
                <w:sz w:val="20"/>
                <w:szCs w:val="24"/>
                <w:lang w:eastAsia="sk-SK"/>
              </w:rPr>
            </w:pPr>
          </w:p>
        </w:tc>
      </w:tr>
      <w:tr w:rsidR="005B48FD" w:rsidRPr="00152D86" w14:paraId="5EC8560A" w14:textId="77777777" w:rsidTr="00D737D8">
        <w:trPr>
          <w:cantSplit/>
          <w:trHeight w:val="33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CB414A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w:t>
            </w:r>
          </w:p>
        </w:tc>
        <w:tc>
          <w:tcPr>
            <w:tcW w:w="4760" w:type="dxa"/>
            <w:tcBorders>
              <w:top w:val="nil"/>
              <w:left w:val="nil"/>
              <w:bottom w:val="single" w:sz="4" w:space="0" w:color="auto"/>
              <w:right w:val="single" w:sz="4" w:space="0" w:color="auto"/>
            </w:tcBorders>
            <w:shd w:val="clear" w:color="auto" w:fill="auto"/>
            <w:vAlign w:val="center"/>
            <w:hideMark/>
          </w:tcPr>
          <w:p w14:paraId="53894806"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existencii a dĺžke trvania zákonnej zodpovednosti obchodníka prostredníctvom harmonizovaného oznámenia</w:t>
            </w:r>
          </w:p>
        </w:tc>
        <w:tc>
          <w:tcPr>
            <w:tcW w:w="1960" w:type="dxa"/>
            <w:tcBorders>
              <w:top w:val="nil"/>
              <w:left w:val="nil"/>
              <w:bottom w:val="single" w:sz="4" w:space="0" w:color="auto"/>
              <w:right w:val="single" w:sz="4" w:space="0" w:color="auto"/>
            </w:tcBorders>
            <w:shd w:val="clear" w:color="auto" w:fill="auto"/>
            <w:vAlign w:val="center"/>
            <w:hideMark/>
          </w:tcPr>
          <w:p w14:paraId="549CE3A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21D720F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5 ods.1 písm. f)</w:t>
            </w:r>
          </w:p>
        </w:tc>
        <w:tc>
          <w:tcPr>
            <w:tcW w:w="6340" w:type="dxa"/>
            <w:tcBorders>
              <w:top w:val="nil"/>
              <w:left w:val="nil"/>
              <w:bottom w:val="single" w:sz="4" w:space="0" w:color="auto"/>
              <w:right w:val="single" w:sz="4" w:space="0" w:color="auto"/>
            </w:tcBorders>
            <w:shd w:val="clear" w:color="auto" w:fill="auto"/>
            <w:vAlign w:val="center"/>
            <w:hideMark/>
          </w:tcPr>
          <w:p w14:paraId="55196C2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4B567FF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27.09.26</w:t>
            </w:r>
          </w:p>
        </w:tc>
        <w:tc>
          <w:tcPr>
            <w:tcW w:w="1460" w:type="dxa"/>
            <w:tcBorders>
              <w:top w:val="nil"/>
              <w:left w:val="nil"/>
              <w:bottom w:val="single" w:sz="4" w:space="0" w:color="auto"/>
              <w:right w:val="single" w:sz="4" w:space="0" w:color="auto"/>
            </w:tcBorders>
            <w:shd w:val="clear" w:color="auto" w:fill="auto"/>
            <w:vAlign w:val="center"/>
            <w:hideMark/>
          </w:tcPr>
          <w:p w14:paraId="5076F26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tc>
        <w:tc>
          <w:tcPr>
            <w:tcW w:w="1140" w:type="dxa"/>
            <w:tcBorders>
              <w:top w:val="nil"/>
              <w:left w:val="nil"/>
              <w:bottom w:val="single" w:sz="4" w:space="0" w:color="auto"/>
              <w:right w:val="single" w:sz="4" w:space="0" w:color="auto"/>
            </w:tcBorders>
            <w:shd w:val="clear" w:color="auto" w:fill="auto"/>
            <w:vAlign w:val="center"/>
            <w:hideMark/>
          </w:tcPr>
          <w:p w14:paraId="7E3D450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130 825</w:t>
            </w:r>
          </w:p>
        </w:tc>
        <w:tc>
          <w:tcPr>
            <w:tcW w:w="1240" w:type="dxa"/>
            <w:tcBorders>
              <w:top w:val="nil"/>
              <w:left w:val="nil"/>
              <w:bottom w:val="single" w:sz="4" w:space="0" w:color="auto"/>
              <w:right w:val="single" w:sz="4" w:space="0" w:color="auto"/>
            </w:tcBorders>
            <w:shd w:val="clear" w:color="000000" w:fill="FFFFFF"/>
            <w:vAlign w:val="center"/>
            <w:hideMark/>
          </w:tcPr>
          <w:p w14:paraId="0F8F37C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w:t>
            </w:r>
          </w:p>
        </w:tc>
        <w:tc>
          <w:tcPr>
            <w:tcW w:w="1380" w:type="dxa"/>
            <w:tcBorders>
              <w:top w:val="nil"/>
              <w:left w:val="nil"/>
              <w:bottom w:val="single" w:sz="4" w:space="0" w:color="auto"/>
              <w:right w:val="single" w:sz="4" w:space="0" w:color="auto"/>
            </w:tcBorders>
            <w:shd w:val="clear" w:color="auto" w:fill="auto"/>
            <w:vAlign w:val="center"/>
            <w:hideMark/>
          </w:tcPr>
          <w:p w14:paraId="045B935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197 651</w:t>
            </w:r>
          </w:p>
        </w:tc>
        <w:tc>
          <w:tcPr>
            <w:tcW w:w="1980" w:type="dxa"/>
            <w:tcBorders>
              <w:top w:val="nil"/>
              <w:left w:val="nil"/>
              <w:bottom w:val="single" w:sz="4" w:space="0" w:color="auto"/>
              <w:right w:val="single" w:sz="4" w:space="0" w:color="auto"/>
            </w:tcBorders>
            <w:shd w:val="clear" w:color="auto" w:fill="auto"/>
            <w:vAlign w:val="center"/>
            <w:hideMark/>
          </w:tcPr>
          <w:p w14:paraId="4830B72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0FEFAD70"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78DD59B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12039FF8"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99A84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w:t>
            </w:r>
          </w:p>
        </w:tc>
        <w:tc>
          <w:tcPr>
            <w:tcW w:w="4760" w:type="dxa"/>
            <w:tcBorders>
              <w:top w:val="nil"/>
              <w:left w:val="nil"/>
              <w:bottom w:val="single" w:sz="4" w:space="0" w:color="auto"/>
              <w:right w:val="single" w:sz="4" w:space="0" w:color="auto"/>
            </w:tcBorders>
            <w:shd w:val="clear" w:color="auto" w:fill="auto"/>
            <w:vAlign w:val="center"/>
            <w:hideMark/>
          </w:tcPr>
          <w:p w14:paraId="0FD8B1A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existencii a dĺžke trvania spotrebiteľskej záruky prostredníctvom harmonizovaného označenia</w:t>
            </w:r>
          </w:p>
        </w:tc>
        <w:tc>
          <w:tcPr>
            <w:tcW w:w="1960" w:type="dxa"/>
            <w:tcBorders>
              <w:top w:val="nil"/>
              <w:left w:val="nil"/>
              <w:bottom w:val="single" w:sz="4" w:space="0" w:color="auto"/>
              <w:right w:val="single" w:sz="4" w:space="0" w:color="auto"/>
            </w:tcBorders>
            <w:shd w:val="clear" w:color="auto" w:fill="auto"/>
            <w:vAlign w:val="center"/>
            <w:hideMark/>
          </w:tcPr>
          <w:p w14:paraId="0724776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1D04E663"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5 ods.1 písm. g)</w:t>
            </w:r>
          </w:p>
        </w:tc>
        <w:tc>
          <w:tcPr>
            <w:tcW w:w="6340" w:type="dxa"/>
            <w:tcBorders>
              <w:top w:val="nil"/>
              <w:left w:val="nil"/>
              <w:bottom w:val="single" w:sz="4" w:space="0" w:color="auto"/>
              <w:right w:val="single" w:sz="4" w:space="0" w:color="auto"/>
            </w:tcBorders>
            <w:shd w:val="clear" w:color="auto" w:fill="auto"/>
            <w:vAlign w:val="center"/>
            <w:hideMark/>
          </w:tcPr>
          <w:p w14:paraId="60071A23"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0B82971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27.09.26</w:t>
            </w:r>
          </w:p>
        </w:tc>
        <w:tc>
          <w:tcPr>
            <w:tcW w:w="1460" w:type="dxa"/>
            <w:tcBorders>
              <w:top w:val="nil"/>
              <w:left w:val="nil"/>
              <w:bottom w:val="single" w:sz="4" w:space="0" w:color="auto"/>
              <w:right w:val="single" w:sz="4" w:space="0" w:color="auto"/>
            </w:tcBorders>
            <w:shd w:val="clear" w:color="auto" w:fill="auto"/>
            <w:vAlign w:val="center"/>
            <w:hideMark/>
          </w:tcPr>
          <w:p w14:paraId="2BEA45A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tc>
        <w:tc>
          <w:tcPr>
            <w:tcW w:w="1140" w:type="dxa"/>
            <w:tcBorders>
              <w:top w:val="nil"/>
              <w:left w:val="nil"/>
              <w:bottom w:val="single" w:sz="4" w:space="0" w:color="auto"/>
              <w:right w:val="single" w:sz="4" w:space="0" w:color="auto"/>
            </w:tcBorders>
            <w:shd w:val="clear" w:color="auto" w:fill="auto"/>
            <w:vAlign w:val="center"/>
            <w:hideMark/>
          </w:tcPr>
          <w:p w14:paraId="557F401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9 106</w:t>
            </w:r>
          </w:p>
        </w:tc>
        <w:tc>
          <w:tcPr>
            <w:tcW w:w="1240" w:type="dxa"/>
            <w:tcBorders>
              <w:top w:val="nil"/>
              <w:left w:val="nil"/>
              <w:bottom w:val="single" w:sz="4" w:space="0" w:color="auto"/>
              <w:right w:val="single" w:sz="4" w:space="0" w:color="auto"/>
            </w:tcBorders>
            <w:shd w:val="clear" w:color="auto" w:fill="auto"/>
            <w:vAlign w:val="center"/>
            <w:hideMark/>
          </w:tcPr>
          <w:p w14:paraId="0DCB323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w:t>
            </w:r>
          </w:p>
        </w:tc>
        <w:tc>
          <w:tcPr>
            <w:tcW w:w="1380" w:type="dxa"/>
            <w:tcBorders>
              <w:top w:val="nil"/>
              <w:left w:val="nil"/>
              <w:bottom w:val="single" w:sz="4" w:space="0" w:color="auto"/>
              <w:right w:val="single" w:sz="4" w:space="0" w:color="auto"/>
            </w:tcBorders>
            <w:shd w:val="clear" w:color="auto" w:fill="auto"/>
            <w:vAlign w:val="center"/>
            <w:hideMark/>
          </w:tcPr>
          <w:p w14:paraId="47530D4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13 757</w:t>
            </w:r>
          </w:p>
        </w:tc>
        <w:tc>
          <w:tcPr>
            <w:tcW w:w="1980" w:type="dxa"/>
            <w:tcBorders>
              <w:top w:val="nil"/>
              <w:left w:val="nil"/>
              <w:bottom w:val="single" w:sz="4" w:space="0" w:color="auto"/>
              <w:right w:val="single" w:sz="4" w:space="0" w:color="auto"/>
            </w:tcBorders>
            <w:shd w:val="clear" w:color="auto" w:fill="auto"/>
            <w:vAlign w:val="center"/>
            <w:hideMark/>
          </w:tcPr>
          <w:p w14:paraId="583027D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4A7549E8"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10A12B3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225821BC"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1CAF6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3</w:t>
            </w:r>
          </w:p>
        </w:tc>
        <w:tc>
          <w:tcPr>
            <w:tcW w:w="4760" w:type="dxa"/>
            <w:tcBorders>
              <w:top w:val="nil"/>
              <w:left w:val="nil"/>
              <w:bottom w:val="single" w:sz="4" w:space="0" w:color="auto"/>
              <w:right w:val="single" w:sz="4" w:space="0" w:color="auto"/>
            </w:tcBorders>
            <w:shd w:val="clear" w:color="auto" w:fill="auto"/>
            <w:vAlign w:val="center"/>
            <w:hideMark/>
          </w:tcPr>
          <w:p w14:paraId="5781F91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bodovom hodnotení opraviteľnosti</w:t>
            </w:r>
          </w:p>
        </w:tc>
        <w:tc>
          <w:tcPr>
            <w:tcW w:w="1960" w:type="dxa"/>
            <w:tcBorders>
              <w:top w:val="nil"/>
              <w:left w:val="nil"/>
              <w:bottom w:val="single" w:sz="4" w:space="0" w:color="auto"/>
              <w:right w:val="single" w:sz="4" w:space="0" w:color="auto"/>
            </w:tcBorders>
            <w:shd w:val="clear" w:color="auto" w:fill="auto"/>
            <w:vAlign w:val="center"/>
            <w:hideMark/>
          </w:tcPr>
          <w:p w14:paraId="303E4FD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618A769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5 ods.1 písm. k)</w:t>
            </w:r>
          </w:p>
        </w:tc>
        <w:tc>
          <w:tcPr>
            <w:tcW w:w="6340" w:type="dxa"/>
            <w:tcBorders>
              <w:top w:val="nil"/>
              <w:left w:val="nil"/>
              <w:bottom w:val="single" w:sz="4" w:space="0" w:color="auto"/>
              <w:right w:val="single" w:sz="4" w:space="0" w:color="auto"/>
            </w:tcBorders>
            <w:shd w:val="clear" w:color="auto" w:fill="auto"/>
            <w:vAlign w:val="center"/>
            <w:hideMark/>
          </w:tcPr>
          <w:p w14:paraId="17F4B6F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221B93A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27.09.26</w:t>
            </w:r>
          </w:p>
        </w:tc>
        <w:tc>
          <w:tcPr>
            <w:tcW w:w="1460" w:type="dxa"/>
            <w:tcBorders>
              <w:top w:val="nil"/>
              <w:left w:val="nil"/>
              <w:bottom w:val="single" w:sz="4" w:space="0" w:color="auto"/>
              <w:right w:val="single" w:sz="4" w:space="0" w:color="auto"/>
            </w:tcBorders>
            <w:shd w:val="clear" w:color="auto" w:fill="auto"/>
            <w:vAlign w:val="center"/>
            <w:hideMark/>
          </w:tcPr>
          <w:p w14:paraId="16FBF51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tc>
        <w:tc>
          <w:tcPr>
            <w:tcW w:w="1140" w:type="dxa"/>
            <w:tcBorders>
              <w:top w:val="nil"/>
              <w:left w:val="nil"/>
              <w:bottom w:val="single" w:sz="4" w:space="0" w:color="auto"/>
              <w:right w:val="single" w:sz="4" w:space="0" w:color="auto"/>
            </w:tcBorders>
            <w:shd w:val="clear" w:color="auto" w:fill="auto"/>
            <w:vAlign w:val="center"/>
            <w:hideMark/>
          </w:tcPr>
          <w:p w14:paraId="5AF6262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12 106</w:t>
            </w:r>
          </w:p>
        </w:tc>
        <w:tc>
          <w:tcPr>
            <w:tcW w:w="1240" w:type="dxa"/>
            <w:tcBorders>
              <w:top w:val="nil"/>
              <w:left w:val="nil"/>
              <w:bottom w:val="single" w:sz="4" w:space="0" w:color="auto"/>
              <w:right w:val="single" w:sz="4" w:space="0" w:color="auto"/>
            </w:tcBorders>
            <w:shd w:val="clear" w:color="auto" w:fill="auto"/>
            <w:vAlign w:val="center"/>
            <w:hideMark/>
          </w:tcPr>
          <w:p w14:paraId="3022AC3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w:t>
            </w:r>
          </w:p>
        </w:tc>
        <w:tc>
          <w:tcPr>
            <w:tcW w:w="1380" w:type="dxa"/>
            <w:tcBorders>
              <w:top w:val="nil"/>
              <w:left w:val="nil"/>
              <w:bottom w:val="single" w:sz="4" w:space="0" w:color="auto"/>
              <w:right w:val="single" w:sz="4" w:space="0" w:color="auto"/>
            </w:tcBorders>
            <w:shd w:val="clear" w:color="auto" w:fill="auto"/>
            <w:vAlign w:val="center"/>
            <w:hideMark/>
          </w:tcPr>
          <w:p w14:paraId="3D35921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48 773</w:t>
            </w:r>
          </w:p>
        </w:tc>
        <w:tc>
          <w:tcPr>
            <w:tcW w:w="1980" w:type="dxa"/>
            <w:tcBorders>
              <w:top w:val="nil"/>
              <w:left w:val="nil"/>
              <w:bottom w:val="single" w:sz="4" w:space="0" w:color="auto"/>
              <w:right w:val="single" w:sz="4" w:space="0" w:color="auto"/>
            </w:tcBorders>
            <w:shd w:val="clear" w:color="auto" w:fill="auto"/>
            <w:vAlign w:val="center"/>
            <w:hideMark/>
          </w:tcPr>
          <w:p w14:paraId="4B3293EF"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6E622345"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45EFFA0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39870936" w14:textId="77777777" w:rsidTr="00D737D8">
        <w:trPr>
          <w:cantSplit/>
          <w:trHeight w:val="78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12E37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lastRenderedPageBreak/>
              <w:t>4</w:t>
            </w:r>
          </w:p>
        </w:tc>
        <w:tc>
          <w:tcPr>
            <w:tcW w:w="4760" w:type="dxa"/>
            <w:tcBorders>
              <w:top w:val="nil"/>
              <w:left w:val="nil"/>
              <w:bottom w:val="single" w:sz="4" w:space="0" w:color="auto"/>
              <w:right w:val="single" w:sz="4" w:space="0" w:color="auto"/>
            </w:tcBorders>
            <w:shd w:val="clear" w:color="auto" w:fill="auto"/>
            <w:vAlign w:val="center"/>
            <w:hideMark/>
          </w:tcPr>
          <w:p w14:paraId="31AC3E1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dostupnosti, predpokladaných nákladoch a postupe objednania náhradných dielov</w:t>
            </w:r>
          </w:p>
        </w:tc>
        <w:tc>
          <w:tcPr>
            <w:tcW w:w="1960" w:type="dxa"/>
            <w:tcBorders>
              <w:top w:val="nil"/>
              <w:left w:val="nil"/>
              <w:bottom w:val="single" w:sz="4" w:space="0" w:color="auto"/>
              <w:right w:val="single" w:sz="4" w:space="0" w:color="auto"/>
            </w:tcBorders>
            <w:shd w:val="clear" w:color="auto" w:fill="auto"/>
            <w:vAlign w:val="center"/>
            <w:hideMark/>
          </w:tcPr>
          <w:p w14:paraId="37D6E29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49C01D83"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5 ods.1 písm. l)</w:t>
            </w:r>
          </w:p>
        </w:tc>
        <w:tc>
          <w:tcPr>
            <w:tcW w:w="6340" w:type="dxa"/>
            <w:tcBorders>
              <w:top w:val="nil"/>
              <w:left w:val="nil"/>
              <w:bottom w:val="single" w:sz="4" w:space="0" w:color="auto"/>
              <w:right w:val="single" w:sz="4" w:space="0" w:color="auto"/>
            </w:tcBorders>
            <w:shd w:val="clear" w:color="auto" w:fill="auto"/>
            <w:vAlign w:val="center"/>
            <w:hideMark/>
          </w:tcPr>
          <w:p w14:paraId="6A39162F"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2B1502F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27.09.26</w:t>
            </w:r>
          </w:p>
        </w:tc>
        <w:tc>
          <w:tcPr>
            <w:tcW w:w="1460" w:type="dxa"/>
            <w:tcBorders>
              <w:top w:val="nil"/>
              <w:left w:val="nil"/>
              <w:bottom w:val="single" w:sz="4" w:space="0" w:color="auto"/>
              <w:right w:val="single" w:sz="4" w:space="0" w:color="auto"/>
            </w:tcBorders>
            <w:shd w:val="clear" w:color="auto" w:fill="auto"/>
            <w:vAlign w:val="center"/>
            <w:hideMark/>
          </w:tcPr>
          <w:p w14:paraId="6020455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tc>
        <w:tc>
          <w:tcPr>
            <w:tcW w:w="1140" w:type="dxa"/>
            <w:tcBorders>
              <w:top w:val="nil"/>
              <w:left w:val="nil"/>
              <w:bottom w:val="single" w:sz="4" w:space="0" w:color="auto"/>
              <w:right w:val="single" w:sz="4" w:space="0" w:color="auto"/>
            </w:tcBorders>
            <w:shd w:val="clear" w:color="auto" w:fill="auto"/>
            <w:vAlign w:val="center"/>
            <w:hideMark/>
          </w:tcPr>
          <w:p w14:paraId="511081C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12 106</w:t>
            </w:r>
          </w:p>
        </w:tc>
        <w:tc>
          <w:tcPr>
            <w:tcW w:w="1240" w:type="dxa"/>
            <w:tcBorders>
              <w:top w:val="nil"/>
              <w:left w:val="nil"/>
              <w:bottom w:val="single" w:sz="4" w:space="0" w:color="auto"/>
              <w:right w:val="single" w:sz="4" w:space="0" w:color="auto"/>
            </w:tcBorders>
            <w:shd w:val="clear" w:color="auto" w:fill="auto"/>
            <w:vAlign w:val="center"/>
            <w:hideMark/>
          </w:tcPr>
          <w:p w14:paraId="015090F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w:t>
            </w:r>
          </w:p>
        </w:tc>
        <w:tc>
          <w:tcPr>
            <w:tcW w:w="1380" w:type="dxa"/>
            <w:tcBorders>
              <w:top w:val="nil"/>
              <w:left w:val="nil"/>
              <w:bottom w:val="single" w:sz="4" w:space="0" w:color="auto"/>
              <w:right w:val="single" w:sz="4" w:space="0" w:color="auto"/>
            </w:tcBorders>
            <w:shd w:val="clear" w:color="auto" w:fill="auto"/>
            <w:vAlign w:val="center"/>
            <w:hideMark/>
          </w:tcPr>
          <w:p w14:paraId="0AD5C7A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48 773</w:t>
            </w:r>
          </w:p>
        </w:tc>
        <w:tc>
          <w:tcPr>
            <w:tcW w:w="1980" w:type="dxa"/>
            <w:tcBorders>
              <w:top w:val="nil"/>
              <w:left w:val="nil"/>
              <w:bottom w:val="single" w:sz="4" w:space="0" w:color="auto"/>
              <w:right w:val="single" w:sz="4" w:space="0" w:color="auto"/>
            </w:tcBorders>
            <w:shd w:val="clear" w:color="auto" w:fill="auto"/>
            <w:vAlign w:val="center"/>
            <w:hideMark/>
          </w:tcPr>
          <w:p w14:paraId="4659BB9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7B7E9EB4"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439B57E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5C9C8A8B"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79387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5</w:t>
            </w:r>
          </w:p>
        </w:tc>
        <w:tc>
          <w:tcPr>
            <w:tcW w:w="4760" w:type="dxa"/>
            <w:tcBorders>
              <w:top w:val="nil"/>
              <w:left w:val="nil"/>
              <w:bottom w:val="single" w:sz="4" w:space="0" w:color="auto"/>
              <w:right w:val="single" w:sz="4" w:space="0" w:color="auto"/>
            </w:tcBorders>
            <w:shd w:val="clear" w:color="auto" w:fill="auto"/>
            <w:vAlign w:val="center"/>
            <w:hideMark/>
          </w:tcPr>
          <w:p w14:paraId="217894B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 xml:space="preserve">Povinnosť poskytnúť informácie o opravárenských službách </w:t>
            </w:r>
          </w:p>
        </w:tc>
        <w:tc>
          <w:tcPr>
            <w:tcW w:w="1960" w:type="dxa"/>
            <w:tcBorders>
              <w:top w:val="nil"/>
              <w:left w:val="nil"/>
              <w:bottom w:val="single" w:sz="4" w:space="0" w:color="auto"/>
              <w:right w:val="single" w:sz="4" w:space="0" w:color="auto"/>
            </w:tcBorders>
            <w:shd w:val="clear" w:color="auto" w:fill="auto"/>
            <w:vAlign w:val="center"/>
            <w:hideMark/>
          </w:tcPr>
          <w:p w14:paraId="29ECDAC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7E92295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§13b ods.7 písm. a)</w:t>
            </w:r>
          </w:p>
        </w:tc>
        <w:tc>
          <w:tcPr>
            <w:tcW w:w="6340" w:type="dxa"/>
            <w:tcBorders>
              <w:top w:val="nil"/>
              <w:left w:val="nil"/>
              <w:bottom w:val="single" w:sz="4" w:space="0" w:color="auto"/>
              <w:right w:val="single" w:sz="4" w:space="0" w:color="auto"/>
            </w:tcBorders>
            <w:shd w:val="clear" w:color="auto" w:fill="auto"/>
            <w:vAlign w:val="center"/>
            <w:hideMark/>
          </w:tcPr>
          <w:p w14:paraId="48498E2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48E059F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31.07.26</w:t>
            </w:r>
          </w:p>
        </w:tc>
        <w:tc>
          <w:tcPr>
            <w:tcW w:w="1460" w:type="dxa"/>
            <w:tcBorders>
              <w:top w:val="nil"/>
              <w:left w:val="nil"/>
              <w:bottom w:val="single" w:sz="4" w:space="0" w:color="auto"/>
              <w:right w:val="single" w:sz="4" w:space="0" w:color="auto"/>
            </w:tcBorders>
            <w:shd w:val="clear" w:color="auto" w:fill="auto"/>
            <w:vAlign w:val="center"/>
            <w:hideMark/>
          </w:tcPr>
          <w:p w14:paraId="61E76D9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Výrobcovia</w:t>
            </w:r>
          </w:p>
        </w:tc>
        <w:tc>
          <w:tcPr>
            <w:tcW w:w="1140" w:type="dxa"/>
            <w:tcBorders>
              <w:top w:val="nil"/>
              <w:left w:val="nil"/>
              <w:bottom w:val="single" w:sz="4" w:space="0" w:color="auto"/>
              <w:right w:val="single" w:sz="4" w:space="0" w:color="auto"/>
            </w:tcBorders>
            <w:shd w:val="clear" w:color="auto" w:fill="auto"/>
            <w:vAlign w:val="center"/>
            <w:hideMark/>
          </w:tcPr>
          <w:p w14:paraId="0663D0B6"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1942</w:t>
            </w:r>
          </w:p>
        </w:tc>
        <w:tc>
          <w:tcPr>
            <w:tcW w:w="1240" w:type="dxa"/>
            <w:tcBorders>
              <w:top w:val="nil"/>
              <w:left w:val="nil"/>
              <w:bottom w:val="single" w:sz="4" w:space="0" w:color="auto"/>
              <w:right w:val="single" w:sz="4" w:space="0" w:color="auto"/>
            </w:tcBorders>
            <w:shd w:val="clear" w:color="auto" w:fill="auto"/>
            <w:vAlign w:val="center"/>
            <w:hideMark/>
          </w:tcPr>
          <w:p w14:paraId="3E4A98F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8</w:t>
            </w:r>
          </w:p>
        </w:tc>
        <w:tc>
          <w:tcPr>
            <w:tcW w:w="1380" w:type="dxa"/>
            <w:tcBorders>
              <w:top w:val="nil"/>
              <w:left w:val="nil"/>
              <w:bottom w:val="single" w:sz="4" w:space="0" w:color="auto"/>
              <w:right w:val="single" w:sz="4" w:space="0" w:color="auto"/>
            </w:tcBorders>
            <w:shd w:val="clear" w:color="auto" w:fill="auto"/>
            <w:vAlign w:val="center"/>
            <w:hideMark/>
          </w:tcPr>
          <w:p w14:paraId="4EDAA36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15 648</w:t>
            </w:r>
          </w:p>
        </w:tc>
        <w:tc>
          <w:tcPr>
            <w:tcW w:w="1980" w:type="dxa"/>
            <w:tcBorders>
              <w:top w:val="nil"/>
              <w:left w:val="nil"/>
              <w:bottom w:val="single" w:sz="4" w:space="0" w:color="auto"/>
              <w:right w:val="single" w:sz="4" w:space="0" w:color="auto"/>
            </w:tcBorders>
            <w:shd w:val="clear" w:color="auto" w:fill="auto"/>
            <w:vAlign w:val="center"/>
            <w:hideMark/>
          </w:tcPr>
          <w:p w14:paraId="34BA98C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7584E522"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0657427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5077BAC6"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C7BD7C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6</w:t>
            </w:r>
          </w:p>
        </w:tc>
        <w:tc>
          <w:tcPr>
            <w:tcW w:w="4760" w:type="dxa"/>
            <w:tcBorders>
              <w:top w:val="nil"/>
              <w:left w:val="nil"/>
              <w:bottom w:val="single" w:sz="4" w:space="0" w:color="auto"/>
              <w:right w:val="single" w:sz="4" w:space="0" w:color="auto"/>
            </w:tcBorders>
            <w:shd w:val="clear" w:color="auto" w:fill="auto"/>
            <w:vAlign w:val="center"/>
            <w:hideMark/>
          </w:tcPr>
          <w:p w14:paraId="3610D81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informatívnych cenách za bežnú opravu tovaru prostredníctvom webového sídla</w:t>
            </w:r>
          </w:p>
        </w:tc>
        <w:tc>
          <w:tcPr>
            <w:tcW w:w="1960" w:type="dxa"/>
            <w:tcBorders>
              <w:top w:val="nil"/>
              <w:left w:val="nil"/>
              <w:bottom w:val="single" w:sz="4" w:space="0" w:color="auto"/>
              <w:right w:val="single" w:sz="4" w:space="0" w:color="auto"/>
            </w:tcBorders>
            <w:shd w:val="clear" w:color="auto" w:fill="auto"/>
            <w:vAlign w:val="center"/>
            <w:hideMark/>
          </w:tcPr>
          <w:p w14:paraId="3F3F91A6"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hideMark/>
          </w:tcPr>
          <w:p w14:paraId="04C3613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§13b ods.7 písm. b)</w:t>
            </w:r>
          </w:p>
        </w:tc>
        <w:tc>
          <w:tcPr>
            <w:tcW w:w="6340" w:type="dxa"/>
            <w:tcBorders>
              <w:top w:val="nil"/>
              <w:left w:val="nil"/>
              <w:bottom w:val="single" w:sz="4" w:space="0" w:color="auto"/>
              <w:right w:val="single" w:sz="4" w:space="0" w:color="auto"/>
            </w:tcBorders>
            <w:shd w:val="clear" w:color="auto" w:fill="auto"/>
            <w:vAlign w:val="center"/>
            <w:hideMark/>
          </w:tcPr>
          <w:p w14:paraId="5675B25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hideMark/>
          </w:tcPr>
          <w:p w14:paraId="7C472C8F"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31.07.26</w:t>
            </w:r>
          </w:p>
        </w:tc>
        <w:tc>
          <w:tcPr>
            <w:tcW w:w="1460" w:type="dxa"/>
            <w:tcBorders>
              <w:top w:val="nil"/>
              <w:left w:val="nil"/>
              <w:bottom w:val="single" w:sz="4" w:space="0" w:color="auto"/>
              <w:right w:val="single" w:sz="4" w:space="0" w:color="auto"/>
            </w:tcBorders>
            <w:shd w:val="clear" w:color="auto" w:fill="auto"/>
            <w:vAlign w:val="center"/>
            <w:hideMark/>
          </w:tcPr>
          <w:p w14:paraId="5185674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Výrobcovia</w:t>
            </w:r>
          </w:p>
        </w:tc>
        <w:tc>
          <w:tcPr>
            <w:tcW w:w="1140" w:type="dxa"/>
            <w:tcBorders>
              <w:top w:val="nil"/>
              <w:left w:val="nil"/>
              <w:bottom w:val="single" w:sz="4" w:space="0" w:color="auto"/>
              <w:right w:val="single" w:sz="4" w:space="0" w:color="auto"/>
            </w:tcBorders>
            <w:shd w:val="clear" w:color="auto" w:fill="auto"/>
            <w:vAlign w:val="center"/>
            <w:hideMark/>
          </w:tcPr>
          <w:p w14:paraId="05D8F0D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1942</w:t>
            </w:r>
          </w:p>
        </w:tc>
        <w:tc>
          <w:tcPr>
            <w:tcW w:w="1240" w:type="dxa"/>
            <w:tcBorders>
              <w:top w:val="nil"/>
              <w:left w:val="nil"/>
              <w:bottom w:val="single" w:sz="4" w:space="0" w:color="auto"/>
              <w:right w:val="single" w:sz="4" w:space="0" w:color="auto"/>
            </w:tcBorders>
            <w:shd w:val="clear" w:color="auto" w:fill="auto"/>
            <w:vAlign w:val="center"/>
            <w:hideMark/>
          </w:tcPr>
          <w:p w14:paraId="6E9BD88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6</w:t>
            </w:r>
          </w:p>
        </w:tc>
        <w:tc>
          <w:tcPr>
            <w:tcW w:w="1380" w:type="dxa"/>
            <w:tcBorders>
              <w:top w:val="nil"/>
              <w:left w:val="nil"/>
              <w:bottom w:val="single" w:sz="4" w:space="0" w:color="auto"/>
              <w:right w:val="single" w:sz="4" w:space="0" w:color="auto"/>
            </w:tcBorders>
            <w:shd w:val="clear" w:color="auto" w:fill="auto"/>
            <w:vAlign w:val="center"/>
            <w:hideMark/>
          </w:tcPr>
          <w:p w14:paraId="6BCE488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11764</w:t>
            </w:r>
          </w:p>
        </w:tc>
        <w:tc>
          <w:tcPr>
            <w:tcW w:w="1980" w:type="dxa"/>
            <w:tcBorders>
              <w:top w:val="nil"/>
              <w:left w:val="nil"/>
              <w:bottom w:val="single" w:sz="4" w:space="0" w:color="auto"/>
              <w:right w:val="single" w:sz="4" w:space="0" w:color="auto"/>
            </w:tcBorders>
            <w:shd w:val="clear" w:color="auto" w:fill="auto"/>
            <w:vAlign w:val="center"/>
            <w:hideMark/>
          </w:tcPr>
          <w:p w14:paraId="63C201C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hideMark/>
          </w:tcPr>
          <w:p w14:paraId="24CBA7FB"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33F81CD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1BDAC7C4"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tcPr>
          <w:p w14:paraId="1C45272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7</w:t>
            </w:r>
          </w:p>
        </w:tc>
        <w:tc>
          <w:tcPr>
            <w:tcW w:w="4760" w:type="dxa"/>
            <w:tcBorders>
              <w:top w:val="nil"/>
              <w:left w:val="nil"/>
              <w:bottom w:val="single" w:sz="4" w:space="0" w:color="auto"/>
              <w:right w:val="single" w:sz="4" w:space="0" w:color="auto"/>
            </w:tcBorders>
            <w:shd w:val="clear" w:color="auto" w:fill="auto"/>
            <w:vAlign w:val="center"/>
          </w:tcPr>
          <w:p w14:paraId="23FAF7B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Povinnosť poskytnúť informácie o minimálnej dobe poskytovania aktualizácie veci s digitálnymi prvkami, digitálnym obsah a digitálnou službou</w:t>
            </w:r>
          </w:p>
        </w:tc>
        <w:tc>
          <w:tcPr>
            <w:tcW w:w="1960" w:type="dxa"/>
            <w:tcBorders>
              <w:top w:val="nil"/>
              <w:left w:val="nil"/>
              <w:bottom w:val="single" w:sz="4" w:space="0" w:color="auto"/>
              <w:right w:val="single" w:sz="4" w:space="0" w:color="auto"/>
            </w:tcBorders>
            <w:shd w:val="clear" w:color="auto" w:fill="auto"/>
            <w:vAlign w:val="center"/>
          </w:tcPr>
          <w:p w14:paraId="6DFE732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tc>
        <w:tc>
          <w:tcPr>
            <w:tcW w:w="1960" w:type="dxa"/>
            <w:tcBorders>
              <w:top w:val="nil"/>
              <w:left w:val="nil"/>
              <w:bottom w:val="single" w:sz="4" w:space="0" w:color="auto"/>
              <w:right w:val="single" w:sz="4" w:space="0" w:color="auto"/>
            </w:tcBorders>
            <w:shd w:val="clear" w:color="auto" w:fill="auto"/>
            <w:vAlign w:val="center"/>
          </w:tcPr>
          <w:p w14:paraId="5593D40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5 ods.1 písm. p)</w:t>
            </w:r>
          </w:p>
        </w:tc>
        <w:tc>
          <w:tcPr>
            <w:tcW w:w="6340" w:type="dxa"/>
            <w:tcBorders>
              <w:top w:val="nil"/>
              <w:left w:val="nil"/>
              <w:bottom w:val="single" w:sz="4" w:space="0" w:color="auto"/>
              <w:right w:val="single" w:sz="4" w:space="0" w:color="auto"/>
            </w:tcBorders>
            <w:shd w:val="clear" w:color="auto" w:fill="auto"/>
            <w:vAlign w:val="center"/>
          </w:tcPr>
          <w:p w14:paraId="2339704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tc>
        <w:tc>
          <w:tcPr>
            <w:tcW w:w="1060" w:type="dxa"/>
            <w:tcBorders>
              <w:top w:val="nil"/>
              <w:left w:val="nil"/>
              <w:bottom w:val="single" w:sz="4" w:space="0" w:color="auto"/>
              <w:right w:val="single" w:sz="4" w:space="0" w:color="auto"/>
            </w:tcBorders>
            <w:shd w:val="clear" w:color="auto" w:fill="auto"/>
            <w:vAlign w:val="center"/>
          </w:tcPr>
          <w:p w14:paraId="6D94161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27.09.26</w:t>
            </w:r>
          </w:p>
        </w:tc>
        <w:tc>
          <w:tcPr>
            <w:tcW w:w="1460" w:type="dxa"/>
            <w:tcBorders>
              <w:top w:val="nil"/>
              <w:left w:val="nil"/>
              <w:bottom w:val="single" w:sz="4" w:space="0" w:color="auto"/>
              <w:right w:val="single" w:sz="4" w:space="0" w:color="auto"/>
            </w:tcBorders>
            <w:shd w:val="clear" w:color="auto" w:fill="auto"/>
            <w:vAlign w:val="center"/>
          </w:tcPr>
          <w:p w14:paraId="651FB40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tc>
        <w:tc>
          <w:tcPr>
            <w:tcW w:w="1140" w:type="dxa"/>
            <w:tcBorders>
              <w:top w:val="nil"/>
              <w:left w:val="nil"/>
              <w:bottom w:val="single" w:sz="4" w:space="0" w:color="auto"/>
              <w:right w:val="single" w:sz="4" w:space="0" w:color="auto"/>
            </w:tcBorders>
            <w:shd w:val="clear" w:color="auto" w:fill="auto"/>
            <w:vAlign w:val="center"/>
          </w:tcPr>
          <w:p w14:paraId="0C4AB51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4 409</w:t>
            </w:r>
          </w:p>
        </w:tc>
        <w:tc>
          <w:tcPr>
            <w:tcW w:w="1240" w:type="dxa"/>
            <w:tcBorders>
              <w:top w:val="nil"/>
              <w:left w:val="nil"/>
              <w:bottom w:val="single" w:sz="4" w:space="0" w:color="auto"/>
              <w:right w:val="single" w:sz="4" w:space="0" w:color="auto"/>
            </w:tcBorders>
            <w:shd w:val="clear" w:color="auto" w:fill="auto"/>
            <w:vAlign w:val="center"/>
          </w:tcPr>
          <w:p w14:paraId="2911AB1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2,5</w:t>
            </w:r>
          </w:p>
        </w:tc>
        <w:tc>
          <w:tcPr>
            <w:tcW w:w="1380" w:type="dxa"/>
            <w:tcBorders>
              <w:top w:val="nil"/>
              <w:left w:val="nil"/>
              <w:bottom w:val="single" w:sz="4" w:space="0" w:color="auto"/>
              <w:right w:val="single" w:sz="4" w:space="0" w:color="auto"/>
            </w:tcBorders>
            <w:shd w:val="clear" w:color="auto" w:fill="auto"/>
            <w:vAlign w:val="center"/>
          </w:tcPr>
          <w:p w14:paraId="25DE522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11149</w:t>
            </w:r>
          </w:p>
        </w:tc>
        <w:tc>
          <w:tcPr>
            <w:tcW w:w="1980" w:type="dxa"/>
            <w:tcBorders>
              <w:top w:val="nil"/>
              <w:left w:val="nil"/>
              <w:bottom w:val="single" w:sz="4" w:space="0" w:color="auto"/>
              <w:right w:val="single" w:sz="4" w:space="0" w:color="auto"/>
            </w:tcBorders>
            <w:shd w:val="clear" w:color="auto" w:fill="auto"/>
            <w:vAlign w:val="center"/>
          </w:tcPr>
          <w:p w14:paraId="5D01604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In (zvyšuje náklady)</w:t>
            </w:r>
          </w:p>
        </w:tc>
        <w:tc>
          <w:tcPr>
            <w:tcW w:w="1980" w:type="dxa"/>
            <w:tcBorders>
              <w:top w:val="nil"/>
              <w:left w:val="nil"/>
              <w:bottom w:val="single" w:sz="4" w:space="0" w:color="auto"/>
              <w:right w:val="single" w:sz="4" w:space="0" w:color="auto"/>
            </w:tcBorders>
            <w:shd w:val="clear" w:color="auto" w:fill="auto"/>
            <w:vAlign w:val="center"/>
          </w:tcPr>
          <w:p w14:paraId="18D67428" w14:textId="77777777" w:rsidR="005B48FD" w:rsidRPr="00152D86" w:rsidRDefault="005B48FD" w:rsidP="00D737D8">
            <w:pPr>
              <w:spacing w:after="0" w:line="240" w:lineRule="auto"/>
              <w:jc w:val="center"/>
              <w:rPr>
                <w:rFonts w:ascii="Times New Roman" w:eastAsia="Times New Roman" w:hAnsi="Times New Roman" w:cs="Times New Roman"/>
                <w:sz w:val="20"/>
                <w:szCs w:val="24"/>
                <w:lang w:eastAsia="sk-SK"/>
              </w:rPr>
            </w:pPr>
            <w:r w:rsidRPr="00152D86">
              <w:rPr>
                <w:rFonts w:ascii="Times New Roman" w:eastAsia="Times New Roman" w:hAnsi="Times New Roman" w:cs="Times New Roman"/>
                <w:color w:val="000000"/>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tcPr>
          <w:p w14:paraId="7632F48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r w:rsidR="005B48FD" w:rsidRPr="00152D86" w14:paraId="73674E34" w14:textId="77777777" w:rsidTr="00D737D8">
        <w:trPr>
          <w:cantSplit/>
          <w:trHeight w:val="5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2E680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8.</w:t>
            </w:r>
          </w:p>
        </w:tc>
        <w:tc>
          <w:tcPr>
            <w:tcW w:w="4760" w:type="dxa"/>
            <w:tcBorders>
              <w:top w:val="nil"/>
              <w:left w:val="nil"/>
              <w:bottom w:val="single" w:sz="4" w:space="0" w:color="auto"/>
              <w:right w:val="single" w:sz="4" w:space="0" w:color="auto"/>
            </w:tcBorders>
            <w:shd w:val="clear" w:color="auto" w:fill="auto"/>
            <w:vAlign w:val="center"/>
            <w:hideMark/>
          </w:tcPr>
          <w:p w14:paraId="16595C0A" w14:textId="77777777" w:rsidR="005B48FD" w:rsidRPr="00152D86" w:rsidRDefault="005B48FD" w:rsidP="00D737D8">
            <w:pPr>
              <w:jc w:val="center"/>
              <w:rPr>
                <w:color w:val="000000"/>
                <w:sz w:val="20"/>
                <w:szCs w:val="20"/>
              </w:rPr>
            </w:pPr>
          </w:p>
          <w:p w14:paraId="7D2CA566" w14:textId="77777777" w:rsidR="005B48FD" w:rsidRPr="00152D86" w:rsidRDefault="005B48FD" w:rsidP="00D737D8">
            <w:pPr>
              <w:jc w:val="center"/>
              <w:rPr>
                <w:rFonts w:ascii="Times New Roman" w:hAnsi="Times New Roman" w:cs="Times New Roman"/>
                <w:color w:val="000000"/>
                <w:sz w:val="20"/>
                <w:szCs w:val="20"/>
              </w:rPr>
            </w:pPr>
            <w:r w:rsidRPr="00152D86">
              <w:rPr>
                <w:rFonts w:ascii="Times New Roman" w:hAnsi="Times New Roman" w:cs="Times New Roman"/>
                <w:color w:val="000000"/>
                <w:sz w:val="20"/>
                <w:szCs w:val="20"/>
              </w:rPr>
              <w:t>Sankcie za</w:t>
            </w:r>
            <w:r>
              <w:rPr>
                <w:rFonts w:ascii="Times New Roman" w:hAnsi="Times New Roman" w:cs="Times New Roman"/>
                <w:color w:val="000000"/>
                <w:sz w:val="20"/>
                <w:szCs w:val="20"/>
              </w:rPr>
              <w:t xml:space="preserve"> porušenie povinnosti</w:t>
            </w:r>
            <w:r w:rsidRPr="00152D86">
              <w:rPr>
                <w:rFonts w:ascii="Times New Roman" w:hAnsi="Times New Roman" w:cs="Times New Roman"/>
                <w:color w:val="000000"/>
                <w:sz w:val="20"/>
                <w:szCs w:val="20"/>
              </w:rPr>
              <w:t xml:space="preserve"> uvádzať na webových stránkach elektronický odkaz na platformu ODR/RSO </w:t>
            </w:r>
          </w:p>
          <w:p w14:paraId="34D23BF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960" w:type="dxa"/>
            <w:tcBorders>
              <w:top w:val="nil"/>
              <w:left w:val="nil"/>
              <w:bottom w:val="single" w:sz="4" w:space="0" w:color="auto"/>
              <w:right w:val="single" w:sz="4" w:space="0" w:color="auto"/>
            </w:tcBorders>
            <w:shd w:val="clear" w:color="auto" w:fill="auto"/>
            <w:vAlign w:val="center"/>
            <w:hideMark/>
          </w:tcPr>
          <w:p w14:paraId="0053E4D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2D7E47E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6099F75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Návrh zákona</w:t>
            </w:r>
          </w:p>
          <w:p w14:paraId="0DB274D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1239F4D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960" w:type="dxa"/>
            <w:tcBorders>
              <w:top w:val="nil"/>
              <w:left w:val="nil"/>
              <w:bottom w:val="single" w:sz="4" w:space="0" w:color="auto"/>
              <w:right w:val="single" w:sz="4" w:space="0" w:color="auto"/>
            </w:tcBorders>
            <w:shd w:val="clear" w:color="auto" w:fill="auto"/>
            <w:vAlign w:val="center"/>
            <w:hideMark/>
          </w:tcPr>
          <w:p w14:paraId="54738D1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6FF7834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05749DF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Čl. I § 43 ods. 1 písm. b)</w:t>
            </w:r>
          </w:p>
          <w:p w14:paraId="65DD4F7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763E8BA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6340" w:type="dxa"/>
            <w:tcBorders>
              <w:top w:val="nil"/>
              <w:left w:val="nil"/>
              <w:bottom w:val="single" w:sz="4" w:space="0" w:color="auto"/>
              <w:right w:val="single" w:sz="4" w:space="0" w:color="auto"/>
            </w:tcBorders>
            <w:shd w:val="clear" w:color="auto" w:fill="auto"/>
            <w:vAlign w:val="center"/>
            <w:hideMark/>
          </w:tcPr>
          <w:p w14:paraId="5880766F"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534C6866"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354DF65C"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2. EÚ úplná harmonizácia</w:t>
            </w:r>
          </w:p>
          <w:p w14:paraId="0AF0F11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585D54F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060" w:type="dxa"/>
            <w:tcBorders>
              <w:top w:val="nil"/>
              <w:left w:val="nil"/>
              <w:bottom w:val="single" w:sz="4" w:space="0" w:color="auto"/>
              <w:right w:val="single" w:sz="4" w:space="0" w:color="auto"/>
            </w:tcBorders>
            <w:shd w:val="clear" w:color="auto" w:fill="auto"/>
            <w:vAlign w:val="center"/>
            <w:hideMark/>
          </w:tcPr>
          <w:p w14:paraId="0F90A91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3BB3EE1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00C293B3" w14:textId="7C316B64" w:rsidR="005B48FD" w:rsidRPr="00152D86" w:rsidRDefault="00332F56" w:rsidP="00D737D8">
            <w:pPr>
              <w:spacing w:after="0" w:line="240" w:lineRule="auto"/>
              <w:jc w:val="center"/>
              <w:rPr>
                <w:rFonts w:ascii="Times New Roman" w:eastAsia="Times New Roman" w:hAnsi="Times New Roman" w:cs="Times New Roman"/>
                <w:color w:val="000000"/>
                <w:sz w:val="20"/>
                <w:szCs w:val="24"/>
                <w:lang w:eastAsia="sk-SK"/>
              </w:rPr>
            </w:pPr>
            <w:r>
              <w:rPr>
                <w:rFonts w:ascii="Times New Roman" w:eastAsia="Times New Roman" w:hAnsi="Times New Roman" w:cs="Times New Roman"/>
                <w:color w:val="000000"/>
                <w:sz w:val="20"/>
                <w:szCs w:val="24"/>
                <w:lang w:eastAsia="sk-SK"/>
              </w:rPr>
              <w:t>01.</w:t>
            </w:r>
            <w:r w:rsidR="00580608">
              <w:rPr>
                <w:rFonts w:ascii="Times New Roman" w:eastAsia="Times New Roman" w:hAnsi="Times New Roman" w:cs="Times New Roman"/>
                <w:color w:val="000000"/>
                <w:sz w:val="20"/>
                <w:szCs w:val="24"/>
                <w:lang w:eastAsia="sk-SK"/>
              </w:rPr>
              <w:t>0</w:t>
            </w:r>
            <w:r>
              <w:rPr>
                <w:rFonts w:ascii="Times New Roman" w:eastAsia="Times New Roman" w:hAnsi="Times New Roman" w:cs="Times New Roman"/>
                <w:color w:val="000000"/>
                <w:sz w:val="20"/>
                <w:szCs w:val="24"/>
                <w:lang w:eastAsia="sk-SK"/>
              </w:rPr>
              <w:t>1.2</w:t>
            </w:r>
            <w:r w:rsidR="00580608">
              <w:rPr>
                <w:rFonts w:ascii="Times New Roman" w:eastAsia="Times New Roman" w:hAnsi="Times New Roman" w:cs="Times New Roman"/>
                <w:color w:val="000000"/>
                <w:sz w:val="20"/>
                <w:szCs w:val="24"/>
                <w:lang w:eastAsia="sk-SK"/>
              </w:rPr>
              <w:t>6</w:t>
            </w:r>
          </w:p>
          <w:p w14:paraId="43A8E03E"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40AF766D"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460" w:type="dxa"/>
            <w:tcBorders>
              <w:top w:val="nil"/>
              <w:left w:val="nil"/>
              <w:bottom w:val="single" w:sz="4" w:space="0" w:color="auto"/>
              <w:right w:val="single" w:sz="4" w:space="0" w:color="auto"/>
            </w:tcBorders>
            <w:shd w:val="clear" w:color="auto" w:fill="auto"/>
            <w:vAlign w:val="center"/>
            <w:hideMark/>
          </w:tcPr>
          <w:p w14:paraId="265F18F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294DFF7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304D7CFA"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Obchodníci</w:t>
            </w:r>
          </w:p>
          <w:p w14:paraId="27C03E04"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1517E5F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140" w:type="dxa"/>
            <w:tcBorders>
              <w:top w:val="nil"/>
              <w:left w:val="nil"/>
              <w:bottom w:val="single" w:sz="4" w:space="0" w:color="auto"/>
              <w:right w:val="single" w:sz="4" w:space="0" w:color="auto"/>
            </w:tcBorders>
            <w:shd w:val="clear" w:color="auto" w:fill="auto"/>
            <w:vAlign w:val="center"/>
            <w:hideMark/>
          </w:tcPr>
          <w:p w14:paraId="50DDE549"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6BB1EFF8"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244FDDC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48</w:t>
            </w:r>
          </w:p>
          <w:p w14:paraId="26FAF4E1"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p w14:paraId="04912552"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240" w:type="dxa"/>
            <w:tcBorders>
              <w:top w:val="nil"/>
              <w:left w:val="nil"/>
              <w:bottom w:val="single" w:sz="4" w:space="0" w:color="auto"/>
              <w:right w:val="single" w:sz="4" w:space="0" w:color="auto"/>
            </w:tcBorders>
            <w:shd w:val="clear" w:color="auto" w:fill="auto"/>
            <w:vAlign w:val="center"/>
            <w:hideMark/>
          </w:tcPr>
          <w:p w14:paraId="4F517C8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568</w:t>
            </w:r>
          </w:p>
        </w:tc>
        <w:tc>
          <w:tcPr>
            <w:tcW w:w="1380" w:type="dxa"/>
            <w:tcBorders>
              <w:top w:val="nil"/>
              <w:left w:val="nil"/>
              <w:bottom w:val="single" w:sz="4" w:space="0" w:color="auto"/>
              <w:right w:val="single" w:sz="4" w:space="0" w:color="auto"/>
            </w:tcBorders>
            <w:shd w:val="clear" w:color="auto" w:fill="auto"/>
            <w:vAlign w:val="center"/>
            <w:hideMark/>
          </w:tcPr>
          <w:p w14:paraId="04221FCF" w14:textId="77777777" w:rsidR="005B48FD" w:rsidRPr="00152D86" w:rsidRDefault="005B48FD" w:rsidP="00D737D8">
            <w:pPr>
              <w:jc w:val="center"/>
              <w:rPr>
                <w:rFonts w:ascii="Times New Roman" w:hAnsi="Times New Roman" w:cs="Times New Roman"/>
                <w:color w:val="000000"/>
                <w:sz w:val="20"/>
                <w:szCs w:val="20"/>
              </w:rPr>
            </w:pPr>
          </w:p>
          <w:p w14:paraId="2C2AEB7E" w14:textId="77777777" w:rsidR="005B48FD" w:rsidRPr="00152D86" w:rsidRDefault="005B48FD" w:rsidP="00D737D8">
            <w:pPr>
              <w:jc w:val="center"/>
              <w:rPr>
                <w:rFonts w:ascii="Times New Roman" w:hAnsi="Times New Roman" w:cs="Times New Roman"/>
                <w:color w:val="000000"/>
                <w:sz w:val="20"/>
                <w:szCs w:val="20"/>
              </w:rPr>
            </w:pPr>
            <w:r w:rsidRPr="00152D86">
              <w:rPr>
                <w:rFonts w:ascii="Times New Roman" w:hAnsi="Times New Roman" w:cs="Times New Roman"/>
                <w:color w:val="000000"/>
                <w:sz w:val="20"/>
                <w:szCs w:val="20"/>
              </w:rPr>
              <w:t>27 264</w:t>
            </w:r>
          </w:p>
          <w:p w14:paraId="05990975"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980" w:type="dxa"/>
            <w:tcBorders>
              <w:top w:val="nil"/>
              <w:left w:val="nil"/>
              <w:bottom w:val="single" w:sz="4" w:space="0" w:color="auto"/>
              <w:right w:val="single" w:sz="4" w:space="0" w:color="auto"/>
            </w:tcBorders>
            <w:shd w:val="clear" w:color="auto" w:fill="auto"/>
            <w:vAlign w:val="center"/>
            <w:hideMark/>
          </w:tcPr>
          <w:p w14:paraId="5B0C8852" w14:textId="77777777" w:rsidR="005B48FD" w:rsidRPr="00152D86" w:rsidRDefault="005B48FD" w:rsidP="00D737D8">
            <w:pPr>
              <w:jc w:val="center"/>
              <w:rPr>
                <w:rFonts w:ascii="Times New Roman" w:hAnsi="Times New Roman" w:cs="Times New Roman"/>
                <w:color w:val="000000"/>
                <w:sz w:val="20"/>
                <w:szCs w:val="20"/>
              </w:rPr>
            </w:pPr>
          </w:p>
          <w:p w14:paraId="0AD6A22F" w14:textId="77777777" w:rsidR="005B48FD" w:rsidRPr="00152D86" w:rsidRDefault="005B48FD" w:rsidP="00D737D8">
            <w:pPr>
              <w:jc w:val="center"/>
              <w:rPr>
                <w:rFonts w:ascii="Times New Roman" w:hAnsi="Times New Roman" w:cs="Times New Roman"/>
                <w:color w:val="000000"/>
                <w:sz w:val="20"/>
                <w:szCs w:val="20"/>
              </w:rPr>
            </w:pPr>
            <w:proofErr w:type="spellStart"/>
            <w:r w:rsidRPr="00152D86">
              <w:rPr>
                <w:rFonts w:ascii="Times New Roman" w:hAnsi="Times New Roman" w:cs="Times New Roman"/>
                <w:color w:val="000000"/>
                <w:sz w:val="20"/>
                <w:szCs w:val="20"/>
              </w:rPr>
              <w:t>Out</w:t>
            </w:r>
            <w:proofErr w:type="spellEnd"/>
            <w:r w:rsidRPr="00152D86">
              <w:rPr>
                <w:rFonts w:ascii="Times New Roman" w:hAnsi="Times New Roman" w:cs="Times New Roman"/>
                <w:color w:val="000000"/>
                <w:sz w:val="20"/>
                <w:szCs w:val="20"/>
              </w:rPr>
              <w:t xml:space="preserve"> (znižuje náklady)</w:t>
            </w:r>
          </w:p>
          <w:p w14:paraId="6718AA3B"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p>
        </w:tc>
        <w:tc>
          <w:tcPr>
            <w:tcW w:w="1980" w:type="dxa"/>
            <w:tcBorders>
              <w:top w:val="nil"/>
              <w:left w:val="nil"/>
              <w:bottom w:val="single" w:sz="4" w:space="0" w:color="auto"/>
              <w:right w:val="single" w:sz="4" w:space="0" w:color="auto"/>
            </w:tcBorders>
            <w:shd w:val="clear" w:color="auto" w:fill="auto"/>
            <w:vAlign w:val="center"/>
            <w:hideMark/>
          </w:tcPr>
          <w:p w14:paraId="38478C60"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c>
          <w:tcPr>
            <w:tcW w:w="1460" w:type="dxa"/>
            <w:tcBorders>
              <w:top w:val="nil"/>
              <w:left w:val="nil"/>
              <w:bottom w:val="single" w:sz="4" w:space="0" w:color="auto"/>
              <w:right w:val="single" w:sz="4" w:space="0" w:color="auto"/>
            </w:tcBorders>
            <w:shd w:val="clear" w:color="auto" w:fill="auto"/>
            <w:vAlign w:val="center"/>
            <w:hideMark/>
          </w:tcPr>
          <w:p w14:paraId="2BE10AC7" w14:textId="77777777" w:rsidR="005B48FD" w:rsidRPr="00152D86" w:rsidRDefault="005B48FD" w:rsidP="00D737D8">
            <w:pPr>
              <w:spacing w:after="0" w:line="240" w:lineRule="auto"/>
              <w:jc w:val="center"/>
              <w:rPr>
                <w:rFonts w:ascii="Times New Roman" w:eastAsia="Times New Roman" w:hAnsi="Times New Roman" w:cs="Times New Roman"/>
                <w:color w:val="000000"/>
                <w:sz w:val="20"/>
                <w:szCs w:val="24"/>
                <w:lang w:eastAsia="sk-SK"/>
              </w:rPr>
            </w:pPr>
            <w:r w:rsidRPr="00152D86">
              <w:rPr>
                <w:rFonts w:ascii="Times New Roman" w:eastAsia="Times New Roman" w:hAnsi="Times New Roman" w:cs="Times New Roman"/>
                <w:color w:val="000000"/>
                <w:sz w:val="20"/>
                <w:szCs w:val="24"/>
                <w:lang w:eastAsia="sk-SK"/>
              </w:rPr>
              <w:t>0</w:t>
            </w:r>
          </w:p>
        </w:tc>
      </w:tr>
    </w:tbl>
    <w:p w14:paraId="5D301FE5" w14:textId="77777777" w:rsidR="005B48FD" w:rsidRPr="00152D86" w:rsidRDefault="005B48FD" w:rsidP="005B48FD">
      <w:pPr>
        <w:jc w:val="both"/>
        <w:rPr>
          <w:rFonts w:ascii="Times New Roman" w:eastAsia="Calibri" w:hAnsi="Times New Roman" w:cs="Times New Roman"/>
          <w:b/>
          <w:bCs/>
          <w:i/>
          <w:sz w:val="24"/>
          <w:szCs w:val="24"/>
        </w:rPr>
        <w:sectPr w:rsidR="005B48FD" w:rsidRPr="00152D86" w:rsidSect="00941683">
          <w:pgSz w:w="16838" w:h="11906" w:orient="landscape"/>
          <w:pgMar w:top="1417" w:right="1417" w:bottom="1417" w:left="1417" w:header="708" w:footer="708" w:gutter="0"/>
          <w:cols w:space="708"/>
          <w:docGrid w:linePitch="360"/>
        </w:sectPr>
      </w:pPr>
    </w:p>
    <w:p w14:paraId="1A44698A" w14:textId="77777777" w:rsidR="005B48FD" w:rsidRPr="00152D86" w:rsidRDefault="005B48FD" w:rsidP="005B48FD">
      <w:pPr>
        <w:jc w:val="both"/>
        <w:rPr>
          <w:rFonts w:ascii="Times New Roman" w:eastAsia="Calibri" w:hAnsi="Times New Roman" w:cs="Times New Roman"/>
          <w:b/>
          <w:bCs/>
          <w:i/>
          <w:sz w:val="24"/>
          <w:szCs w:val="24"/>
          <w:u w:val="single"/>
        </w:rPr>
      </w:pPr>
      <w:r w:rsidRPr="00152D86">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4D918256" w14:textId="77777777" w:rsidR="005B48FD" w:rsidRPr="00152D86" w:rsidRDefault="005B48FD" w:rsidP="005B48FD">
      <w:pPr>
        <w:numPr>
          <w:ilvl w:val="0"/>
          <w:numId w:val="15"/>
        </w:numPr>
        <w:contextualSpacing/>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Cs/>
          <w:iCs/>
          <w:color w:val="000000"/>
          <w:sz w:val="24"/>
          <w:szCs w:val="24"/>
        </w:rPr>
        <w:t xml:space="preserve"> </w:t>
      </w:r>
      <w:r w:rsidRPr="00152D86">
        <w:rPr>
          <w:rFonts w:ascii="Times New Roman" w:eastAsia="Calibri" w:hAnsi="Times New Roman" w:cs="Times New Roman"/>
          <w:b/>
          <w:bCs/>
          <w:iCs/>
          <w:color w:val="000000"/>
          <w:sz w:val="24"/>
          <w:szCs w:val="24"/>
        </w:rPr>
        <w:t xml:space="preserve">Povinnosť poskytnúť informácie o existencii a dĺžke trvania zákonnej zodpovednosti obchodníka prostredníctvom harmonizovaného oznámenia </w:t>
      </w:r>
    </w:p>
    <w:p w14:paraId="624207B7"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 xml:space="preserve">Na základe § 5 ods. 1 písm. f) s cieľom zabezpečiť, aby boli spotrebitelia dobre informovaní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mohli ľahko porozumieť svojim právam, sa zavádza nová povinnosť pre obchodníkov informovať spotrebiteľov o zákonnej zodpovednosti za vady obchodníka prostredníctvom harmonizovaného oznámenia. </w:t>
      </w:r>
    </w:p>
    <w:p w14:paraId="1A2ED598"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 xml:space="preserve">Poskytnutie informácií o existencii a dĺžke trvania zákonnej zodpovednosti obchodníka prostredníctvom harmonizovaného oznámenia sa vzhľadom na formu povinnosti dotkne vyššieho počtu subjektov. V tomto prípade sa povinnosť týka 130 825 obchodníkov, ktorí sú povinní pred uzavretím spotrebiteľskej zmluvy, ktorej predmetom je poskytnutie tovaru za odplatu, informovať spotrebiteľa o jeho právach. </w:t>
      </w:r>
    </w:p>
    <w:p w14:paraId="11C4E118" w14:textId="77777777" w:rsidR="005B48FD" w:rsidRPr="00152D86" w:rsidRDefault="005B48FD" w:rsidP="005B48FD">
      <w:pPr>
        <w:jc w:val="both"/>
        <w:rPr>
          <w:rFonts w:ascii="Times New Roman" w:hAnsi="Times New Roman" w:cs="Times New Roman"/>
          <w:sz w:val="24"/>
          <w:szCs w:val="24"/>
        </w:rPr>
      </w:pPr>
      <w:r w:rsidRPr="00152D86">
        <w:rPr>
          <w:rFonts w:ascii="Times New Roman" w:eastAsia="Times New Roman" w:hAnsi="Times New Roman" w:cs="Times New Roman"/>
          <w:color w:val="000000"/>
          <w:sz w:val="24"/>
          <w:szCs w:val="24"/>
        </w:rPr>
        <w:t xml:space="preserve">Pri stanovení počtu dotknutých subjektov predkladateľ vychádzal z </w:t>
      </w:r>
      <w:r w:rsidRPr="00152D86">
        <w:rPr>
          <w:rFonts w:ascii="Times New Roman" w:hAnsi="Times New Roman" w:cs="Times New Roman"/>
          <w:sz w:val="24"/>
          <w:szCs w:val="24"/>
        </w:rPr>
        <w:t xml:space="preserve">expertného odhadu na základe dát uvedených vo </w:t>
      </w:r>
      <w:r w:rsidRPr="00152D86">
        <w:rPr>
          <w:rFonts w:ascii="Times New Roman" w:eastAsia="Times New Roman" w:hAnsi="Times New Roman" w:cs="Times New Roman"/>
          <w:color w:val="000000"/>
          <w:sz w:val="24"/>
          <w:szCs w:val="24"/>
        </w:rPr>
        <w:t>vestníku štatistického úradu  (</w:t>
      </w:r>
      <w:hyperlink r:id="rId9" w:history="1">
        <w:r w:rsidRPr="00152D86">
          <w:rPr>
            <w:rFonts w:ascii="Times New Roman" w:eastAsia="Times New Roman" w:hAnsi="Times New Roman" w:cs="Times New Roman"/>
            <w:color w:val="0563C1" w:themeColor="hyperlink"/>
            <w:sz w:val="24"/>
            <w:szCs w:val="24"/>
            <w:u w:val="single"/>
          </w:rPr>
          <w:t>Slovenská republika v číslach 2024</w:t>
        </w:r>
      </w:hyperlink>
      <w:r w:rsidRPr="00152D86">
        <w:rPr>
          <w:rFonts w:ascii="Times New Roman" w:eastAsia="Times New Roman" w:hAnsi="Times New Roman" w:cs="Times New Roman"/>
          <w:color w:val="000000"/>
          <w:sz w:val="24"/>
          <w:szCs w:val="24"/>
        </w:rPr>
        <w:t xml:space="preserve">), publikácie </w:t>
      </w:r>
      <w:r w:rsidRPr="00152D86">
        <w:rPr>
          <w:rFonts w:ascii="Times New Roman" w:hAnsi="Times New Roman" w:cs="Times New Roman"/>
          <w:sz w:val="24"/>
          <w:szCs w:val="24"/>
        </w:rPr>
        <w:t>Malé a stredné podnikanie v číslach v roku 2023 (</w:t>
      </w:r>
      <w:hyperlink r:id="rId10" w:history="1">
        <w:r w:rsidRPr="00152D86">
          <w:rPr>
            <w:rFonts w:ascii="Times New Roman" w:hAnsi="Times New Roman" w:cs="Times New Roman"/>
            <w:color w:val="0563C1" w:themeColor="hyperlink"/>
            <w:sz w:val="24"/>
            <w:szCs w:val="24"/>
            <w:u w:val="single"/>
          </w:rPr>
          <w:t>MSP_v_cislach_2023.pdf</w:t>
        </w:r>
      </w:hyperlink>
      <w:r w:rsidRPr="00152D86">
        <w:rPr>
          <w:rFonts w:ascii="Times New Roman" w:hAnsi="Times New Roman" w:cs="Times New Roman"/>
          <w:sz w:val="24"/>
          <w:szCs w:val="24"/>
        </w:rPr>
        <w:t xml:space="preserve">), publikovaný Slovak Business </w:t>
      </w:r>
      <w:proofErr w:type="spellStart"/>
      <w:r w:rsidRPr="00152D86">
        <w:rPr>
          <w:rFonts w:ascii="Times New Roman" w:hAnsi="Times New Roman" w:cs="Times New Roman"/>
          <w:sz w:val="24"/>
          <w:szCs w:val="24"/>
        </w:rPr>
        <w:t>Agency</w:t>
      </w:r>
      <w:proofErr w:type="spellEnd"/>
      <w:r w:rsidRPr="00152D86">
        <w:rPr>
          <w:rFonts w:ascii="Times New Roman" w:hAnsi="Times New Roman" w:cs="Times New Roman"/>
          <w:sz w:val="24"/>
          <w:szCs w:val="24"/>
        </w:rPr>
        <w:t xml:space="preserve"> a odhadovaného  počtu obchodníkov, ktorí zodpovedajú za vady kúpeného tovaru spotrebiteľom. </w:t>
      </w:r>
    </w:p>
    <w:p w14:paraId="48FC0406"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Pri kvantifikácii nákladov na podnikateľské prostredie bola použitá Kalkulačka nákladov</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 a expertný odhad. Výpočet pomocou kalkulačky nákladov zohľadňuje expertný odhad, ktorý zahŕňa náklady s prípravou grafického oznámenia a administratívnu činnosť spojenú s prípravou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197 651 eur. Je dôležité uviesť, že návrh a obsah harmonizovaného oznámenia budú zjednotené a dodatočne spresnené vykonávacím aktom Európskej komisie. Vzhľadom na jednoduchosť vykonania povinnosti bol stanovený expertný odhad trvania povinnosti na 15 minút a frekvencia splnenia: jednorazovo.</w:t>
      </w:r>
    </w:p>
    <w:p w14:paraId="07333DC3" w14:textId="77777777" w:rsidR="005B48FD" w:rsidRPr="00152D86" w:rsidRDefault="005B48FD" w:rsidP="005B48FD">
      <w:pPr>
        <w:numPr>
          <w:ilvl w:val="0"/>
          <w:numId w:val="15"/>
        </w:numPr>
        <w:contextualSpacing/>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
          <w:bCs/>
          <w:iCs/>
          <w:color w:val="000000"/>
          <w:sz w:val="24"/>
          <w:szCs w:val="24"/>
        </w:rPr>
        <w:t>Povinnosť poskytnúť informácie o existencii a dĺžke trvania spotrebiteľskej záruky prostredníctvom harmonizovaného označenia</w:t>
      </w:r>
    </w:p>
    <w:p w14:paraId="53D524AD"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 xml:space="preserve">Na základe § 5 ods. 1 písm. g) s cieľom zabezpečiť, aby boli spotrebitelia dobre informovaní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mohli ľahko porozumieť svojim právam, sa zavádza nová povinnosť pre obchodníkov informovať spotrebiteľov o spotrebiteľskej záruke na životnosť tovaru poskytovanej výrobcom, a to prostredníctvom harmonizovaného označenia. </w:t>
      </w:r>
    </w:p>
    <w:p w14:paraId="32ECDB96"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Calibri" w:hAnsi="Times New Roman" w:cs="Times New Roman"/>
          <w:bCs/>
          <w:iCs/>
          <w:color w:val="000000"/>
          <w:sz w:val="24"/>
          <w:szCs w:val="24"/>
        </w:rPr>
        <w:t xml:space="preserve">Podanie informácie o spotrebiteľskej záruke </w:t>
      </w:r>
      <w:r w:rsidRPr="00152D86">
        <w:rPr>
          <w:rFonts w:ascii="Times New Roman" w:eastAsia="Times New Roman" w:hAnsi="Times New Roman" w:cs="Times New Roman"/>
          <w:color w:val="000000"/>
          <w:sz w:val="24"/>
          <w:szCs w:val="24"/>
        </w:rPr>
        <w:t xml:space="preserve">na životnosť tovaru </w:t>
      </w:r>
      <w:r w:rsidRPr="00152D86">
        <w:rPr>
          <w:rFonts w:ascii="Times New Roman" w:eastAsia="Calibri" w:hAnsi="Times New Roman" w:cs="Times New Roman"/>
          <w:bCs/>
          <w:iCs/>
          <w:color w:val="000000"/>
          <w:sz w:val="24"/>
          <w:szCs w:val="24"/>
        </w:rPr>
        <w:t xml:space="preserve">sa dotkne relatívne nízkeho počtu subjektov, a to 9 106 obchodníkov. Konečná kvantifikácia bola určená na základe expertného odhadu a vychádza z </w:t>
      </w:r>
      <w:r w:rsidRPr="00152D86">
        <w:rPr>
          <w:rFonts w:ascii="Times New Roman" w:hAnsi="Times New Roman" w:cs="Times New Roman"/>
          <w:sz w:val="24"/>
          <w:szCs w:val="24"/>
        </w:rPr>
        <w:t xml:space="preserve">dát uvedených vo </w:t>
      </w:r>
      <w:r w:rsidRPr="00152D86">
        <w:rPr>
          <w:rFonts w:ascii="Times New Roman" w:eastAsia="Times New Roman" w:hAnsi="Times New Roman" w:cs="Times New Roman"/>
          <w:color w:val="000000"/>
          <w:sz w:val="24"/>
          <w:szCs w:val="24"/>
        </w:rPr>
        <w:t>vestníku štatistického úradu  (</w:t>
      </w:r>
      <w:hyperlink r:id="rId11" w:history="1">
        <w:r w:rsidRPr="00152D86">
          <w:rPr>
            <w:rFonts w:ascii="Times New Roman" w:eastAsia="Times New Roman" w:hAnsi="Times New Roman" w:cs="Times New Roman"/>
            <w:color w:val="0563C1" w:themeColor="hyperlink"/>
            <w:sz w:val="24"/>
            <w:szCs w:val="24"/>
            <w:u w:val="single"/>
          </w:rPr>
          <w:t>Slovenská republika v číslach 2024</w:t>
        </w:r>
      </w:hyperlink>
      <w:r w:rsidRPr="00152D86">
        <w:rPr>
          <w:rFonts w:ascii="Times New Roman" w:eastAsia="Times New Roman" w:hAnsi="Times New Roman" w:cs="Times New Roman"/>
          <w:color w:val="000000"/>
          <w:sz w:val="24"/>
          <w:szCs w:val="24"/>
        </w:rPr>
        <w:t xml:space="preserve">), publikácie </w:t>
      </w:r>
      <w:r w:rsidRPr="00152D86">
        <w:rPr>
          <w:rFonts w:ascii="Times New Roman" w:hAnsi="Times New Roman" w:cs="Times New Roman"/>
          <w:sz w:val="24"/>
          <w:szCs w:val="24"/>
        </w:rPr>
        <w:t>Malé a stredné podnikanie v číslach v roku 2023 (</w:t>
      </w:r>
      <w:hyperlink r:id="rId12" w:history="1">
        <w:r w:rsidRPr="00152D86">
          <w:rPr>
            <w:rFonts w:ascii="Times New Roman" w:hAnsi="Times New Roman" w:cs="Times New Roman"/>
            <w:color w:val="0563C1" w:themeColor="hyperlink"/>
            <w:sz w:val="24"/>
            <w:szCs w:val="24"/>
            <w:u w:val="single"/>
          </w:rPr>
          <w:t>MSP_v_cislach_2023.pdf</w:t>
        </w:r>
      </w:hyperlink>
      <w:r w:rsidRPr="00152D86">
        <w:rPr>
          <w:rFonts w:ascii="Times New Roman" w:hAnsi="Times New Roman" w:cs="Times New Roman"/>
          <w:sz w:val="24"/>
          <w:szCs w:val="24"/>
        </w:rPr>
        <w:t xml:space="preserve">), publikovaný Slovak Business </w:t>
      </w:r>
      <w:proofErr w:type="spellStart"/>
      <w:r w:rsidRPr="00152D86">
        <w:rPr>
          <w:rFonts w:ascii="Times New Roman" w:hAnsi="Times New Roman" w:cs="Times New Roman"/>
          <w:sz w:val="24"/>
          <w:szCs w:val="24"/>
        </w:rPr>
        <w:t>Agency</w:t>
      </w:r>
      <w:proofErr w:type="spellEnd"/>
      <w:r w:rsidRPr="00152D86">
        <w:rPr>
          <w:rFonts w:ascii="Times New Roman" w:hAnsi="Times New Roman" w:cs="Times New Roman"/>
          <w:sz w:val="24"/>
          <w:szCs w:val="24"/>
        </w:rPr>
        <w:t xml:space="preserve">, a </w:t>
      </w:r>
      <w:r w:rsidRPr="00152D86">
        <w:rPr>
          <w:rFonts w:ascii="Times New Roman" w:eastAsia="Calibri" w:hAnsi="Times New Roman" w:cs="Times New Roman"/>
          <w:bCs/>
          <w:iCs/>
          <w:color w:val="000000"/>
          <w:sz w:val="24"/>
          <w:szCs w:val="24"/>
        </w:rPr>
        <w:t xml:space="preserve">údajov z registra účtovných závierok vyselektovaných podľa ekonomických činností, ktorých sa povinnosť týka. Počet dotknutých subjektov podľa Registra účtovných závierok bol určený na základe kódov SK NACE pre tie činnosti, pre ktoré je možné určiť pôsobnosť návrhu zákona. Ide najmä o kódy SK NACE: 46900, 47110, 47410, 47420, 47630, 47540, 47430,47590, 47650, 46480. </w:t>
      </w:r>
    </w:p>
    <w:p w14:paraId="43B0E20F"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Pri stanovení počtu dotknutých subjektov je potrebné zdôrazniť, že v tomto prípade ide len o expertný odhad na základe dostupných dát. Skutočný rozsah subjektov sa môže čiastočne líšiť, a to vzhľadom na skutočnosť, že povinnosť obchodníka sa bude vo veľkej miere odvíjať od poskytnutia spotrebiteľskej záruky výrobcom. Z tohto dôvodu nie je možné určiť presný počet dotknutých subjektov.</w:t>
      </w:r>
    </w:p>
    <w:p w14:paraId="73DD27BF"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zahŕňa náklady s prípravou grafického oznámenia a administratívnu činnosť spojenú s prípravou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13 757 eur. Je dôležité uviesť, že dizajn a obsah harmonizovaného označenia budú zjednotené a dodatočne spresnené vykonávacím aktom Európskej komisie. Vzhľadom na jednoduchosť vykonania povinnosti bol stanovený expertný odhad trvania povinnosti na 15 minút a frekvencia splnenia: jednorazovo.</w:t>
      </w:r>
    </w:p>
    <w:p w14:paraId="064AC37A" w14:textId="77777777" w:rsidR="005B48FD" w:rsidRPr="00152D86" w:rsidRDefault="005B48FD" w:rsidP="005B48FD">
      <w:pPr>
        <w:numPr>
          <w:ilvl w:val="0"/>
          <w:numId w:val="15"/>
        </w:numPr>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 xml:space="preserve"> Povinnosť poskytnúť informácie o bodovom hodnotení opraviteľnosti</w:t>
      </w:r>
    </w:p>
    <w:p w14:paraId="7D39C0CF"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Na základe § 5 ods. 1 písm. k) s cieľom zaistiť, aby mohli spotrebitelia prijímať kvalifikovanejšie rozhodnutia, sa zavádza povinnosť pre obchodníkov informovať spotrebiteľov o  bodovom hodnotení opraviteľnosti. </w:t>
      </w:r>
    </w:p>
    <w:p w14:paraId="2BA6CCD2"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hAnsi="Times New Roman" w:cs="Times New Roman"/>
          <w:sz w:val="24"/>
          <w:szCs w:val="24"/>
        </w:rPr>
        <w:t xml:space="preserve">Povinnosť sa bude vzťahovať len na obchodníkov, ktorým výrobca tieto informácie poskytne. Uvedená povinnosť sa bude dotýkať obchodníkov, ktorí sa zameriavajú na predaj rôznych druhov tovarov s výnimkou napr. potravín a textílií a iných druhov, pri ktorých by uvedené informácie neboli vzhľadom na povahu prakticky </w:t>
      </w:r>
      <w:proofErr w:type="spellStart"/>
      <w:r w:rsidRPr="00152D86">
        <w:rPr>
          <w:rFonts w:ascii="Times New Roman" w:hAnsi="Times New Roman" w:cs="Times New Roman"/>
          <w:sz w:val="24"/>
          <w:szCs w:val="24"/>
        </w:rPr>
        <w:t>poskytnuteľné</w:t>
      </w:r>
      <w:proofErr w:type="spellEnd"/>
      <w:r w:rsidRPr="00152D86">
        <w:rPr>
          <w:rFonts w:ascii="Times New Roman" w:hAnsi="Times New Roman" w:cs="Times New Roman"/>
          <w:sz w:val="24"/>
          <w:szCs w:val="24"/>
        </w:rPr>
        <w:t xml:space="preserve">. Na tomto základe sa podľa vykonaného expertného odhadu môže uvedená povinnosť dotýkať 12 106 subjektov. Kvantifikácia vychádza zo záverov </w:t>
      </w:r>
      <w:r w:rsidRPr="00152D86">
        <w:rPr>
          <w:rFonts w:ascii="Times New Roman" w:eastAsia="Times New Roman" w:hAnsi="Times New Roman" w:cs="Times New Roman"/>
          <w:color w:val="000000"/>
          <w:sz w:val="24"/>
          <w:szCs w:val="24"/>
        </w:rPr>
        <w:t>vestníku štatistického úradu  (</w:t>
      </w:r>
      <w:hyperlink r:id="rId13" w:history="1">
        <w:r w:rsidRPr="00152D86">
          <w:rPr>
            <w:rFonts w:ascii="Times New Roman" w:eastAsia="Times New Roman" w:hAnsi="Times New Roman" w:cs="Times New Roman"/>
            <w:color w:val="0563C1" w:themeColor="hyperlink"/>
            <w:sz w:val="24"/>
            <w:szCs w:val="24"/>
            <w:u w:val="single"/>
          </w:rPr>
          <w:t>Slovenská republika v číslach 2024</w:t>
        </w:r>
      </w:hyperlink>
      <w:r w:rsidRPr="00152D86">
        <w:rPr>
          <w:rFonts w:ascii="Times New Roman" w:eastAsia="Times New Roman" w:hAnsi="Times New Roman" w:cs="Times New Roman"/>
          <w:color w:val="000000"/>
          <w:sz w:val="24"/>
          <w:szCs w:val="24"/>
        </w:rPr>
        <w:t xml:space="preserve">), publikácie </w:t>
      </w:r>
      <w:r w:rsidRPr="00152D86">
        <w:rPr>
          <w:rFonts w:ascii="Times New Roman" w:hAnsi="Times New Roman" w:cs="Times New Roman"/>
          <w:sz w:val="24"/>
          <w:szCs w:val="24"/>
        </w:rPr>
        <w:t>Malé a stredné podnikanie v číslach v roku 2023 (</w:t>
      </w:r>
      <w:hyperlink r:id="rId14" w:history="1">
        <w:r w:rsidRPr="00152D86">
          <w:rPr>
            <w:rFonts w:ascii="Times New Roman" w:hAnsi="Times New Roman" w:cs="Times New Roman"/>
            <w:color w:val="0563C1" w:themeColor="hyperlink"/>
            <w:sz w:val="24"/>
            <w:szCs w:val="24"/>
            <w:u w:val="single"/>
          </w:rPr>
          <w:t>MSP_v_cislach_2023.pdf</w:t>
        </w:r>
      </w:hyperlink>
      <w:r w:rsidRPr="00152D86">
        <w:rPr>
          <w:rFonts w:ascii="Times New Roman" w:hAnsi="Times New Roman" w:cs="Times New Roman"/>
          <w:sz w:val="24"/>
          <w:szCs w:val="24"/>
        </w:rPr>
        <w:t xml:space="preserve">), publikovaný Slovak Business </w:t>
      </w:r>
      <w:proofErr w:type="spellStart"/>
      <w:r w:rsidRPr="00152D86">
        <w:rPr>
          <w:rFonts w:ascii="Times New Roman" w:hAnsi="Times New Roman" w:cs="Times New Roman"/>
          <w:sz w:val="24"/>
          <w:szCs w:val="24"/>
        </w:rPr>
        <w:t>Agency</w:t>
      </w:r>
      <w:proofErr w:type="spellEnd"/>
      <w:r w:rsidRPr="00152D86">
        <w:rPr>
          <w:rFonts w:ascii="Times New Roman" w:hAnsi="Times New Roman" w:cs="Times New Roman"/>
          <w:sz w:val="24"/>
          <w:szCs w:val="24"/>
        </w:rPr>
        <w:t xml:space="preserve">. Kvantifikácia dotknutých subjektov bola uskutočnená expertným odhadom na základe údajov z registra účtovných závierok vyselektovaných podľa ekonomických činností, ktorých sa povinnosť týka. </w:t>
      </w:r>
      <w:r w:rsidRPr="00152D86">
        <w:rPr>
          <w:rFonts w:ascii="Times New Roman" w:eastAsia="Calibri" w:hAnsi="Times New Roman" w:cs="Times New Roman"/>
          <w:bCs/>
          <w:iCs/>
          <w:color w:val="000000"/>
          <w:sz w:val="24"/>
          <w:szCs w:val="24"/>
        </w:rPr>
        <w:t xml:space="preserve">Počet dotknutých subjektov podľa  Registra účtovných závierok bol určený na základe kódov SK NACE pre tie činnosti, pre ktoré je možné určiť pôsobnosť návrhu zákona. Ide najmä o kódy SK NACE: 46900, 47110, 47410, 47420, 47630, 47540, 47430,47590, 47650, 46480. </w:t>
      </w:r>
    </w:p>
    <w:p w14:paraId="390C6570"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Pri stanovení počtu dotknutých subjektov je potrebné zdôrazniť, že v tomto prípade ide len o expertný odhad na základe dostupných dát. Skutočný rozsah subjektov sa môže čiastočne líšiť, a to vzhľadom na skutočnosť, že povinnosť obchodníka sa bude vo veľkej miere odvíjať od poskytnutia informácie o bodovom hodnotení opraviteľnosti výrobcom. Z tohto dôvodu nie je možné určiť presný počet dotknutých subjektov.</w:t>
      </w:r>
    </w:p>
    <w:p w14:paraId="2B9C48AA"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zahŕňa náklady spojené s administratívnou činnosťou spojenou s prípravou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48 773 eur. Na základe expertného odhadu bolo stanovené trvanie povinnosti na 10 minút a frekvencia splnenia: nepravidelne.</w:t>
      </w:r>
    </w:p>
    <w:p w14:paraId="259C6678" w14:textId="77777777" w:rsidR="005B48FD" w:rsidRPr="00152D86" w:rsidRDefault="005B48FD" w:rsidP="005B48FD">
      <w:pPr>
        <w:numPr>
          <w:ilvl w:val="0"/>
          <w:numId w:val="15"/>
        </w:numPr>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 xml:space="preserve"> Povinnosť poskytnúť informácie o dostupnosti, predpokladaných nákladoch </w:t>
      </w:r>
      <w:r>
        <w:rPr>
          <w:rFonts w:ascii="Times New Roman" w:eastAsia="Calibri" w:hAnsi="Times New Roman" w:cs="Times New Roman"/>
          <w:b/>
          <w:bCs/>
          <w:iCs/>
          <w:color w:val="000000"/>
          <w:sz w:val="24"/>
          <w:szCs w:val="24"/>
        </w:rPr>
        <w:br/>
      </w:r>
      <w:r w:rsidRPr="00152D86">
        <w:rPr>
          <w:rFonts w:ascii="Times New Roman" w:eastAsia="Calibri" w:hAnsi="Times New Roman" w:cs="Times New Roman"/>
          <w:b/>
          <w:bCs/>
          <w:iCs/>
          <w:color w:val="000000"/>
          <w:sz w:val="24"/>
          <w:szCs w:val="24"/>
        </w:rPr>
        <w:t>a postupe objednania náhradných dielov</w:t>
      </w:r>
    </w:p>
    <w:p w14:paraId="7C13D2B8"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Na základe § 5 ods. 1 písm. l) s cieľom zaistiť, aby mohli spotrebitelia prijímať kvalifikovanejšie rozhodnutia, sa zavádza povinnosť pre obchodníkov informovať spotrebiteľov o  dostupnosti, predpokladaných nákladoch a postupe objednania náhradných dielov.</w:t>
      </w:r>
    </w:p>
    <w:p w14:paraId="1F87E7D7"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hAnsi="Times New Roman" w:cs="Times New Roman"/>
          <w:sz w:val="24"/>
          <w:szCs w:val="24"/>
        </w:rPr>
        <w:t xml:space="preserve">Daná povinnosť sa bude vzťahovať na obchodníkov, ktorým výrobca tieto informácie poskytne, a nebude možné poskytnúť informácie o bodovom hodnotení opraviteľnosti tovaru. Uvedená povinnosť sa bude dotýkať obchodníkov, ktorí sa zameriavajú na predaj rôznych druhov tovarov s výnimkou napr. potravín a textílií a iných druhov, pri ktorých by uvedené informácie neboli vzhľadom na povahu prakticky </w:t>
      </w:r>
      <w:proofErr w:type="spellStart"/>
      <w:r w:rsidRPr="00152D86">
        <w:rPr>
          <w:rFonts w:ascii="Times New Roman" w:hAnsi="Times New Roman" w:cs="Times New Roman"/>
          <w:sz w:val="24"/>
          <w:szCs w:val="24"/>
        </w:rPr>
        <w:t>poskytnuteľné</w:t>
      </w:r>
      <w:proofErr w:type="spellEnd"/>
      <w:r w:rsidRPr="00152D86">
        <w:rPr>
          <w:rFonts w:ascii="Times New Roman" w:hAnsi="Times New Roman" w:cs="Times New Roman"/>
          <w:sz w:val="24"/>
          <w:szCs w:val="24"/>
        </w:rPr>
        <w:t xml:space="preserve">. Na tomto základe sa podľa vykonaného expertného odhadu môže uvedená povinnosť dotýkať 12 106 subjektov. Kvantifikácia vychádza zo záverov </w:t>
      </w:r>
      <w:r w:rsidRPr="00152D86">
        <w:rPr>
          <w:rFonts w:ascii="Times New Roman" w:eastAsia="Times New Roman" w:hAnsi="Times New Roman" w:cs="Times New Roman"/>
          <w:color w:val="000000"/>
          <w:sz w:val="24"/>
          <w:szCs w:val="24"/>
        </w:rPr>
        <w:t>vestníku štatistického úradu  (</w:t>
      </w:r>
      <w:hyperlink r:id="rId15" w:history="1">
        <w:r w:rsidRPr="00152D86">
          <w:rPr>
            <w:rFonts w:ascii="Times New Roman" w:eastAsia="Times New Roman" w:hAnsi="Times New Roman" w:cs="Times New Roman"/>
            <w:color w:val="0563C1" w:themeColor="hyperlink"/>
            <w:sz w:val="24"/>
            <w:szCs w:val="24"/>
            <w:u w:val="single"/>
          </w:rPr>
          <w:t>Slovenská republika v číslach 2024</w:t>
        </w:r>
      </w:hyperlink>
      <w:r w:rsidRPr="00152D86">
        <w:rPr>
          <w:rFonts w:ascii="Times New Roman" w:eastAsia="Times New Roman" w:hAnsi="Times New Roman" w:cs="Times New Roman"/>
          <w:color w:val="000000"/>
          <w:sz w:val="24"/>
          <w:szCs w:val="24"/>
        </w:rPr>
        <w:t xml:space="preserve">), publikácie </w:t>
      </w:r>
      <w:r w:rsidRPr="00152D86">
        <w:rPr>
          <w:rFonts w:ascii="Times New Roman" w:hAnsi="Times New Roman" w:cs="Times New Roman"/>
          <w:sz w:val="24"/>
          <w:szCs w:val="24"/>
        </w:rPr>
        <w:t>Malé a stredné podnikanie v číslach v roku 2023 (</w:t>
      </w:r>
      <w:hyperlink r:id="rId16" w:history="1">
        <w:r w:rsidRPr="00152D86">
          <w:rPr>
            <w:rFonts w:ascii="Times New Roman" w:hAnsi="Times New Roman" w:cs="Times New Roman"/>
            <w:color w:val="0563C1" w:themeColor="hyperlink"/>
            <w:sz w:val="24"/>
            <w:szCs w:val="24"/>
            <w:u w:val="single"/>
          </w:rPr>
          <w:t>MSP_v_cislach_2023.pdf</w:t>
        </w:r>
      </w:hyperlink>
      <w:r w:rsidRPr="00152D86">
        <w:rPr>
          <w:rFonts w:ascii="Times New Roman" w:hAnsi="Times New Roman" w:cs="Times New Roman"/>
          <w:sz w:val="24"/>
          <w:szCs w:val="24"/>
        </w:rPr>
        <w:t xml:space="preserve">), publikovaný Slovak Business </w:t>
      </w:r>
      <w:proofErr w:type="spellStart"/>
      <w:r w:rsidRPr="00152D86">
        <w:rPr>
          <w:rFonts w:ascii="Times New Roman" w:hAnsi="Times New Roman" w:cs="Times New Roman"/>
          <w:sz w:val="24"/>
          <w:szCs w:val="24"/>
        </w:rPr>
        <w:t>Agency</w:t>
      </w:r>
      <w:proofErr w:type="spellEnd"/>
      <w:r w:rsidRPr="00152D86">
        <w:rPr>
          <w:rFonts w:ascii="Times New Roman" w:hAnsi="Times New Roman" w:cs="Times New Roman"/>
          <w:sz w:val="24"/>
          <w:szCs w:val="24"/>
        </w:rPr>
        <w:t xml:space="preserve">. Kvantifikácia dotknutých subjektov bola uskutočnená expertným odhadom na základe údajov z registra účtovných závierok vyselektovaných podľa ekonomických činností, ktorých sa povinnosť týka. </w:t>
      </w:r>
      <w:r w:rsidRPr="00152D86">
        <w:rPr>
          <w:rFonts w:ascii="Times New Roman" w:eastAsia="Calibri" w:hAnsi="Times New Roman" w:cs="Times New Roman"/>
          <w:bCs/>
          <w:iCs/>
          <w:color w:val="000000"/>
          <w:sz w:val="24"/>
          <w:szCs w:val="24"/>
        </w:rPr>
        <w:t xml:space="preserve">Počet dotknutých subjektov podľa  Registra účtovných závierok bol určený na základe kódov SK NACE pre tie činnosti, pre ktoré je možné určiť pôsobnosť návrhu zákona. Ide najmä o kódy SK NACE: 46900, 47110, 47410, 47420, 47630, 47540, 47430,47590, 47650, 46480. </w:t>
      </w:r>
    </w:p>
    <w:p w14:paraId="3BD5D47C"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Pri stanovení počtu dotknutých subjektov je potrebne zdôrazniť, že sa v tomto prípade jedná len o expertný odhad na základe dostupných dát. Skutočný rozsah subjektov sa môže čiastočne líšiť, a to vzhľadom na skutočnosť, že povinnosť obchodníka sa bude vo veľkej miere odvíjať od poskytnutia informácie</w:t>
      </w:r>
      <w:r w:rsidRPr="00152D86">
        <w:t xml:space="preserve"> </w:t>
      </w:r>
      <w:r w:rsidRPr="00152D86">
        <w:rPr>
          <w:rFonts w:ascii="Times New Roman" w:eastAsia="Times New Roman" w:hAnsi="Times New Roman" w:cs="Times New Roman"/>
          <w:color w:val="000000"/>
          <w:sz w:val="24"/>
          <w:szCs w:val="24"/>
        </w:rPr>
        <w:t>o dostupnosti, predpokladaných nákladoch a postupe objednania náhradných dielov výrobcom. Z tohto dôvodu nie je možné poskytnúť presný počet dotknutých subjektov.</w:t>
      </w:r>
    </w:p>
    <w:p w14:paraId="1545676D"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zahŕňa náklady spojené s administratívnou činnosťou spojenou s poskytnutím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48 773 eur. Na základe expertného odhadu bolo stanovené trvanie povinnosti na 10 minút a frekvencia splnenia: nepravidelne.</w:t>
      </w:r>
    </w:p>
    <w:p w14:paraId="229D73ED" w14:textId="77777777" w:rsidR="005B48FD" w:rsidRPr="00152D86" w:rsidRDefault="005B48FD" w:rsidP="005B48FD">
      <w:pPr>
        <w:numPr>
          <w:ilvl w:val="0"/>
          <w:numId w:val="15"/>
        </w:numPr>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 xml:space="preserve"> Povinnosť poskytnúť informácie o opravárenských službách</w:t>
      </w:r>
    </w:p>
    <w:p w14:paraId="0D750ED6"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Na základe § 13b ods. 7 písm. a) sa zavádza povinnosť pre výrobcov opraviť tovar v rozsahu mimo zákonnej zodpovednosti za vady obchodníka. Uvedeným opatrením sa má podporiť oprava tovarov a podporiť udržateľná spotreba. </w:t>
      </w:r>
    </w:p>
    <w:p w14:paraId="5EC6E302"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Povinnosť sa bude vzťahovať na výrobcov, ktorí sa zaoberajú výrobou opraviteľného tovaru. Rozsah tovarov na ktoré sa vzťahuje oprava a povinnosť poskytnúť informácie o opravárenských službách upravujú delegované akty prijaté podľa  nariadenia Európskeho parlamentu a Rady (EÚ) 2024/1781 z 13. júna 2024, ktorým sa zriaďuje rámec na stanovenie požiadaviek na </w:t>
      </w:r>
      <w:proofErr w:type="spellStart"/>
      <w:r w:rsidRPr="00152D86">
        <w:rPr>
          <w:rFonts w:ascii="Times New Roman" w:hAnsi="Times New Roman" w:cs="Times New Roman"/>
          <w:sz w:val="24"/>
          <w:szCs w:val="24"/>
        </w:rPr>
        <w:t>ekodizajn</w:t>
      </w:r>
      <w:proofErr w:type="spellEnd"/>
      <w:r w:rsidRPr="00152D86">
        <w:rPr>
          <w:rFonts w:ascii="Times New Roman" w:hAnsi="Times New Roman" w:cs="Times New Roman"/>
          <w:sz w:val="24"/>
          <w:szCs w:val="24"/>
        </w:rPr>
        <w:t xml:space="preserve"> udržateľných výrobkov, mení smernica (EÚ) 2020/1828 a nariadenie (EÚ) 2023/1542 a zrušuje smernica 2009/125/ES (Ú. v. EÚ L, 2024/1781, 28. 6. 2024) alebo vykonávacie opatrenia prijaté na základe smernice Európskeho parlamentu a Rady 2009/125/ES z 21. októbra 2009 o vytvorení rámca na stanovenie požiadaviek na </w:t>
      </w:r>
      <w:proofErr w:type="spellStart"/>
      <w:r w:rsidRPr="00152D86">
        <w:rPr>
          <w:rFonts w:ascii="Times New Roman" w:hAnsi="Times New Roman" w:cs="Times New Roman"/>
          <w:sz w:val="24"/>
          <w:szCs w:val="24"/>
        </w:rPr>
        <w:t>ekodizajn</w:t>
      </w:r>
      <w:proofErr w:type="spellEnd"/>
      <w:r w:rsidRPr="00152D86">
        <w:rPr>
          <w:rFonts w:ascii="Times New Roman" w:hAnsi="Times New Roman" w:cs="Times New Roman"/>
          <w:sz w:val="24"/>
          <w:szCs w:val="24"/>
        </w:rPr>
        <w:t xml:space="preserve"> energeticky významných výrobkov (Ú. v. EÚ L 285, 31. 10. 2009). Medzi tovar, ktorý vymedzujú právne akty patria práčky a práčky so sušičkou pre domácnosť, umývačky riadu pre domácnosť, chladiace spotrebiče, elektronické displeje, zariadenia na zváranie, vysávače, servery a dátové úložiská, mobilné telefóny, </w:t>
      </w:r>
      <w:proofErr w:type="spellStart"/>
      <w:r w:rsidRPr="00152D86">
        <w:rPr>
          <w:rFonts w:ascii="Times New Roman" w:hAnsi="Times New Roman" w:cs="Times New Roman"/>
          <w:sz w:val="24"/>
          <w:szCs w:val="24"/>
        </w:rPr>
        <w:t>bezšnúrové</w:t>
      </w:r>
      <w:proofErr w:type="spellEnd"/>
      <w:r w:rsidRPr="00152D86">
        <w:rPr>
          <w:rFonts w:ascii="Times New Roman" w:hAnsi="Times New Roman" w:cs="Times New Roman"/>
          <w:sz w:val="24"/>
          <w:szCs w:val="24"/>
        </w:rPr>
        <w:t xml:space="preserve"> telefóny a tablety typu </w:t>
      </w:r>
      <w:proofErr w:type="spellStart"/>
      <w:r w:rsidRPr="00152D86">
        <w:rPr>
          <w:rFonts w:ascii="Times New Roman" w:hAnsi="Times New Roman" w:cs="Times New Roman"/>
          <w:sz w:val="24"/>
          <w:szCs w:val="24"/>
        </w:rPr>
        <w:t>Slate</w:t>
      </w:r>
      <w:proofErr w:type="spellEnd"/>
      <w:r w:rsidRPr="00152D86">
        <w:rPr>
          <w:rFonts w:ascii="Times New Roman" w:hAnsi="Times New Roman" w:cs="Times New Roman"/>
          <w:sz w:val="24"/>
          <w:szCs w:val="24"/>
        </w:rPr>
        <w:t>, bubnové sušičky pre domácnosť, tovar so zabudovanou batériou pre ľahké dopravné prostriedky.</w:t>
      </w:r>
    </w:p>
    <w:p w14:paraId="0EFFB792"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Na základe expertného odhadu, ktorý vychádza z údajov  Registra účtovných závierok, bol stanovený odhadovaný počet zasiahnutých subjektov, na ktoré sa bude vzťahovať pôsobnosť návrhu zákona. Ide najmä o kódy SK NACE: 27510, 32990, 28230, 28240, 27110, 26400, 26301 . Na tomto základe sa podľa vykonaného expertného odhadu môže uvedená povinnosť týkať 1942</w:t>
      </w:r>
      <w:r w:rsidRPr="00152D86">
        <w:rPr>
          <w:rFonts w:ascii="Times New Roman" w:eastAsia="Times New Roman" w:hAnsi="Times New Roman" w:cs="Times New Roman"/>
          <w:color w:val="000000"/>
          <w:sz w:val="24"/>
          <w:szCs w:val="24"/>
          <w:lang w:eastAsia="sk-SK"/>
        </w:rPr>
        <w:t xml:space="preserve"> </w:t>
      </w:r>
      <w:r w:rsidRPr="00152D86">
        <w:rPr>
          <w:rFonts w:ascii="Times New Roman" w:hAnsi="Times New Roman" w:cs="Times New Roman"/>
          <w:sz w:val="24"/>
          <w:szCs w:val="24"/>
        </w:rPr>
        <w:t>subjektov. Rozsah dotknutých subjektov predstavuje  expertný odhad, a to vzhľadom na nemožnosť určenia počtu výrobcov pre konkrétny druh tovaru.,</w:t>
      </w:r>
    </w:p>
    <w:p w14:paraId="0332087A"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zahŕňa náklady spojené s administratívnou činnosťou spojenou s poskytnutím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15 648 eur. Vzhľadom na rozsah a náročnosť vykonania povinnosti bolo na základe expertného odhadu stanovené trvanie povinnosti na 20 minút a frekvencia splnenia: jeden - krát ročne.</w:t>
      </w:r>
    </w:p>
    <w:p w14:paraId="317BD8C8" w14:textId="77777777" w:rsidR="005B48FD" w:rsidRPr="00152D86" w:rsidRDefault="005B48FD" w:rsidP="005B48FD">
      <w:pPr>
        <w:numPr>
          <w:ilvl w:val="0"/>
          <w:numId w:val="15"/>
        </w:numPr>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 xml:space="preserve">Povinnosť poskytnúť informácie o informatívnych cenách za bežnú opravu tovaru prostredníctvom webového sídla </w:t>
      </w:r>
    </w:p>
    <w:p w14:paraId="77384DCB"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Na základe § 13b ods. 7 písm. b) sa zavádza povinnosť pre výrobcov poskytnúť informácie </w:t>
      </w:r>
      <w:r>
        <w:rPr>
          <w:rFonts w:ascii="Times New Roman" w:hAnsi="Times New Roman" w:cs="Times New Roman"/>
          <w:sz w:val="24"/>
          <w:szCs w:val="24"/>
        </w:rPr>
        <w:br/>
      </w:r>
      <w:r w:rsidRPr="00152D86">
        <w:rPr>
          <w:rFonts w:ascii="Times New Roman" w:hAnsi="Times New Roman" w:cs="Times New Roman"/>
          <w:sz w:val="24"/>
          <w:szCs w:val="24"/>
        </w:rPr>
        <w:t>o orientačných cenách za bežnú opravu tovaru prostredníctvom webového sídla.</w:t>
      </w:r>
    </w:p>
    <w:p w14:paraId="460D4D1F"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Povinnosť sa bude vzťahovať na výrobcov, ktorí sa zaoberajú výrobou opraviteľného tovaru. Rozsah  tovarov na ktoré sa vzťahuje oprava upravujú delegované akty prijaté podľa  nariadenia Európskeho parlamentu a Rady (EÚ) 2024/1781 z 13. júna 2024, ktorým sa zriaďuje rámec na stanovenie požiadaviek na </w:t>
      </w:r>
      <w:proofErr w:type="spellStart"/>
      <w:r w:rsidRPr="00152D86">
        <w:rPr>
          <w:rFonts w:ascii="Times New Roman" w:hAnsi="Times New Roman" w:cs="Times New Roman"/>
          <w:sz w:val="24"/>
          <w:szCs w:val="24"/>
        </w:rPr>
        <w:t>ekodizajn</w:t>
      </w:r>
      <w:proofErr w:type="spellEnd"/>
      <w:r w:rsidRPr="00152D86">
        <w:rPr>
          <w:rFonts w:ascii="Times New Roman" w:hAnsi="Times New Roman" w:cs="Times New Roman"/>
          <w:sz w:val="24"/>
          <w:szCs w:val="24"/>
        </w:rPr>
        <w:t xml:space="preserve"> udržateľných výrobkov, mení smernica (EÚ) 2020/1828 a nariadenie (EÚ) 2023/1542 a zrušuje smernica 2009/125/ES (Ú. v. EÚ L, 2024/1781, </w:t>
      </w:r>
      <w:r>
        <w:rPr>
          <w:rFonts w:ascii="Times New Roman" w:hAnsi="Times New Roman" w:cs="Times New Roman"/>
          <w:sz w:val="24"/>
          <w:szCs w:val="24"/>
        </w:rPr>
        <w:br/>
      </w:r>
      <w:r w:rsidRPr="00152D86">
        <w:rPr>
          <w:rFonts w:ascii="Times New Roman" w:hAnsi="Times New Roman" w:cs="Times New Roman"/>
          <w:sz w:val="24"/>
          <w:szCs w:val="24"/>
        </w:rPr>
        <w:t xml:space="preserve">28. 6. 2024) alebo vykonávacie opatrenia prijaté na základe smernice Európskeho parlamentu a Rady 2009/125/ES z 21. októbra 2009 o vytvorení rámca na stanovenie požiadaviek na </w:t>
      </w:r>
      <w:proofErr w:type="spellStart"/>
      <w:r w:rsidRPr="00152D86">
        <w:rPr>
          <w:rFonts w:ascii="Times New Roman" w:hAnsi="Times New Roman" w:cs="Times New Roman"/>
          <w:sz w:val="24"/>
          <w:szCs w:val="24"/>
        </w:rPr>
        <w:t>ekodizajn</w:t>
      </w:r>
      <w:proofErr w:type="spellEnd"/>
      <w:r w:rsidRPr="00152D86">
        <w:rPr>
          <w:rFonts w:ascii="Times New Roman" w:hAnsi="Times New Roman" w:cs="Times New Roman"/>
          <w:sz w:val="24"/>
          <w:szCs w:val="24"/>
        </w:rPr>
        <w:t xml:space="preserve"> energeticky významných výrobkov (Ú. v. EÚ L 285, 31. 10. 2009). Medzi tovar, ktorý vymedzujú právne akty patria práčky a práčky so sušičkou pre domácnosť, umývačky riadu pre domácnosť, chladiace spotrebiče, elektronické displeje, zariadenia na zváranie, vysávače, servery a dátové úložiská, mobilné telefóny, </w:t>
      </w:r>
      <w:proofErr w:type="spellStart"/>
      <w:r w:rsidRPr="00152D86">
        <w:rPr>
          <w:rFonts w:ascii="Times New Roman" w:hAnsi="Times New Roman" w:cs="Times New Roman"/>
          <w:sz w:val="24"/>
          <w:szCs w:val="24"/>
        </w:rPr>
        <w:t>bezšnúrové</w:t>
      </w:r>
      <w:proofErr w:type="spellEnd"/>
      <w:r w:rsidRPr="00152D86">
        <w:rPr>
          <w:rFonts w:ascii="Times New Roman" w:hAnsi="Times New Roman" w:cs="Times New Roman"/>
          <w:sz w:val="24"/>
          <w:szCs w:val="24"/>
        </w:rPr>
        <w:t xml:space="preserve"> telefóny a tablety typu </w:t>
      </w:r>
      <w:proofErr w:type="spellStart"/>
      <w:r w:rsidRPr="00152D86">
        <w:rPr>
          <w:rFonts w:ascii="Times New Roman" w:hAnsi="Times New Roman" w:cs="Times New Roman"/>
          <w:sz w:val="24"/>
          <w:szCs w:val="24"/>
        </w:rPr>
        <w:t>Slate</w:t>
      </w:r>
      <w:proofErr w:type="spellEnd"/>
      <w:r w:rsidRPr="00152D86">
        <w:rPr>
          <w:rFonts w:ascii="Times New Roman" w:hAnsi="Times New Roman" w:cs="Times New Roman"/>
          <w:sz w:val="24"/>
          <w:szCs w:val="24"/>
        </w:rPr>
        <w:t>, bubnové sušičky pre domácnosť, tovar so zabudovanou batériou pre ľahké dopravné prostriedky.</w:t>
      </w:r>
    </w:p>
    <w:p w14:paraId="07547927"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Na základe expertného odhadu, ktorý vychádza z údajov  Registra účtovných závierok, bol stanovený odhadovaný počet zasiahnutých subjektov, na ktoré sa bude vzťahovať pôsobnosť návrhu zákona. Ide najmä o kódy SK NACE: 27510, 27400, 32990, 31090, 31020, 31010, 30920, 32400, 31030, 28230, 28240. Na tomto základe sa podľa vykonaného expertného odhadu môže uvedená povinnosť dotýkať </w:t>
      </w:r>
      <w:r w:rsidRPr="00152D86">
        <w:rPr>
          <w:rFonts w:ascii="Times New Roman" w:eastAsia="Times New Roman" w:hAnsi="Times New Roman" w:cs="Times New Roman"/>
          <w:color w:val="000000"/>
          <w:sz w:val="24"/>
          <w:szCs w:val="24"/>
          <w:lang w:eastAsia="sk-SK"/>
        </w:rPr>
        <w:t xml:space="preserve">1942 </w:t>
      </w:r>
      <w:r w:rsidRPr="00152D86">
        <w:rPr>
          <w:rFonts w:ascii="Times New Roman" w:hAnsi="Times New Roman" w:cs="Times New Roman"/>
          <w:sz w:val="24"/>
          <w:szCs w:val="24"/>
        </w:rPr>
        <w:t xml:space="preserve">subjektov. </w:t>
      </w:r>
      <w:r w:rsidRPr="00152D86">
        <w:t xml:space="preserve"> </w:t>
      </w:r>
      <w:r w:rsidRPr="00152D86">
        <w:rPr>
          <w:rFonts w:ascii="Times New Roman" w:hAnsi="Times New Roman" w:cs="Times New Roman"/>
          <w:sz w:val="24"/>
          <w:szCs w:val="24"/>
        </w:rPr>
        <w:t>Rozsah dotknutých subjektov predstavuje expertný odhad, a to vzhľadom na nemožnosť určenia počtu výrobcov pre konkrétny druh tovaru.</w:t>
      </w:r>
    </w:p>
    <w:p w14:paraId="4EB88D4E" w14:textId="5D25E3F3"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zahŕňa náklady spojené s administratívnou činnosťou spojenou s poskytnutím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tejto povinnosti na cca 11764 eur. Na základe expertného odhadu bolo stanovené trvanie povinnosti</w:t>
      </w:r>
      <w:r w:rsidR="00CB3465">
        <w:rPr>
          <w:rFonts w:ascii="Times New Roman" w:eastAsia="Calibri" w:hAnsi="Times New Roman" w:cs="Times New Roman"/>
          <w:bCs/>
          <w:iCs/>
          <w:color w:val="000000"/>
          <w:sz w:val="24"/>
          <w:szCs w:val="24"/>
        </w:rPr>
        <w:t xml:space="preserve"> </w:t>
      </w:r>
      <w:r w:rsidRPr="00152D86">
        <w:rPr>
          <w:rFonts w:ascii="Times New Roman" w:eastAsia="Calibri" w:hAnsi="Times New Roman" w:cs="Times New Roman"/>
          <w:bCs/>
          <w:iCs/>
          <w:color w:val="000000"/>
          <w:sz w:val="24"/>
          <w:szCs w:val="24"/>
        </w:rPr>
        <w:t>na 20 minút a frekvencia</w:t>
      </w:r>
      <w:r w:rsidR="005477B9">
        <w:rPr>
          <w:rFonts w:ascii="Times New Roman" w:eastAsia="Calibri" w:hAnsi="Times New Roman" w:cs="Times New Roman"/>
          <w:bCs/>
          <w:iCs/>
          <w:color w:val="000000"/>
          <w:sz w:val="24"/>
          <w:szCs w:val="24"/>
        </w:rPr>
        <w:t xml:space="preserve"> splnenia: jeden - krát ročne. </w:t>
      </w:r>
    </w:p>
    <w:p w14:paraId="1911D5C3" w14:textId="77777777" w:rsidR="005B48FD" w:rsidRPr="00152D86" w:rsidRDefault="005B48FD" w:rsidP="005B48FD">
      <w:pPr>
        <w:numPr>
          <w:ilvl w:val="0"/>
          <w:numId w:val="15"/>
        </w:numPr>
        <w:spacing w:after="0" w:line="240" w:lineRule="auto"/>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Povinnosť poskytnúť informácie o minimálnej dobe poskytovania aktualizácie veci s digitálnymi prvkami</w:t>
      </w:r>
      <w:r w:rsidRPr="006B2C7B">
        <w:rPr>
          <w:rFonts w:ascii="Times New Roman" w:hAnsi="Times New Roman" w:cs="Times New Roman"/>
          <w:b/>
          <w:sz w:val="24"/>
          <w:szCs w:val="24"/>
        </w:rPr>
        <w:t>,</w:t>
      </w:r>
      <w:r w:rsidRPr="006B2C7B">
        <w:rPr>
          <w:rFonts w:ascii="Times New Roman" w:eastAsia="Times New Roman" w:hAnsi="Times New Roman" w:cs="Times New Roman"/>
          <w:b/>
          <w:color w:val="000000"/>
          <w:sz w:val="20"/>
          <w:szCs w:val="24"/>
          <w:lang w:eastAsia="sk-SK"/>
        </w:rPr>
        <w:t xml:space="preserve"> </w:t>
      </w:r>
      <w:r w:rsidRPr="006B2C7B">
        <w:rPr>
          <w:rFonts w:ascii="Times New Roman" w:hAnsi="Times New Roman" w:cs="Times New Roman"/>
          <w:b/>
          <w:sz w:val="24"/>
          <w:szCs w:val="24"/>
        </w:rPr>
        <w:t>digitálnym obsahom a digitálnou službou</w:t>
      </w:r>
      <w:r w:rsidRPr="00152D86">
        <w:rPr>
          <w:rFonts w:ascii="Times New Roman" w:hAnsi="Times New Roman" w:cs="Times New Roman"/>
          <w:sz w:val="24"/>
          <w:szCs w:val="24"/>
        </w:rPr>
        <w:t xml:space="preserve"> </w:t>
      </w:r>
    </w:p>
    <w:p w14:paraId="5C4246F2"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Na základe § 5 ods. 1 písm. p) s cieľom zaistiť, aby mohli spotrebitelia prijímať kvalifikovanejšie rozhodnutia, sa zavádza nová povinnosť pre obchodníkov informovať spotrebiteľov o minimálnej dobe, počas ktorej sú k dispozícii bezplatné softvérové aktualizácie pre veci s digitálnymi prvkami, digitálny obsah alebo digitálnu službu.</w:t>
      </w:r>
    </w:p>
    <w:p w14:paraId="75A89916"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hAnsi="Times New Roman" w:cs="Times New Roman"/>
          <w:sz w:val="24"/>
          <w:szCs w:val="24"/>
        </w:rPr>
        <w:t>Uvedená povinnosť sa dotkne tých obchodníkov, ktorí predávajú tovar s digitálnymi prvkami,</w:t>
      </w:r>
      <w:r w:rsidRPr="00152D86">
        <w:rPr>
          <w:rFonts w:ascii="Times New Roman" w:eastAsia="Times New Roman" w:hAnsi="Times New Roman" w:cs="Times New Roman"/>
          <w:color w:val="000000"/>
          <w:sz w:val="20"/>
          <w:szCs w:val="24"/>
          <w:lang w:eastAsia="sk-SK"/>
        </w:rPr>
        <w:t xml:space="preserve"> </w:t>
      </w:r>
      <w:r w:rsidRPr="00152D86">
        <w:rPr>
          <w:rFonts w:ascii="Times New Roman" w:hAnsi="Times New Roman" w:cs="Times New Roman"/>
          <w:sz w:val="24"/>
          <w:szCs w:val="24"/>
        </w:rPr>
        <w:t>digitálnym obsahom a digitálnou službou vyžadujúce aktualizácie. Na základe expertného odhadu počet subjektov, na ktorých sa môže táto nová povinnosť vzťahovať, predstavuje 4 409 obchodníkov. Kvantifikácia subjektov vychádza z expertného odhadu a vychádza z dát uvedených vo vestníku štatistického úradu  (</w:t>
      </w:r>
      <w:hyperlink r:id="rId17" w:history="1">
        <w:r w:rsidRPr="00152D86">
          <w:rPr>
            <w:rFonts w:ascii="Times New Roman" w:hAnsi="Times New Roman" w:cs="Times New Roman"/>
            <w:color w:val="0563C1" w:themeColor="hyperlink"/>
            <w:sz w:val="24"/>
            <w:szCs w:val="24"/>
            <w:u w:val="single"/>
          </w:rPr>
          <w:t>Slovenská republika v číslach 2024</w:t>
        </w:r>
      </w:hyperlink>
      <w:r w:rsidRPr="00152D86">
        <w:rPr>
          <w:rFonts w:ascii="Times New Roman" w:hAnsi="Times New Roman" w:cs="Times New Roman"/>
          <w:sz w:val="24"/>
          <w:szCs w:val="24"/>
        </w:rPr>
        <w:t>), publikácie Malé a stredné podnikanie v číslach v roku 2023 (</w:t>
      </w:r>
      <w:hyperlink r:id="rId18" w:history="1">
        <w:r w:rsidRPr="00152D86">
          <w:rPr>
            <w:rFonts w:ascii="Times New Roman" w:hAnsi="Times New Roman" w:cs="Times New Roman"/>
            <w:color w:val="0563C1" w:themeColor="hyperlink"/>
            <w:sz w:val="24"/>
            <w:szCs w:val="24"/>
            <w:u w:val="single"/>
          </w:rPr>
          <w:t>MSP_v_cislach_2023.pdf</w:t>
        </w:r>
      </w:hyperlink>
      <w:r w:rsidRPr="00152D86">
        <w:rPr>
          <w:rFonts w:ascii="Times New Roman" w:hAnsi="Times New Roman" w:cs="Times New Roman"/>
          <w:sz w:val="24"/>
          <w:szCs w:val="24"/>
        </w:rPr>
        <w:t xml:space="preserve">),  publikovaný Slovak Business </w:t>
      </w:r>
      <w:proofErr w:type="spellStart"/>
      <w:r w:rsidRPr="00152D86">
        <w:rPr>
          <w:rFonts w:ascii="Times New Roman" w:hAnsi="Times New Roman" w:cs="Times New Roman"/>
          <w:sz w:val="24"/>
          <w:szCs w:val="24"/>
        </w:rPr>
        <w:t>Agency</w:t>
      </w:r>
      <w:proofErr w:type="spellEnd"/>
      <w:r w:rsidRPr="00152D86">
        <w:rPr>
          <w:rFonts w:ascii="Times New Roman" w:hAnsi="Times New Roman" w:cs="Times New Roman"/>
          <w:sz w:val="24"/>
          <w:szCs w:val="24"/>
        </w:rPr>
        <w:t xml:space="preserve"> a údajov z registra účtovných závierok vyselektovaných podľa ekonomických činností, ktorých sa povinnosť týka. </w:t>
      </w:r>
      <w:r w:rsidRPr="00152D86">
        <w:rPr>
          <w:rFonts w:ascii="Times New Roman" w:eastAsia="Calibri" w:hAnsi="Times New Roman" w:cs="Times New Roman"/>
          <w:bCs/>
          <w:iCs/>
          <w:color w:val="000000"/>
          <w:sz w:val="24"/>
          <w:szCs w:val="24"/>
        </w:rPr>
        <w:t xml:space="preserve">Počet dotknutých subjektov podľa  Registra účtovných závierok bol určený na základe kódov SK NACE pre tie činnosti, pre ktoré je možné určiť pôsobnosť návrhu zákona. Ide najmä o kódy SK NACE: 47410, 47110, 46900, 46510, 46690. </w:t>
      </w:r>
      <w:r w:rsidRPr="00152D86">
        <w:rPr>
          <w:rFonts w:ascii="Times New Roman" w:eastAsia="Times New Roman" w:hAnsi="Times New Roman" w:cs="Times New Roman"/>
          <w:color w:val="000000"/>
          <w:sz w:val="24"/>
          <w:szCs w:val="24"/>
        </w:rPr>
        <w:t>Výpočet zohľadňuje expertný odhad, ktorý zahŕňa náklady s prípravou grafického oznámenia a administratívnu činnosť spojenú s prípravou informácie pre spotrebiteľa, ako aj náklady na pracovnú silu.</w:t>
      </w:r>
    </w:p>
    <w:p w14:paraId="6005E5C3"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Times New Roman" w:hAnsi="Times New Roman" w:cs="Times New Roman"/>
          <w:color w:val="000000"/>
          <w:sz w:val="24"/>
          <w:szCs w:val="24"/>
        </w:rPr>
        <w:t xml:space="preserve">Vzhľadom na skutočnosť, že informačná povinnosť obchodníka do veľkej miery závisí od informácie poskytnutej zo strany výrobcu, je možné poskytnúť len číselný odhad dotknutých subjektov. </w:t>
      </w:r>
    </w:p>
    <w:p w14:paraId="5D4C64F2" w14:textId="77777777" w:rsidR="005B48FD" w:rsidRPr="00152D86" w:rsidRDefault="005B48FD" w:rsidP="005B48FD">
      <w:pPr>
        <w:jc w:val="both"/>
        <w:rPr>
          <w:rFonts w:ascii="Times New Roman" w:eastAsia="Calibri" w:hAnsi="Times New Roman" w:cs="Times New Roman"/>
          <w:bCs/>
          <w:iCs/>
          <w:color w:val="000000"/>
          <w:sz w:val="24"/>
          <w:szCs w:val="24"/>
        </w:rPr>
      </w:pPr>
      <w:r w:rsidRPr="00152D86">
        <w:rPr>
          <w:rFonts w:ascii="Times New Roman" w:eastAsia="Times New Roman" w:hAnsi="Times New Roman" w:cs="Times New Roman"/>
          <w:color w:val="000000"/>
          <w:sz w:val="24"/>
          <w:szCs w:val="24"/>
        </w:rPr>
        <w:t xml:space="preserve">Pri kvantifikácii nákladov na podnikateľské prostredie bola použitá Kalkulačka nákladov </w:t>
      </w:r>
      <w:r>
        <w:rPr>
          <w:rFonts w:ascii="Times New Roman" w:eastAsia="Times New Roman" w:hAnsi="Times New Roman" w:cs="Times New Roman"/>
          <w:color w:val="000000"/>
          <w:sz w:val="24"/>
          <w:szCs w:val="24"/>
        </w:rPr>
        <w:br/>
      </w:r>
      <w:r w:rsidRPr="00152D86">
        <w:rPr>
          <w:rFonts w:ascii="Times New Roman" w:eastAsia="Times New Roman" w:hAnsi="Times New Roman" w:cs="Times New Roman"/>
          <w:color w:val="000000"/>
          <w:sz w:val="24"/>
          <w:szCs w:val="24"/>
        </w:rPr>
        <w:t xml:space="preserve">a expertný odhad. Výpočet pomocou kalkulačky nákladov zohľadňuje expertný odhad, ktorý zahrňuje náklady spojené s administratívnou činnosťou spojenou s poskytnutím informácie pre spotrebiteľa, ako aj náklady na pracovnú silu, a stanovuje celkovú výšku nákladov pri </w:t>
      </w:r>
      <w:r w:rsidRPr="00152D86">
        <w:rPr>
          <w:rFonts w:ascii="Times New Roman" w:eastAsia="Calibri" w:hAnsi="Times New Roman" w:cs="Times New Roman"/>
          <w:bCs/>
          <w:iCs/>
          <w:color w:val="000000"/>
          <w:sz w:val="24"/>
          <w:szCs w:val="24"/>
        </w:rPr>
        <w:t xml:space="preserve">tejto povinnosti na cca 11 149 eur. Na základe expertného odhadu bolo stanovené trvanie povinnosti na 10 minút a frekvencia splnenia: </w:t>
      </w:r>
      <w:proofErr w:type="spellStart"/>
      <w:r w:rsidRPr="00152D86">
        <w:rPr>
          <w:rFonts w:ascii="Times New Roman" w:eastAsia="Calibri" w:hAnsi="Times New Roman" w:cs="Times New Roman"/>
          <w:bCs/>
          <w:iCs/>
          <w:color w:val="000000"/>
          <w:sz w:val="24"/>
          <w:szCs w:val="24"/>
        </w:rPr>
        <w:t>jednorázovo</w:t>
      </w:r>
      <w:proofErr w:type="spellEnd"/>
      <w:r w:rsidRPr="00152D86">
        <w:rPr>
          <w:rFonts w:ascii="Times New Roman" w:eastAsia="Calibri" w:hAnsi="Times New Roman" w:cs="Times New Roman"/>
          <w:bCs/>
          <w:iCs/>
          <w:color w:val="000000"/>
          <w:sz w:val="24"/>
          <w:szCs w:val="24"/>
        </w:rPr>
        <w:t>.</w:t>
      </w:r>
    </w:p>
    <w:p w14:paraId="56C98276" w14:textId="77777777" w:rsidR="005B48FD" w:rsidRPr="00152D86" w:rsidRDefault="005B48FD" w:rsidP="005B48FD">
      <w:pPr>
        <w:numPr>
          <w:ilvl w:val="0"/>
          <w:numId w:val="15"/>
        </w:numPr>
        <w:spacing w:after="0" w:line="240" w:lineRule="auto"/>
        <w:contextualSpacing/>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 xml:space="preserve">Sankcie za porušenie povinnosti uvádzať na webových stránkach elektronický odkaz na platformu ODR/RSO </w:t>
      </w:r>
    </w:p>
    <w:p w14:paraId="0B9ECDF3" w14:textId="77777777" w:rsidR="005B48FD" w:rsidRPr="00152D86" w:rsidRDefault="005B48FD" w:rsidP="005B48FD">
      <w:pPr>
        <w:spacing w:after="0"/>
        <w:jc w:val="both"/>
        <w:rPr>
          <w:rFonts w:ascii="Times New Roman" w:hAnsi="Times New Roman" w:cs="Times New Roman"/>
          <w:sz w:val="24"/>
          <w:szCs w:val="24"/>
        </w:rPr>
      </w:pPr>
      <w:r w:rsidRPr="00152D86">
        <w:rPr>
          <w:rFonts w:ascii="Times New Roman" w:hAnsi="Times New Roman" w:cs="Times New Roman"/>
          <w:sz w:val="24"/>
          <w:szCs w:val="24"/>
        </w:rPr>
        <w:t xml:space="preserve">Predpokladá sa zníženie vplyvov na podnikateľské prostredie v súvislosti so zrušením nariadenia Európskeho parlamentu a Rady (EÚ) č. 524/2013 z 21. mája 2013 o riešení spotrebiteľských sporov online, ktorým sa mení nariadenie (ES) č. 2006/2004 a smernica 2009/22/ES (nariadenie o riešení spotrebiteľských sporov online) (Ú. v. EÚ L 165, 18. 6. 2013). </w:t>
      </w:r>
    </w:p>
    <w:p w14:paraId="664F9806" w14:textId="77777777" w:rsidR="005B48FD" w:rsidRPr="00152D86" w:rsidRDefault="005B48FD" w:rsidP="005B48FD">
      <w:pPr>
        <w:spacing w:after="0"/>
        <w:jc w:val="both"/>
        <w:rPr>
          <w:rFonts w:ascii="Times New Roman" w:hAnsi="Times New Roman" w:cs="Times New Roman"/>
          <w:sz w:val="24"/>
          <w:szCs w:val="24"/>
        </w:rPr>
      </w:pPr>
    </w:p>
    <w:p w14:paraId="16881997"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Vzhľadom na uvedené sa z právnej úpravy vypúšťa povinnosť pre obchodníkov uvádzať na webových stránkach elektronický odkaz na platformu ODR/RSO. </w:t>
      </w:r>
    </w:p>
    <w:p w14:paraId="7E4A6F8C"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Pre kvantifikáciu nepriamych finančných nákladov – sankcií bol využitý model pripodobňovania pokút. Z činnosti Slovenskej obchodnej inšpekcie sú dostupné nasledovné dáta, ktoré sa týkajú uložení pokút za porušenie povinnosti uvádzať na webových stránkach elektronický odkaz na platformu ODR/RSO:</w:t>
      </w:r>
    </w:p>
    <w:tbl>
      <w:tblPr>
        <w:tblStyle w:val="Mriekatabuky3"/>
        <w:tblW w:w="0" w:type="auto"/>
        <w:jc w:val="center"/>
        <w:tblLook w:val="04A0" w:firstRow="1" w:lastRow="0" w:firstColumn="1" w:lastColumn="0" w:noHBand="0" w:noVBand="1"/>
      </w:tblPr>
      <w:tblGrid>
        <w:gridCol w:w="1271"/>
        <w:gridCol w:w="3119"/>
        <w:gridCol w:w="2976"/>
      </w:tblGrid>
      <w:tr w:rsidR="005B48FD" w:rsidRPr="00152D86" w14:paraId="0D01BD9D" w14:textId="77777777" w:rsidTr="00D737D8">
        <w:trPr>
          <w:jc w:val="center"/>
        </w:trPr>
        <w:tc>
          <w:tcPr>
            <w:tcW w:w="1271" w:type="dxa"/>
            <w:vAlign w:val="center"/>
          </w:tcPr>
          <w:p w14:paraId="08A648D2"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Rok</w:t>
            </w:r>
          </w:p>
        </w:tc>
        <w:tc>
          <w:tcPr>
            <w:tcW w:w="3119" w:type="dxa"/>
            <w:vAlign w:val="center"/>
          </w:tcPr>
          <w:p w14:paraId="6E44569C"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Počet pokút</w:t>
            </w:r>
          </w:p>
        </w:tc>
        <w:tc>
          <w:tcPr>
            <w:tcW w:w="2976" w:type="dxa"/>
            <w:vAlign w:val="center"/>
          </w:tcPr>
          <w:p w14:paraId="4EBB92F6"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Priemerná výška pokuty</w:t>
            </w:r>
          </w:p>
        </w:tc>
      </w:tr>
      <w:tr w:rsidR="005B48FD" w:rsidRPr="00152D86" w14:paraId="6E76FC41" w14:textId="77777777" w:rsidTr="00D737D8">
        <w:trPr>
          <w:jc w:val="center"/>
        </w:trPr>
        <w:tc>
          <w:tcPr>
            <w:tcW w:w="1271" w:type="dxa"/>
            <w:vAlign w:val="center"/>
          </w:tcPr>
          <w:p w14:paraId="16D3E623"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2019</w:t>
            </w:r>
          </w:p>
        </w:tc>
        <w:tc>
          <w:tcPr>
            <w:tcW w:w="3119" w:type="dxa"/>
            <w:vAlign w:val="center"/>
          </w:tcPr>
          <w:p w14:paraId="5A3085BC"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hAnsi="Times New Roman" w:cs="Times New Roman"/>
                <w:sz w:val="24"/>
                <w:szCs w:val="24"/>
              </w:rPr>
              <w:t>45</w:t>
            </w:r>
          </w:p>
        </w:tc>
        <w:tc>
          <w:tcPr>
            <w:tcW w:w="2976" w:type="dxa"/>
            <w:vAlign w:val="center"/>
          </w:tcPr>
          <w:p w14:paraId="12875FE8"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 xml:space="preserve">968 € </w:t>
            </w:r>
          </w:p>
        </w:tc>
      </w:tr>
      <w:tr w:rsidR="005B48FD" w:rsidRPr="00152D86" w14:paraId="78B8BC3D" w14:textId="77777777" w:rsidTr="00D737D8">
        <w:trPr>
          <w:jc w:val="center"/>
        </w:trPr>
        <w:tc>
          <w:tcPr>
            <w:tcW w:w="1271" w:type="dxa"/>
            <w:vAlign w:val="center"/>
          </w:tcPr>
          <w:p w14:paraId="65B8338F"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2020</w:t>
            </w:r>
          </w:p>
        </w:tc>
        <w:tc>
          <w:tcPr>
            <w:tcW w:w="3119" w:type="dxa"/>
            <w:vAlign w:val="center"/>
          </w:tcPr>
          <w:p w14:paraId="669EEF28"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18</w:t>
            </w:r>
          </w:p>
        </w:tc>
        <w:tc>
          <w:tcPr>
            <w:tcW w:w="2976" w:type="dxa"/>
            <w:vAlign w:val="center"/>
          </w:tcPr>
          <w:p w14:paraId="7A49B52F"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486 €</w:t>
            </w:r>
          </w:p>
        </w:tc>
      </w:tr>
      <w:tr w:rsidR="005B48FD" w:rsidRPr="00152D86" w14:paraId="44E256CB" w14:textId="77777777" w:rsidTr="00D737D8">
        <w:trPr>
          <w:jc w:val="center"/>
        </w:trPr>
        <w:tc>
          <w:tcPr>
            <w:tcW w:w="1271" w:type="dxa"/>
            <w:vAlign w:val="center"/>
          </w:tcPr>
          <w:p w14:paraId="621A6D37"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2021</w:t>
            </w:r>
          </w:p>
        </w:tc>
        <w:tc>
          <w:tcPr>
            <w:tcW w:w="3119" w:type="dxa"/>
            <w:vAlign w:val="center"/>
          </w:tcPr>
          <w:p w14:paraId="2ADCB6F7"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71</w:t>
            </w:r>
          </w:p>
        </w:tc>
        <w:tc>
          <w:tcPr>
            <w:tcW w:w="2976" w:type="dxa"/>
            <w:vAlign w:val="center"/>
          </w:tcPr>
          <w:p w14:paraId="7063EF5B"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368 €</w:t>
            </w:r>
          </w:p>
        </w:tc>
      </w:tr>
      <w:tr w:rsidR="005B48FD" w:rsidRPr="00152D86" w14:paraId="5016C99F" w14:textId="77777777" w:rsidTr="00D737D8">
        <w:trPr>
          <w:jc w:val="center"/>
        </w:trPr>
        <w:tc>
          <w:tcPr>
            <w:tcW w:w="1271" w:type="dxa"/>
            <w:vAlign w:val="center"/>
          </w:tcPr>
          <w:p w14:paraId="3A287067"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2022</w:t>
            </w:r>
          </w:p>
        </w:tc>
        <w:tc>
          <w:tcPr>
            <w:tcW w:w="3119" w:type="dxa"/>
            <w:vAlign w:val="center"/>
          </w:tcPr>
          <w:p w14:paraId="3C6D0446"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103</w:t>
            </w:r>
          </w:p>
        </w:tc>
        <w:tc>
          <w:tcPr>
            <w:tcW w:w="2976" w:type="dxa"/>
            <w:vAlign w:val="center"/>
          </w:tcPr>
          <w:p w14:paraId="3D49B7A3"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400 €</w:t>
            </w:r>
          </w:p>
        </w:tc>
      </w:tr>
      <w:tr w:rsidR="005B48FD" w:rsidRPr="00152D86" w14:paraId="61315665" w14:textId="77777777" w:rsidTr="00D737D8">
        <w:trPr>
          <w:jc w:val="center"/>
        </w:trPr>
        <w:tc>
          <w:tcPr>
            <w:tcW w:w="1271" w:type="dxa"/>
            <w:vAlign w:val="center"/>
          </w:tcPr>
          <w:p w14:paraId="1541B7B3"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2023</w:t>
            </w:r>
          </w:p>
        </w:tc>
        <w:tc>
          <w:tcPr>
            <w:tcW w:w="3119" w:type="dxa"/>
            <w:vAlign w:val="center"/>
          </w:tcPr>
          <w:p w14:paraId="153106D3"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40</w:t>
            </w:r>
          </w:p>
        </w:tc>
        <w:tc>
          <w:tcPr>
            <w:tcW w:w="2976" w:type="dxa"/>
            <w:vAlign w:val="center"/>
          </w:tcPr>
          <w:p w14:paraId="14DF9A5B"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619 €</w:t>
            </w:r>
          </w:p>
        </w:tc>
      </w:tr>
      <w:tr w:rsidR="005B48FD" w:rsidRPr="00152D86" w14:paraId="459B48CF" w14:textId="77777777" w:rsidTr="00D737D8">
        <w:trPr>
          <w:jc w:val="center"/>
        </w:trPr>
        <w:tc>
          <w:tcPr>
            <w:tcW w:w="1271" w:type="dxa"/>
            <w:vAlign w:val="center"/>
          </w:tcPr>
          <w:p w14:paraId="3CCC4984"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2024</w:t>
            </w:r>
          </w:p>
        </w:tc>
        <w:tc>
          <w:tcPr>
            <w:tcW w:w="3119" w:type="dxa"/>
            <w:vAlign w:val="center"/>
          </w:tcPr>
          <w:p w14:paraId="042D2B38"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10</w:t>
            </w:r>
          </w:p>
        </w:tc>
        <w:tc>
          <w:tcPr>
            <w:tcW w:w="2976" w:type="dxa"/>
            <w:vAlign w:val="center"/>
          </w:tcPr>
          <w:p w14:paraId="53DFA3C9" w14:textId="77777777" w:rsidR="005B48FD" w:rsidRPr="00152D86" w:rsidRDefault="005B48FD" w:rsidP="00D737D8">
            <w:pPr>
              <w:jc w:val="center"/>
              <w:rPr>
                <w:rFonts w:ascii="Times New Roman" w:eastAsia="Calibri" w:hAnsi="Times New Roman" w:cs="Times New Roman"/>
                <w:bCs/>
                <w:iCs/>
                <w:color w:val="000000"/>
              </w:rPr>
            </w:pPr>
            <w:r w:rsidRPr="00152D86">
              <w:rPr>
                <w:rFonts w:ascii="Times New Roman" w:eastAsia="Calibri" w:hAnsi="Times New Roman" w:cs="Times New Roman"/>
                <w:bCs/>
                <w:iCs/>
                <w:color w:val="000000"/>
              </w:rPr>
              <w:t>565 €</w:t>
            </w:r>
          </w:p>
        </w:tc>
      </w:tr>
      <w:tr w:rsidR="005B48FD" w:rsidRPr="00152D86" w14:paraId="0D05CAEE" w14:textId="77777777" w:rsidTr="00D737D8">
        <w:trPr>
          <w:jc w:val="center"/>
        </w:trPr>
        <w:tc>
          <w:tcPr>
            <w:tcW w:w="1271" w:type="dxa"/>
            <w:vAlign w:val="center"/>
          </w:tcPr>
          <w:p w14:paraId="71451187" w14:textId="77777777" w:rsidR="005B48FD" w:rsidRPr="00152D86" w:rsidRDefault="005B48FD" w:rsidP="00D737D8">
            <w:pPr>
              <w:jc w:val="center"/>
              <w:rPr>
                <w:rFonts w:ascii="Times New Roman" w:eastAsia="Calibri" w:hAnsi="Times New Roman" w:cs="Times New Roman"/>
                <w:b/>
                <w:bCs/>
                <w:iCs/>
                <w:color w:val="000000"/>
              </w:rPr>
            </w:pPr>
            <w:r w:rsidRPr="00152D86">
              <w:rPr>
                <w:rFonts w:ascii="Times New Roman" w:eastAsia="Calibri" w:hAnsi="Times New Roman" w:cs="Times New Roman"/>
                <w:b/>
                <w:bCs/>
                <w:iCs/>
                <w:color w:val="000000"/>
              </w:rPr>
              <w:t>Priemer</w:t>
            </w:r>
          </w:p>
        </w:tc>
        <w:tc>
          <w:tcPr>
            <w:tcW w:w="3119" w:type="dxa"/>
            <w:vAlign w:val="center"/>
          </w:tcPr>
          <w:p w14:paraId="01BE4A34" w14:textId="77777777" w:rsidR="005B48FD" w:rsidRPr="00152D86" w:rsidRDefault="005B48FD" w:rsidP="00D737D8">
            <w:pPr>
              <w:jc w:val="center"/>
              <w:rPr>
                <w:rFonts w:ascii="Times New Roman" w:eastAsia="Calibri" w:hAnsi="Times New Roman" w:cs="Times New Roman"/>
                <w:b/>
                <w:bCs/>
                <w:iCs/>
                <w:color w:val="000000"/>
              </w:rPr>
            </w:pPr>
            <w:r w:rsidRPr="00152D86">
              <w:rPr>
                <w:rFonts w:ascii="Times New Roman" w:eastAsia="Calibri" w:hAnsi="Times New Roman" w:cs="Times New Roman"/>
                <w:b/>
                <w:bCs/>
                <w:iCs/>
                <w:color w:val="000000"/>
              </w:rPr>
              <w:t>48</w:t>
            </w:r>
          </w:p>
        </w:tc>
        <w:tc>
          <w:tcPr>
            <w:tcW w:w="2976" w:type="dxa"/>
            <w:vAlign w:val="center"/>
          </w:tcPr>
          <w:p w14:paraId="7C315E91" w14:textId="77777777" w:rsidR="005B48FD" w:rsidRPr="00152D86" w:rsidRDefault="005B48FD" w:rsidP="00D737D8">
            <w:pPr>
              <w:jc w:val="center"/>
              <w:rPr>
                <w:rFonts w:ascii="Times New Roman" w:eastAsia="Calibri" w:hAnsi="Times New Roman" w:cs="Times New Roman"/>
                <w:b/>
                <w:bCs/>
                <w:iCs/>
                <w:color w:val="000000"/>
              </w:rPr>
            </w:pPr>
            <w:r w:rsidRPr="00152D86">
              <w:rPr>
                <w:rFonts w:ascii="Times New Roman" w:eastAsia="Calibri" w:hAnsi="Times New Roman" w:cs="Times New Roman"/>
                <w:b/>
                <w:bCs/>
                <w:iCs/>
                <w:color w:val="000000"/>
              </w:rPr>
              <w:t>568 €</w:t>
            </w:r>
          </w:p>
        </w:tc>
      </w:tr>
    </w:tbl>
    <w:p w14:paraId="3246C662" w14:textId="77777777" w:rsidR="005B48FD" w:rsidRPr="00152D86" w:rsidRDefault="005B48FD" w:rsidP="005B48FD">
      <w:pPr>
        <w:jc w:val="both"/>
        <w:rPr>
          <w:rFonts w:ascii="Times New Roman" w:eastAsia="Calibri" w:hAnsi="Times New Roman" w:cs="Times New Roman"/>
          <w:bCs/>
          <w:iCs/>
          <w:color w:val="000000"/>
          <w:sz w:val="24"/>
          <w:szCs w:val="24"/>
        </w:rPr>
      </w:pPr>
    </w:p>
    <w:p w14:paraId="603560BC" w14:textId="77777777" w:rsidR="005B48FD" w:rsidRPr="00152D86" w:rsidRDefault="005B48FD" w:rsidP="005B48FD">
      <w:pPr>
        <w:jc w:val="both"/>
        <w:rPr>
          <w:rFonts w:ascii="Times New Roman" w:hAnsi="Times New Roman" w:cs="Times New Roman"/>
          <w:sz w:val="24"/>
          <w:szCs w:val="24"/>
        </w:rPr>
      </w:pPr>
      <w:r w:rsidRPr="00152D86">
        <w:rPr>
          <w:rFonts w:ascii="Times New Roman" w:hAnsi="Times New Roman" w:cs="Times New Roman"/>
          <w:sz w:val="24"/>
          <w:szCs w:val="24"/>
        </w:rPr>
        <w:t xml:space="preserve">Odhadovaný vplyv na podnikateľské prostredie sa tak zníži v priemere o 27 264 € (48 x 568 </w:t>
      </w:r>
      <w:r w:rsidRPr="00152D86">
        <w:rPr>
          <w:rFonts w:eastAsia="Calibri"/>
          <w:bCs/>
          <w:iCs/>
          <w:color w:val="000000"/>
        </w:rPr>
        <w:t>€</w:t>
      </w:r>
      <w:r w:rsidRPr="00152D86">
        <w:rPr>
          <w:rFonts w:ascii="Times New Roman" w:hAnsi="Times New Roman" w:cs="Times New Roman"/>
          <w:sz w:val="24"/>
          <w:szCs w:val="24"/>
        </w:rPr>
        <w:t>).</w:t>
      </w:r>
    </w:p>
    <w:p w14:paraId="7ACD02E8" w14:textId="77777777" w:rsidR="005B48FD" w:rsidRPr="00152D86" w:rsidRDefault="005B48FD" w:rsidP="005B48FD">
      <w:pPr>
        <w:spacing w:after="0"/>
        <w:jc w:val="both"/>
        <w:rPr>
          <w:rFonts w:ascii="Times New Roman" w:hAnsi="Times New Roman" w:cs="Times New Roman"/>
          <w:sz w:val="24"/>
          <w:szCs w:val="24"/>
        </w:rPr>
      </w:pPr>
      <w:r w:rsidRPr="00152D86">
        <w:rPr>
          <w:rFonts w:ascii="Times New Roman" w:hAnsi="Times New Roman" w:cs="Times New Roman"/>
          <w:sz w:val="24"/>
          <w:szCs w:val="24"/>
        </w:rPr>
        <w:t xml:space="preserve">Do tejto analýzy vplyvov nie je zahrnutý pozitívny vplyv, pokiaľ ide o zníženie administratívnych nákladov v nadväznosti na zrušenie nariadenia (EÚ) č. 524/2013, pretože tento vplyv je daný priamo nariadením EÚ, ktorým sa zrušuje nariadenie (EÚ) č. 524/2013. Tento vplyv bol opísaný v riadnom predbežnom stanovisku k návrhu nariadenia Európskeho parlamentu a Rady, ktorým sa zrušuje nariadenie (EÚ) č. 524/2013 a menia nariadenia (EÚ) 2017/2394 a (EÚ) 2018/1724, pokiaľ ide o ukončenie činnosti Európskej platformy RSO (dostupné tu: </w:t>
      </w:r>
      <w:hyperlink r:id="rId19" w:history="1">
        <w:r w:rsidRPr="00152D86">
          <w:rPr>
            <w:rFonts w:ascii="Times New Roman" w:hAnsi="Times New Roman" w:cs="Times New Roman"/>
            <w:color w:val="0563C1" w:themeColor="hyperlink"/>
            <w:sz w:val="24"/>
            <w:szCs w:val="24"/>
            <w:u w:val="single"/>
          </w:rPr>
          <w:t>https://www.slov-lex.sk/elegislativa/legislativne-procesy/SK/LPEU/2023/671</w:t>
        </w:r>
      </w:hyperlink>
      <w:r w:rsidRPr="00152D86">
        <w:rPr>
          <w:rFonts w:ascii="Times New Roman" w:hAnsi="Times New Roman" w:cs="Times New Roman"/>
          <w:sz w:val="24"/>
          <w:szCs w:val="24"/>
        </w:rPr>
        <w:t xml:space="preserve">). </w:t>
      </w:r>
    </w:p>
    <w:p w14:paraId="25F56CBA" w14:textId="77777777" w:rsidR="005B48FD" w:rsidRPr="00152D86" w:rsidRDefault="005B48FD" w:rsidP="005B48FD">
      <w:pPr>
        <w:spacing w:after="0"/>
        <w:jc w:val="both"/>
        <w:rPr>
          <w:rFonts w:ascii="Times New Roman" w:eastAsia="Calibri" w:hAnsi="Times New Roman" w:cs="Times New Roman"/>
          <w:bCs/>
          <w:iCs/>
          <w:color w:val="000000"/>
          <w:sz w:val="24"/>
          <w:szCs w:val="24"/>
        </w:rPr>
      </w:pPr>
    </w:p>
    <w:p w14:paraId="5358EB85" w14:textId="77777777" w:rsidR="005B48FD" w:rsidRPr="00152D86" w:rsidRDefault="005B48FD" w:rsidP="005B48FD">
      <w:pPr>
        <w:jc w:val="both"/>
        <w:rPr>
          <w:rFonts w:ascii="Times New Roman" w:eastAsia="Times New Roman" w:hAnsi="Times New Roman" w:cs="Times New Roman"/>
          <w:color w:val="000000"/>
          <w:sz w:val="24"/>
          <w:szCs w:val="24"/>
        </w:rPr>
      </w:pPr>
      <w:r w:rsidRPr="00152D86">
        <w:rPr>
          <w:rFonts w:ascii="Times New Roman" w:eastAsia="Calibri" w:hAnsi="Times New Roman" w:cs="Times New Roman"/>
          <w:b/>
          <w:bCs/>
          <w:i/>
          <w:sz w:val="24"/>
          <w:szCs w:val="24"/>
          <w:u w:val="single"/>
        </w:rPr>
        <w:t xml:space="preserve">3.1.4 Odôvodnenie </w:t>
      </w:r>
      <w:proofErr w:type="spellStart"/>
      <w:r w:rsidRPr="00152D86">
        <w:rPr>
          <w:rFonts w:ascii="Times New Roman" w:eastAsia="Calibri" w:hAnsi="Times New Roman" w:cs="Times New Roman"/>
          <w:b/>
          <w:bCs/>
          <w:i/>
          <w:sz w:val="24"/>
          <w:szCs w:val="24"/>
          <w:u w:val="single"/>
        </w:rPr>
        <w:t>goldplatingu</w:t>
      </w:r>
      <w:proofErr w:type="spellEnd"/>
      <w:r w:rsidRPr="00152D86">
        <w:rPr>
          <w:rFonts w:ascii="Times New Roman" w:eastAsia="Calibri" w:hAnsi="Times New Roman" w:cs="Times New Roman"/>
          <w:b/>
          <w:bCs/>
          <w:i/>
          <w:sz w:val="24"/>
          <w:szCs w:val="24"/>
          <w:u w:val="single"/>
        </w:rPr>
        <w:t xml:space="preserve"> podľa bodu 4 časti III jednotnej metodiky a ďalšie doplňujúce informácie</w:t>
      </w:r>
      <w:r w:rsidRPr="00152D86">
        <w:rPr>
          <w:rFonts w:ascii="Times New Roman" w:eastAsia="Calibri" w:hAnsi="Times New Roman" w:cs="Times New Roman"/>
          <w:b/>
          <w:bCs/>
          <w:i/>
          <w:sz w:val="24"/>
          <w:szCs w:val="24"/>
          <w:u w:val="single"/>
          <w:vertAlign w:val="superscript"/>
        </w:rPr>
        <w:footnoteReference w:id="2"/>
      </w:r>
      <w:r w:rsidRPr="00152D86">
        <w:rPr>
          <w:rFonts w:ascii="Times New Roman" w:eastAsia="Calibri" w:hAnsi="Times New Roman" w:cs="Times New Roman"/>
          <w:b/>
          <w:bCs/>
          <w:i/>
          <w:sz w:val="24"/>
          <w:szCs w:val="24"/>
          <w:u w:val="single"/>
        </w:rPr>
        <w:t xml:space="preserve"> </w:t>
      </w:r>
    </w:p>
    <w:p w14:paraId="15501FE4" w14:textId="77777777" w:rsidR="005B48FD" w:rsidRPr="00152D86" w:rsidRDefault="005B48FD" w:rsidP="005B48FD">
      <w:pPr>
        <w:jc w:val="both"/>
        <w:rPr>
          <w:rFonts w:ascii="Times New Roman" w:eastAsia="Calibri" w:hAnsi="Times New Roman" w:cs="Times New Roman"/>
          <w:bCs/>
          <w:i/>
          <w:iCs/>
          <w:color w:val="000000"/>
          <w:sz w:val="24"/>
          <w:szCs w:val="24"/>
        </w:rPr>
      </w:pPr>
      <w:r w:rsidRPr="00152D86">
        <w:rPr>
          <w:rFonts w:ascii="Times New Roman" w:eastAsia="Calibri" w:hAnsi="Times New Roman" w:cs="Times New Roman"/>
          <w:bCs/>
          <w:i/>
          <w:iCs/>
          <w:color w:val="000000"/>
          <w:sz w:val="24"/>
          <w:szCs w:val="24"/>
        </w:rPr>
        <w:t xml:space="preserve">Požadované informácie uveďte osobitne ku každému identifikovanému </w:t>
      </w:r>
      <w:proofErr w:type="spellStart"/>
      <w:r w:rsidRPr="00152D86">
        <w:rPr>
          <w:rFonts w:ascii="Times New Roman" w:eastAsia="Calibri" w:hAnsi="Times New Roman" w:cs="Times New Roman"/>
          <w:bCs/>
          <w:i/>
          <w:iCs/>
          <w:color w:val="000000"/>
          <w:sz w:val="24"/>
          <w:szCs w:val="24"/>
        </w:rPr>
        <w:t>goldplatingu</w:t>
      </w:r>
      <w:proofErr w:type="spellEnd"/>
      <w:r w:rsidRPr="00152D86">
        <w:rPr>
          <w:rFonts w:ascii="Times New Roman" w:eastAsia="Calibri" w:hAnsi="Times New Roman" w:cs="Times New Roman"/>
          <w:bCs/>
          <w:i/>
          <w:iCs/>
          <w:color w:val="000000"/>
          <w:sz w:val="24"/>
          <w:szCs w:val="24"/>
        </w:rPr>
        <w:t xml:space="preserve"> (ku každej hodnotenej regulácii s </w:t>
      </w:r>
      <w:proofErr w:type="spellStart"/>
      <w:r w:rsidRPr="00152D86">
        <w:rPr>
          <w:rFonts w:ascii="Times New Roman" w:eastAsia="Calibri" w:hAnsi="Times New Roman" w:cs="Times New Roman"/>
          <w:bCs/>
          <w:i/>
          <w:iCs/>
          <w:color w:val="000000"/>
          <w:sz w:val="24"/>
          <w:szCs w:val="24"/>
        </w:rPr>
        <w:t>goldplatingom</w:t>
      </w:r>
      <w:proofErr w:type="spellEnd"/>
      <w:r w:rsidRPr="00152D86">
        <w:rPr>
          <w:rFonts w:ascii="Times New Roman" w:eastAsia="Calibri" w:hAnsi="Times New Roman" w:cs="Times New Roman"/>
          <w:bCs/>
          <w:i/>
          <w:iCs/>
          <w:color w:val="000000"/>
          <w:sz w:val="24"/>
          <w:szCs w:val="24"/>
        </w:rPr>
        <w:t xml:space="preserve"> osobitne). </w:t>
      </w:r>
    </w:p>
    <w:p w14:paraId="3DE427C0" w14:textId="77777777" w:rsidR="005B48FD" w:rsidRPr="00152D86" w:rsidRDefault="005B48FD" w:rsidP="005B48FD">
      <w:pPr>
        <w:jc w:val="both"/>
        <w:rPr>
          <w:rFonts w:ascii="Times New Roman" w:eastAsia="Calibri" w:hAnsi="Times New Roman" w:cs="Times New Roman"/>
          <w:bCs/>
          <w:i/>
          <w:iCs/>
          <w:color w:val="000000"/>
          <w:sz w:val="24"/>
          <w:szCs w:val="24"/>
        </w:rPr>
      </w:pPr>
      <w:r w:rsidRPr="00152D86">
        <w:rPr>
          <w:rFonts w:ascii="Times New Roman" w:eastAsia="Calibri" w:hAnsi="Times New Roman" w:cs="Times New Roman"/>
          <w:bCs/>
          <w:i/>
          <w:iCs/>
          <w:color w:val="000000"/>
          <w:sz w:val="24"/>
          <w:szCs w:val="24"/>
        </w:rPr>
        <w:t xml:space="preserve">Uveďte odôvodnenie </w:t>
      </w:r>
      <w:proofErr w:type="spellStart"/>
      <w:r w:rsidRPr="00152D86">
        <w:rPr>
          <w:rFonts w:ascii="Times New Roman" w:eastAsia="Calibri" w:hAnsi="Times New Roman" w:cs="Times New Roman"/>
          <w:bCs/>
          <w:i/>
          <w:iCs/>
          <w:color w:val="000000"/>
          <w:sz w:val="24"/>
          <w:szCs w:val="24"/>
        </w:rPr>
        <w:t>goldplatingu</w:t>
      </w:r>
      <w:proofErr w:type="spellEnd"/>
      <w:r w:rsidRPr="00152D86">
        <w:rPr>
          <w:rFonts w:ascii="Times New Roman" w:eastAsia="Calibri" w:hAnsi="Times New Roman" w:cs="Times New Roman"/>
          <w:bCs/>
          <w:i/>
          <w:iCs/>
          <w:color w:val="000000"/>
          <w:sz w:val="24"/>
          <w:szCs w:val="24"/>
        </w:rPr>
        <w:t xml:space="preserve"> z hľadiska jeho nespochybniteľnej nevyhnutnosti. Odôvodnenie doložte dôkladným hodnotením prínosov a nákladov. Uveďte zvážené alternatívne riešenia..</w:t>
      </w:r>
    </w:p>
    <w:p w14:paraId="74D5B3E2" w14:textId="77777777" w:rsidR="005B48FD" w:rsidRPr="00152D86" w:rsidRDefault="005B48FD" w:rsidP="005B48FD">
      <w:pPr>
        <w:jc w:val="both"/>
        <w:rPr>
          <w:rFonts w:ascii="Times New Roman" w:eastAsia="Calibri" w:hAnsi="Times New Roman" w:cs="Times New Roman"/>
          <w:bCs/>
          <w:i/>
          <w:iCs/>
          <w:color w:val="000000"/>
          <w:sz w:val="24"/>
          <w:szCs w:val="24"/>
        </w:rPr>
      </w:pPr>
      <w:r w:rsidRPr="00152D86">
        <w:rPr>
          <w:rFonts w:ascii="Times New Roman" w:eastAsia="Calibri" w:hAnsi="Times New Roman" w:cs="Times New Roman"/>
          <w:bCs/>
          <w:i/>
          <w:iCs/>
          <w:color w:val="000000"/>
          <w:sz w:val="24"/>
          <w:szCs w:val="24"/>
        </w:rPr>
        <w:t xml:space="preserve">Zároveň uveďte konkrétne informácie súvisiace s kategóriou </w:t>
      </w:r>
      <w:proofErr w:type="spellStart"/>
      <w:r w:rsidRPr="00152D86">
        <w:rPr>
          <w:rFonts w:ascii="Times New Roman" w:eastAsia="Calibri" w:hAnsi="Times New Roman" w:cs="Times New Roman"/>
          <w:bCs/>
          <w:i/>
          <w:iCs/>
          <w:color w:val="000000"/>
          <w:sz w:val="24"/>
          <w:szCs w:val="24"/>
        </w:rPr>
        <w:t>goldplatingu</w:t>
      </w:r>
      <w:proofErr w:type="spellEnd"/>
      <w:r w:rsidRPr="00152D86">
        <w:rPr>
          <w:rFonts w:ascii="Times New Roman" w:eastAsia="Calibri" w:hAnsi="Times New Roman" w:cs="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4562DBB7" w14:textId="77777777" w:rsidR="005B48FD" w:rsidRPr="00152D86" w:rsidRDefault="005B48FD" w:rsidP="005B48FD">
      <w:pPr>
        <w:jc w:val="both"/>
        <w:rPr>
          <w:rFonts w:ascii="Times New Roman" w:eastAsia="Calibri" w:hAnsi="Times New Roman" w:cs="Times New Roman"/>
          <w:bCs/>
          <w:i/>
          <w:iCs/>
          <w:sz w:val="24"/>
          <w:szCs w:val="24"/>
        </w:rPr>
      </w:pPr>
      <w:r w:rsidRPr="00152D86">
        <w:rPr>
          <w:rFonts w:ascii="Times New Roman" w:eastAsia="Calibri" w:hAnsi="Times New Roman" w:cs="Times New Roman"/>
          <w:bCs/>
          <w:i/>
          <w:iCs/>
          <w:sz w:val="24"/>
          <w:szCs w:val="24"/>
        </w:rPr>
        <w:t xml:space="preserve">Využitie </w:t>
      </w:r>
      <w:proofErr w:type="spellStart"/>
      <w:r w:rsidRPr="00152D86">
        <w:rPr>
          <w:rFonts w:ascii="Times New Roman" w:eastAsia="Calibri" w:hAnsi="Times New Roman" w:cs="Times New Roman"/>
          <w:bCs/>
          <w:i/>
          <w:iCs/>
          <w:sz w:val="24"/>
          <w:szCs w:val="24"/>
        </w:rPr>
        <w:t>goldplatingu</w:t>
      </w:r>
      <w:proofErr w:type="spellEnd"/>
      <w:r w:rsidRPr="00152D86">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w:t>
      </w:r>
      <w:r>
        <w:rPr>
          <w:rFonts w:ascii="Times New Roman" w:eastAsia="Calibri" w:hAnsi="Times New Roman" w:cs="Times New Roman"/>
          <w:bCs/>
          <w:i/>
          <w:iCs/>
          <w:sz w:val="24"/>
          <w:szCs w:val="24"/>
        </w:rPr>
        <w:br/>
      </w:r>
      <w:r w:rsidRPr="00152D86">
        <w:rPr>
          <w:rFonts w:ascii="Times New Roman" w:eastAsia="Calibri" w:hAnsi="Times New Roman" w:cs="Times New Roman"/>
          <w:bCs/>
          <w:i/>
          <w:iCs/>
          <w:sz w:val="24"/>
          <w:szCs w:val="24"/>
        </w:rPr>
        <w:t xml:space="preserve">v porovnaní s podnikmi z krajín, kde právne predpisy nie sú natoľko prísne. Využitie </w:t>
      </w:r>
      <w:proofErr w:type="spellStart"/>
      <w:r w:rsidRPr="00152D86">
        <w:rPr>
          <w:rFonts w:ascii="Times New Roman" w:eastAsia="Calibri" w:hAnsi="Times New Roman" w:cs="Times New Roman"/>
          <w:bCs/>
          <w:i/>
          <w:iCs/>
          <w:sz w:val="24"/>
          <w:szCs w:val="24"/>
        </w:rPr>
        <w:t>goldplatingu</w:t>
      </w:r>
      <w:proofErr w:type="spellEnd"/>
      <w:r w:rsidRPr="00152D86">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7C93C3A2" w14:textId="77777777" w:rsidR="005B48FD" w:rsidRPr="00152D86" w:rsidRDefault="005B48FD" w:rsidP="005B48FD">
      <w:pPr>
        <w:jc w:val="both"/>
        <w:rPr>
          <w:rFonts w:ascii="Times New Roman" w:eastAsia="Calibri" w:hAnsi="Times New Roman" w:cs="Times New Roman"/>
          <w:bCs/>
          <w:iCs/>
          <w:sz w:val="24"/>
          <w:szCs w:val="24"/>
        </w:rPr>
      </w:pPr>
      <w:r w:rsidRPr="00152D86">
        <w:rPr>
          <w:rFonts w:ascii="Times New Roman" w:eastAsia="Calibri" w:hAnsi="Times New Roman" w:cs="Times New Roman"/>
          <w:bCs/>
          <w:iCs/>
          <w:sz w:val="24"/>
          <w:szCs w:val="24"/>
        </w:rPr>
        <w:t xml:space="preserve">Nebol identifikovaný </w:t>
      </w:r>
      <w:proofErr w:type="spellStart"/>
      <w:r w:rsidRPr="00152D86">
        <w:rPr>
          <w:rFonts w:ascii="Times New Roman" w:eastAsia="Calibri" w:hAnsi="Times New Roman" w:cs="Times New Roman"/>
          <w:bCs/>
          <w:iCs/>
          <w:sz w:val="24"/>
          <w:szCs w:val="24"/>
        </w:rPr>
        <w:t>goldplating</w:t>
      </w:r>
      <w:proofErr w:type="spellEnd"/>
      <w:r w:rsidRPr="00152D86">
        <w:rPr>
          <w:rFonts w:ascii="Times New Roman" w:eastAsia="Calibri" w:hAnsi="Times New Roman" w:cs="Times New Roman"/>
          <w:bCs/>
          <w:iCs/>
          <w:sz w:val="24"/>
          <w:szCs w:val="24"/>
        </w:rPr>
        <w:t>.</w:t>
      </w:r>
    </w:p>
    <w:p w14:paraId="4BC51AFB" w14:textId="77777777" w:rsidR="005B48FD" w:rsidRPr="00152D86" w:rsidRDefault="005B48FD" w:rsidP="005B48FD">
      <w:pPr>
        <w:jc w:val="both"/>
        <w:rPr>
          <w:rFonts w:ascii="Times New Roman" w:eastAsia="Calibri" w:hAnsi="Times New Roman" w:cs="Times New Roman"/>
          <w:b/>
          <w:sz w:val="24"/>
          <w:szCs w:val="24"/>
        </w:rPr>
      </w:pPr>
      <w:r w:rsidRPr="00152D86">
        <w:rPr>
          <w:rFonts w:ascii="Times New Roman" w:eastAsia="Calibri" w:hAnsi="Times New Roman" w:cs="Times New Roman"/>
          <w:b/>
          <w:sz w:val="24"/>
          <w:szCs w:val="24"/>
        </w:rPr>
        <w:t>3.2 Vyhodnotenie konzultácií s podnikateľskými subjektmi pred predbežným pripomienkovým konaním</w:t>
      </w:r>
    </w:p>
    <w:p w14:paraId="63A8F635"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152D86">
        <w:rPr>
          <w:rFonts w:ascii="Times New Roman" w:eastAsia="Calibri" w:hAnsi="Times New Roman" w:cs="Times New Roman"/>
          <w:i/>
          <w:sz w:val="24"/>
          <w:szCs w:val="24"/>
        </w:rPr>
        <w:t>link</w:t>
      </w:r>
      <w:proofErr w:type="spellEnd"/>
      <w:r w:rsidRPr="00152D86">
        <w:rPr>
          <w:rFonts w:ascii="Times New Roman" w:eastAsia="Calibri" w:hAnsi="Times New Roman" w:cs="Times New Roman"/>
          <w:i/>
          <w:sz w:val="24"/>
          <w:szCs w:val="24"/>
        </w:rPr>
        <w:t xml:space="preserve"> na webovú stránku, na ktorej boli konzultácie zverejnené. </w:t>
      </w:r>
    </w:p>
    <w:p w14:paraId="63FA4617"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Uveďte hlavné body konzultácií a ich závery. </w:t>
      </w:r>
    </w:p>
    <w:p w14:paraId="135FBD58"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AEF9C67"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3550078A" w14:textId="77777777" w:rsidR="005B48FD" w:rsidRPr="00152D86" w:rsidRDefault="005B48FD" w:rsidP="005B48FD">
      <w:pPr>
        <w:spacing w:after="0"/>
        <w:jc w:val="both"/>
        <w:rPr>
          <w:rFonts w:ascii="Times New Roman" w:eastAsia="Calibri" w:hAnsi="Times New Roman" w:cs="Times New Roman"/>
          <w:i/>
          <w:sz w:val="24"/>
          <w:szCs w:val="24"/>
        </w:rPr>
      </w:pPr>
    </w:p>
    <w:p w14:paraId="5A3E1717" w14:textId="77777777" w:rsidR="005B48FD" w:rsidRPr="00152D86" w:rsidRDefault="005B48FD" w:rsidP="005B48FD">
      <w:pPr>
        <w:jc w:val="both"/>
        <w:rPr>
          <w:rFonts w:ascii="Times New Roman" w:eastAsia="Calibri" w:hAnsi="Times New Roman" w:cs="Times New Roman"/>
          <w:bCs/>
          <w:iCs/>
          <w:sz w:val="24"/>
          <w:szCs w:val="24"/>
        </w:rPr>
      </w:pPr>
      <w:r w:rsidRPr="00152D86">
        <w:rPr>
          <w:rFonts w:ascii="Times New Roman" w:eastAsia="Calibri" w:hAnsi="Times New Roman" w:cs="Times New Roman"/>
          <w:bCs/>
          <w:iCs/>
          <w:sz w:val="24"/>
          <w:szCs w:val="24"/>
        </w:rPr>
        <w:t>Predbežná informácia k návrhu zákona bola zverejnená na stránke slov-lex.sk</w:t>
      </w:r>
      <w:r w:rsidRPr="00152D86">
        <w:rPr>
          <w:rFonts w:eastAsia="Calibri"/>
        </w:rPr>
        <w:t xml:space="preserve"> </w:t>
      </w:r>
      <w:r w:rsidRPr="00152D86">
        <w:rPr>
          <w:rFonts w:ascii="Times New Roman" w:eastAsia="Calibri" w:hAnsi="Times New Roman" w:cs="Times New Roman"/>
          <w:sz w:val="24"/>
          <w:szCs w:val="24"/>
        </w:rPr>
        <w:t>(</w:t>
      </w:r>
      <w:hyperlink r:id="rId20" w:history="1">
        <w:r w:rsidRPr="00152D86">
          <w:rPr>
            <w:rFonts w:ascii="Times New Roman" w:eastAsia="Calibri" w:hAnsi="Times New Roman" w:cs="Times New Roman"/>
            <w:color w:val="0563C1" w:themeColor="hyperlink"/>
            <w:sz w:val="24"/>
            <w:szCs w:val="24"/>
            <w:u w:val="single"/>
          </w:rPr>
          <w:t>https://www.slov-lex.sk/elegislativa/legislativne-procesy/SK/PI/2024/216</w:t>
        </w:r>
      </w:hyperlink>
      <w:r w:rsidRPr="00152D86">
        <w:rPr>
          <w:rFonts w:ascii="Times New Roman" w:eastAsia="Calibri" w:hAnsi="Times New Roman" w:cs="Times New Roman"/>
          <w:sz w:val="24"/>
          <w:szCs w:val="24"/>
        </w:rPr>
        <w:t>)</w:t>
      </w:r>
      <w:r>
        <w:rPr>
          <w:rFonts w:eastAsia="Calibri"/>
        </w:rPr>
        <w:t xml:space="preserve"> </w:t>
      </w:r>
      <w:r>
        <w:rPr>
          <w:rFonts w:ascii="Times New Roman" w:eastAsia="Calibri" w:hAnsi="Times New Roman" w:cs="Times New Roman"/>
          <w:bCs/>
          <w:iCs/>
          <w:sz w:val="24"/>
          <w:szCs w:val="24"/>
        </w:rPr>
        <w:t xml:space="preserve">s výzvou pre </w:t>
      </w:r>
      <w:r w:rsidRPr="00152D86">
        <w:rPr>
          <w:rFonts w:ascii="Times New Roman" w:eastAsia="Calibri" w:hAnsi="Times New Roman" w:cs="Times New Roman"/>
          <w:bCs/>
          <w:iCs/>
          <w:sz w:val="24"/>
          <w:szCs w:val="24"/>
        </w:rPr>
        <w:t xml:space="preserve">širokú verejnosť zasielať podnety a návrhy k návrhu zákona. Predkladateľovi boli doručené dva návrhy od subjektov v súvislosti so zapojením sa do procesu tvorby návrhu. Predkladateľ návrhy akceptoval a nadviazal spoluprácu s dotknutými subjektmi. V záujme zapojiť do procesu prípravy návrhu zákona od úvodných štádií relevantné subjekty dotknuté rozsahom pôsobnosti smernice pôsobiace na území SR predkladateľ iniciatívne oslovil aj ďalších zástupcov podnikateľov. </w:t>
      </w:r>
    </w:p>
    <w:p w14:paraId="1B08C505" w14:textId="77777777" w:rsidR="005B48FD" w:rsidRPr="00152D86" w:rsidRDefault="005B48FD" w:rsidP="005B48FD">
      <w:pPr>
        <w:spacing w:after="0"/>
        <w:jc w:val="both"/>
        <w:rPr>
          <w:rFonts w:ascii="Times New Roman" w:eastAsia="Calibri" w:hAnsi="Times New Roman" w:cs="Times New Roman"/>
          <w:bCs/>
          <w:iCs/>
          <w:sz w:val="24"/>
          <w:szCs w:val="24"/>
        </w:rPr>
      </w:pPr>
      <w:r w:rsidRPr="00152D86">
        <w:rPr>
          <w:rFonts w:ascii="Times New Roman" w:eastAsia="Calibri" w:hAnsi="Times New Roman" w:cs="Times New Roman"/>
          <w:bCs/>
          <w:iCs/>
          <w:sz w:val="24"/>
          <w:szCs w:val="24"/>
        </w:rPr>
        <w:t xml:space="preserve">Konzultácie sa uskutočnili písomnou formou, keď subjektom bolo umožnené pripomienkovať pracovnú verziu návrhu zákona. Podľa potreby sa uskutočnili aj telefonické konzultácie. Konzultácie prebiehali v rozsahu návrhu zákona, pričom sa zameriavali na zhromažďovanie pripomienok, informácií a postrehov od zainteresovaných strán s cieľom posúdiť účinnosť, efektívnosť, relevantnosť, súdržnosť a pridanú hodnotu navrhovaných opatrení. Spätná väzba od subjektov si nevyžiadala rozsiahlejšie diskusie. </w:t>
      </w:r>
      <w:r w:rsidRPr="00152D86">
        <w:rPr>
          <w:rFonts w:ascii="Times New Roman" w:eastAsia="Times New Roman" w:hAnsi="Times New Roman" w:cs="Times New Roman"/>
          <w:sz w:val="24"/>
          <w:szCs w:val="24"/>
          <w:lang w:eastAsia="sk-SK"/>
        </w:rPr>
        <w:t>Konzultačná činnosť umožnila zhromaždiť názory a pripomienky zainteresovaných strán, ktoré boli zohľadnené pri vypracovaní konečnej podoby návrhu zákona.</w:t>
      </w:r>
      <w:r w:rsidRPr="00152D86">
        <w:rPr>
          <w:rFonts w:ascii="Times New Roman" w:eastAsia="Calibri" w:hAnsi="Times New Roman" w:cs="Times New Roman"/>
          <w:bCs/>
          <w:iCs/>
          <w:sz w:val="24"/>
          <w:szCs w:val="24"/>
        </w:rPr>
        <w:t xml:space="preserve"> </w:t>
      </w:r>
    </w:p>
    <w:p w14:paraId="3A7B075D" w14:textId="77777777" w:rsidR="005B48FD" w:rsidRPr="00152D86" w:rsidRDefault="005B48FD" w:rsidP="005B48FD">
      <w:pPr>
        <w:spacing w:after="0"/>
        <w:jc w:val="both"/>
        <w:rPr>
          <w:rFonts w:ascii="Times New Roman" w:eastAsia="Calibri" w:hAnsi="Times New Roman" w:cs="Times New Roman"/>
          <w:i/>
          <w:sz w:val="24"/>
          <w:szCs w:val="24"/>
        </w:rPr>
      </w:pPr>
    </w:p>
    <w:p w14:paraId="1CD65D9E" w14:textId="77777777" w:rsidR="005B48FD" w:rsidRPr="00152D86" w:rsidRDefault="005B48FD" w:rsidP="005B48FD">
      <w:pPr>
        <w:jc w:val="both"/>
        <w:rPr>
          <w:rFonts w:ascii="Times New Roman" w:eastAsia="Calibri" w:hAnsi="Times New Roman" w:cs="Times New Roman"/>
          <w:b/>
          <w:sz w:val="24"/>
          <w:szCs w:val="24"/>
        </w:rPr>
      </w:pPr>
      <w:bookmarkStart w:id="2" w:name="_Hlk47698091"/>
      <w:r w:rsidRPr="00152D86">
        <w:rPr>
          <w:rFonts w:ascii="Times New Roman" w:eastAsia="Calibri" w:hAnsi="Times New Roman" w:cs="Times New Roman"/>
          <w:b/>
          <w:sz w:val="24"/>
          <w:szCs w:val="24"/>
        </w:rPr>
        <w:t>3.3 Vplyvy na konkurencieschopnosť a produktivitu</w:t>
      </w:r>
    </w:p>
    <w:bookmarkEnd w:id="2"/>
    <w:p w14:paraId="66D24047"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Dochádza k vytvoreniu resp. k zmene bariér na trhu? </w:t>
      </w:r>
    </w:p>
    <w:p w14:paraId="2AF8C161"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152D86">
        <w:rPr>
          <w:rFonts w:ascii="Times New Roman" w:eastAsia="Calibri" w:hAnsi="Times New Roman" w:cs="Times New Roman"/>
          <w:i/>
          <w:sz w:val="24"/>
          <w:szCs w:val="24"/>
        </w:rPr>
        <w:t>mikro</w:t>
      </w:r>
      <w:proofErr w:type="spellEnd"/>
      <w:r w:rsidRPr="00152D86">
        <w:rPr>
          <w:rFonts w:ascii="Times New Roman" w:eastAsia="Calibri" w:hAnsi="Times New Roman" w:cs="Times New Roman"/>
          <w:i/>
          <w:sz w:val="24"/>
          <w:szCs w:val="24"/>
        </w:rPr>
        <w:t xml:space="preserve">, malé a stredné podniky tzv. MSP)? </w:t>
      </w:r>
    </w:p>
    <w:p w14:paraId="241F7B0F"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66C0B99A"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Ovplyvní dostupnosť základných zdrojov (financie, pracovná sila, suroviny, mechanizmy, energie atď.)? </w:t>
      </w:r>
    </w:p>
    <w:p w14:paraId="0A9D29E8"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Ovplyvňuje zmena regulácie inovácie, vedu a výskum?</w:t>
      </w:r>
    </w:p>
    <w:p w14:paraId="4A5D5E68"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Ak bol identifikovaný </w:t>
      </w:r>
      <w:proofErr w:type="spellStart"/>
      <w:r w:rsidRPr="00152D86">
        <w:rPr>
          <w:rFonts w:ascii="Times New Roman" w:eastAsia="Calibri" w:hAnsi="Times New Roman" w:cs="Times New Roman"/>
          <w:i/>
          <w:sz w:val="24"/>
          <w:szCs w:val="24"/>
        </w:rPr>
        <w:t>goldplating</w:t>
      </w:r>
      <w:proofErr w:type="spellEnd"/>
      <w:r w:rsidRPr="00152D86">
        <w:rPr>
          <w:rFonts w:ascii="Times New Roman" w:eastAsia="Calibri" w:hAnsi="Times New Roman" w:cs="Times New Roman"/>
          <w:i/>
          <w:sz w:val="24"/>
          <w:szCs w:val="24"/>
        </w:rPr>
        <w:t>, prispieva k zníženiu konkurencieschopnosti a produktivity? Akým spôsobom?</w:t>
      </w:r>
    </w:p>
    <w:p w14:paraId="7AFB8D4D" w14:textId="77777777" w:rsidR="005B48FD" w:rsidRPr="00152D86" w:rsidRDefault="005B48FD" w:rsidP="005B48FD">
      <w:pPr>
        <w:spacing w:after="0"/>
        <w:jc w:val="both"/>
        <w:rPr>
          <w:rFonts w:ascii="Times New Roman" w:eastAsia="Calibri" w:hAnsi="Times New Roman" w:cs="Times New Roman"/>
          <w:i/>
          <w:iCs/>
          <w:sz w:val="24"/>
          <w:szCs w:val="24"/>
        </w:rPr>
      </w:pPr>
      <w:r w:rsidRPr="00152D86">
        <w:rPr>
          <w:rFonts w:ascii="Times New Roman" w:eastAsia="Calibri" w:hAnsi="Times New Roman" w:cs="Times New Roman"/>
          <w:i/>
          <w:iCs/>
          <w:sz w:val="24"/>
          <w:szCs w:val="24"/>
        </w:rPr>
        <w:t>Ako prispieva zmena regulácie k cieľu Slovenska mať najlepšie podnikateľské prostredie spomedzi susediacich krajín EÚ?</w:t>
      </w:r>
    </w:p>
    <w:p w14:paraId="1F68B4CB" w14:textId="77777777" w:rsidR="005B48FD" w:rsidRPr="00152D86" w:rsidRDefault="005B48FD" w:rsidP="005B48FD">
      <w:pPr>
        <w:spacing w:after="0"/>
        <w:jc w:val="both"/>
        <w:rPr>
          <w:rFonts w:ascii="Times New Roman" w:eastAsia="Calibri" w:hAnsi="Times New Roman" w:cs="Times New Roman"/>
          <w:i/>
          <w:iCs/>
          <w:sz w:val="24"/>
          <w:szCs w:val="24"/>
        </w:rPr>
      </w:pPr>
    </w:p>
    <w:p w14:paraId="0EEC7FEE" w14:textId="77777777" w:rsidR="005B48FD" w:rsidRPr="00152D86" w:rsidRDefault="005B48FD" w:rsidP="005B48FD">
      <w:pPr>
        <w:spacing w:after="0"/>
        <w:jc w:val="both"/>
        <w:rPr>
          <w:rFonts w:ascii="Times New Roman" w:eastAsia="Times New Roman" w:hAnsi="Times New Roman" w:cs="Times New Roman"/>
          <w:sz w:val="20"/>
          <w:szCs w:val="20"/>
          <w:lang w:eastAsia="sk-SK"/>
        </w:rPr>
      </w:pPr>
      <w:r w:rsidRPr="00152D86">
        <w:rPr>
          <w:rFonts w:ascii="Times New Roman" w:eastAsia="Calibri" w:hAnsi="Times New Roman" w:cs="Times New Roman"/>
          <w:sz w:val="24"/>
          <w:szCs w:val="24"/>
        </w:rPr>
        <w:t>Návrh zákona má prispieť k podpore hospodárskej súťaže, keďže navrhované zmeny môžu motivovať výrobcov a obchodníkov v záujme zvýšenia predajnosti k prijatiu opatrení, ktoré budú mať potenciál na zmiernenie negatívnych vplyvov produktov na životné prostredie</w:t>
      </w:r>
      <w:r w:rsidRPr="00152D86">
        <w:rPr>
          <w:rFonts w:ascii="Times New Roman" w:eastAsia="Times New Roman" w:hAnsi="Times New Roman" w:cs="Times New Roman"/>
          <w:sz w:val="20"/>
          <w:szCs w:val="20"/>
          <w:lang w:eastAsia="sk-SK"/>
        </w:rPr>
        <w:t xml:space="preserve">. </w:t>
      </w:r>
      <w:r w:rsidRPr="00152D86">
        <w:rPr>
          <w:rFonts w:ascii="Times New Roman" w:eastAsia="Calibri" w:hAnsi="Times New Roman" w:cs="Times New Roman"/>
          <w:sz w:val="24"/>
          <w:szCs w:val="24"/>
        </w:rPr>
        <w:t xml:space="preserve">Ako vyplýva zo zhodnotenia vplyvov Európskej komisie, na základe novej právnej úpravy možno očakávať zníženie jednostranných prekážok brániacich cezhraničnému obchodu, ktoré vyplývajú z jednostranných opatrení zavádzaných členskými štátmi EÚ. Prijatím návrhu sa stanovia pravidlá, ktoré majú za cieľ zabezpečiť správnosť a dôveryhodnosť tvrdení týkajúcich sa životného prostredia a zakázať určité praktiky týkajúce sa napr. tzv. </w:t>
      </w:r>
      <w:proofErr w:type="spellStart"/>
      <w:r w:rsidRPr="00152D86">
        <w:rPr>
          <w:rFonts w:ascii="Times New Roman" w:eastAsia="Calibri" w:hAnsi="Times New Roman" w:cs="Times New Roman"/>
          <w:sz w:val="24"/>
          <w:szCs w:val="24"/>
        </w:rPr>
        <w:t>greenwashingu</w:t>
      </w:r>
      <w:proofErr w:type="spellEnd"/>
      <w:r w:rsidRPr="00152D86">
        <w:rPr>
          <w:rFonts w:ascii="Times New Roman" w:eastAsia="Calibri" w:hAnsi="Times New Roman" w:cs="Times New Roman"/>
          <w:sz w:val="24"/>
          <w:szCs w:val="24"/>
        </w:rPr>
        <w:t xml:space="preserve">. K odstraňovaniu bariér na trhu by mal prispieť aj zákaz niektorých ďalších praktík spájaných napr. s predčasným a plánovaným zastarávaním tovarov. Zaviesť sa majú aj jednotné pravidlá zabezpečujúce transparentnosť a dôveryhodnosť značiek udržateľnosti. Navrhovaná právna úprava neovplyvní rozdielne zaobchádzanie s podnikmi v rovnakej situácii. Zmena regulácie nebude mať vplyv na cezhraničné investície, príliv/odliv zahraničných investícií, respektíve uplatnenie slovenských podnikov na zahraničných trhoch. Predmetný právny akt neovplyvní dostupnosť základných zdrojov a nebude mať ani priamy dosah na inovácie, vedu a výskum. </w:t>
      </w:r>
    </w:p>
    <w:p w14:paraId="21F47912" w14:textId="77777777" w:rsidR="005B48FD" w:rsidRPr="00152D86" w:rsidRDefault="005B48FD" w:rsidP="005B48FD">
      <w:pPr>
        <w:spacing w:after="0"/>
        <w:jc w:val="both"/>
        <w:rPr>
          <w:rFonts w:ascii="Times New Roman" w:eastAsia="Calibri" w:hAnsi="Times New Roman" w:cs="Times New Roman"/>
          <w:i/>
          <w:sz w:val="24"/>
          <w:szCs w:val="24"/>
        </w:rPr>
      </w:pPr>
    </w:p>
    <w:p w14:paraId="3AD57670" w14:textId="77777777" w:rsidR="005B48FD" w:rsidRPr="00152D86" w:rsidRDefault="005B48FD" w:rsidP="005B48FD">
      <w:pPr>
        <w:spacing w:after="0"/>
        <w:jc w:val="both"/>
        <w:rPr>
          <w:rFonts w:ascii="Times New Roman" w:eastAsia="Calibri" w:hAnsi="Times New Roman" w:cs="Times New Roman"/>
          <w:b/>
          <w:i/>
          <w:sz w:val="24"/>
          <w:szCs w:val="24"/>
        </w:rPr>
      </w:pPr>
      <w:r w:rsidRPr="00152D86">
        <w:rPr>
          <w:rFonts w:ascii="Times New Roman" w:eastAsia="Calibri" w:hAnsi="Times New Roman" w:cs="Times New Roman"/>
          <w:b/>
          <w:i/>
          <w:sz w:val="24"/>
          <w:szCs w:val="24"/>
        </w:rPr>
        <w:t>Konkurencieschopnosť:</w:t>
      </w:r>
    </w:p>
    <w:p w14:paraId="2A2D8ACB"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Na základe uvedených odpovedí zaškrtnite a popíšte, či materiál konkurencieschopnosť:</w:t>
      </w:r>
    </w:p>
    <w:p w14:paraId="30325B00" w14:textId="77777777" w:rsidR="005B48FD" w:rsidRPr="00152D86" w:rsidRDefault="007D52A7" w:rsidP="005B48F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sdt>
                <w:sdtPr>
                  <w:rPr>
                    <w:rFonts w:ascii="Times New Roman" w:eastAsia="Calibri" w:hAnsi="Times New Roman" w:cs="Times New Roman"/>
                    <w:i/>
                    <w:sz w:val="24"/>
                    <w:szCs w:val="24"/>
                  </w:rPr>
                  <w:id w:val="1614013921"/>
                </w:sdtPr>
                <w:sdtEndPr/>
                <w:sdtContent>
                  <w:sdt>
                    <w:sdtPr>
                      <w:rPr>
                        <w:rFonts w:ascii="Times New Roman" w:eastAsia="Calibri" w:hAnsi="Times New Roman" w:cs="Times New Roman"/>
                        <w:i/>
                        <w:sz w:val="24"/>
                        <w:szCs w:val="24"/>
                      </w:rPr>
                      <w:id w:val="1155718417"/>
                    </w:sdtPr>
                    <w:sdtEndPr/>
                    <w:sdtContent>
                      <w:sdt>
                        <w:sdtPr>
                          <w:rPr>
                            <w:rFonts w:eastAsia="Calibri"/>
                            <w:i/>
                          </w:rPr>
                          <w:id w:val="1038170540"/>
                        </w:sdtPr>
                        <w:sdtEndPr/>
                        <w:sdtContent>
                          <w:r w:rsidR="005B48FD" w:rsidRPr="00152D86">
                            <w:rPr>
                              <w:rFonts w:ascii="Segoe UI Symbol" w:eastAsia="Calibri" w:hAnsi="Segoe UI Symbol" w:cs="Segoe UI Symbol"/>
                              <w:i/>
                            </w:rPr>
                            <w:t xml:space="preserve">X </w:t>
                          </w:r>
                        </w:sdtContent>
                      </w:sdt>
                    </w:sdtContent>
                  </w:sdt>
                </w:sdtContent>
              </w:sdt>
            </w:sdtContent>
          </w:sdt>
        </w:sdtContent>
      </w:sdt>
      <w:r w:rsidR="005B48FD" w:rsidRPr="00152D86">
        <w:rPr>
          <w:rFonts w:ascii="Times New Roman" w:eastAsia="Calibri" w:hAnsi="Times New Roman" w:cs="Times New Roman"/>
          <w:i/>
          <w:sz w:val="24"/>
          <w:szCs w:val="24"/>
        </w:rPr>
        <w:t xml:space="preserve"> zvyšuje  </w:t>
      </w:r>
      <w:r w:rsidR="005B48FD" w:rsidRPr="00152D86">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eastAsia="Calibri"/>
                    <w:i/>
                  </w:rPr>
                  <w:id w:val="903952741"/>
                </w:sdtPr>
                <w:sdtEndPr/>
                <w:sdtContent>
                  <w:sdt>
                    <w:sdtPr>
                      <w:rPr>
                        <w:rFonts w:ascii="Times New Roman" w:eastAsia="Calibri" w:hAnsi="Times New Roman" w:cs="Times New Roman"/>
                        <w:i/>
                        <w:sz w:val="24"/>
                        <w:szCs w:val="24"/>
                      </w:rPr>
                      <w:id w:val="1172218528"/>
                    </w:sdtPr>
                    <w:sdtEndPr/>
                    <w:sdtContent>
                      <w:r w:rsidR="005B48FD" w:rsidRPr="00152D86">
                        <w:rPr>
                          <w:rFonts w:ascii="Segoe UI Symbol" w:eastAsia="Calibri" w:hAnsi="Segoe UI Symbol" w:cs="Segoe UI Symbol"/>
                          <w:i/>
                          <w:sz w:val="24"/>
                          <w:szCs w:val="24"/>
                        </w:rPr>
                        <w:t>☐</w:t>
                      </w:r>
                    </w:sdtContent>
                  </w:sdt>
                </w:sdtContent>
              </w:sdt>
            </w:sdtContent>
          </w:sdt>
        </w:sdtContent>
      </w:sdt>
      <w:r w:rsidR="005B48FD" w:rsidRPr="00152D86">
        <w:rPr>
          <w:rFonts w:ascii="Times New Roman" w:eastAsia="Calibri" w:hAnsi="Times New Roman" w:cs="Times New Roman"/>
          <w:i/>
          <w:sz w:val="24"/>
          <w:szCs w:val="24"/>
        </w:rPr>
        <w:t xml:space="preserve"> nemení</w:t>
      </w:r>
      <w:r w:rsidR="005B48FD" w:rsidRPr="00152D86">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5B48FD" w:rsidRPr="00152D86">
                <w:rPr>
                  <w:rFonts w:ascii="Segoe UI Symbol" w:eastAsia="Calibri" w:hAnsi="Segoe UI Symbol" w:cs="Segoe UI Symbol"/>
                  <w:i/>
                  <w:sz w:val="24"/>
                  <w:szCs w:val="24"/>
                </w:rPr>
                <w:t>☐</w:t>
              </w:r>
            </w:sdtContent>
          </w:sdt>
        </w:sdtContent>
      </w:sdt>
      <w:r w:rsidR="005B48FD" w:rsidRPr="00152D86">
        <w:rPr>
          <w:rFonts w:ascii="Times New Roman" w:eastAsia="Calibri" w:hAnsi="Times New Roman" w:cs="Times New Roman"/>
          <w:i/>
          <w:sz w:val="24"/>
          <w:szCs w:val="24"/>
        </w:rPr>
        <w:t xml:space="preserve"> znižuje</w:t>
      </w:r>
    </w:p>
    <w:p w14:paraId="16D9CCE5" w14:textId="77777777" w:rsidR="005B48FD" w:rsidRPr="00152D86" w:rsidRDefault="005B48FD" w:rsidP="005B48FD">
      <w:pPr>
        <w:spacing w:after="0"/>
        <w:jc w:val="both"/>
        <w:rPr>
          <w:rFonts w:ascii="Times New Roman" w:eastAsia="Calibri" w:hAnsi="Times New Roman" w:cs="Times New Roman"/>
          <w:i/>
          <w:sz w:val="24"/>
          <w:szCs w:val="24"/>
        </w:rPr>
      </w:pPr>
    </w:p>
    <w:p w14:paraId="3C962204" w14:textId="77777777" w:rsidR="005B48FD" w:rsidRPr="00152D86" w:rsidRDefault="005B48FD" w:rsidP="005B48FD">
      <w:pPr>
        <w:spacing w:after="0"/>
        <w:jc w:val="both"/>
        <w:rPr>
          <w:rFonts w:ascii="Times New Roman" w:eastAsia="Calibri" w:hAnsi="Times New Roman" w:cs="Times New Roman"/>
          <w:b/>
          <w:i/>
          <w:sz w:val="24"/>
          <w:szCs w:val="24"/>
        </w:rPr>
      </w:pPr>
      <w:r w:rsidRPr="00152D86">
        <w:rPr>
          <w:rFonts w:ascii="Times New Roman" w:eastAsia="Calibri" w:hAnsi="Times New Roman" w:cs="Times New Roman"/>
          <w:b/>
          <w:i/>
          <w:sz w:val="24"/>
          <w:szCs w:val="24"/>
        </w:rPr>
        <w:t>Produktivita:</w:t>
      </w:r>
    </w:p>
    <w:p w14:paraId="66A3CF77"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Aký má materiál vplyv na zmenu pomeru medzi produkciou podnikov a ich nákladmi? </w:t>
      </w:r>
    </w:p>
    <w:p w14:paraId="355AE42B" w14:textId="77777777" w:rsidR="005B48FD" w:rsidRPr="00152D86" w:rsidRDefault="005B48FD" w:rsidP="005B48FD">
      <w:pPr>
        <w:spacing w:after="0"/>
        <w:jc w:val="both"/>
        <w:rPr>
          <w:rFonts w:ascii="Times New Roman" w:eastAsia="Calibri" w:hAnsi="Times New Roman" w:cs="Times New Roman"/>
          <w:i/>
          <w:sz w:val="24"/>
          <w:szCs w:val="24"/>
        </w:rPr>
      </w:pPr>
    </w:p>
    <w:p w14:paraId="7AF01A96"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Na základe uvedenej odpovede zaškrtnite a popíšte, či materiál produktivitu:</w:t>
      </w:r>
    </w:p>
    <w:p w14:paraId="6838EBF1" w14:textId="77777777" w:rsidR="005B48FD" w:rsidRPr="00152D86" w:rsidRDefault="007D52A7" w:rsidP="005B48F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5B48FD" w:rsidRPr="00152D86">
                <w:rPr>
                  <w:rFonts w:ascii="Segoe UI Symbol" w:eastAsia="Calibri" w:hAnsi="Segoe UI Symbol" w:cs="Segoe UI Symbol"/>
                  <w:i/>
                  <w:sz w:val="24"/>
                  <w:szCs w:val="24"/>
                </w:rPr>
                <w:t>☐</w:t>
              </w:r>
            </w:sdtContent>
          </w:sdt>
        </w:sdtContent>
      </w:sdt>
      <w:r w:rsidR="005B48FD" w:rsidRPr="00152D86">
        <w:rPr>
          <w:rFonts w:ascii="Times New Roman" w:eastAsia="Calibri" w:hAnsi="Times New Roman" w:cs="Times New Roman"/>
          <w:i/>
          <w:sz w:val="24"/>
          <w:szCs w:val="24"/>
        </w:rPr>
        <w:t xml:space="preserve"> zvyšuje  </w:t>
      </w:r>
      <w:r w:rsidR="005B48FD" w:rsidRPr="00152D86">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eastAsia="Calibri"/>
                    <w:i/>
                  </w:rPr>
                  <w:id w:val="-227534485"/>
                </w:sdtPr>
                <w:sdtEndPr/>
                <w:sdtContent>
                  <w:r w:rsidR="005B48FD" w:rsidRPr="00152D86">
                    <w:rPr>
                      <w:rFonts w:ascii="Segoe UI Symbol" w:eastAsia="Calibri" w:hAnsi="Segoe UI Symbol" w:cs="Segoe UI Symbol"/>
                      <w:i/>
                    </w:rPr>
                    <w:t xml:space="preserve">X </w:t>
                  </w:r>
                </w:sdtContent>
              </w:sdt>
            </w:sdtContent>
          </w:sdt>
        </w:sdtContent>
      </w:sdt>
      <w:r w:rsidR="005B48FD" w:rsidRPr="00152D86">
        <w:rPr>
          <w:rFonts w:ascii="Times New Roman" w:eastAsia="Calibri" w:hAnsi="Times New Roman" w:cs="Times New Roman"/>
          <w:i/>
          <w:sz w:val="24"/>
          <w:szCs w:val="24"/>
        </w:rPr>
        <w:t xml:space="preserve"> nemení</w:t>
      </w:r>
      <w:r w:rsidR="005B48FD" w:rsidRPr="00152D86">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5B48FD" w:rsidRPr="00152D86">
                <w:rPr>
                  <w:rFonts w:ascii="Segoe UI Symbol" w:eastAsia="Calibri" w:hAnsi="Segoe UI Symbol" w:cs="Segoe UI Symbol"/>
                  <w:i/>
                  <w:sz w:val="24"/>
                  <w:szCs w:val="24"/>
                </w:rPr>
                <w:t>☐</w:t>
              </w:r>
            </w:sdtContent>
          </w:sdt>
        </w:sdtContent>
      </w:sdt>
      <w:r w:rsidR="005B48FD" w:rsidRPr="00152D86">
        <w:rPr>
          <w:rFonts w:ascii="Times New Roman" w:eastAsia="Calibri" w:hAnsi="Times New Roman" w:cs="Times New Roman"/>
          <w:i/>
          <w:sz w:val="24"/>
          <w:szCs w:val="24"/>
        </w:rPr>
        <w:t xml:space="preserve"> znižuje</w:t>
      </w:r>
    </w:p>
    <w:p w14:paraId="6AC07BB4" w14:textId="77777777" w:rsidR="005B48FD" w:rsidRPr="00152D86" w:rsidRDefault="005B48FD" w:rsidP="005B48FD">
      <w:pPr>
        <w:spacing w:after="0"/>
        <w:jc w:val="both"/>
        <w:rPr>
          <w:rFonts w:ascii="Times New Roman" w:eastAsia="Calibri" w:hAnsi="Times New Roman" w:cs="Times New Roman"/>
          <w:i/>
          <w:sz w:val="24"/>
          <w:szCs w:val="24"/>
        </w:rPr>
      </w:pPr>
    </w:p>
    <w:p w14:paraId="75568B98" w14:textId="77777777" w:rsidR="005B48FD" w:rsidRPr="00152D86" w:rsidRDefault="005B48FD" w:rsidP="005B48FD">
      <w:pPr>
        <w:jc w:val="both"/>
        <w:rPr>
          <w:rFonts w:ascii="Times New Roman" w:eastAsia="Calibri" w:hAnsi="Times New Roman" w:cs="Times New Roman"/>
          <w:b/>
          <w:sz w:val="24"/>
          <w:szCs w:val="24"/>
        </w:rPr>
      </w:pPr>
      <w:r w:rsidRPr="00152D86">
        <w:rPr>
          <w:rFonts w:ascii="Times New Roman" w:eastAsia="Calibri" w:hAnsi="Times New Roman" w:cs="Times New Roman"/>
          <w:b/>
          <w:sz w:val="24"/>
          <w:szCs w:val="24"/>
        </w:rPr>
        <w:t xml:space="preserve">3.4  Iné vplyvy na podnikateľské prostredie </w:t>
      </w:r>
    </w:p>
    <w:p w14:paraId="143632F1" w14:textId="77777777" w:rsidR="005B48FD" w:rsidRPr="00152D86" w:rsidRDefault="005B48FD" w:rsidP="005B48FD">
      <w:pPr>
        <w:spacing w:after="0"/>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7E4D109A" w14:textId="77777777" w:rsidR="005B48FD" w:rsidRPr="00152D86" w:rsidRDefault="005B48FD" w:rsidP="005B48FD">
      <w:pPr>
        <w:numPr>
          <w:ilvl w:val="0"/>
          <w:numId w:val="6"/>
        </w:numPr>
        <w:spacing w:after="0" w:line="254" w:lineRule="auto"/>
        <w:contextualSpacing/>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vplyvy súvisiace so žiadosťami o alebo prijímaním dotácií, fondov, štátnej pomoci a čerpaním iných obdobných foriem podpory zo strany štátu, keďže sú sprievodným javom uchádzania sa či získania benefitov, na ktoré nie je právny nárok priamo </w:t>
      </w:r>
      <w:r>
        <w:rPr>
          <w:rFonts w:ascii="Times New Roman" w:eastAsia="Calibri" w:hAnsi="Times New Roman" w:cs="Times New Roman"/>
          <w:i/>
          <w:sz w:val="24"/>
          <w:szCs w:val="24"/>
        </w:rPr>
        <w:br/>
      </w:r>
      <w:r w:rsidRPr="00152D86">
        <w:rPr>
          <w:rFonts w:ascii="Times New Roman" w:eastAsia="Calibri" w:hAnsi="Times New Roman" w:cs="Times New Roman"/>
          <w:i/>
          <w:sz w:val="24"/>
          <w:szCs w:val="24"/>
        </w:rPr>
        <w:t>zo zákona, ale vzniká na základe prejavu vôle dotknutého subjektu;</w:t>
      </w:r>
    </w:p>
    <w:p w14:paraId="6D82E7F7" w14:textId="77777777" w:rsidR="005B48FD" w:rsidRPr="00152D86" w:rsidRDefault="005B48FD" w:rsidP="005B48FD">
      <w:pPr>
        <w:numPr>
          <w:ilvl w:val="0"/>
          <w:numId w:val="6"/>
        </w:numPr>
        <w:spacing w:after="0" w:line="254" w:lineRule="auto"/>
        <w:contextualSpacing/>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regulované ceny podľa zákona č. 18/1996 Z. z. o cenách;</w:t>
      </w:r>
    </w:p>
    <w:p w14:paraId="5209F108" w14:textId="77777777" w:rsidR="005B48FD" w:rsidRPr="00152D86" w:rsidRDefault="005B48FD" w:rsidP="005B48FD">
      <w:pPr>
        <w:numPr>
          <w:ilvl w:val="0"/>
          <w:numId w:val="6"/>
        </w:numPr>
        <w:spacing w:after="0" w:line="254" w:lineRule="auto"/>
        <w:contextualSpacing/>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iné vplyvy, ktoré predpokladá materiál, ale nemožno ich zaradiť do častí 3.1 a 3.3.,</w:t>
      </w:r>
    </w:p>
    <w:p w14:paraId="627094F3" w14:textId="77777777" w:rsidR="005B48FD" w:rsidRPr="00152D86" w:rsidRDefault="005B48FD" w:rsidP="005B48FD">
      <w:pPr>
        <w:numPr>
          <w:ilvl w:val="0"/>
          <w:numId w:val="6"/>
        </w:numPr>
        <w:spacing w:after="0" w:line="254" w:lineRule="auto"/>
        <w:contextualSpacing/>
        <w:jc w:val="both"/>
        <w:rPr>
          <w:rFonts w:ascii="Times New Roman" w:eastAsia="Calibri" w:hAnsi="Times New Roman" w:cs="Times New Roman"/>
          <w:i/>
          <w:sz w:val="24"/>
          <w:szCs w:val="24"/>
        </w:rPr>
      </w:pPr>
      <w:r w:rsidRPr="00152D86">
        <w:rPr>
          <w:rFonts w:ascii="Times New Roman" w:eastAsia="Calibri" w:hAnsi="Times New Roman" w:cs="Times New Roman"/>
          <w:i/>
          <w:sz w:val="24"/>
          <w:szCs w:val="24"/>
        </w:rPr>
        <w:t xml:space="preserve">iné vplyvy podľa písm. a) až c), ktoré sú </w:t>
      </w:r>
      <w:proofErr w:type="spellStart"/>
      <w:r w:rsidRPr="00152D86">
        <w:rPr>
          <w:rFonts w:ascii="Times New Roman" w:eastAsia="Calibri" w:hAnsi="Times New Roman" w:cs="Times New Roman"/>
          <w:i/>
          <w:sz w:val="24"/>
          <w:szCs w:val="24"/>
        </w:rPr>
        <w:t>goldplatingom</w:t>
      </w:r>
      <w:proofErr w:type="spellEnd"/>
      <w:r w:rsidRPr="00152D86">
        <w:rPr>
          <w:rFonts w:ascii="Times New Roman" w:eastAsia="Calibri" w:hAnsi="Times New Roman" w:cs="Times New Roman"/>
          <w:i/>
          <w:sz w:val="24"/>
          <w:szCs w:val="24"/>
        </w:rPr>
        <w:t>.</w:t>
      </w:r>
    </w:p>
    <w:p w14:paraId="140F0E57" w14:textId="77777777" w:rsidR="005B48FD" w:rsidRPr="00152D86" w:rsidRDefault="005B48FD" w:rsidP="005B48FD">
      <w:pPr>
        <w:spacing w:after="0" w:line="240" w:lineRule="auto"/>
        <w:jc w:val="center"/>
        <w:rPr>
          <w:rFonts w:ascii="Times New Roman" w:eastAsia="Times New Roman" w:hAnsi="Times New Roman" w:cs="Times New Roman"/>
          <w:b/>
          <w:sz w:val="24"/>
          <w:szCs w:val="24"/>
          <w:lang w:eastAsia="sk-SK"/>
        </w:rPr>
      </w:pPr>
    </w:p>
    <w:p w14:paraId="20A5CDD7" w14:textId="77777777" w:rsidR="005B48FD" w:rsidRPr="00152D86" w:rsidRDefault="005B48FD" w:rsidP="005B48FD">
      <w:pPr>
        <w:spacing w:after="0" w:line="240" w:lineRule="auto"/>
        <w:jc w:val="both"/>
        <w:rPr>
          <w:rFonts w:ascii="Times New Roman" w:eastAsia="Calibri" w:hAnsi="Times New Roman" w:cs="Times New Roman"/>
          <w:b/>
          <w:bCs/>
          <w:iCs/>
          <w:color w:val="000000"/>
          <w:sz w:val="24"/>
          <w:szCs w:val="24"/>
        </w:rPr>
      </w:pPr>
      <w:r w:rsidRPr="00152D86">
        <w:rPr>
          <w:rFonts w:ascii="Times New Roman" w:eastAsia="Calibri" w:hAnsi="Times New Roman" w:cs="Times New Roman"/>
          <w:b/>
          <w:bCs/>
          <w:iCs/>
          <w:color w:val="000000"/>
          <w:sz w:val="24"/>
          <w:szCs w:val="24"/>
        </w:rPr>
        <w:t>Sankcie za porušenie nových povinností podľa návrhu zákona</w:t>
      </w:r>
    </w:p>
    <w:p w14:paraId="13D6675B" w14:textId="77777777" w:rsidR="005B48FD" w:rsidRPr="00152D86" w:rsidRDefault="005B48FD" w:rsidP="005B48FD">
      <w:pPr>
        <w:spacing w:after="0" w:line="240" w:lineRule="auto"/>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Cs/>
          <w:iCs/>
          <w:color w:val="000000"/>
          <w:sz w:val="24"/>
          <w:szCs w:val="24"/>
        </w:rPr>
        <w:t>Sankcie za porušenie nových povinností zavádzaných návrhom zákona nie je možné kvantifikovať. Ide o povinnosti, ktoré je možné rozčleniť do troch kategórií: a) nové informačné povinnosti, b) nové nekalé obchodné praktiky a c) úplne nový typ povinností (napr. povinnosť vykonať opravu). Predkladateľ má za to, že pri kvantifikácii tohto vplyvu nie je možné použiť metódu pripodobňovania pokút a odhadnúť, akým spôsobom sa dotkne porušenie povinností podnikateľského prostredia, a to z nasledujúcich dôvodov.</w:t>
      </w:r>
    </w:p>
    <w:p w14:paraId="2347D505" w14:textId="77777777" w:rsidR="005B48FD" w:rsidRPr="00152D86" w:rsidRDefault="005B48FD" w:rsidP="005B48FD">
      <w:pPr>
        <w:spacing w:after="0" w:line="240" w:lineRule="auto"/>
        <w:jc w:val="both"/>
        <w:rPr>
          <w:rFonts w:ascii="Times New Roman" w:eastAsia="Calibri" w:hAnsi="Times New Roman" w:cs="Times New Roman"/>
          <w:bCs/>
          <w:iCs/>
          <w:color w:val="000000"/>
          <w:sz w:val="24"/>
          <w:szCs w:val="24"/>
        </w:rPr>
      </w:pPr>
    </w:p>
    <w:p w14:paraId="15C3D4D2" w14:textId="3DCA4194" w:rsidR="005B48FD" w:rsidRDefault="005B48FD" w:rsidP="005B48FD">
      <w:pPr>
        <w:spacing w:after="0" w:line="240" w:lineRule="auto"/>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Cs/>
          <w:iCs/>
          <w:color w:val="000000"/>
          <w:sz w:val="24"/>
          <w:szCs w:val="24"/>
        </w:rPr>
        <w:t>Povinnosti v rámci prvých dvoch kategórií sa spravidla nesankcionujú samostatne, ale spolu s inými porušeniami v oblasti ochrany spotrebiteľa podľa pravidiel ukladania úhrnnej pokuty. Štatistické výstupy z činnosti orgánov dohľadu sú preto skresľujúce, nepresné, nemožno z nich vyfiltrovať presnejšie dáta len za porušenie vybraných povinností. Povinnosti v rámci tretej kategórie sú nové pre podnikateľské prostredie a neboli identifikované vhodné povinnosti na pripodobnenie, ku ktorým by boli dostupné dáta na pripodobnenie.</w:t>
      </w:r>
    </w:p>
    <w:p w14:paraId="1342A44F" w14:textId="77777777" w:rsidR="005B48FD" w:rsidRPr="00152D86" w:rsidRDefault="005B48FD" w:rsidP="005B48FD">
      <w:pPr>
        <w:spacing w:after="0" w:line="240" w:lineRule="auto"/>
        <w:jc w:val="both"/>
        <w:rPr>
          <w:rFonts w:ascii="Times New Roman" w:eastAsia="Calibri" w:hAnsi="Times New Roman" w:cs="Times New Roman"/>
          <w:bCs/>
          <w:iCs/>
          <w:color w:val="000000"/>
          <w:sz w:val="24"/>
          <w:szCs w:val="24"/>
        </w:rPr>
      </w:pPr>
    </w:p>
    <w:p w14:paraId="14C83204" w14:textId="0945C67D" w:rsidR="005B48FD" w:rsidRDefault="005B48FD" w:rsidP="005B48FD">
      <w:pPr>
        <w:spacing w:after="0" w:line="240" w:lineRule="auto"/>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Cs/>
          <w:iCs/>
          <w:color w:val="000000"/>
          <w:sz w:val="24"/>
          <w:szCs w:val="24"/>
        </w:rPr>
        <w:t>Ďalším dôvodom je nová právna úprava sankcionovania na základe obratu dohliadanej osoby v oblasti ochrany spotrebiteľa. Nová práva úprava zavedená v prvej polovici roku 2024 zásadne zmenila spôsob ukladania sankcií a bude sa aplikovať aj na ukladanie sankcií za porušenie nových povinností. Vzhľadom na krátku dobu účinnosti v súčasnosti nie sú ešte dostupné dáta, ktoré by boli relevantné pre pripodobnenie v zmysle nových pravidiel sankcionovania.</w:t>
      </w:r>
    </w:p>
    <w:p w14:paraId="54DC5385" w14:textId="77777777" w:rsidR="005B48FD" w:rsidRPr="00152D86" w:rsidRDefault="005B48FD" w:rsidP="005B48FD">
      <w:pPr>
        <w:spacing w:after="0" w:line="240" w:lineRule="auto"/>
        <w:jc w:val="both"/>
        <w:rPr>
          <w:rFonts w:ascii="Times New Roman" w:eastAsia="Calibri" w:hAnsi="Times New Roman" w:cs="Times New Roman"/>
          <w:bCs/>
          <w:iCs/>
          <w:color w:val="000000"/>
          <w:sz w:val="24"/>
          <w:szCs w:val="24"/>
        </w:rPr>
      </w:pPr>
    </w:p>
    <w:p w14:paraId="5F337FFE" w14:textId="0DF1A9F5" w:rsidR="005B48FD" w:rsidRDefault="005B48FD" w:rsidP="005B48FD">
      <w:pPr>
        <w:spacing w:after="0" w:line="240" w:lineRule="auto"/>
        <w:jc w:val="both"/>
        <w:rPr>
          <w:rFonts w:ascii="Times New Roman" w:eastAsia="Calibri" w:hAnsi="Times New Roman" w:cs="Times New Roman"/>
          <w:bCs/>
          <w:iCs/>
          <w:color w:val="000000"/>
          <w:sz w:val="24"/>
          <w:szCs w:val="24"/>
        </w:rPr>
      </w:pPr>
      <w:r w:rsidRPr="00152D86">
        <w:rPr>
          <w:rFonts w:ascii="Times New Roman" w:eastAsia="Calibri" w:hAnsi="Times New Roman" w:cs="Times New Roman"/>
          <w:bCs/>
          <w:iCs/>
          <w:color w:val="000000"/>
          <w:sz w:val="24"/>
          <w:szCs w:val="24"/>
        </w:rPr>
        <w:t>Pre nové povinnosti budú zároveň platiť inštitúty druhej šance, ktoré boli zavedené v oblasti ochrany spotrebiteľa zákonom č. 108/2024 Z. z. o ochrane spotrebiteľa a o zmene a doplnení niektorých zákonov.</w:t>
      </w:r>
    </w:p>
    <w:p w14:paraId="0B11DF85" w14:textId="77777777" w:rsidR="004D6DA8" w:rsidRPr="00152D86" w:rsidRDefault="004D6DA8" w:rsidP="005B48FD">
      <w:pPr>
        <w:spacing w:after="0" w:line="240" w:lineRule="auto"/>
        <w:jc w:val="both"/>
        <w:rPr>
          <w:rFonts w:ascii="Times New Roman" w:eastAsia="Calibri" w:hAnsi="Times New Roman" w:cs="Times New Roman"/>
          <w:bCs/>
          <w:iCs/>
          <w:color w:val="000000"/>
          <w:sz w:val="24"/>
          <w:szCs w:val="24"/>
        </w:rPr>
      </w:pPr>
    </w:p>
    <w:bookmarkStart w:id="3" w:name="_MON_1807010000"/>
    <w:bookmarkEnd w:id="3"/>
    <w:p w14:paraId="55C22A7C" w14:textId="773B2A92" w:rsidR="005B48FD" w:rsidRDefault="00186115" w:rsidP="005B48FD">
      <w:pPr>
        <w:spacing w:after="0" w:line="254"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object w:dxaOrig="1508" w:dyaOrig="984" w14:anchorId="40F20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1" o:title=""/>
          </v:shape>
          <o:OLEObject Type="Embed" ProgID="Excel.Sheet.12" ShapeID="_x0000_i1025" DrawAspect="Icon" ObjectID="_1808563756" r:id="rId22"/>
        </w:object>
      </w:r>
    </w:p>
    <w:p w14:paraId="424DBDFC" w14:textId="77777777" w:rsidR="00B21D1F" w:rsidRPr="005B48FD" w:rsidRDefault="00B21D1F" w:rsidP="005B48FD"/>
    <w:sectPr w:rsidR="00B21D1F" w:rsidRPr="005B48FD" w:rsidSect="00231B8F">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81DF4" w14:textId="77777777" w:rsidR="0014466F" w:rsidRDefault="0014466F" w:rsidP="00054C41">
      <w:pPr>
        <w:spacing w:after="0" w:line="240" w:lineRule="auto"/>
      </w:pPr>
      <w:r>
        <w:separator/>
      </w:r>
    </w:p>
  </w:endnote>
  <w:endnote w:type="continuationSeparator" w:id="0">
    <w:p w14:paraId="123A95E6" w14:textId="77777777" w:rsidR="0014466F" w:rsidRDefault="0014466F"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2082A853" w:rsidR="00DD7B7A" w:rsidRPr="006045CB" w:rsidRDefault="00DD7B7A"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7D52A7">
          <w:rPr>
            <w:rFonts w:ascii="Times New Roman" w:hAnsi="Times New Roman" w:cs="Times New Roman"/>
            <w:noProof/>
            <w:sz w:val="24"/>
            <w:szCs w:val="24"/>
          </w:rPr>
          <w:t>12</w:t>
        </w:r>
        <w:r w:rsidRPr="006045CB">
          <w:rPr>
            <w:rFonts w:ascii="Times New Roman" w:hAnsi="Times New Roman" w:cs="Times New Roman"/>
            <w:sz w:val="24"/>
            <w:szCs w:val="24"/>
          </w:rPr>
          <w:fldChar w:fldCharType="end"/>
        </w:r>
      </w:p>
    </w:sdtContent>
  </w:sdt>
  <w:p w14:paraId="4556761F" w14:textId="77777777" w:rsidR="00DD7B7A" w:rsidRPr="00FF7125" w:rsidRDefault="00DD7B7A" w:rsidP="00054C41">
    <w:pPr>
      <w:pStyle w:val="Pta"/>
      <w:rPr>
        <w:sz w:val="24"/>
        <w:szCs w:val="24"/>
      </w:rPr>
    </w:pPr>
  </w:p>
  <w:p w14:paraId="20FE6A4A" w14:textId="77777777" w:rsidR="00DD7B7A" w:rsidRDefault="00DD7B7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34F2F" w14:textId="77777777" w:rsidR="0014466F" w:rsidRDefault="0014466F" w:rsidP="00054C41">
      <w:pPr>
        <w:spacing w:after="0" w:line="240" w:lineRule="auto"/>
      </w:pPr>
      <w:r>
        <w:separator/>
      </w:r>
    </w:p>
  </w:footnote>
  <w:footnote w:type="continuationSeparator" w:id="0">
    <w:p w14:paraId="230C4265" w14:textId="77777777" w:rsidR="0014466F" w:rsidRDefault="0014466F" w:rsidP="00054C41">
      <w:pPr>
        <w:spacing w:after="0" w:line="240" w:lineRule="auto"/>
      </w:pPr>
      <w:r>
        <w:continuationSeparator/>
      </w:r>
    </w:p>
  </w:footnote>
  <w:footnote w:id="1">
    <w:p w14:paraId="14E4B084" w14:textId="77777777" w:rsidR="005B48FD" w:rsidRPr="000A6B7F" w:rsidRDefault="005B48FD" w:rsidP="005B48FD">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245466C9" w14:textId="77777777" w:rsidR="005B48FD" w:rsidRPr="00804BC8" w:rsidRDefault="005B48FD" w:rsidP="005B48FD">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4F7F4A6" w14:textId="77777777" w:rsidR="005B48FD" w:rsidRDefault="005B48FD" w:rsidP="005B48FD">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DD7B7A" w:rsidRPr="006045CB" w:rsidRDefault="00DD7B7A"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DD7B7A" w:rsidRPr="006045CB" w:rsidRDefault="00DD7B7A" w:rsidP="001421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0"/>
  </w:num>
  <w:num w:numId="3">
    <w:abstractNumId w:val="11"/>
  </w:num>
  <w:num w:numId="4">
    <w:abstractNumId w:val="9"/>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4"/>
  </w:num>
  <w:num w:numId="12">
    <w:abstractNumId w:val="0"/>
  </w:num>
  <w:num w:numId="13">
    <w:abstractNumId w:val="1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29D8"/>
    <w:rsid w:val="00005FB7"/>
    <w:rsid w:val="000133C3"/>
    <w:rsid w:val="0001650C"/>
    <w:rsid w:val="0002425A"/>
    <w:rsid w:val="00024EE4"/>
    <w:rsid w:val="00030D73"/>
    <w:rsid w:val="000440D0"/>
    <w:rsid w:val="000457A9"/>
    <w:rsid w:val="00047C70"/>
    <w:rsid w:val="00050AAB"/>
    <w:rsid w:val="00054A53"/>
    <w:rsid w:val="00054C41"/>
    <w:rsid w:val="00060DA1"/>
    <w:rsid w:val="00061E85"/>
    <w:rsid w:val="00067FE6"/>
    <w:rsid w:val="000820E0"/>
    <w:rsid w:val="00091A43"/>
    <w:rsid w:val="0009490E"/>
    <w:rsid w:val="000A6B7F"/>
    <w:rsid w:val="000B3855"/>
    <w:rsid w:val="000C5419"/>
    <w:rsid w:val="000C5E9A"/>
    <w:rsid w:val="000C763D"/>
    <w:rsid w:val="000C7CF5"/>
    <w:rsid w:val="000D15F0"/>
    <w:rsid w:val="000E3101"/>
    <w:rsid w:val="0011003B"/>
    <w:rsid w:val="00110075"/>
    <w:rsid w:val="001133DA"/>
    <w:rsid w:val="0012356F"/>
    <w:rsid w:val="00126822"/>
    <w:rsid w:val="00126A2B"/>
    <w:rsid w:val="001403F0"/>
    <w:rsid w:val="00142154"/>
    <w:rsid w:val="0014466F"/>
    <w:rsid w:val="001476A4"/>
    <w:rsid w:val="001501CF"/>
    <w:rsid w:val="00152633"/>
    <w:rsid w:val="00154B14"/>
    <w:rsid w:val="00162C6C"/>
    <w:rsid w:val="0016425A"/>
    <w:rsid w:val="0016512E"/>
    <w:rsid w:val="001751B4"/>
    <w:rsid w:val="00183CF1"/>
    <w:rsid w:val="001850B6"/>
    <w:rsid w:val="00186115"/>
    <w:rsid w:val="0018715C"/>
    <w:rsid w:val="00195FF2"/>
    <w:rsid w:val="001A1561"/>
    <w:rsid w:val="001A3635"/>
    <w:rsid w:val="001A7026"/>
    <w:rsid w:val="001B2323"/>
    <w:rsid w:val="001B4C03"/>
    <w:rsid w:val="001C7B91"/>
    <w:rsid w:val="001D08E7"/>
    <w:rsid w:val="001D1083"/>
    <w:rsid w:val="001D3FA0"/>
    <w:rsid w:val="001D6ECA"/>
    <w:rsid w:val="001E24E8"/>
    <w:rsid w:val="001E28C9"/>
    <w:rsid w:val="001E53CB"/>
    <w:rsid w:val="001E6CDA"/>
    <w:rsid w:val="001F2DB7"/>
    <w:rsid w:val="001F46CF"/>
    <w:rsid w:val="00203CF6"/>
    <w:rsid w:val="00207F43"/>
    <w:rsid w:val="002118F9"/>
    <w:rsid w:val="002126FE"/>
    <w:rsid w:val="00215E0B"/>
    <w:rsid w:val="00215E86"/>
    <w:rsid w:val="002230F0"/>
    <w:rsid w:val="002232D3"/>
    <w:rsid w:val="00225A83"/>
    <w:rsid w:val="00226F99"/>
    <w:rsid w:val="00231B8F"/>
    <w:rsid w:val="00237308"/>
    <w:rsid w:val="00243967"/>
    <w:rsid w:val="002468F6"/>
    <w:rsid w:val="002629D7"/>
    <w:rsid w:val="00264CD0"/>
    <w:rsid w:val="00270EA5"/>
    <w:rsid w:val="002712B9"/>
    <w:rsid w:val="002818F4"/>
    <w:rsid w:val="00284B8C"/>
    <w:rsid w:val="00284F38"/>
    <w:rsid w:val="00285ACA"/>
    <w:rsid w:val="0029483F"/>
    <w:rsid w:val="002A3143"/>
    <w:rsid w:val="002A65E2"/>
    <w:rsid w:val="002B0F2A"/>
    <w:rsid w:val="002B30FD"/>
    <w:rsid w:val="002B7D03"/>
    <w:rsid w:val="002C0F45"/>
    <w:rsid w:val="002C2FC0"/>
    <w:rsid w:val="002D32F2"/>
    <w:rsid w:val="002E0FF7"/>
    <w:rsid w:val="002E1579"/>
    <w:rsid w:val="002E23F2"/>
    <w:rsid w:val="002F74BF"/>
    <w:rsid w:val="00302A17"/>
    <w:rsid w:val="00311C97"/>
    <w:rsid w:val="00314D25"/>
    <w:rsid w:val="00315BE2"/>
    <w:rsid w:val="00322B36"/>
    <w:rsid w:val="00327CCD"/>
    <w:rsid w:val="003322EE"/>
    <w:rsid w:val="00332F56"/>
    <w:rsid w:val="00337630"/>
    <w:rsid w:val="00340CFD"/>
    <w:rsid w:val="003413D5"/>
    <w:rsid w:val="00342621"/>
    <w:rsid w:val="00357F22"/>
    <w:rsid w:val="0036730F"/>
    <w:rsid w:val="0036748D"/>
    <w:rsid w:val="00376039"/>
    <w:rsid w:val="003814E0"/>
    <w:rsid w:val="0038255E"/>
    <w:rsid w:val="00385C51"/>
    <w:rsid w:val="003905B1"/>
    <w:rsid w:val="00391648"/>
    <w:rsid w:val="0039304E"/>
    <w:rsid w:val="0039334E"/>
    <w:rsid w:val="00394AD2"/>
    <w:rsid w:val="003A02AF"/>
    <w:rsid w:val="003A3124"/>
    <w:rsid w:val="003A686F"/>
    <w:rsid w:val="003D3439"/>
    <w:rsid w:val="003D3AA9"/>
    <w:rsid w:val="003E2B2A"/>
    <w:rsid w:val="003E3C43"/>
    <w:rsid w:val="003E5369"/>
    <w:rsid w:val="003E58B8"/>
    <w:rsid w:val="003E68C2"/>
    <w:rsid w:val="003F06D7"/>
    <w:rsid w:val="00400224"/>
    <w:rsid w:val="00400BA5"/>
    <w:rsid w:val="00403D7E"/>
    <w:rsid w:val="00410E62"/>
    <w:rsid w:val="00412481"/>
    <w:rsid w:val="00414FA7"/>
    <w:rsid w:val="00420090"/>
    <w:rsid w:val="00421857"/>
    <w:rsid w:val="004239D1"/>
    <w:rsid w:val="004321B6"/>
    <w:rsid w:val="0043252D"/>
    <w:rsid w:val="0043589C"/>
    <w:rsid w:val="00436AB1"/>
    <w:rsid w:val="00445638"/>
    <w:rsid w:val="00446432"/>
    <w:rsid w:val="00446512"/>
    <w:rsid w:val="00456936"/>
    <w:rsid w:val="004630B4"/>
    <w:rsid w:val="00466682"/>
    <w:rsid w:val="00466D7A"/>
    <w:rsid w:val="00471531"/>
    <w:rsid w:val="004743F9"/>
    <w:rsid w:val="004822B0"/>
    <w:rsid w:val="0048237B"/>
    <w:rsid w:val="0048285B"/>
    <w:rsid w:val="00484D16"/>
    <w:rsid w:val="00485D27"/>
    <w:rsid w:val="004900BB"/>
    <w:rsid w:val="00491853"/>
    <w:rsid w:val="00493770"/>
    <w:rsid w:val="004A14CD"/>
    <w:rsid w:val="004A2C6B"/>
    <w:rsid w:val="004B7D44"/>
    <w:rsid w:val="004D20CB"/>
    <w:rsid w:val="004D65B2"/>
    <w:rsid w:val="004D681D"/>
    <w:rsid w:val="004D6DA8"/>
    <w:rsid w:val="004E2324"/>
    <w:rsid w:val="004E29A4"/>
    <w:rsid w:val="004F3B63"/>
    <w:rsid w:val="004F63E6"/>
    <w:rsid w:val="004F7CD5"/>
    <w:rsid w:val="0050077D"/>
    <w:rsid w:val="005018AB"/>
    <w:rsid w:val="00503D7B"/>
    <w:rsid w:val="005103DA"/>
    <w:rsid w:val="00511F8F"/>
    <w:rsid w:val="00512BA7"/>
    <w:rsid w:val="00513F3A"/>
    <w:rsid w:val="00515726"/>
    <w:rsid w:val="00522726"/>
    <w:rsid w:val="0052486D"/>
    <w:rsid w:val="00531718"/>
    <w:rsid w:val="00545291"/>
    <w:rsid w:val="005477B9"/>
    <w:rsid w:val="00547B88"/>
    <w:rsid w:val="00562527"/>
    <w:rsid w:val="00562A1E"/>
    <w:rsid w:val="00563427"/>
    <w:rsid w:val="00580608"/>
    <w:rsid w:val="00581EB9"/>
    <w:rsid w:val="00583F55"/>
    <w:rsid w:val="00593603"/>
    <w:rsid w:val="005957AD"/>
    <w:rsid w:val="00597145"/>
    <w:rsid w:val="005A304E"/>
    <w:rsid w:val="005A362E"/>
    <w:rsid w:val="005B48FD"/>
    <w:rsid w:val="005B4E6E"/>
    <w:rsid w:val="005B56E4"/>
    <w:rsid w:val="005C795C"/>
    <w:rsid w:val="005D07EC"/>
    <w:rsid w:val="005D0E50"/>
    <w:rsid w:val="005D39D8"/>
    <w:rsid w:val="005D7CE6"/>
    <w:rsid w:val="005F6CF2"/>
    <w:rsid w:val="0061097B"/>
    <w:rsid w:val="0061612F"/>
    <w:rsid w:val="006177C8"/>
    <w:rsid w:val="00624733"/>
    <w:rsid w:val="0062600A"/>
    <w:rsid w:val="00634167"/>
    <w:rsid w:val="00636EEB"/>
    <w:rsid w:val="0063777D"/>
    <w:rsid w:val="00643358"/>
    <w:rsid w:val="00646084"/>
    <w:rsid w:val="006564C3"/>
    <w:rsid w:val="006578CB"/>
    <w:rsid w:val="00662F2B"/>
    <w:rsid w:val="00681CFD"/>
    <w:rsid w:val="00692956"/>
    <w:rsid w:val="006A4E85"/>
    <w:rsid w:val="006A60C0"/>
    <w:rsid w:val="006A687E"/>
    <w:rsid w:val="006A712F"/>
    <w:rsid w:val="006A7492"/>
    <w:rsid w:val="006B5D74"/>
    <w:rsid w:val="006C25BE"/>
    <w:rsid w:val="006C286F"/>
    <w:rsid w:val="006C36D6"/>
    <w:rsid w:val="006C479B"/>
    <w:rsid w:val="006D7342"/>
    <w:rsid w:val="006D7AD8"/>
    <w:rsid w:val="006F1D57"/>
    <w:rsid w:val="006F60EB"/>
    <w:rsid w:val="0070364C"/>
    <w:rsid w:val="007064E2"/>
    <w:rsid w:val="00710EDF"/>
    <w:rsid w:val="00711B92"/>
    <w:rsid w:val="0072221D"/>
    <w:rsid w:val="0072357C"/>
    <w:rsid w:val="007259CB"/>
    <w:rsid w:val="00726031"/>
    <w:rsid w:val="00741413"/>
    <w:rsid w:val="00743FCF"/>
    <w:rsid w:val="00751DA9"/>
    <w:rsid w:val="00755E69"/>
    <w:rsid w:val="007618D3"/>
    <w:rsid w:val="007648EE"/>
    <w:rsid w:val="00766788"/>
    <w:rsid w:val="0077106D"/>
    <w:rsid w:val="00780ACC"/>
    <w:rsid w:val="00787A11"/>
    <w:rsid w:val="007947F1"/>
    <w:rsid w:val="00797B40"/>
    <w:rsid w:val="007A0C9D"/>
    <w:rsid w:val="007B40FB"/>
    <w:rsid w:val="007B4D91"/>
    <w:rsid w:val="007B62AF"/>
    <w:rsid w:val="007C3B72"/>
    <w:rsid w:val="007C4BB7"/>
    <w:rsid w:val="007C5FFF"/>
    <w:rsid w:val="007D1AD1"/>
    <w:rsid w:val="007D52A7"/>
    <w:rsid w:val="007E1856"/>
    <w:rsid w:val="007E24B2"/>
    <w:rsid w:val="007E2DA4"/>
    <w:rsid w:val="007E6815"/>
    <w:rsid w:val="007E7632"/>
    <w:rsid w:val="007F1C84"/>
    <w:rsid w:val="007F4579"/>
    <w:rsid w:val="00801596"/>
    <w:rsid w:val="00802042"/>
    <w:rsid w:val="00804BC8"/>
    <w:rsid w:val="00806B8F"/>
    <w:rsid w:val="00806E23"/>
    <w:rsid w:val="008075BF"/>
    <w:rsid w:val="00807981"/>
    <w:rsid w:val="008135F3"/>
    <w:rsid w:val="00816332"/>
    <w:rsid w:val="00822848"/>
    <w:rsid w:val="00823056"/>
    <w:rsid w:val="00823F5A"/>
    <w:rsid w:val="00830CE8"/>
    <w:rsid w:val="00836ED1"/>
    <w:rsid w:val="008414BA"/>
    <w:rsid w:val="00845D3B"/>
    <w:rsid w:val="00856B67"/>
    <w:rsid w:val="008634E9"/>
    <w:rsid w:val="00871ADD"/>
    <w:rsid w:val="00875E9C"/>
    <w:rsid w:val="008801B5"/>
    <w:rsid w:val="00880578"/>
    <w:rsid w:val="00881043"/>
    <w:rsid w:val="00882407"/>
    <w:rsid w:val="00885919"/>
    <w:rsid w:val="008920C3"/>
    <w:rsid w:val="00894052"/>
    <w:rsid w:val="008A2C90"/>
    <w:rsid w:val="008A3E7A"/>
    <w:rsid w:val="008A7B87"/>
    <w:rsid w:val="008B0531"/>
    <w:rsid w:val="008B4AA1"/>
    <w:rsid w:val="008C1C71"/>
    <w:rsid w:val="008C3704"/>
    <w:rsid w:val="008D52D0"/>
    <w:rsid w:val="008D6335"/>
    <w:rsid w:val="008E1AD0"/>
    <w:rsid w:val="008E2392"/>
    <w:rsid w:val="008E315F"/>
    <w:rsid w:val="008E6B82"/>
    <w:rsid w:val="008F1060"/>
    <w:rsid w:val="008F6ADE"/>
    <w:rsid w:val="008F7571"/>
    <w:rsid w:val="008F7ACC"/>
    <w:rsid w:val="009010B7"/>
    <w:rsid w:val="009013AD"/>
    <w:rsid w:val="00907089"/>
    <w:rsid w:val="00911AA5"/>
    <w:rsid w:val="0091269B"/>
    <w:rsid w:val="009175C1"/>
    <w:rsid w:val="00923C0C"/>
    <w:rsid w:val="0095170D"/>
    <w:rsid w:val="00952CF6"/>
    <w:rsid w:val="00960413"/>
    <w:rsid w:val="00981995"/>
    <w:rsid w:val="00981C7F"/>
    <w:rsid w:val="00981DB2"/>
    <w:rsid w:val="00985515"/>
    <w:rsid w:val="00990813"/>
    <w:rsid w:val="0099544D"/>
    <w:rsid w:val="00997513"/>
    <w:rsid w:val="009A0E2C"/>
    <w:rsid w:val="009A4D56"/>
    <w:rsid w:val="009B1F04"/>
    <w:rsid w:val="009B1F1D"/>
    <w:rsid w:val="009B4583"/>
    <w:rsid w:val="009B6860"/>
    <w:rsid w:val="009C6408"/>
    <w:rsid w:val="009D1CD6"/>
    <w:rsid w:val="009D6BE6"/>
    <w:rsid w:val="009E09F7"/>
    <w:rsid w:val="009E2D5C"/>
    <w:rsid w:val="009E3E44"/>
    <w:rsid w:val="009E6D01"/>
    <w:rsid w:val="009F284D"/>
    <w:rsid w:val="009F4175"/>
    <w:rsid w:val="009F64B5"/>
    <w:rsid w:val="009F66A4"/>
    <w:rsid w:val="009F6C80"/>
    <w:rsid w:val="00A000DA"/>
    <w:rsid w:val="00A01CB4"/>
    <w:rsid w:val="00A10807"/>
    <w:rsid w:val="00A1736E"/>
    <w:rsid w:val="00A216DF"/>
    <w:rsid w:val="00A22CED"/>
    <w:rsid w:val="00A242F4"/>
    <w:rsid w:val="00A339E1"/>
    <w:rsid w:val="00A33F2C"/>
    <w:rsid w:val="00A46C0C"/>
    <w:rsid w:val="00A471A9"/>
    <w:rsid w:val="00A50EE3"/>
    <w:rsid w:val="00A576BB"/>
    <w:rsid w:val="00A663F0"/>
    <w:rsid w:val="00A71C19"/>
    <w:rsid w:val="00A723E3"/>
    <w:rsid w:val="00A7403C"/>
    <w:rsid w:val="00A83E11"/>
    <w:rsid w:val="00A8557C"/>
    <w:rsid w:val="00A86899"/>
    <w:rsid w:val="00A9240F"/>
    <w:rsid w:val="00A94A0F"/>
    <w:rsid w:val="00A9564E"/>
    <w:rsid w:val="00AA0B8F"/>
    <w:rsid w:val="00AA3C6D"/>
    <w:rsid w:val="00AB3D4F"/>
    <w:rsid w:val="00AB57C4"/>
    <w:rsid w:val="00AB6EA7"/>
    <w:rsid w:val="00AD006E"/>
    <w:rsid w:val="00AD6C3C"/>
    <w:rsid w:val="00AF3FC2"/>
    <w:rsid w:val="00AF5BD4"/>
    <w:rsid w:val="00B07AFC"/>
    <w:rsid w:val="00B10A65"/>
    <w:rsid w:val="00B11CF5"/>
    <w:rsid w:val="00B12D95"/>
    <w:rsid w:val="00B20861"/>
    <w:rsid w:val="00B209FA"/>
    <w:rsid w:val="00B21D1F"/>
    <w:rsid w:val="00B410BA"/>
    <w:rsid w:val="00B43D68"/>
    <w:rsid w:val="00B44A3A"/>
    <w:rsid w:val="00B555CE"/>
    <w:rsid w:val="00B5600C"/>
    <w:rsid w:val="00B66E33"/>
    <w:rsid w:val="00B72FB1"/>
    <w:rsid w:val="00B918A2"/>
    <w:rsid w:val="00B953DA"/>
    <w:rsid w:val="00BA19B0"/>
    <w:rsid w:val="00BA5583"/>
    <w:rsid w:val="00BB3870"/>
    <w:rsid w:val="00BB45A7"/>
    <w:rsid w:val="00BB4790"/>
    <w:rsid w:val="00BD0EF7"/>
    <w:rsid w:val="00BD6778"/>
    <w:rsid w:val="00BD7727"/>
    <w:rsid w:val="00BE4075"/>
    <w:rsid w:val="00BE4B0D"/>
    <w:rsid w:val="00BF3768"/>
    <w:rsid w:val="00C01599"/>
    <w:rsid w:val="00C048D1"/>
    <w:rsid w:val="00C05563"/>
    <w:rsid w:val="00C11132"/>
    <w:rsid w:val="00C115B9"/>
    <w:rsid w:val="00C12FB5"/>
    <w:rsid w:val="00C12FDD"/>
    <w:rsid w:val="00C145AA"/>
    <w:rsid w:val="00C14655"/>
    <w:rsid w:val="00C21399"/>
    <w:rsid w:val="00C446E2"/>
    <w:rsid w:val="00C46491"/>
    <w:rsid w:val="00C535F5"/>
    <w:rsid w:val="00C560C4"/>
    <w:rsid w:val="00C6748F"/>
    <w:rsid w:val="00C7130E"/>
    <w:rsid w:val="00C74337"/>
    <w:rsid w:val="00C74A3E"/>
    <w:rsid w:val="00C75DC8"/>
    <w:rsid w:val="00C8074B"/>
    <w:rsid w:val="00C80DAA"/>
    <w:rsid w:val="00C929AE"/>
    <w:rsid w:val="00CA4344"/>
    <w:rsid w:val="00CA6348"/>
    <w:rsid w:val="00CA6872"/>
    <w:rsid w:val="00CB1232"/>
    <w:rsid w:val="00CB17A0"/>
    <w:rsid w:val="00CB3465"/>
    <w:rsid w:val="00CC2AC1"/>
    <w:rsid w:val="00CC3B7D"/>
    <w:rsid w:val="00CC7870"/>
    <w:rsid w:val="00CD5AA8"/>
    <w:rsid w:val="00CD5AE4"/>
    <w:rsid w:val="00CD5E86"/>
    <w:rsid w:val="00CE3B03"/>
    <w:rsid w:val="00CE3B21"/>
    <w:rsid w:val="00CE7CC7"/>
    <w:rsid w:val="00CF4D09"/>
    <w:rsid w:val="00D005F2"/>
    <w:rsid w:val="00D01C46"/>
    <w:rsid w:val="00D03A8E"/>
    <w:rsid w:val="00D04158"/>
    <w:rsid w:val="00D114ED"/>
    <w:rsid w:val="00D15111"/>
    <w:rsid w:val="00D3032C"/>
    <w:rsid w:val="00D31A3B"/>
    <w:rsid w:val="00D35709"/>
    <w:rsid w:val="00D40E16"/>
    <w:rsid w:val="00D41D3F"/>
    <w:rsid w:val="00D515E7"/>
    <w:rsid w:val="00D5309D"/>
    <w:rsid w:val="00D631FA"/>
    <w:rsid w:val="00D71064"/>
    <w:rsid w:val="00D811BB"/>
    <w:rsid w:val="00D82356"/>
    <w:rsid w:val="00D84EEE"/>
    <w:rsid w:val="00D86795"/>
    <w:rsid w:val="00D86ED1"/>
    <w:rsid w:val="00D87190"/>
    <w:rsid w:val="00D90A61"/>
    <w:rsid w:val="00D946EF"/>
    <w:rsid w:val="00D95553"/>
    <w:rsid w:val="00DA07DE"/>
    <w:rsid w:val="00DB27EC"/>
    <w:rsid w:val="00DB3BD9"/>
    <w:rsid w:val="00DC05BF"/>
    <w:rsid w:val="00DC1083"/>
    <w:rsid w:val="00DC355F"/>
    <w:rsid w:val="00DC35F1"/>
    <w:rsid w:val="00DC5E85"/>
    <w:rsid w:val="00DC70B4"/>
    <w:rsid w:val="00DC71B9"/>
    <w:rsid w:val="00DD0CFE"/>
    <w:rsid w:val="00DD0D89"/>
    <w:rsid w:val="00DD1E4C"/>
    <w:rsid w:val="00DD7B7A"/>
    <w:rsid w:val="00DD7E0A"/>
    <w:rsid w:val="00DE331A"/>
    <w:rsid w:val="00DE625C"/>
    <w:rsid w:val="00DE6ACB"/>
    <w:rsid w:val="00DF02CE"/>
    <w:rsid w:val="00DF1462"/>
    <w:rsid w:val="00E030DA"/>
    <w:rsid w:val="00E03410"/>
    <w:rsid w:val="00E03624"/>
    <w:rsid w:val="00E10B45"/>
    <w:rsid w:val="00E214C0"/>
    <w:rsid w:val="00E249CC"/>
    <w:rsid w:val="00E25C7D"/>
    <w:rsid w:val="00E30D85"/>
    <w:rsid w:val="00E357BD"/>
    <w:rsid w:val="00E36C7E"/>
    <w:rsid w:val="00E41F01"/>
    <w:rsid w:val="00E444EB"/>
    <w:rsid w:val="00E77A69"/>
    <w:rsid w:val="00E80F30"/>
    <w:rsid w:val="00E81A42"/>
    <w:rsid w:val="00E82D1E"/>
    <w:rsid w:val="00E961E8"/>
    <w:rsid w:val="00E96244"/>
    <w:rsid w:val="00E96DE0"/>
    <w:rsid w:val="00EA275B"/>
    <w:rsid w:val="00EB2BEC"/>
    <w:rsid w:val="00EB74BF"/>
    <w:rsid w:val="00EC0704"/>
    <w:rsid w:val="00EC26F6"/>
    <w:rsid w:val="00EC508B"/>
    <w:rsid w:val="00EC728B"/>
    <w:rsid w:val="00EC7FCE"/>
    <w:rsid w:val="00ED0353"/>
    <w:rsid w:val="00ED1505"/>
    <w:rsid w:val="00ED1D5B"/>
    <w:rsid w:val="00ED5512"/>
    <w:rsid w:val="00ED6B5D"/>
    <w:rsid w:val="00EE4C99"/>
    <w:rsid w:val="00F01E5E"/>
    <w:rsid w:val="00F14522"/>
    <w:rsid w:val="00F153D7"/>
    <w:rsid w:val="00F1599C"/>
    <w:rsid w:val="00F2433F"/>
    <w:rsid w:val="00F244DC"/>
    <w:rsid w:val="00F26728"/>
    <w:rsid w:val="00F378F4"/>
    <w:rsid w:val="00F421A3"/>
    <w:rsid w:val="00F47912"/>
    <w:rsid w:val="00F541B6"/>
    <w:rsid w:val="00F57702"/>
    <w:rsid w:val="00F61361"/>
    <w:rsid w:val="00F613E8"/>
    <w:rsid w:val="00F651FC"/>
    <w:rsid w:val="00F74356"/>
    <w:rsid w:val="00F74D3C"/>
    <w:rsid w:val="00F74FC9"/>
    <w:rsid w:val="00F811B8"/>
    <w:rsid w:val="00F91F47"/>
    <w:rsid w:val="00FA0062"/>
    <w:rsid w:val="00FA1D68"/>
    <w:rsid w:val="00FA4F36"/>
    <w:rsid w:val="00FA5C63"/>
    <w:rsid w:val="00FA6FFE"/>
    <w:rsid w:val="00FB2339"/>
    <w:rsid w:val="00FC121B"/>
    <w:rsid w:val="00FD3DFB"/>
    <w:rsid w:val="00FF0272"/>
    <w:rsid w:val="00FF1C59"/>
    <w:rsid w:val="00FF414B"/>
    <w:rsid w:val="00FF4B7A"/>
    <w:rsid w:val="00FF6A68"/>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48F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FF1C59"/>
    <w:rPr>
      <w:color w:val="0563C1" w:themeColor="hyperlink"/>
      <w:u w:val="single"/>
    </w:rPr>
  </w:style>
  <w:style w:type="character" w:styleId="PouitHypertextovPrepojenie">
    <w:name w:val="FollowedHyperlink"/>
    <w:basedOn w:val="Predvolenpsmoodseku"/>
    <w:uiPriority w:val="99"/>
    <w:semiHidden/>
    <w:unhideWhenUsed/>
    <w:rsid w:val="00FF1C59"/>
    <w:rPr>
      <w:color w:val="954F72" w:themeColor="followedHyperlink"/>
      <w:u w:val="single"/>
    </w:rPr>
  </w:style>
  <w:style w:type="table" w:customStyle="1" w:styleId="Mriekatabuky3">
    <w:name w:val="Mriežka tabuľky3"/>
    <w:basedOn w:val="Normlnatabuka"/>
    <w:next w:val="Mriekatabuky"/>
    <w:uiPriority w:val="59"/>
    <w:rsid w:val="0026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5">
      <w:bodyDiv w:val="1"/>
      <w:marLeft w:val="0"/>
      <w:marRight w:val="0"/>
      <w:marTop w:val="0"/>
      <w:marBottom w:val="0"/>
      <w:divBdr>
        <w:top w:val="none" w:sz="0" w:space="0" w:color="auto"/>
        <w:left w:val="none" w:sz="0" w:space="0" w:color="auto"/>
        <w:bottom w:val="none" w:sz="0" w:space="0" w:color="auto"/>
        <w:right w:val="none" w:sz="0" w:space="0" w:color="auto"/>
      </w:divBdr>
    </w:div>
    <w:div w:id="37121985">
      <w:bodyDiv w:val="1"/>
      <w:marLeft w:val="0"/>
      <w:marRight w:val="0"/>
      <w:marTop w:val="0"/>
      <w:marBottom w:val="0"/>
      <w:divBdr>
        <w:top w:val="none" w:sz="0" w:space="0" w:color="auto"/>
        <w:left w:val="none" w:sz="0" w:space="0" w:color="auto"/>
        <w:bottom w:val="none" w:sz="0" w:space="0" w:color="auto"/>
        <w:right w:val="none" w:sz="0" w:space="0" w:color="auto"/>
      </w:divBdr>
    </w:div>
    <w:div w:id="44137521">
      <w:bodyDiv w:val="1"/>
      <w:marLeft w:val="0"/>
      <w:marRight w:val="0"/>
      <w:marTop w:val="0"/>
      <w:marBottom w:val="0"/>
      <w:divBdr>
        <w:top w:val="none" w:sz="0" w:space="0" w:color="auto"/>
        <w:left w:val="none" w:sz="0" w:space="0" w:color="auto"/>
        <w:bottom w:val="none" w:sz="0" w:space="0" w:color="auto"/>
        <w:right w:val="none" w:sz="0" w:space="0" w:color="auto"/>
      </w:divBdr>
    </w:div>
    <w:div w:id="56319766">
      <w:bodyDiv w:val="1"/>
      <w:marLeft w:val="0"/>
      <w:marRight w:val="0"/>
      <w:marTop w:val="0"/>
      <w:marBottom w:val="0"/>
      <w:divBdr>
        <w:top w:val="none" w:sz="0" w:space="0" w:color="auto"/>
        <w:left w:val="none" w:sz="0" w:space="0" w:color="auto"/>
        <w:bottom w:val="none" w:sz="0" w:space="0" w:color="auto"/>
        <w:right w:val="none" w:sz="0" w:space="0" w:color="auto"/>
      </w:divBdr>
    </w:div>
    <w:div w:id="60375321">
      <w:bodyDiv w:val="1"/>
      <w:marLeft w:val="0"/>
      <w:marRight w:val="0"/>
      <w:marTop w:val="0"/>
      <w:marBottom w:val="0"/>
      <w:divBdr>
        <w:top w:val="none" w:sz="0" w:space="0" w:color="auto"/>
        <w:left w:val="none" w:sz="0" w:space="0" w:color="auto"/>
        <w:bottom w:val="none" w:sz="0" w:space="0" w:color="auto"/>
        <w:right w:val="none" w:sz="0" w:space="0" w:color="auto"/>
      </w:divBdr>
    </w:div>
    <w:div w:id="66852004">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226192654">
      <w:bodyDiv w:val="1"/>
      <w:marLeft w:val="0"/>
      <w:marRight w:val="0"/>
      <w:marTop w:val="0"/>
      <w:marBottom w:val="0"/>
      <w:divBdr>
        <w:top w:val="none" w:sz="0" w:space="0" w:color="auto"/>
        <w:left w:val="none" w:sz="0" w:space="0" w:color="auto"/>
        <w:bottom w:val="none" w:sz="0" w:space="0" w:color="auto"/>
        <w:right w:val="none" w:sz="0" w:space="0" w:color="auto"/>
      </w:divBdr>
    </w:div>
    <w:div w:id="281696619">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414015961">
      <w:bodyDiv w:val="1"/>
      <w:marLeft w:val="0"/>
      <w:marRight w:val="0"/>
      <w:marTop w:val="0"/>
      <w:marBottom w:val="0"/>
      <w:divBdr>
        <w:top w:val="none" w:sz="0" w:space="0" w:color="auto"/>
        <w:left w:val="none" w:sz="0" w:space="0" w:color="auto"/>
        <w:bottom w:val="none" w:sz="0" w:space="0" w:color="auto"/>
        <w:right w:val="none" w:sz="0" w:space="0" w:color="auto"/>
      </w:divBdr>
    </w:div>
    <w:div w:id="436484216">
      <w:bodyDiv w:val="1"/>
      <w:marLeft w:val="0"/>
      <w:marRight w:val="0"/>
      <w:marTop w:val="0"/>
      <w:marBottom w:val="0"/>
      <w:divBdr>
        <w:top w:val="none" w:sz="0" w:space="0" w:color="auto"/>
        <w:left w:val="none" w:sz="0" w:space="0" w:color="auto"/>
        <w:bottom w:val="none" w:sz="0" w:space="0" w:color="auto"/>
        <w:right w:val="none" w:sz="0" w:space="0" w:color="auto"/>
      </w:divBdr>
    </w:div>
    <w:div w:id="561987618">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633945121">
      <w:bodyDiv w:val="1"/>
      <w:marLeft w:val="0"/>
      <w:marRight w:val="0"/>
      <w:marTop w:val="0"/>
      <w:marBottom w:val="0"/>
      <w:divBdr>
        <w:top w:val="none" w:sz="0" w:space="0" w:color="auto"/>
        <w:left w:val="none" w:sz="0" w:space="0" w:color="auto"/>
        <w:bottom w:val="none" w:sz="0" w:space="0" w:color="auto"/>
        <w:right w:val="none" w:sz="0" w:space="0" w:color="auto"/>
      </w:divBdr>
    </w:div>
    <w:div w:id="641499131">
      <w:bodyDiv w:val="1"/>
      <w:marLeft w:val="0"/>
      <w:marRight w:val="0"/>
      <w:marTop w:val="0"/>
      <w:marBottom w:val="0"/>
      <w:divBdr>
        <w:top w:val="none" w:sz="0" w:space="0" w:color="auto"/>
        <w:left w:val="none" w:sz="0" w:space="0" w:color="auto"/>
        <w:bottom w:val="none" w:sz="0" w:space="0" w:color="auto"/>
        <w:right w:val="none" w:sz="0" w:space="0" w:color="auto"/>
      </w:divBdr>
    </w:div>
    <w:div w:id="716586234">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774328989">
      <w:bodyDiv w:val="1"/>
      <w:marLeft w:val="0"/>
      <w:marRight w:val="0"/>
      <w:marTop w:val="0"/>
      <w:marBottom w:val="0"/>
      <w:divBdr>
        <w:top w:val="none" w:sz="0" w:space="0" w:color="auto"/>
        <w:left w:val="none" w:sz="0" w:space="0" w:color="auto"/>
        <w:bottom w:val="none" w:sz="0" w:space="0" w:color="auto"/>
        <w:right w:val="none" w:sz="0" w:space="0" w:color="auto"/>
      </w:divBdr>
    </w:div>
    <w:div w:id="831339889">
      <w:bodyDiv w:val="1"/>
      <w:marLeft w:val="0"/>
      <w:marRight w:val="0"/>
      <w:marTop w:val="0"/>
      <w:marBottom w:val="0"/>
      <w:divBdr>
        <w:top w:val="none" w:sz="0" w:space="0" w:color="auto"/>
        <w:left w:val="none" w:sz="0" w:space="0" w:color="auto"/>
        <w:bottom w:val="none" w:sz="0" w:space="0" w:color="auto"/>
        <w:right w:val="none" w:sz="0" w:space="0" w:color="auto"/>
      </w:divBdr>
    </w:div>
    <w:div w:id="867794878">
      <w:bodyDiv w:val="1"/>
      <w:marLeft w:val="0"/>
      <w:marRight w:val="0"/>
      <w:marTop w:val="0"/>
      <w:marBottom w:val="0"/>
      <w:divBdr>
        <w:top w:val="none" w:sz="0" w:space="0" w:color="auto"/>
        <w:left w:val="none" w:sz="0" w:space="0" w:color="auto"/>
        <w:bottom w:val="none" w:sz="0" w:space="0" w:color="auto"/>
        <w:right w:val="none" w:sz="0" w:space="0" w:color="auto"/>
      </w:divBdr>
    </w:div>
    <w:div w:id="882594345">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925726599">
      <w:bodyDiv w:val="1"/>
      <w:marLeft w:val="0"/>
      <w:marRight w:val="0"/>
      <w:marTop w:val="0"/>
      <w:marBottom w:val="0"/>
      <w:divBdr>
        <w:top w:val="none" w:sz="0" w:space="0" w:color="auto"/>
        <w:left w:val="none" w:sz="0" w:space="0" w:color="auto"/>
        <w:bottom w:val="none" w:sz="0" w:space="0" w:color="auto"/>
        <w:right w:val="none" w:sz="0" w:space="0" w:color="auto"/>
      </w:divBdr>
    </w:div>
    <w:div w:id="959729984">
      <w:bodyDiv w:val="1"/>
      <w:marLeft w:val="0"/>
      <w:marRight w:val="0"/>
      <w:marTop w:val="0"/>
      <w:marBottom w:val="0"/>
      <w:divBdr>
        <w:top w:val="none" w:sz="0" w:space="0" w:color="auto"/>
        <w:left w:val="none" w:sz="0" w:space="0" w:color="auto"/>
        <w:bottom w:val="none" w:sz="0" w:space="0" w:color="auto"/>
        <w:right w:val="none" w:sz="0" w:space="0" w:color="auto"/>
      </w:divBdr>
    </w:div>
    <w:div w:id="1019501979">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0621301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65054362">
      <w:bodyDiv w:val="1"/>
      <w:marLeft w:val="0"/>
      <w:marRight w:val="0"/>
      <w:marTop w:val="0"/>
      <w:marBottom w:val="0"/>
      <w:divBdr>
        <w:top w:val="none" w:sz="0" w:space="0" w:color="auto"/>
        <w:left w:val="none" w:sz="0" w:space="0" w:color="auto"/>
        <w:bottom w:val="none" w:sz="0" w:space="0" w:color="auto"/>
        <w:right w:val="none" w:sz="0" w:space="0" w:color="auto"/>
      </w:divBdr>
    </w:div>
    <w:div w:id="1497307266">
      <w:bodyDiv w:val="1"/>
      <w:marLeft w:val="0"/>
      <w:marRight w:val="0"/>
      <w:marTop w:val="0"/>
      <w:marBottom w:val="0"/>
      <w:divBdr>
        <w:top w:val="none" w:sz="0" w:space="0" w:color="auto"/>
        <w:left w:val="none" w:sz="0" w:space="0" w:color="auto"/>
        <w:bottom w:val="none" w:sz="0" w:space="0" w:color="auto"/>
        <w:right w:val="none" w:sz="0" w:space="0" w:color="auto"/>
      </w:divBdr>
    </w:div>
    <w:div w:id="1502085136">
      <w:bodyDiv w:val="1"/>
      <w:marLeft w:val="0"/>
      <w:marRight w:val="0"/>
      <w:marTop w:val="0"/>
      <w:marBottom w:val="0"/>
      <w:divBdr>
        <w:top w:val="none" w:sz="0" w:space="0" w:color="auto"/>
        <w:left w:val="none" w:sz="0" w:space="0" w:color="auto"/>
        <w:bottom w:val="none" w:sz="0" w:space="0" w:color="auto"/>
        <w:right w:val="none" w:sz="0" w:space="0" w:color="auto"/>
      </w:divBdr>
    </w:div>
    <w:div w:id="1533423030">
      <w:bodyDiv w:val="1"/>
      <w:marLeft w:val="0"/>
      <w:marRight w:val="0"/>
      <w:marTop w:val="0"/>
      <w:marBottom w:val="0"/>
      <w:divBdr>
        <w:top w:val="none" w:sz="0" w:space="0" w:color="auto"/>
        <w:left w:val="none" w:sz="0" w:space="0" w:color="auto"/>
        <w:bottom w:val="none" w:sz="0" w:space="0" w:color="auto"/>
        <w:right w:val="none" w:sz="0" w:space="0" w:color="auto"/>
      </w:divBdr>
    </w:div>
    <w:div w:id="163651846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46205307">
      <w:bodyDiv w:val="1"/>
      <w:marLeft w:val="0"/>
      <w:marRight w:val="0"/>
      <w:marTop w:val="0"/>
      <w:marBottom w:val="0"/>
      <w:divBdr>
        <w:top w:val="none" w:sz="0" w:space="0" w:color="auto"/>
        <w:left w:val="none" w:sz="0" w:space="0" w:color="auto"/>
        <w:bottom w:val="none" w:sz="0" w:space="0" w:color="auto"/>
        <w:right w:val="none" w:sz="0" w:space="0" w:color="auto"/>
      </w:divBdr>
    </w:div>
    <w:div w:id="1666515424">
      <w:bodyDiv w:val="1"/>
      <w:marLeft w:val="0"/>
      <w:marRight w:val="0"/>
      <w:marTop w:val="0"/>
      <w:marBottom w:val="0"/>
      <w:divBdr>
        <w:top w:val="none" w:sz="0" w:space="0" w:color="auto"/>
        <w:left w:val="none" w:sz="0" w:space="0" w:color="auto"/>
        <w:bottom w:val="none" w:sz="0" w:space="0" w:color="auto"/>
        <w:right w:val="none" w:sz="0" w:space="0" w:color="auto"/>
      </w:divBdr>
    </w:div>
    <w:div w:id="1719891301">
      <w:bodyDiv w:val="1"/>
      <w:marLeft w:val="0"/>
      <w:marRight w:val="0"/>
      <w:marTop w:val="0"/>
      <w:marBottom w:val="0"/>
      <w:divBdr>
        <w:top w:val="none" w:sz="0" w:space="0" w:color="auto"/>
        <w:left w:val="none" w:sz="0" w:space="0" w:color="auto"/>
        <w:bottom w:val="none" w:sz="0" w:space="0" w:color="auto"/>
        <w:right w:val="none" w:sz="0" w:space="0" w:color="auto"/>
      </w:divBdr>
    </w:div>
    <w:div w:id="1807045478">
      <w:bodyDiv w:val="1"/>
      <w:marLeft w:val="0"/>
      <w:marRight w:val="0"/>
      <w:marTop w:val="0"/>
      <w:marBottom w:val="0"/>
      <w:divBdr>
        <w:top w:val="none" w:sz="0" w:space="0" w:color="auto"/>
        <w:left w:val="none" w:sz="0" w:space="0" w:color="auto"/>
        <w:bottom w:val="none" w:sz="0" w:space="0" w:color="auto"/>
        <w:right w:val="none" w:sz="0" w:space="0" w:color="auto"/>
      </w:divBdr>
    </w:div>
    <w:div w:id="1821657076">
      <w:bodyDiv w:val="1"/>
      <w:marLeft w:val="0"/>
      <w:marRight w:val="0"/>
      <w:marTop w:val="0"/>
      <w:marBottom w:val="0"/>
      <w:divBdr>
        <w:top w:val="none" w:sz="0" w:space="0" w:color="auto"/>
        <w:left w:val="none" w:sz="0" w:space="0" w:color="auto"/>
        <w:bottom w:val="none" w:sz="0" w:space="0" w:color="auto"/>
        <w:right w:val="none" w:sz="0" w:space="0" w:color="auto"/>
      </w:divBdr>
    </w:div>
    <w:div w:id="1959599416">
      <w:bodyDiv w:val="1"/>
      <w:marLeft w:val="0"/>
      <w:marRight w:val="0"/>
      <w:marTop w:val="0"/>
      <w:marBottom w:val="0"/>
      <w:divBdr>
        <w:top w:val="none" w:sz="0" w:space="0" w:color="auto"/>
        <w:left w:val="none" w:sz="0" w:space="0" w:color="auto"/>
        <w:bottom w:val="none" w:sz="0" w:space="0" w:color="auto"/>
        <w:right w:val="none" w:sz="0" w:space="0" w:color="auto"/>
      </w:divBdr>
    </w:div>
    <w:div w:id="2007053585">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090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lovak.statistics.sk/wps/portal/!ut/p/z1/tVJNU4MwEP0tHjiGLAkQ8Eat0w_roTq1JReHhACx5aNAi_33po6HHqyOB_ews7t5u_uSF8zxBvMqOeo86XVdJTuTx9x_XbJZMBo5EQDzxjCbr8bLyXPogAv4BXPMZdU3fYHjWnRJgbotag7CAuN2eptIrSw4nkSbVApd1hRNBPNThmQmHeQqXyEBaYYyRgOSKJr5oXee3kid4thJgfoOkYiCJMhNU0Ch5xMkPQAhmAIZ-Hj9G11ujuGKRWD6-SfkbhJNXbYACBYTD2bRdPUULimFiH4BfpgRGw7sKocHgtdHrQa8quq2NC_8_McrTgHPMdeitAdZ2mA7JGC-Sxw3CAk18Vky_bbf88joUle9eu_x5h-EMWuiStAgx7xVmWpVax9a82GKvm-6WwssGIbBFrrKbVmXFnzXUNSdIXeJw01ZBvSEttnjPXW5ONFdfvMB0MEf5Q!!/dz/d5/L2dBISEvZ0FBIS9nQSEh/" TargetMode="External"/><Relationship Id="rId18" Type="http://schemas.openxmlformats.org/officeDocument/2006/relationships/hyperlink" Target="https://monitoringmsp.sk/wp-content/uploads/2024/05/MSP_v_cislach_2023.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s://monitoringmsp.sk/wp-content/uploads/2024/05/MSP_v_cislach_2023.pdf" TargetMode="External"/><Relationship Id="rId17" Type="http://schemas.openxmlformats.org/officeDocument/2006/relationships/hyperlink" Target="https://slovak.statistics.sk/wps/portal/!ut/p/z1/tVJNU4MwEP0tHjiGLAkQ8Eat0w_roTq1JReHhACx5aNAi_33po6HHqyOB_ews7t5u_uSF8zxBvMqOeo86XVdJTuTx9x_XbJZMBo5EQDzxjCbr8bLyXPogAv4BXPMZdU3fYHjWnRJgbotag7CAuN2eptIrSw4nkSbVApd1hRNBPNThmQmHeQqXyEBaYYyRgOSKJr5oXee3kid4thJgfoOkYiCJMhNU0Ch5xMkPQAhmAIZ-Hj9G11ujuGKRWD6-SfkbhJNXbYACBYTD2bRdPUULimFiH4BfpgRGw7sKocHgtdHrQa8quq2NC_8_McrTgHPMdeitAdZ2mA7JGC-Sxw3CAk18Vky_bbf88joUle9eu_x5h-EMWuiStAgx7xVmWpVax9a82GKvm-6WwssGIbBFrrKbVmXFnzXUNSdIXeJw01ZBvSEttnjPXW5ONFdfvMB0MEf5Q!!/dz/d5/L2dBISEvZ0FBIS9nQSE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onitoringmsp.sk/wp-content/uploads/2024/05/MSP_v_cislach_2023.pdf" TargetMode="External"/><Relationship Id="rId20" Type="http://schemas.openxmlformats.org/officeDocument/2006/relationships/hyperlink" Target="https://www.slov-lex.sk/elegislativa/legislativne-procesy/SK/PI/2024/2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ovak.statistics.sk/wps/portal/!ut/p/z1/tVJNU4MwEP0tHjiGLAkQ8Eat0w_roTq1JReHhACx5aNAi_33po6HHqyOB_ews7t5u_uSF8zxBvMqOeo86XVdJTuTx9x_XbJZMBo5EQDzxjCbr8bLyXPogAv4BXPMZdU3fYHjWnRJgbotag7CAuN2eptIrSw4nkSbVApd1hRNBPNThmQmHeQqXyEBaYYyRgOSKJr5oXee3kid4thJgfoOkYiCJMhNU0Ch5xMkPQAhmAIZ-Hj9G11ujuGKRWD6-SfkbhJNXbYACBYTD2bRdPUULimFiH4BfpgRGw7sKocHgtdHrQa8quq2NC_8_McrTgHPMdeitAdZ2mA7JGC-Sxw3CAk18Vky_bbf88joUle9eu_x5h-EMWuiStAgx7xVmWpVax9a82GKvm-6WwssGIbBFrrKbVmXFnzXUNSdIXeJw01ZBvSEttnjPXW5ONFdfvMB0MEf5Q!!/dz/d5/L2dBISEvZ0FBIS9nQSEh/"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lovak.statistics.sk/wps/portal/!ut/p/z1/tVJNU4MwEP0tHjiGLAkQ8Eat0w_roTq1JReHhACx5aNAi_33po6HHqyOB_ews7t5u_uSF8zxBvMqOeo86XVdJTuTx9x_XbJZMBo5EQDzxjCbr8bLyXPogAv4BXPMZdU3fYHjWnRJgbotag7CAuN2eptIrSw4nkSbVApd1hRNBPNThmQmHeQqXyEBaYYyRgOSKJr5oXee3kid4thJgfoOkYiCJMhNU0Ch5xMkPQAhmAIZ-Hj9G11ujuGKRWD6-SfkbhJNXbYACBYTD2bRdPUULimFiH4BfpgRGw7sKocHgtdHrQa8quq2NC_8_McrTgHPMdeitAdZ2mA7JGC-Sxw3CAk18Vky_bbf88joUle9eu_x5h-EMWuiStAgx7xVmWpVax9a82GKvm-6WwssGIbBFrrKbVmXFnzXUNSdIXeJw01ZBvSEttnjPXW5ONFdfvMB0MEf5Q!!/dz/d5/L2dBISEvZ0FBIS9nQSEh/" TargetMode="External"/><Relationship Id="rId23" Type="http://schemas.openxmlformats.org/officeDocument/2006/relationships/header" Target="header1.xml"/><Relationship Id="rId10" Type="http://schemas.openxmlformats.org/officeDocument/2006/relationships/hyperlink" Target="https://monitoringmsp.sk/wp-content/uploads/2024/05/MSP_v_cislach_2023.pdf" TargetMode="External"/><Relationship Id="rId19" Type="http://schemas.openxmlformats.org/officeDocument/2006/relationships/hyperlink" Target="https://www.slov-lex.sk/elegislativa/legislativne-procesy/SK/LPEU/2023/671" TargetMode="External"/><Relationship Id="rId4" Type="http://schemas.openxmlformats.org/officeDocument/2006/relationships/styles" Target="styles.xml"/><Relationship Id="rId9" Type="http://schemas.openxmlformats.org/officeDocument/2006/relationships/hyperlink" Target="https://slovak.statistics.sk/wps/portal/!ut/p/z1/tVJNU4MwEP0tHjiGLAkQ8Eat0w_roTq1JReHhACx5aNAi_33po6HHqyOB_ews7t5u_uSF8zxBvMqOeo86XVdJTuTx9x_XbJZMBo5EQDzxjCbr8bLyXPogAv4BXPMZdU3fYHjWnRJgbotag7CAuN2eptIrSw4nkSbVApd1hRNBPNThmQmHeQqXyEBaYYyRgOSKJr5oXee3kid4thJgfoOkYiCJMhNU0Ch5xMkPQAhmAIZ-Hj9G11ujuGKRWD6-SfkbhJNXbYACBYTD2bRdPUULimFiH4BfpgRGw7sKocHgtdHrQa8quq2NC_8_McrTgHPMdeitAdZ2mA7JGC-Sxw3CAk18Vky_bbf88joUle9eu_x5h-EMWuiStAgx7xVmWpVax9a82GKvm-6WwssGIbBFrrKbVmXFnzXUNSdIXeJw01ZBvSEttnjPXW5ONFdfvMB0MEf5Q!!/dz/d5/L2dBISEvZ0FBIS9nQSEh/" TargetMode="External"/><Relationship Id="rId14" Type="http://schemas.openxmlformats.org/officeDocument/2006/relationships/hyperlink" Target="https://monitoringmsp.sk/wp-content/uploads/2024/05/MSP_v_cislach_2023.pdf" TargetMode="External"/><Relationship Id="rId22" Type="http://schemas.openxmlformats.org/officeDocument/2006/relationships/package" Target="embeddings/H_rok_programu_Microsoft_Excel.xlsx"/></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1295B3-1369-4346-A98A-A578BCDE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5060</Words>
  <Characters>28848</Characters>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2025-05-12T12:03:00Z</dcterms:created>
  <dcterms:modified xsi:type="dcterms:W3CDTF">2025-05-12T12:03:00Z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