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A032A" w14:textId="77777777" w:rsidR="00D95B6F" w:rsidRPr="00641E02" w:rsidRDefault="00D95B6F" w:rsidP="00D9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41E0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Doložka vybra</w:t>
      </w:r>
      <w:bookmarkStart w:id="0" w:name="_GoBack"/>
      <w:bookmarkEnd w:id="0"/>
      <w:r w:rsidRPr="00641E0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ných vplyvov</w:t>
      </w:r>
    </w:p>
    <w:p w14:paraId="7308496E" w14:textId="77777777" w:rsidR="00D95B6F" w:rsidRPr="00641E02" w:rsidRDefault="00D95B6F" w:rsidP="00D9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FF605D0" w14:textId="77777777" w:rsidR="00D95B6F" w:rsidRPr="006B2C7B" w:rsidRDefault="00D95B6F" w:rsidP="00D95B6F">
      <w:pPr>
        <w:spacing w:after="200" w:line="276" w:lineRule="auto"/>
        <w:ind w:left="426"/>
        <w:contextualSpacing/>
        <w:rPr>
          <w:rFonts w:ascii="Times" w:eastAsia="Calibri" w:hAnsi="Times" w:cs="Times"/>
          <w:b/>
          <w:sz w:val="20"/>
          <w:szCs w:val="20"/>
        </w:rPr>
      </w:pPr>
    </w:p>
    <w:tbl>
      <w:tblPr>
        <w:tblStyle w:val="Mriekatabuky1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D95B6F" w:rsidRPr="006B2C7B" w14:paraId="723DFDF0" w14:textId="77777777" w:rsidTr="00251B8F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C49B1FD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Základné údaje</w:t>
            </w:r>
          </w:p>
        </w:tc>
      </w:tr>
      <w:tr w:rsidR="00D95B6F" w:rsidRPr="006B2C7B" w14:paraId="7B23A124" w14:textId="77777777" w:rsidTr="00251B8F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F43E7E2" w14:textId="77777777" w:rsidR="00D95B6F" w:rsidRPr="006B2C7B" w:rsidRDefault="00D95B6F" w:rsidP="00251B8F">
            <w:pPr>
              <w:spacing w:after="200" w:line="276" w:lineRule="auto"/>
              <w:ind w:left="142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Názov materiálu</w:t>
            </w:r>
          </w:p>
        </w:tc>
      </w:tr>
      <w:tr w:rsidR="00D95B6F" w:rsidRPr="006B2C7B" w14:paraId="44507BDF" w14:textId="77777777" w:rsidTr="00251B8F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20E9CC54" w14:textId="77777777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Návrh zákona, ktorým sa mení a dopĺňa zákon č. 108/2024 Z. z. o ochrane spotrebiteľa a o zmene a doplnení niektorých zákonov a ktorým sa menia a dopĺňajú niektoré zákony </w:t>
            </w:r>
          </w:p>
        </w:tc>
      </w:tr>
      <w:tr w:rsidR="00D95B6F" w:rsidRPr="006B2C7B" w14:paraId="2B13EF61" w14:textId="77777777" w:rsidTr="00251B8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EACED2E" w14:textId="77777777" w:rsidR="00D95B6F" w:rsidRPr="006B2C7B" w:rsidRDefault="00D95B6F" w:rsidP="00251B8F">
            <w:pPr>
              <w:spacing w:after="200" w:line="276" w:lineRule="auto"/>
              <w:ind w:left="142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Predkladateľ (a spolupredkladateľ)</w:t>
            </w:r>
          </w:p>
        </w:tc>
      </w:tr>
      <w:tr w:rsidR="00D95B6F" w:rsidRPr="006B2C7B" w14:paraId="5D366CCF" w14:textId="77777777" w:rsidTr="00251B8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324C5" w14:textId="77777777" w:rsidR="00D95B6F" w:rsidRPr="006B2C7B" w:rsidRDefault="00D95B6F" w:rsidP="00251B8F">
            <w:pPr>
              <w:widowControl w:val="0"/>
              <w:overflowPunct w:val="0"/>
              <w:jc w:val="both"/>
              <w:textAlignment w:val="baseline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Ministerstvo hospodárstva SR</w:t>
            </w:r>
          </w:p>
        </w:tc>
      </w:tr>
      <w:tr w:rsidR="00D95B6F" w:rsidRPr="006B2C7B" w14:paraId="3BED5622" w14:textId="77777777" w:rsidTr="00251B8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0BF939D6" w14:textId="77777777" w:rsidR="00D95B6F" w:rsidRPr="006B2C7B" w:rsidRDefault="00D95B6F" w:rsidP="00251B8F">
            <w:pPr>
              <w:spacing w:after="200" w:line="276" w:lineRule="auto"/>
              <w:ind w:left="142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Charakter predkladaného materiálu</w:t>
            </w:r>
          </w:p>
        </w:tc>
        <w:sdt>
          <w:sdtPr>
            <w:rPr>
              <w:rFonts w:ascii="Times" w:hAnsi="Times" w:cs="Times"/>
              <w:sz w:val="20"/>
              <w:szCs w:val="20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732C8B26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32ACB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Materiál nelegislatívnej povahy</w:t>
            </w:r>
          </w:p>
        </w:tc>
      </w:tr>
      <w:tr w:rsidR="00D95B6F" w:rsidRPr="006B2C7B" w14:paraId="55E21A9F" w14:textId="77777777" w:rsidTr="00251B8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B0E2C86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</w:p>
        </w:tc>
        <w:sdt>
          <w:sdtPr>
            <w:rPr>
              <w:rFonts w:ascii="Times" w:hAnsi="Times" w:cs="Times"/>
              <w:sz w:val="20"/>
              <w:szCs w:val="20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9CEBFD0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BA14BB4" w14:textId="77777777" w:rsidR="00D95B6F" w:rsidRPr="006B2C7B" w:rsidRDefault="00D95B6F" w:rsidP="00251B8F">
            <w:pPr>
              <w:ind w:left="175" w:hanging="175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Materiál legislatívnej povahy</w:t>
            </w:r>
          </w:p>
        </w:tc>
      </w:tr>
      <w:tr w:rsidR="00D95B6F" w:rsidRPr="006B2C7B" w14:paraId="06792732" w14:textId="77777777" w:rsidTr="00251B8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5E24249F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</w:p>
        </w:tc>
        <w:sdt>
          <w:sdtPr>
            <w:rPr>
              <w:rFonts w:ascii="Times" w:hAnsi="Times" w:cs="Times"/>
              <w:sz w:val="20"/>
              <w:szCs w:val="20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B9DBFF4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DD9C576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Transpozícia/ implementácia práva EÚ</w:t>
            </w:r>
          </w:p>
        </w:tc>
      </w:tr>
      <w:tr w:rsidR="00D95B6F" w:rsidRPr="006B2C7B" w14:paraId="4C39D5BB" w14:textId="77777777" w:rsidTr="00251B8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70E16F25" w14:textId="34C35372" w:rsidR="00D95B6F" w:rsidRPr="006B2C7B" w:rsidRDefault="00D95B6F" w:rsidP="002E32E9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Smernica Európskeho parlamentu a Rady (EÚ) 2024/825 z 28. februára 2024, ktorou sa menia smernice 2005/29/ES a 2011/83/EÚ, pokiaľ ide o posilnenie postavenia spotrebiteľov v rámci zelenej transformácie prostredníctvom lepšej ochrany pred nekalými praktikami a prostredníctvom lepšieho informovania  (Ú. v. EÚ L, 2024/825, 6. </w:t>
            </w:r>
            <w:r w:rsidR="006761F9">
              <w:rPr>
                <w:rFonts w:ascii="Times" w:hAnsi="Times" w:cs="Times"/>
                <w:sz w:val="20"/>
                <w:szCs w:val="20"/>
              </w:rPr>
              <w:t>3</w:t>
            </w:r>
            <w:r w:rsidR="002A297D">
              <w:rPr>
                <w:rFonts w:ascii="Times" w:hAnsi="Times" w:cs="Times"/>
                <w:sz w:val="20"/>
                <w:szCs w:val="20"/>
              </w:rPr>
              <w:t>.</w:t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 2024)</w:t>
            </w:r>
          </w:p>
          <w:p w14:paraId="1371D14F" w14:textId="77777777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107788B6" w14:textId="44650385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Smernica Európskeho parlamentu a Rady (EÚ) 2024/1799 z 13. júna 2024 o spoločných pravidlách na podporu opravy tovaru a o zmene nariadenia (EÚ) 2017/2394 a smerníc (EÚ) 2019/771 a (EÚ) 2020/1828 (Ú. v. EÚ L, 2024/1799, 10. </w:t>
            </w:r>
            <w:r w:rsidR="006761F9">
              <w:rPr>
                <w:rFonts w:ascii="Times" w:hAnsi="Times" w:cs="Times"/>
                <w:sz w:val="20"/>
                <w:szCs w:val="20"/>
              </w:rPr>
              <w:t>7</w:t>
            </w:r>
            <w:r w:rsidR="002A297D">
              <w:rPr>
                <w:rFonts w:ascii="Times" w:hAnsi="Times" w:cs="Times"/>
                <w:sz w:val="20"/>
                <w:szCs w:val="20"/>
              </w:rPr>
              <w:t>.</w:t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 2024) </w:t>
            </w:r>
          </w:p>
          <w:p w14:paraId="54C46CC2" w14:textId="77777777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0E8D22A0" w14:textId="7244ED9D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Smernica Európskeho parlamentu a Rady (EÚ) 2019/2161 z 27. novembra 2019, ktorou sa menia smernica Rady 93/13/EHS a smernice Európskeho parlamentu a Rady 98/6/ES, 2005/29/ES a 2011/83/EÚ, pokiaľ ide o lepšie presadzovanie a modernizáciu predpisov Únie v oblasti ochrany spotrebiteľa (Ú. v. EÚ L 328, 18. </w:t>
            </w:r>
            <w:r w:rsidR="006761F9">
              <w:rPr>
                <w:rFonts w:ascii="Times" w:hAnsi="Times" w:cs="Times"/>
                <w:sz w:val="20"/>
                <w:szCs w:val="20"/>
              </w:rPr>
              <w:t>12</w:t>
            </w:r>
            <w:r w:rsidR="002A297D">
              <w:rPr>
                <w:rFonts w:ascii="Times" w:hAnsi="Times" w:cs="Times"/>
                <w:sz w:val="20"/>
                <w:szCs w:val="20"/>
              </w:rPr>
              <w:t>.</w:t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 2019) – čiastková transpozícia</w:t>
            </w:r>
          </w:p>
          <w:p w14:paraId="577606ED" w14:textId="77777777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65F491C7" w14:textId="595C9A3E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Smernica Európskeho parlamentu a Rady (EÚ) 2019/771 z 20. mája 2019 o určitých aspektoch týkajúcich sa zmlúv o predaji tovaru, ktorou sa mení nariadenie (EÚ) 2017/2394 a smernica 2009/22/ES a zrušuje smernica 1999/44/ES (Ú. v. EÚ L 136, 22. </w:t>
            </w:r>
            <w:r w:rsidR="006761F9">
              <w:rPr>
                <w:rFonts w:ascii="Times" w:hAnsi="Times" w:cs="Times"/>
                <w:sz w:val="20"/>
                <w:szCs w:val="20"/>
              </w:rPr>
              <w:t>5</w:t>
            </w:r>
            <w:r w:rsidR="002A297D">
              <w:rPr>
                <w:rFonts w:ascii="Times" w:hAnsi="Times" w:cs="Times"/>
                <w:sz w:val="20"/>
                <w:szCs w:val="20"/>
              </w:rPr>
              <w:t>.</w:t>
            </w:r>
            <w:r w:rsidR="006761F9" w:rsidRPr="006B2C7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6B2C7B">
              <w:rPr>
                <w:rFonts w:ascii="Times" w:hAnsi="Times" w:cs="Times"/>
                <w:sz w:val="20"/>
                <w:szCs w:val="20"/>
              </w:rPr>
              <w:t>2019) – čiastková transpozícia</w:t>
            </w:r>
          </w:p>
          <w:p w14:paraId="72897DC5" w14:textId="77777777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1FAADFC9" w14:textId="50962041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Smernica Európskeho parlamentu a Rady (EÚ) 2019/770 z 20. mája 2019 o určitých aspektoch týkajúcich sa zmlúv o dodávaní digitálneho obsahu a digitálnych služieb (Ú. v. EÚ L 136, 22. </w:t>
            </w:r>
            <w:r w:rsidR="006761F9">
              <w:rPr>
                <w:rFonts w:ascii="Times" w:hAnsi="Times" w:cs="Times"/>
                <w:sz w:val="20"/>
                <w:szCs w:val="20"/>
              </w:rPr>
              <w:t>5</w:t>
            </w:r>
            <w:r w:rsidR="002A297D">
              <w:rPr>
                <w:rFonts w:ascii="Times" w:hAnsi="Times" w:cs="Times"/>
                <w:sz w:val="20"/>
                <w:szCs w:val="20"/>
              </w:rPr>
              <w:t xml:space="preserve">. </w:t>
            </w:r>
            <w:r w:rsidRPr="006B2C7B">
              <w:rPr>
                <w:rFonts w:ascii="Times" w:hAnsi="Times" w:cs="Times"/>
                <w:sz w:val="20"/>
                <w:szCs w:val="20"/>
              </w:rPr>
              <w:t>2019) – čiastková transpozícia</w:t>
            </w:r>
          </w:p>
          <w:p w14:paraId="7957E72D" w14:textId="77777777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3C4C9C4A" w14:textId="2A602E63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Smernica Európskeho parlamentu a Rady 2013/11/EÚ z 21. mája 2013 o alternatívnom riešení spotrebiteľských sporov, ktorou sa mení nariadenie (ES) č. 2006/2004 a smernica 2009/22/ES (smernica o alternatívnom riešení spotrebiteľských sporov) (Ú. v. EÚ L 165, 18. </w:t>
            </w:r>
            <w:r w:rsidR="006761F9">
              <w:rPr>
                <w:rFonts w:ascii="Times" w:hAnsi="Times" w:cs="Times"/>
                <w:sz w:val="20"/>
                <w:szCs w:val="20"/>
              </w:rPr>
              <w:t>6</w:t>
            </w:r>
            <w:r w:rsidR="002A297D">
              <w:rPr>
                <w:rFonts w:ascii="Times" w:hAnsi="Times" w:cs="Times"/>
                <w:sz w:val="20"/>
                <w:szCs w:val="20"/>
              </w:rPr>
              <w:t>.</w:t>
            </w:r>
            <w:r w:rsidR="006761F9" w:rsidRPr="006B2C7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6B2C7B">
              <w:rPr>
                <w:rFonts w:ascii="Times" w:hAnsi="Times" w:cs="Times"/>
                <w:sz w:val="20"/>
                <w:szCs w:val="20"/>
              </w:rPr>
              <w:t>2013) – čiastková transpozícia</w:t>
            </w:r>
          </w:p>
          <w:p w14:paraId="62148EEF" w14:textId="77777777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49BC4EAD" w14:textId="714C785D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Smernica Európskeho parlamentu a Rady 2011/83/EÚ z  25. októbra 2011 o právach spotrebiteľov, ktorou sa mení a dopĺňa smernica Rady 93/13/EHS a smernica Európskeho parlamentu a Rady 1999/44/ES a ktorou sa zrušuje smernica Rady 85/577/EHS a smernica Európskeho parlamentu a Rady 97/7/ES (Ú. v. EÚ L 304, </w:t>
            </w:r>
            <w:r w:rsidR="002E32E9">
              <w:rPr>
                <w:rFonts w:ascii="Times" w:hAnsi="Times" w:cs="Times"/>
                <w:sz w:val="20"/>
                <w:szCs w:val="20"/>
              </w:rPr>
              <w:br/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22. </w:t>
            </w:r>
            <w:r w:rsidR="006761F9">
              <w:rPr>
                <w:rFonts w:ascii="Times" w:hAnsi="Times" w:cs="Times"/>
                <w:sz w:val="20"/>
                <w:szCs w:val="20"/>
              </w:rPr>
              <w:t>11</w:t>
            </w:r>
            <w:r w:rsidR="002A297D">
              <w:rPr>
                <w:rFonts w:ascii="Times" w:hAnsi="Times" w:cs="Times"/>
                <w:sz w:val="20"/>
                <w:szCs w:val="20"/>
              </w:rPr>
              <w:t>.</w:t>
            </w:r>
            <w:r w:rsidR="006761F9" w:rsidRPr="006B2C7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6B2C7B">
              <w:rPr>
                <w:rFonts w:ascii="Times" w:hAnsi="Times" w:cs="Times"/>
                <w:sz w:val="20"/>
                <w:szCs w:val="20"/>
              </w:rPr>
              <w:t>2011) v platnom znení– čiastková transpozícia</w:t>
            </w:r>
          </w:p>
          <w:p w14:paraId="5823133F" w14:textId="77777777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54A62DE7" w14:textId="4E50DCB3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Smernica Európskeho parlamentu a Rady 2005/29/ES z 11. mája 2005 o nekalých obchodných praktikách podnikateľov voči spotrebiteľom na vnútornom trhu, a ktorou sa mení a dopĺňa smernica Rady 84/450/EHS, smernice Európskeho parlamentu a Rady 97/7/ES, 98/27/ES a 2002/65/ES a nariadenie Európskeho parlamentu a Rady (ES) č. 2006/2004 („smernica o nekalých obchodných praktikách“) (Ú. v. EÚ L 149, 11. </w:t>
            </w:r>
            <w:r w:rsidR="006761F9">
              <w:rPr>
                <w:rFonts w:ascii="Times" w:hAnsi="Times" w:cs="Times"/>
                <w:sz w:val="20"/>
                <w:szCs w:val="20"/>
              </w:rPr>
              <w:t>6</w:t>
            </w:r>
            <w:r w:rsidR="002A297D">
              <w:rPr>
                <w:rFonts w:ascii="Times" w:hAnsi="Times" w:cs="Times"/>
                <w:sz w:val="20"/>
                <w:szCs w:val="20"/>
              </w:rPr>
              <w:t>.</w:t>
            </w:r>
            <w:r w:rsidR="006761F9" w:rsidRPr="006B2C7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6B2C7B">
              <w:rPr>
                <w:rFonts w:ascii="Times" w:hAnsi="Times" w:cs="Times"/>
                <w:sz w:val="20"/>
                <w:szCs w:val="20"/>
              </w:rPr>
              <w:t>2005) v</w:t>
            </w:r>
            <w:r w:rsidR="002E32E9">
              <w:rPr>
                <w:rFonts w:ascii="Times" w:hAnsi="Times" w:cs="Times"/>
                <w:sz w:val="20"/>
                <w:szCs w:val="20"/>
              </w:rPr>
              <w:t> </w:t>
            </w:r>
            <w:r w:rsidRPr="006B2C7B">
              <w:rPr>
                <w:rFonts w:ascii="Times" w:hAnsi="Times" w:cs="Times"/>
                <w:sz w:val="20"/>
                <w:szCs w:val="20"/>
              </w:rPr>
              <w:t>platnom znení – čiastková transpozícia</w:t>
            </w:r>
          </w:p>
          <w:p w14:paraId="063BE4D7" w14:textId="77777777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42C6D17D" w14:textId="732887FF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Smernica 98/6/ES Európskeho parlamentu a Rady zo 16. februára 1998 o ochrane spotrebiteľa pri označovaní cien výrobkov ponúkaných spotrebiteľovi (</w:t>
            </w:r>
            <w:r w:rsidR="00F954E7" w:rsidRPr="006B2C7B">
              <w:rPr>
                <w:rFonts w:ascii="Times" w:hAnsi="Times" w:cs="Times"/>
                <w:sz w:val="20"/>
                <w:szCs w:val="20"/>
              </w:rPr>
              <w:t>Mimoriadne vydanie Ú. v. EÚ, kap. 15/zv. 4</w:t>
            </w:r>
            <w:r w:rsidR="001F00A6">
              <w:rPr>
                <w:rFonts w:ascii="Times" w:hAnsi="Times" w:cs="Times"/>
                <w:sz w:val="20"/>
                <w:szCs w:val="20"/>
              </w:rPr>
              <w:t>;</w:t>
            </w:r>
            <w:r w:rsidR="00F954E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Ú. v. ES L 80, </w:t>
            </w:r>
            <w:r w:rsidR="002E32E9">
              <w:rPr>
                <w:rFonts w:ascii="Times" w:hAnsi="Times" w:cs="Times"/>
                <w:sz w:val="20"/>
                <w:szCs w:val="20"/>
              </w:rPr>
              <w:br/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18. </w:t>
            </w:r>
            <w:r w:rsidR="006761F9">
              <w:rPr>
                <w:rFonts w:ascii="Times" w:hAnsi="Times" w:cs="Times"/>
                <w:sz w:val="20"/>
                <w:szCs w:val="20"/>
              </w:rPr>
              <w:t>3</w:t>
            </w:r>
            <w:r w:rsidR="002A297D">
              <w:rPr>
                <w:rFonts w:ascii="Times" w:hAnsi="Times" w:cs="Times"/>
                <w:sz w:val="20"/>
                <w:szCs w:val="20"/>
              </w:rPr>
              <w:t>.</w:t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 1998;) v platnom znení – čiastková transpozícia</w:t>
            </w:r>
          </w:p>
          <w:p w14:paraId="605F89E4" w14:textId="77777777" w:rsidR="00D95B6F" w:rsidRPr="006B2C7B" w:rsidRDefault="00D95B6F" w:rsidP="00A27C5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D95B6F" w:rsidRPr="006B2C7B" w14:paraId="47CB3496" w14:textId="77777777" w:rsidTr="00251B8F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1C941F8" w14:textId="77777777" w:rsidR="00D95B6F" w:rsidRPr="006B2C7B" w:rsidRDefault="00D95B6F" w:rsidP="00251B8F">
            <w:pPr>
              <w:spacing w:after="200" w:line="276" w:lineRule="auto"/>
              <w:ind w:left="142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B89" w14:textId="0F2FAD7A" w:rsidR="00D95B6F" w:rsidRPr="006B2C7B" w:rsidRDefault="002E32E9" w:rsidP="00251B8F">
            <w:pPr>
              <w:rPr>
                <w:rFonts w:ascii="Times" w:hAnsi="Times" w:cs="Times"/>
                <w:i/>
                <w:sz w:val="20"/>
                <w:szCs w:val="20"/>
                <w:highlight w:val="yellow"/>
              </w:rPr>
            </w:pPr>
            <w:r>
              <w:rPr>
                <w:rFonts w:ascii="Times" w:hAnsi="Times" w:cs="Times"/>
                <w:sz w:val="20"/>
                <w:szCs w:val="20"/>
              </w:rPr>
              <w:t>d</w:t>
            </w:r>
            <w:r w:rsidR="00D95B6F" w:rsidRPr="006B2C7B">
              <w:rPr>
                <w:rFonts w:ascii="Times" w:hAnsi="Times" w:cs="Times"/>
                <w:sz w:val="20"/>
                <w:szCs w:val="20"/>
              </w:rPr>
              <w:t>ecember 2024</w:t>
            </w:r>
          </w:p>
        </w:tc>
      </w:tr>
      <w:tr w:rsidR="00D95B6F" w:rsidRPr="006B2C7B" w14:paraId="455A8753" w14:textId="77777777" w:rsidTr="00251B8F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9AD32B6" w14:textId="77777777" w:rsidR="00D95B6F" w:rsidRPr="006B2C7B" w:rsidRDefault="00D95B6F" w:rsidP="00251B8F">
            <w:pPr>
              <w:spacing w:after="200" w:line="276" w:lineRule="auto"/>
              <w:ind w:left="142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4F08" w14:textId="331ECAC2" w:rsidR="00D95B6F" w:rsidRPr="006B2C7B" w:rsidRDefault="002E32E9" w:rsidP="00251B8F">
            <w:pPr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</w:t>
            </w:r>
            <w:r w:rsidR="00D95B6F" w:rsidRPr="006B2C7B">
              <w:rPr>
                <w:rFonts w:ascii="Times" w:hAnsi="Times" w:cs="Times"/>
                <w:sz w:val="20"/>
                <w:szCs w:val="20"/>
              </w:rPr>
              <w:t>anuár 2025</w:t>
            </w:r>
          </w:p>
        </w:tc>
      </w:tr>
      <w:tr w:rsidR="00D95B6F" w:rsidRPr="006B2C7B" w14:paraId="61B549A5" w14:textId="77777777" w:rsidTr="00251B8F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D065571" w14:textId="77777777" w:rsidR="00D95B6F" w:rsidRPr="006B2C7B" w:rsidRDefault="00D95B6F" w:rsidP="00251B8F">
            <w:pPr>
              <w:spacing w:line="276" w:lineRule="auto"/>
              <w:ind w:left="142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52C" w14:textId="77777777" w:rsidR="00D95B6F" w:rsidRPr="006B2C7B" w:rsidRDefault="00D95B6F" w:rsidP="00251B8F">
            <w:pPr>
              <w:rPr>
                <w:rFonts w:ascii="Times" w:hAnsi="Times" w:cs="Times"/>
                <w:i/>
                <w:sz w:val="20"/>
                <w:szCs w:val="20"/>
              </w:rPr>
            </w:pPr>
          </w:p>
        </w:tc>
      </w:tr>
      <w:tr w:rsidR="00D95B6F" w:rsidRPr="006B2C7B" w14:paraId="77ACBD97" w14:textId="77777777" w:rsidTr="00251B8F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D735C8" w14:textId="77777777" w:rsidR="00D95B6F" w:rsidRPr="006B2C7B" w:rsidRDefault="00D95B6F" w:rsidP="00251B8F">
            <w:pPr>
              <w:spacing w:after="200" w:line="276" w:lineRule="auto"/>
              <w:ind w:left="142"/>
              <w:contextualSpacing/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048" w14:textId="3F55391C" w:rsidR="00D95B6F" w:rsidRPr="006B2C7B" w:rsidRDefault="002E32E9" w:rsidP="00251B8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</w:t>
            </w:r>
            <w:r w:rsidR="00D95B6F" w:rsidRPr="006B2C7B">
              <w:rPr>
                <w:rFonts w:ascii="Times" w:hAnsi="Times" w:cs="Times"/>
                <w:sz w:val="20"/>
                <w:szCs w:val="20"/>
              </w:rPr>
              <w:t>áj 2025</w:t>
            </w:r>
          </w:p>
        </w:tc>
      </w:tr>
      <w:tr w:rsidR="00D95B6F" w:rsidRPr="006B2C7B" w14:paraId="42800E3A" w14:textId="77777777" w:rsidTr="00251B8F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F24CFB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D95B6F" w:rsidRPr="006B2C7B" w14:paraId="584E7195" w14:textId="77777777" w:rsidTr="00251B8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5AEA721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Definovanie problému</w:t>
            </w:r>
          </w:p>
        </w:tc>
      </w:tr>
      <w:tr w:rsidR="00D95B6F" w:rsidRPr="006B2C7B" w14:paraId="1EB7B9F3" w14:textId="77777777" w:rsidTr="00251B8F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83DBD" w14:textId="6B6D61CC" w:rsidR="00D95B6F" w:rsidRPr="006B2C7B" w:rsidRDefault="00D95B6F" w:rsidP="00251B8F">
            <w:pPr>
              <w:spacing w:after="200"/>
              <w:contextualSpacing/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Z dôvodu nedostatočného legislatívneho rámca na zabezpečenie spoľahlivých informácií pre spotrebiteľov o</w:t>
            </w:r>
            <w:r w:rsidR="002E32E9">
              <w:rPr>
                <w:rFonts w:ascii="Times" w:hAnsi="Times" w:cs="Times"/>
                <w:sz w:val="20"/>
                <w:szCs w:val="20"/>
              </w:rPr>
              <w:t> </w:t>
            </w:r>
            <w:r w:rsidRPr="006B2C7B">
              <w:rPr>
                <w:rFonts w:ascii="Times" w:hAnsi="Times" w:cs="Times"/>
                <w:sz w:val="20"/>
                <w:szCs w:val="20"/>
              </w:rPr>
              <w:t>udržateľnosti produktov a</w:t>
            </w:r>
            <w:r w:rsidR="00974624">
              <w:rPr>
                <w:rFonts w:ascii="Times" w:hAnsi="Times" w:cs="Times"/>
                <w:sz w:val="20"/>
                <w:szCs w:val="20"/>
              </w:rPr>
              <w:t> s cieľom</w:t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 predĺženia životnosti tovarov boli na úrovni EÚ prijaté právne predpisy, ktoré aktualizujú spotrebiteľské práva v súlade s cieľmi v rámci zelenej transformácie.  </w:t>
            </w:r>
          </w:p>
          <w:p w14:paraId="3E1568FB" w14:textId="77777777" w:rsidR="00D95B6F" w:rsidRPr="006B2C7B" w:rsidRDefault="00D95B6F" w:rsidP="00251B8F">
            <w:pPr>
              <w:spacing w:after="200"/>
              <w:contextualSpacing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56693F8C" w14:textId="5E4DC066" w:rsidR="00D95B6F" w:rsidRPr="006B2C7B" w:rsidRDefault="00D95B6F">
            <w:pPr>
              <w:spacing w:after="200"/>
              <w:contextualSpacing/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Návrh zákona reflektuje vývoj právnej úpravy EÚ v oblasti zelenej transformácie. Právna úprava vytvára nové inštitúty a dopĺňa pravidlá v oblasti ochrany spotrebiteľa </w:t>
            </w:r>
            <w:r w:rsidR="00974624">
              <w:rPr>
                <w:rFonts w:ascii="Times" w:hAnsi="Times" w:cs="Times"/>
                <w:sz w:val="20"/>
                <w:szCs w:val="20"/>
              </w:rPr>
              <w:t>s cieľom</w:t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 posilnenia postavenia spotrebiteľov v kontexte zelenej transformácie a ich aktívnej účasti na dosahovaní jej cieľov.  </w:t>
            </w:r>
          </w:p>
        </w:tc>
      </w:tr>
      <w:tr w:rsidR="00D95B6F" w:rsidRPr="006B2C7B" w14:paraId="10805824" w14:textId="77777777" w:rsidTr="00251B8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9655BD3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Ciele a výsledný stav</w:t>
            </w:r>
          </w:p>
        </w:tc>
      </w:tr>
      <w:tr w:rsidR="00D95B6F" w:rsidRPr="006B2C7B" w14:paraId="7DF389E7" w14:textId="77777777" w:rsidTr="00251B8F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2102E" w14:textId="77777777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Cieľom návrhu zákona je  posilniť postavenie spotrebiteľov v kontexte zelenej transformácie a aktívnej participácie spotrebiteľov na dosahovaní jej cieľov, umožniť spotrebiteľom prijímať vo väčšej miere kvalifikované nákupné rozhodnutia  a využívať opravárenské služby za účelom podpory udržateľnej spotreby. Zmeny majú rovnako prispieť k podpore hospodárskej súťaže, keďže môžu motivovať výrobcov a obchodníkov v záujme zvýšenia predajnosti k prijatiu opatrení, ktoré budú mať potenciál na zmiernenie negatívnych vplyvov produktov na životné prostredie.</w:t>
            </w:r>
          </w:p>
        </w:tc>
      </w:tr>
      <w:tr w:rsidR="00D95B6F" w:rsidRPr="006B2C7B" w14:paraId="7172ED5B" w14:textId="77777777" w:rsidTr="00251B8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2FE50EB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Dotknuté subjekty</w:t>
            </w:r>
          </w:p>
        </w:tc>
      </w:tr>
      <w:tr w:rsidR="00D95B6F" w:rsidRPr="006B2C7B" w14:paraId="27B25903" w14:textId="77777777" w:rsidTr="00251B8F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8BFC8" w14:textId="77777777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Výrobcovia, splnomocnení zástupcovia, dovozcovia, distribútori, obchodníci, opravovne, spotrebitelia, orgány verejnej moci (Ministerstvo hospodárstva Slovenskej republiky, Národná banka Slovenska, Slovenská obchodná inšpekcia, Štátna veterinárna a potravinová správa Slovenskej republiky a regionálne veterinárne a potravinové správy, Štátny ústav na kontrolu liečiv, Úrad pre reguláciu sieťových odvetví, Úrad verejného zdravotníctva Slovenskej republiky a regionálne úrady verejného zdravotníctva, Úrad pre reguláciu hazardných hier).</w:t>
            </w:r>
          </w:p>
        </w:tc>
      </w:tr>
      <w:tr w:rsidR="00D95B6F" w:rsidRPr="006B2C7B" w14:paraId="256060C4" w14:textId="77777777" w:rsidTr="00251B8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0D9D83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Alternatívne riešenia</w:t>
            </w:r>
          </w:p>
        </w:tc>
      </w:tr>
      <w:tr w:rsidR="00D95B6F" w:rsidRPr="006B2C7B" w14:paraId="721E5E2B" w14:textId="77777777" w:rsidTr="00251B8F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CFF31" w14:textId="77777777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5986E6EC" w14:textId="77777777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Alternatívne riešenia neboli posudzované vzhľadom na výsledok verejnej konzultácie.</w:t>
            </w:r>
          </w:p>
          <w:p w14:paraId="2755C9C5" w14:textId="77777777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212A62D6" w14:textId="77777777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V prípade nulového variantu by Slovenská republika nesplnila povinnosť transpozície príslušných smerníc EÚ.</w:t>
            </w:r>
          </w:p>
        </w:tc>
      </w:tr>
      <w:tr w:rsidR="00D95B6F" w:rsidRPr="006B2C7B" w14:paraId="76E7DD5F" w14:textId="77777777" w:rsidTr="00251B8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20F7AD4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Vykonávacie predpisy</w:t>
            </w:r>
          </w:p>
        </w:tc>
      </w:tr>
      <w:tr w:rsidR="00D95B6F" w:rsidRPr="006B2C7B" w14:paraId="37AA2656" w14:textId="77777777" w:rsidTr="00251B8F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2474DB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9A3CC66" w14:textId="77777777" w:rsidR="00D95B6F" w:rsidRPr="006B2C7B" w:rsidRDefault="008D594D" w:rsidP="00251B8F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sdt>
              <w:sdtPr>
                <w:rPr>
                  <w:rFonts w:ascii="Times" w:hAnsi="Times" w:cs="Times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6F"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95B6F" w:rsidRPr="006B2C7B">
              <w:rPr>
                <w:rFonts w:ascii="Times" w:hAnsi="Times" w:cs="Times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BE552E6" w14:textId="77777777" w:rsidR="00D95B6F" w:rsidRPr="006B2C7B" w:rsidRDefault="008D594D" w:rsidP="00251B8F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sdt>
              <w:sdtPr>
                <w:rPr>
                  <w:rFonts w:ascii="Times" w:hAnsi="Times" w:cs="Times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6F"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D95B6F" w:rsidRPr="006B2C7B">
              <w:rPr>
                <w:rFonts w:ascii="Times" w:hAnsi="Times" w:cs="Times"/>
                <w:b/>
                <w:sz w:val="20"/>
                <w:szCs w:val="20"/>
              </w:rPr>
              <w:t xml:space="preserve">  Nie</w:t>
            </w:r>
          </w:p>
        </w:tc>
      </w:tr>
      <w:tr w:rsidR="00D95B6F" w:rsidRPr="006B2C7B" w14:paraId="6E210435" w14:textId="77777777" w:rsidTr="00251B8F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707C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D95B6F" w:rsidRPr="006B2C7B" w14:paraId="6215232D" w14:textId="77777777" w:rsidTr="00251B8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3AB6A2E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 xml:space="preserve">Transpozícia/implementácia práva EÚ </w:t>
            </w:r>
          </w:p>
        </w:tc>
      </w:tr>
      <w:tr w:rsidR="00D95B6F" w:rsidRPr="006B2C7B" w14:paraId="41A4745A" w14:textId="77777777" w:rsidTr="00251B8F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D95B6F" w:rsidRPr="00983FFD" w14:paraId="178D2F72" w14:textId="77777777" w:rsidTr="00251B8F">
              <w:trPr>
                <w:trHeight w:val="90"/>
              </w:trPr>
              <w:tc>
                <w:tcPr>
                  <w:tcW w:w="8643" w:type="dxa"/>
                </w:tcPr>
                <w:p w14:paraId="5FF36597" w14:textId="77777777" w:rsidR="00D95B6F" w:rsidRPr="00983FFD" w:rsidRDefault="00D95B6F" w:rsidP="00251B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FFD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lastRenderedPageBreak/>
                    <w:t xml:space="preserve">Uveďte, či v predkladanom návrhu právneho predpisu dochádza ku goldplatingu podľa tabuľky zhody, resp. či ku goldplatingu dochádza pri implementácii práva EÚ. </w:t>
                  </w:r>
                </w:p>
              </w:tc>
            </w:tr>
            <w:tr w:rsidR="00D95B6F" w:rsidRPr="00983FFD" w14:paraId="2A7CF42B" w14:textId="77777777" w:rsidTr="00251B8F">
              <w:trPr>
                <w:trHeight w:val="296"/>
              </w:trPr>
              <w:tc>
                <w:tcPr>
                  <w:tcW w:w="8643" w:type="dxa"/>
                </w:tcPr>
                <w:p w14:paraId="1E61D6DF" w14:textId="0C370097" w:rsidR="00D95B6F" w:rsidRPr="00983FFD" w:rsidRDefault="00D95B6F" w:rsidP="00251B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</w:rPr>
                  </w:pPr>
                  <w:r w:rsidRPr="00983FFD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iCs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A32">
                        <w:rPr>
                          <w:rFonts w:ascii="MS Gothic" w:eastAsia="MS Gothic" w:hAnsi="MS Gothic" w:cs="Segoe UI Symbol" w:hint="eastAsia"/>
                          <w:b/>
                          <w:i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983FFD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iCs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A32">
                        <w:rPr>
                          <w:rFonts w:ascii="MS Gothic" w:eastAsia="MS Gothic" w:hAnsi="MS Gothic" w:cs="Segoe UI Symbol" w:hint="eastAsia"/>
                          <w:b/>
                          <w:i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983FFD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</w:rPr>
                    <w:t xml:space="preserve"> Nie</w:t>
                  </w:r>
                </w:p>
              </w:tc>
            </w:tr>
            <w:tr w:rsidR="00D95B6F" w:rsidRPr="00983FFD" w14:paraId="71D3A977" w14:textId="77777777" w:rsidTr="00251B8F">
              <w:trPr>
                <w:trHeight w:val="296"/>
              </w:trPr>
              <w:tc>
                <w:tcPr>
                  <w:tcW w:w="8643" w:type="dxa"/>
                </w:tcPr>
                <w:p w14:paraId="7C834F01" w14:textId="074BFFEB" w:rsidR="00871B26" w:rsidRPr="00983FFD" w:rsidRDefault="00871B26" w:rsidP="00251B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199024A" w14:textId="540F8D47" w:rsidR="00983FFD" w:rsidRPr="00F15689" w:rsidRDefault="00871B26" w:rsidP="00983F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7CA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1.</w:t>
                  </w:r>
                  <w:r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83F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Smernica (EÚ) 2019/771: </w:t>
                  </w:r>
                  <w:r w:rsidR="00F15689" w:rsidRPr="00F156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čl. 11 o</w:t>
                  </w:r>
                  <w:r w:rsidR="00F156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ds. 1 a 2 smernice </w:t>
                  </w:r>
                  <w:r w:rsidR="00F1568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- </w:t>
                  </w:r>
                  <w:r w:rsidR="000C2E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n</w:t>
                  </w:r>
                  <w:r w:rsidR="00983FFD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ávrhom zákona sa </w:t>
                  </w:r>
                  <w:r w:rsidR="00983FFD" w:rsidRPr="00347F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nezavádza</w:t>
                  </w:r>
                  <w:r w:rsidR="00983FFD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národná úprava, ktorá by išla nad rámec minimálnych požiadaviek stanovených v smernici </w:t>
                  </w:r>
                  <w:r w:rsidR="004710D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(EÚ) </w:t>
                  </w:r>
                  <w:r w:rsidR="00983FFD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2019/771. Návrhom zákona sa upravujú existujúce ustanovenia</w:t>
                  </w:r>
                  <w:r w:rsidR="00A97A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Občianskeho zákonníka</w:t>
                  </w:r>
                  <w:r w:rsidR="00983FFD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ktoré idú na</w:t>
                  </w:r>
                  <w:r w:rsidR="004C7C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 w:rsidR="00983FFD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rámec minimálnych požiadaviek </w:t>
                  </w:r>
                  <w:r w:rsidR="00A97A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tejto </w:t>
                  </w:r>
                  <w:r w:rsidR="00983FFD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smernice. Ide o výlučne formálnu úpravu </w:t>
                  </w:r>
                  <w:r w:rsidR="00A97A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už platného </w:t>
                  </w:r>
                  <w:r w:rsidR="00983FFD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ustanovenia, ktorá nadväzuje na prečíslov</w:t>
                  </w:r>
                  <w:r w:rsidR="00F156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anie ustanovení </w:t>
                  </w:r>
                  <w:r w:rsidR="00A97A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 nadväznosti na zmeny v </w:t>
                  </w:r>
                  <w:r w:rsidR="00F156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návrhu zákona. </w:t>
                  </w:r>
                  <w:r w:rsidR="00983FFD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Goldplating k čl. 11 ods. 1 a 2 smernice (EÚ) 2019/771 bol riadne odôvodnený v legislatívnom procese</w:t>
                  </w:r>
                  <w:r w:rsidR="004710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983FFD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 ktorom bol článok smernice </w:t>
                  </w:r>
                  <w:r w:rsidR="002F37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pôvodne </w:t>
                  </w:r>
                  <w:r w:rsidR="00983FFD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transponovaný: čl. II § 620 ods. 1 Občianskeho zákonníka – využitie možnosti vyplývajúcej z čl. 11 ods</w:t>
                  </w:r>
                  <w:r w:rsidR="002E32E9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2E32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="00983FFD" w:rsidRPr="00983F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smernice (EÚ) 2019/771 považovať vadu, ktorá sa prejaví do uplynutia dvoch rokov od dodania veci za vadu, ktorú mala vec už v čase dodania. Uvedená možnosť bola využitá v nadväznosti na zrušenie právnej úpravy zákonnej záruky v trvaní dvoch rokov, ktorá sa doteraz uplatňovala v SR a s ohľadom na vyvrátiteľný charakter domnienky. </w:t>
                  </w:r>
                </w:p>
                <w:p w14:paraId="4C5EF900" w14:textId="29A499EC" w:rsidR="00871B26" w:rsidRPr="00983FFD" w:rsidRDefault="00871B26" w:rsidP="00871B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  <w:p w14:paraId="7F10714F" w14:textId="73ABCB76" w:rsidR="00983FFD" w:rsidRPr="00797378" w:rsidRDefault="00871B26" w:rsidP="00983F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4C7C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2.</w:t>
                  </w:r>
                  <w:r w:rsidRPr="00983FF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Sme</w:t>
                  </w:r>
                  <w:r w:rsidR="000C2E7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rnica 2011/83/EÚ</w:t>
                  </w:r>
                  <w:r w:rsidRPr="004C7C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:</w:t>
                  </w:r>
                  <w:r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čl. </w:t>
                  </w:r>
                  <w:r w:rsidR="000C2E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9 ods. 1a  smernice</w:t>
                  </w:r>
                  <w:r w:rsidR="00F156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0C2E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="00F156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0C2E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ávrhom zákona sa </w:t>
                  </w:r>
                  <w:r w:rsidR="00983FFD" w:rsidRPr="00347F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nezavádza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národná úprava, ktorá by išla nad rámec minimálnych požiadaviek stanovených v smernici 2011/83/EÚ. Návrhom zákona sa upravujú existujúce ustanovenia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zákona č. 108/2024 Z. z. o ochrane spotrebiteľa a o zmene a doplnení niektorých zákonov (ďalej len „zákon č. 108/2024 Z. z.“)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 ktoré idú na</w:t>
                  </w:r>
                  <w:r w:rsidR="000C2E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d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rámec minimálnych požiadaviek smernice. Ide o formálnu zmenu s cieľom 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s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presniť moment začatia plynutia lehoty na odstúpenie spotrebiteľa od zmluvy bez uvedenia dôvodu v prípade zmlúv uzavretých pri nevyžiadanej návšteve alebo v súvislosti s ňou alebo na predajnej </w:t>
                  </w:r>
                  <w:r w:rsidR="00F156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akcii alebo v súvislosti s ňou. 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Goldplating k čl. 9 ods. 1a  smernice 2011/83/EÚ bol riadne odôvodnený v legislatívnom procese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v ktorom bol článok smernice 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pôvodne 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transponovaný: čl. I § 20 ods. 1 písm. b) návrhu zákona 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č. 108/2024 Z. z. 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– využitie možnosti stanovenej v čl. 9 ods. 1a smernice 2011/83/EÚ v platnom znení predĺžiť lehotu na odstúpenie od zmluvy zo 14 dní na 30 dní pre prípad zmlúv uzatvorených v súvislosti s nevyžiadanými návštevami obchodníka v</w:t>
                  </w:r>
                  <w:r w:rsidR="005371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domácnosti spotrebiteľa alebo so zájazdmi organizovanými obchodníkom s cieľom alebo výsledkom propagácie alebo predaja výrobkov spotrebiteľom (tzv. predajné akcie). Predĺženie lehoty nadväzuje na problémy v aplikačnej praxi, keďže pri predajných akciách a nevyžiadaných návštevách dochádza naďalej k nekalým praktikám a rovnako sú tieto formy obchodovania (v zmysle podnetov z podnikateľského prostredia) zneužívané v rámci konkurenčného boja. </w:t>
                  </w:r>
                </w:p>
                <w:p w14:paraId="565746EF" w14:textId="62A7E0E7" w:rsidR="001E79E3" w:rsidRPr="00983FFD" w:rsidRDefault="001E79E3" w:rsidP="00871B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  <w:p w14:paraId="44187E51" w14:textId="2656F74D" w:rsidR="001E79E3" w:rsidRPr="00871B26" w:rsidRDefault="001E79E3" w:rsidP="00871B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7C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3.</w:t>
                  </w:r>
                  <w:r w:rsidRPr="00983F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983FFD" w:rsidRPr="00983FF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Smernica (EÚ) 2019/2161: </w:t>
                  </w:r>
                </w:p>
                <w:p w14:paraId="0B165203" w14:textId="67173ACE" w:rsidR="00797378" w:rsidRDefault="00EA5685" w:rsidP="00DE2C5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EA56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983FFD" w:rsidRPr="00EA56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čl. 1 štvrtý bod </w:t>
                  </w:r>
                  <w:r w:rsidR="000C2E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  <w:r w:rsidR="00F156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čl. 3 ods. 6  smernice </w:t>
                  </w:r>
                  <w:r w:rsidR="000C2E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- </w:t>
                  </w:r>
                  <w:r w:rsidR="000C2E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n</w:t>
                  </w:r>
                  <w:r w:rsidR="00000926" w:rsidRPr="000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ávrhom zákona sa </w:t>
                  </w:r>
                  <w:r w:rsidR="00000926" w:rsidRPr="00347F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nezavádza</w:t>
                  </w:r>
                  <w:r w:rsidR="00000926" w:rsidRPr="000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národná úprava, ktorá by išla nad rámec minimálnych požiadaviek stanovených v smernici (EÚ) 2019/2161.</w:t>
                  </w:r>
                  <w:r w:rsidR="000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Právna úprava bola  predmetom legislatívneho procesu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v ktorom bola transponovaná smernica (EÚ) 2019/2161. V</w:t>
                  </w:r>
                  <w:r w:rsidR="005371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legislatívnom procese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ktorým bola smernica (EÚ) 2019/2161 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pôvodne 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transponovaná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nebol v súvislosti s ustanovením identifikovaný goldplating vzhľadom na skutočnosť, že národná úprava stanovuje sadzby pokút pri 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opakovanom porušení povinnosti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. Sankčné ustanovenie smernice  (EÚ) 2019/2161 stanovuje za porušenie povinností podľa smernice 93/13/EHS, smernice 2005/29/ES </w:t>
                  </w:r>
                  <w:r w:rsidR="005371E3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a</w:t>
                  </w:r>
                  <w:r w:rsidR="005371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smernice 2011/83/EÚ 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sankcie vo výške 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4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% z obratu ako minimálnu hornú hranicu sadzby pokuty. Smernica neupravuje výšku sankcie v prípade opakovaného porušenia povinností. Ustanovenie § 43 ods.</w:t>
                  </w:r>
                  <w:r w:rsidR="008D59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3 písm. b) zákona č. 108/2024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Z. z.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a ustanovenia zákona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č. 747/2004 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Z. z. 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predstavujú vnútroštátnu úpravu sankcií za opakované porušenie povinností, ktorá je bežným prvkom slovenského práva. </w:t>
                  </w:r>
                  <w:r w:rsidR="005371E3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Z</w:t>
                  </w:r>
                  <w:r w:rsidR="005371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uvedených dôvodov sankcia za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opakované porušenie povinnosti</w:t>
                  </w:r>
                  <w:r w:rsidR="00797378" w:rsidRPr="007973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nie je v roz</w:t>
                  </w:r>
                  <w:r w:rsidR="004C7C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pore s transponovanou smernicou;</w:t>
                  </w:r>
                </w:p>
                <w:p w14:paraId="5F811EB5" w14:textId="22045176" w:rsidR="00DE2C52" w:rsidRDefault="00DE2C52" w:rsidP="00DE2C5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- </w:t>
                  </w:r>
                  <w:r w:rsidR="008E60B7" w:rsidRPr="008E60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čl. 1 piaty bod smernic</w:t>
                  </w:r>
                  <w:r w:rsidR="00F156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e</w:t>
                  </w:r>
                  <w:r w:rsidR="008E60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0C2E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="008E60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0C2E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</w:t>
                  </w:r>
                  <w:r w:rsidR="008E60B7" w:rsidRPr="008E60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ávrhom zákona sa </w:t>
                  </w:r>
                  <w:r w:rsidR="008E60B7" w:rsidRPr="00347F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nezavádza</w:t>
                  </w:r>
                  <w:r w:rsidR="008E60B7" w:rsidRPr="008E60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národná úprava, ktorá by išla nad rámec minimálnych požiadaviek stanovených v smernici (EÚ) 2019/2161</w:t>
                  </w:r>
                  <w:r w:rsidR="008E60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. 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Právna úprava bola</w:t>
                  </w:r>
                  <w:r w:rsidR="00125156" w:rsidRPr="001251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predmetom legislatívneho procesu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</w:t>
                  </w:r>
                  <w:r w:rsidR="00125156" w:rsidRPr="001251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v ktorom bola transponovaná smernica (EÚ) 2019/2161. V legislatívnom procese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</w:t>
                  </w:r>
                  <w:r w:rsidR="00125156" w:rsidRPr="001251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ktorým bola smernica (EÚ) 2019/2161 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pôvodne </w:t>
                  </w:r>
                  <w:r w:rsidR="00125156" w:rsidRPr="001251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transponovaná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</w:t>
                  </w:r>
                  <w:r w:rsidR="00125156" w:rsidRPr="001251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nebol v súvislosti s ustanovením identifikovaný goldplating vzhľadom na skutočnosť, že národná úprava stanovuje sadzby pokút pri </w:t>
                  </w:r>
                  <w:r w:rsidR="00125156" w:rsidRPr="001251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opakovanom porušení povinnosti.</w:t>
                  </w:r>
                  <w:r w:rsidR="00125156" w:rsidRPr="001251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V zmysle čl. 1 piateho bodu smernice (EÚ) 2019/2161 sa vyžaduje maximálna výška pokuty v sume 2 000 000 eur. Smernica neupravuje výšku sankcie v prípade opakovaného porušenia povinností. Ustanovenie § 35fa ods. 7 písm. b) zákona č. 747/2004 Z. z. predstavuje vnútroštátnu úpravu sankcií za opakované porušenie povinností. Z uvedených dôvodov sankcia za opakované porušenie povinnosti nie je v roz</w:t>
                  </w:r>
                  <w:r w:rsidR="004C7C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pore s transponovanou smernicou;</w:t>
                  </w:r>
                </w:p>
                <w:p w14:paraId="6365EDB2" w14:textId="51E70689" w:rsidR="00ED1CA4" w:rsidRDefault="008E60B7" w:rsidP="004C7CA7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- </w:t>
                  </w:r>
                  <w:r w:rsidR="004D0A67" w:rsidRPr="004D0A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čl. </w:t>
                  </w:r>
                  <w:r w:rsidR="00F156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4 ods. 8 smernice</w:t>
                  </w:r>
                  <w:r w:rsidR="004D0A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- </w:t>
                  </w:r>
                  <w:r w:rsidR="000C2E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ávrhom zákona sa </w:t>
                  </w:r>
                  <w:r w:rsidR="00ED1CA4" w:rsidRPr="00347F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nezavádza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národná úprava, ktorá by išla nad rámec minimálnych požiadaviek stanovených v smernici 2011/83/EÚ. Návrhom zákona sa upravujú existujúce ustanovenia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zákona č. 108/2024 Z. z.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 ktoré idú na rámec minimálnych požiadaviek smernice. Ide</w:t>
                  </w:r>
                  <w:r w:rsidR="008D59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o formálnu zmenu s cieľom 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s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presniť moment začatia plynutia lehoty na odstúpenie spotrebiteľa od zmluvy bez uvedenia dôvodu v prípade zmlúv uzavretých pri nevyžiadanej návšteve alebo v súvislosti s</w:t>
                  </w:r>
                  <w:r w:rsidR="008D59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ňou alebo na predajnej akcii alebo v súvislosti s ňou.</w:t>
                  </w:r>
                  <w:r w:rsidR="00F156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Goldplating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k čl. 9 ods. 1a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smernice 2011/83/EÚ bol riadne odôvodnený v legislatívnom procese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v ktorom bo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l článok smernice 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pôvodne 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transponovaný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: čl. I § 20 ods. 1 písm. b) návrhu zákona </w:t>
                  </w:r>
                  <w:r w:rsidR="002F37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č. 108/2024 Z. z. 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– využitie možnosti stanovenej v čl. 4 ods. 8 smernice (EÚ) 2019/2161, ktorým sa mení čl. 9 ods. 1a smernice 2011/83/EÚ v platnom znení</w:t>
                  </w:r>
                  <w:r w:rsidR="004710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predĺžiť lehotu na odstúpenie od zmluvy zo 14 dní na 30 dní pre prípad zmlúv uzatvorených v súvislosti s</w:t>
                  </w:r>
                  <w:r w:rsidR="008D59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nevyžiadanými návštevami obchodníka v domácnosti spotrebiteľa alebo so zájazdmi organizovanými obchodníkom </w:t>
                  </w:r>
                  <w:r w:rsidR="008D59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8D594D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s</w:t>
                  </w:r>
                  <w:r w:rsidR="008D59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cieľom alebo výsledkom propagácie alebo predaja výrobkov spotrebiteľom (tzv. predajné akcie). Predĺženie lehoty nadväzuje na problémy v aplikačnej praxi, keďže pri predajných akciách a</w:t>
                  </w:r>
                  <w:r w:rsidR="008D59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nevyžiadaných návštevách dochádza naďalej k nekalým praktikám a rovnako sú tieto formy obchodovania (v zmysle podnetov z podnikateľského prostredia) zneužívané v rámci konkurenčného boja</w:t>
                  </w:r>
                  <w:r w:rsidR="004D23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,</w:t>
                  </w:r>
                  <w:r w:rsidR="00ED1CA4" w:rsidRPr="00ED1C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</w:p>
                <w:p w14:paraId="7AD4464B" w14:textId="63966222" w:rsidR="00142851" w:rsidRDefault="00142851" w:rsidP="004C7CA7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- </w:t>
                  </w:r>
                  <w:r w:rsidRPr="001428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Čl. 2 ods. 1  smernice (EÚ) 2019/2161 (č</w:t>
                  </w:r>
                  <w:r w:rsidR="002774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l. 6a ods. 5 smernice 98/6/ES) - n</w:t>
                  </w:r>
                  <w:r w:rsidRPr="001428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ávrhom zákona sa </w:t>
                  </w:r>
                  <w:r w:rsidRPr="0027746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nezavádza </w:t>
                  </w:r>
                  <w:r w:rsidRPr="001428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národná úprava, ktorá by išla nad rámec minimálnych požiadaviek stanovených v smernici (EÚ) 2019/2161. Návrhom zákona sa upravujú existujúce ustanovenia zákona č. 108/2024 Z. z. o ochrane spotrebiteľa a o zmene a doplnení niektorých zákonov, ktoré idú nad rámec minimálnych požiadaviek smernice. Ide o formálnu zmenu s cieľom spresniť ustanovenie v súvislosti s postupným znižovaním ceny tovaru obchodníkom.</w:t>
                  </w:r>
                  <w:r>
                    <w:t xml:space="preserve"> </w:t>
                  </w:r>
                  <w:r w:rsidRPr="001428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Goldplating k čl. 2 ods. 1  smernice (EÚ) 2019/2161 (čl. 6a ods. 5 smernice 98/6/ES): bol riadne odôvodnený v legislatívnom procese, v ktorom bol článok smernice pôvodne transponovaný: čl. I § 7 ods. 3 NZ – využitie možnosti stanovenej v čl. 6a ods. 5 smernice 98/6/ES v platnom znení stanoviť, že ak sa zníženie ceny postupne zvyšuje, predchádzajúca cena je cena bez zníženia ceny pred prvým uplatnením zníženia ceny. Uvedené má pozitívny vplyv na podnikateľské prostredie.</w:t>
                  </w:r>
                </w:p>
                <w:p w14:paraId="07A9965E" w14:textId="240DF16D" w:rsidR="004D231F" w:rsidRDefault="004D231F" w:rsidP="004C7CA7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45F399BF" w14:textId="77777777" w:rsidR="008D594D" w:rsidRDefault="008D594D" w:rsidP="004C7CA7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1797A536" w14:textId="77777777" w:rsidR="004D231F" w:rsidRDefault="004D231F" w:rsidP="004C7CA7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4. </w:t>
                  </w:r>
                  <w:r w:rsidRPr="004D231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Smernica 98/6/ES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:</w:t>
                  </w:r>
                </w:p>
                <w:p w14:paraId="16AFD038" w14:textId="709BA90B" w:rsidR="004D231F" w:rsidRPr="00797378" w:rsidRDefault="004D231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- </w:t>
                  </w:r>
                  <w:r w:rsidRPr="004D23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l. 6a ods. 5  smernice 98/6/ES - n</w:t>
                  </w:r>
                  <w:r w:rsidRPr="004D23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ávrhom zákona sa </w:t>
                  </w:r>
                  <w:r w:rsidRPr="0027746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nezavádza</w:t>
                  </w:r>
                  <w:r w:rsidRPr="004D23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národná úprava, ktorá by išla nad rámec minimálnych požiadaviek stanovených v smernici 98/6/ES. Návrhom zákona sa upravujú existujúce ustanovenia zákona č. 108/2024 Z. z., ktoré idú nad rámec minimálnych požiadaviek smernice. </w:t>
                  </w:r>
                  <w:r w:rsidR="006933EB" w:rsidRPr="004D23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Ide</w:t>
                  </w:r>
                  <w:r w:rsidR="00693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="006933EB" w:rsidRPr="004D23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o</w:t>
                  </w:r>
                  <w:r w:rsidR="00693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 </w:t>
                  </w:r>
                  <w:r w:rsidRPr="004D23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formálnu zmenu s cieľom spresniť ustanove</w:t>
                  </w:r>
                  <w:r w:rsidR="002A29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</w:t>
                  </w:r>
                  <w:r w:rsidRPr="004D23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ie v súvislosti s postupným zniž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ovaním ceny tovaru obchodníkom. </w:t>
                  </w:r>
                  <w:r w:rsidRPr="004D23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Goldplating k čl. 6a ods. 5  smernice 98/6/ES bol riadne odôvodnený v legislatívnom procese, v ktorom bol článok smernice pôvodne transponovaný: čl. I § 7 ods. 3 NZ – využitie možnosti stanovenej v čl. 6a ods. 5 smernice 98/6/ES v platnom znení stanoviť, že ak sa zníženie ceny postupne zvyšuje, predchádzajúca cena je cena bez zníženia ceny pred prvým uplatnením zníženia ceny. Uvedené má pozitívny vplyv na podnikateľské prostredie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.</w:t>
                  </w:r>
                </w:p>
              </w:tc>
            </w:tr>
          </w:tbl>
          <w:p w14:paraId="6019321D" w14:textId="77777777" w:rsidR="00D95B6F" w:rsidRPr="00983FFD" w:rsidRDefault="00D95B6F" w:rsidP="00251B8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95B6F" w:rsidRPr="006B2C7B" w14:paraId="5BB85142" w14:textId="77777777" w:rsidTr="00251B8F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07729" w14:textId="77777777" w:rsidR="00D95B6F" w:rsidRPr="006B2C7B" w:rsidRDefault="00D95B6F" w:rsidP="00251B8F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D95B6F" w:rsidRPr="006B2C7B" w14:paraId="5DBB8F26" w14:textId="77777777" w:rsidTr="00251B8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124A5C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Preskúmanie účelnosti</w:t>
            </w:r>
          </w:p>
        </w:tc>
      </w:tr>
      <w:tr w:rsidR="00D95B6F" w:rsidRPr="006B2C7B" w14:paraId="02F41A54" w14:textId="77777777" w:rsidTr="00251B8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F9BF0" w14:textId="1EB108E1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Komisia do 27. septembra 2031 predloží správu o uplatňovaní smernice Európskeho parlamentu a Rady (EÚ) 2024/825 z 28. februára 2024, ktorou sa menia smernice 2005/29/ES a 2011/83/EÚ, pokiaľ ide o posilnenie postavenia spotrebiteľov v rámci zelenej transformácie prostredníctvom lepšej ochrany pred nekalými praktikami a prostredníctvom lepšieho informovania (Ú. v. EÚ L, 2024/825, 6. </w:t>
            </w:r>
            <w:r w:rsidR="006761F9">
              <w:rPr>
                <w:rFonts w:ascii="Times" w:hAnsi="Times" w:cs="Times"/>
                <w:sz w:val="20"/>
                <w:szCs w:val="20"/>
              </w:rPr>
              <w:t>3</w:t>
            </w:r>
            <w:r w:rsidR="002A297D">
              <w:rPr>
                <w:rFonts w:ascii="Times" w:hAnsi="Times" w:cs="Times"/>
                <w:sz w:val="20"/>
                <w:szCs w:val="20"/>
              </w:rPr>
              <w:t>.</w:t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 2024). Uvedená správa bude obsahovať posúdenie prínosu smernice, najmä účinnosti harmonizovaného označenia a harmonizovaného oznámenia z</w:t>
            </w:r>
            <w:r w:rsidR="002E32E9">
              <w:rPr>
                <w:rFonts w:ascii="Times" w:hAnsi="Times" w:cs="Times"/>
                <w:sz w:val="20"/>
                <w:szCs w:val="20"/>
              </w:rPr>
              <w:t> </w:t>
            </w:r>
            <w:r w:rsidRPr="006B2C7B">
              <w:rPr>
                <w:rFonts w:ascii="Times" w:hAnsi="Times" w:cs="Times"/>
                <w:sz w:val="20"/>
                <w:szCs w:val="20"/>
              </w:rPr>
              <w:t>hľadiska zlepšenia dostupnosti obchodných záruk životnosti a ich pochopenia spotrebiteľmi, ako aj zvýšenia informovanosti spotrebiteľov o ich práve v rámci právnej záruky súladu. V správe sa okrem toho posúdi celkový prínos tejto smernice k účasti spotrebiteľov na zelenej transformácii a jej vplyv na obchodníkov. Spolu so správou sa v náležitých prípadoch predložia príslušné legislatívne návrhy.</w:t>
            </w:r>
          </w:p>
          <w:p w14:paraId="77BE3F0B" w14:textId="77777777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588588BF" w14:textId="08AE5936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Komisia do 31. júla 2031 predloží správu o uplatňovaní tejto smernice  Európskeho parlamentu a Rady (EÚ) 2024/1799 z 13. júna 2024 o spoločných pravidlách na podporu opravy tovaru a o zmene nariadenia (EÚ) 2017/2394 a smerníc (EÚ) 2019/771 a (EÚ) 2020/1828 (Ú. v. EÚ L, 2024/1799, 10. </w:t>
            </w:r>
            <w:r w:rsidR="006761F9">
              <w:rPr>
                <w:rFonts w:ascii="Times" w:hAnsi="Times" w:cs="Times"/>
                <w:sz w:val="20"/>
                <w:szCs w:val="20"/>
              </w:rPr>
              <w:t>7</w:t>
            </w:r>
            <w:r w:rsidR="002A297D">
              <w:rPr>
                <w:rFonts w:ascii="Times" w:hAnsi="Times" w:cs="Times"/>
                <w:sz w:val="20"/>
                <w:szCs w:val="20"/>
              </w:rPr>
              <w:t>.</w:t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 2024).V správe sa posúdi prínos tejto smernice, a najmä článkov 5 a 16, k podpore opráv na vnútornom trhu vrátane opravy tovaru, na ktorý sa vzťahujú požiadavky na opraviteľnosť mimo zákonnej zodpovednosti za vady, a možnosti spotrebiteľa rozhodnúť sa v rámci zákonnej zodpovednosti za vady pre opravu, ako aj vplyv tejto smernice na podniky a</w:t>
            </w:r>
            <w:r w:rsidR="002E32E9">
              <w:rPr>
                <w:rFonts w:ascii="Times" w:hAnsi="Times" w:cs="Times"/>
                <w:sz w:val="20"/>
                <w:szCs w:val="20"/>
              </w:rPr>
              <w:t> </w:t>
            </w:r>
            <w:r w:rsidRPr="006B2C7B">
              <w:rPr>
                <w:rFonts w:ascii="Times" w:hAnsi="Times" w:cs="Times"/>
                <w:sz w:val="20"/>
                <w:szCs w:val="20"/>
              </w:rPr>
              <w:t>spotrebiteľov. V správe sa posúdi aj účinnosť stimulov na zvolenie si opravy, vrátane rozšírenia zákonnej zodpovednosti za vady, a potreba podporovať obchodné záruky týkajúce sa opravárenských služieb a potreba prijať pravidlá týkajúce sa zodpovednosti opravovní za opravu.</w:t>
            </w:r>
          </w:p>
          <w:p w14:paraId="15DBFC0E" w14:textId="77777777" w:rsidR="00D95B6F" w:rsidRPr="006B2C7B" w:rsidRDefault="00D95B6F" w:rsidP="00251B8F">
            <w:pPr>
              <w:jc w:val="both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33615172" w14:textId="77777777" w:rsidR="00D95B6F" w:rsidRPr="006B2C7B" w:rsidRDefault="00D95B6F" w:rsidP="00251B8F">
            <w:pPr>
              <w:jc w:val="both"/>
              <w:rPr>
                <w:rFonts w:ascii="Times" w:hAnsi="Times" w:cs="Times"/>
                <w:i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Preskúmanie účelnosti národnej úpravy bude prebiehať paralelne s preskúmavaním účelnosti regulácie EÚ, </w:t>
            </w:r>
            <w:r w:rsidRPr="006B2C7B">
              <w:rPr>
                <w:rFonts w:ascii="Times" w:hAnsi="Times" w:cs="Times"/>
                <w:sz w:val="20"/>
                <w:szCs w:val="20"/>
              </w:rPr>
              <w:br/>
              <w:t>príp. v nadväznosti na jej závery.</w:t>
            </w:r>
          </w:p>
          <w:p w14:paraId="377E4A45" w14:textId="77777777" w:rsidR="00D95B6F" w:rsidRPr="006B2C7B" w:rsidRDefault="00D95B6F" w:rsidP="00251B8F">
            <w:pPr>
              <w:rPr>
                <w:rFonts w:ascii="Times" w:hAnsi="Times" w:cs="Times"/>
                <w:i/>
                <w:sz w:val="20"/>
                <w:szCs w:val="20"/>
              </w:rPr>
            </w:pPr>
          </w:p>
        </w:tc>
      </w:tr>
      <w:tr w:rsidR="00D95B6F" w:rsidRPr="006B2C7B" w14:paraId="22B58298" w14:textId="77777777" w:rsidTr="00251B8F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735D4CA" w14:textId="77777777" w:rsidR="002E32E9" w:rsidRDefault="002E32E9" w:rsidP="00251B8F">
            <w:pPr>
              <w:ind w:left="142" w:hanging="142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4F71F535" w14:textId="5C9C675A" w:rsidR="00D95B6F" w:rsidRPr="006B2C7B" w:rsidRDefault="00D95B6F" w:rsidP="00251B8F">
            <w:pPr>
              <w:ind w:left="142" w:hanging="142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61D8D7EE" w14:textId="77777777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** vyplniť iba v prípade, ak sa záverečné posúdenie vybraných vplyvov uskutočnilo v zmysle bodu 9.1. jednotnej metodiky.</w:t>
            </w:r>
          </w:p>
          <w:p w14:paraId="56E0B1F5" w14:textId="77777777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0517DE72" w14:textId="77777777" w:rsidR="00D95B6F" w:rsidRPr="006B2C7B" w:rsidRDefault="00D95B6F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7FBD781A" w14:textId="77777777" w:rsidR="00D95B6F" w:rsidRPr="006B2C7B" w:rsidRDefault="00D95B6F" w:rsidP="00251B8F">
            <w:pPr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</w:p>
        </w:tc>
      </w:tr>
      <w:tr w:rsidR="00D95B6F" w:rsidRPr="006B2C7B" w14:paraId="7F1BEEDC" w14:textId="77777777" w:rsidTr="00251B8F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285FD285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Vybrané vplyvy  materiálu</w:t>
            </w:r>
          </w:p>
        </w:tc>
      </w:tr>
      <w:tr w:rsidR="00D95B6F" w:rsidRPr="006B2C7B" w14:paraId="267C27DE" w14:textId="77777777" w:rsidTr="00251B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DA7771D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C9183DA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57C26D4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6EA4452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44BC532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9D8ECF9" w14:textId="77777777" w:rsidR="00D95B6F" w:rsidRPr="006B2C7B" w:rsidRDefault="00D95B6F" w:rsidP="00251B8F">
                <w:pPr>
                  <w:ind w:left="-107" w:right="-108"/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207F62F" w14:textId="77777777" w:rsidR="00D95B6F" w:rsidRPr="006B2C7B" w:rsidRDefault="00D95B6F" w:rsidP="00251B8F">
            <w:pPr>
              <w:ind w:left="34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Negatívne</w:t>
            </w:r>
          </w:p>
        </w:tc>
      </w:tr>
      <w:tr w:rsidR="00D95B6F" w:rsidRPr="006B2C7B" w14:paraId="594A0ED6" w14:textId="77777777" w:rsidTr="00251B8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4122B5F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    z toho rozpočtovo zabezpečené vplyvy,         </w:t>
            </w:r>
          </w:p>
          <w:p w14:paraId="48168612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    v prípade identifikovaného negatívneho </w:t>
            </w:r>
          </w:p>
          <w:p w14:paraId="232240F9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    vplyvu</w:t>
            </w:r>
          </w:p>
        </w:tc>
        <w:sdt>
          <w:sdtPr>
            <w:rPr>
              <w:rFonts w:ascii="Times" w:hAnsi="Times" w:cs="Times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4236187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61666A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Áno</w:t>
            </w:r>
          </w:p>
        </w:tc>
        <w:sdt>
          <w:sdtPr>
            <w:rPr>
              <w:rFonts w:ascii="Times" w:hAnsi="Times" w:cs="Times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FA2B96B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FE73B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Nie</w:t>
            </w:r>
          </w:p>
        </w:tc>
        <w:sdt>
          <w:sdtPr>
            <w:rPr>
              <w:rFonts w:ascii="Times" w:hAnsi="Times" w:cs="Times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746A677" w14:textId="77777777" w:rsidR="00D95B6F" w:rsidRPr="006B2C7B" w:rsidRDefault="00D95B6F" w:rsidP="00251B8F">
                <w:pPr>
                  <w:ind w:left="-107" w:right="-108"/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6CE996" w14:textId="77777777" w:rsidR="00D95B6F" w:rsidRPr="006B2C7B" w:rsidRDefault="00D95B6F" w:rsidP="00251B8F">
            <w:pPr>
              <w:ind w:left="34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Čiastočne</w:t>
            </w:r>
          </w:p>
        </w:tc>
      </w:tr>
      <w:tr w:rsidR="00D95B6F" w:rsidRPr="006B2C7B" w14:paraId="49A2EADC" w14:textId="77777777" w:rsidTr="00251B8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927FE70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E58C83B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066C75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47B8300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5D36D9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0DDDE0" w14:textId="77777777" w:rsidR="00D95B6F" w:rsidRPr="006B2C7B" w:rsidRDefault="00D95B6F" w:rsidP="00251B8F">
                <w:pPr>
                  <w:ind w:left="-107" w:right="-108"/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05B94E" w14:textId="77777777" w:rsidR="00D95B6F" w:rsidRPr="006B2C7B" w:rsidRDefault="00D95B6F" w:rsidP="00251B8F">
            <w:pPr>
              <w:ind w:left="34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Negatívne</w:t>
            </w:r>
          </w:p>
        </w:tc>
      </w:tr>
      <w:tr w:rsidR="00D95B6F" w:rsidRPr="006B2C7B" w14:paraId="0B16F4B0" w14:textId="77777777" w:rsidTr="00251B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A18C7C7" w14:textId="77777777" w:rsidR="00D95B6F" w:rsidRPr="006B2C7B" w:rsidRDefault="00D95B6F" w:rsidP="00251B8F">
            <w:pPr>
              <w:ind w:left="171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z toho rozpočtovo zabezpečené vplyvy,</w:t>
            </w:r>
          </w:p>
          <w:p w14:paraId="73B4C633" w14:textId="77777777" w:rsidR="00D95B6F" w:rsidRPr="006B2C7B" w:rsidRDefault="00D95B6F" w:rsidP="00251B8F">
            <w:pPr>
              <w:ind w:left="171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rFonts w:ascii="Times" w:hAnsi="Times" w:cs="Times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249978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0960B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Áno</w:t>
            </w:r>
          </w:p>
        </w:tc>
        <w:sdt>
          <w:sdtPr>
            <w:rPr>
              <w:rFonts w:ascii="Times" w:hAnsi="Times" w:cs="Times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928EACD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4AD44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Nie</w:t>
            </w:r>
          </w:p>
        </w:tc>
        <w:sdt>
          <w:sdtPr>
            <w:rPr>
              <w:rFonts w:ascii="Times" w:hAnsi="Times" w:cs="Times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37C7AB" w14:textId="77777777" w:rsidR="00D95B6F" w:rsidRPr="006B2C7B" w:rsidRDefault="00D95B6F" w:rsidP="00251B8F">
                <w:pPr>
                  <w:ind w:left="-107" w:right="-108"/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CD48" w14:textId="77777777" w:rsidR="00D95B6F" w:rsidRPr="006B2C7B" w:rsidRDefault="00D95B6F" w:rsidP="00251B8F">
            <w:pPr>
              <w:ind w:left="34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Čiastočne</w:t>
            </w:r>
          </w:p>
        </w:tc>
      </w:tr>
      <w:tr w:rsidR="00D95B6F" w:rsidRPr="006B2C7B" w14:paraId="37B8E84E" w14:textId="77777777" w:rsidTr="00251B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AB5B9E4" w14:textId="77777777" w:rsidR="00D95B6F" w:rsidRPr="006B2C7B" w:rsidRDefault="00D95B6F" w:rsidP="00251B8F">
            <w:pPr>
              <w:ind w:left="171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" w:hAnsi="Times" w:cs="Times"/>
              <w:sz w:val="20"/>
              <w:szCs w:val="20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8A90AE9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4777F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8F784" w14:textId="77777777" w:rsidR="00D95B6F" w:rsidRPr="006B2C7B" w:rsidRDefault="00D95B6F" w:rsidP="00251B8F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C3527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</w:p>
        </w:tc>
        <w:sdt>
          <w:sdtPr>
            <w:rPr>
              <w:rFonts w:ascii="Times" w:hAnsi="Times" w:cs="Times"/>
              <w:sz w:val="20"/>
              <w:szCs w:val="20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0100DD6" w14:textId="77777777" w:rsidR="00D95B6F" w:rsidRPr="006B2C7B" w:rsidRDefault="00D95B6F" w:rsidP="00251B8F">
                <w:pPr>
                  <w:ind w:left="-107" w:right="-108"/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771B" w14:textId="77777777" w:rsidR="00D95B6F" w:rsidRPr="006B2C7B" w:rsidRDefault="00D95B6F" w:rsidP="00251B8F">
            <w:pPr>
              <w:ind w:left="34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 w:rsidR="00D95B6F" w:rsidRPr="006B2C7B" w14:paraId="479BD76C" w14:textId="77777777" w:rsidTr="00251B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BB4C0E3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Vplyvy na limit verejných výdavkov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0588FD7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320F9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64994A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9ABDC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22FA0E" w14:textId="77777777" w:rsidR="00D95B6F" w:rsidRPr="006B2C7B" w:rsidRDefault="00D95B6F" w:rsidP="00251B8F">
                <w:pPr>
                  <w:ind w:left="-107" w:right="-108"/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AA7A" w14:textId="77777777" w:rsidR="00D95B6F" w:rsidRPr="006B2C7B" w:rsidRDefault="00D95B6F" w:rsidP="00251B8F">
            <w:pPr>
              <w:ind w:left="34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Negatívne</w:t>
            </w:r>
          </w:p>
        </w:tc>
      </w:tr>
      <w:tr w:rsidR="00D95B6F" w:rsidRPr="006B2C7B" w14:paraId="2869EF51" w14:textId="77777777" w:rsidTr="00251B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0A4208D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381A4A6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9675EE" w14:textId="77777777" w:rsidR="00D95B6F" w:rsidRPr="006B2C7B" w:rsidRDefault="00D95B6F" w:rsidP="00251B8F">
            <w:pPr>
              <w:ind w:right="-108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A370E97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379C9D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97FD9C6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D25740" w14:textId="77777777" w:rsidR="00D95B6F" w:rsidRPr="006B2C7B" w:rsidRDefault="00D95B6F" w:rsidP="00251B8F">
            <w:pPr>
              <w:ind w:left="54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Negatívne</w:t>
            </w:r>
          </w:p>
        </w:tc>
      </w:tr>
      <w:tr w:rsidR="00D95B6F" w:rsidRPr="006B2C7B" w14:paraId="1F4080B5" w14:textId="77777777" w:rsidTr="00251B8F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030ED1B1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    z toho vplyvy na MSP</w:t>
            </w:r>
          </w:p>
          <w:p w14:paraId="6A8F2FEA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</w:p>
        </w:tc>
        <w:sdt>
          <w:sdtPr>
            <w:rPr>
              <w:rFonts w:ascii="Times" w:hAnsi="Times" w:cs="Times"/>
              <w:sz w:val="20"/>
              <w:szCs w:val="20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22E2231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E277CA" w14:textId="77777777" w:rsidR="00D95B6F" w:rsidRPr="006B2C7B" w:rsidRDefault="00D95B6F" w:rsidP="00251B8F">
            <w:pPr>
              <w:ind w:right="-108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sdt>
          <w:sdtPr>
            <w:rPr>
              <w:rFonts w:ascii="Times" w:hAnsi="Times" w:cs="Times"/>
              <w:sz w:val="20"/>
              <w:szCs w:val="20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11A2686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44A79E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sdt>
          <w:sdtPr>
            <w:rPr>
              <w:rFonts w:ascii="Times" w:hAnsi="Times" w:cs="Times"/>
              <w:sz w:val="20"/>
              <w:szCs w:val="20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BDF1011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85ACF" w14:textId="77777777" w:rsidR="00D95B6F" w:rsidRPr="006B2C7B" w:rsidRDefault="00D95B6F" w:rsidP="00251B8F">
            <w:pPr>
              <w:ind w:left="54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Negatívne</w:t>
            </w:r>
          </w:p>
        </w:tc>
      </w:tr>
      <w:tr w:rsidR="00D95B6F" w:rsidRPr="006B2C7B" w14:paraId="7A84F6EA" w14:textId="77777777" w:rsidTr="00251B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8965A80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    Mechanizmus znižovania byrokracie    </w:t>
            </w:r>
          </w:p>
          <w:p w14:paraId="0B1AA390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 xml:space="preserve">    a nákladov sa uplatňuje: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8019498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E576D" w14:textId="77777777" w:rsidR="00D95B6F" w:rsidRPr="006B2C7B" w:rsidRDefault="00D95B6F" w:rsidP="00251B8F">
            <w:pPr>
              <w:ind w:right="-108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C99A9" w14:textId="77777777" w:rsidR="00D95B6F" w:rsidRPr="006B2C7B" w:rsidRDefault="00D95B6F" w:rsidP="00251B8F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FB08D" w14:textId="77777777" w:rsidR="00D95B6F" w:rsidRPr="006B2C7B" w:rsidRDefault="00D95B6F" w:rsidP="00251B8F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A4E7FE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BBC9" w14:textId="77777777" w:rsidR="00D95B6F" w:rsidRPr="006B2C7B" w:rsidRDefault="00D95B6F" w:rsidP="00251B8F">
            <w:pPr>
              <w:ind w:left="54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 w:rsidR="00D95B6F" w:rsidRPr="006B2C7B" w14:paraId="7AC3634C" w14:textId="77777777" w:rsidTr="00251B8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017A99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5C928B6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B7B87" w14:textId="77777777" w:rsidR="00D95B6F" w:rsidRPr="006B2C7B" w:rsidRDefault="00D95B6F" w:rsidP="00251B8F">
            <w:pPr>
              <w:ind w:right="-108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2EA05E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B0413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E682326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91EE7" w14:textId="77777777" w:rsidR="00D95B6F" w:rsidRPr="006B2C7B" w:rsidRDefault="00D95B6F" w:rsidP="00251B8F">
            <w:pPr>
              <w:ind w:left="54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Negatívne</w:t>
            </w:r>
          </w:p>
        </w:tc>
      </w:tr>
      <w:tr w:rsidR="00D95B6F" w:rsidRPr="006B2C7B" w14:paraId="1B50D879" w14:textId="77777777" w:rsidTr="00251B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4C56394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1474483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38A001B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2CF65" w14:textId="77777777" w:rsidR="00D95B6F" w:rsidRPr="006B2C7B" w:rsidRDefault="00D95B6F" w:rsidP="00251B8F">
            <w:pPr>
              <w:ind w:right="-108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20601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4B2963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F90AE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DE5B9F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DB8A1" w14:textId="77777777" w:rsidR="00D95B6F" w:rsidRPr="006B2C7B" w:rsidRDefault="00D95B6F" w:rsidP="00251B8F">
            <w:pPr>
              <w:ind w:left="54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Negatívne</w:t>
            </w:r>
          </w:p>
        </w:tc>
      </w:tr>
      <w:tr w:rsidR="00D95B6F" w:rsidRPr="006B2C7B" w14:paraId="68C0D090" w14:textId="77777777" w:rsidTr="00251B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78D6796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</w:p>
          <w:p w14:paraId="56CB9FDC" w14:textId="77777777" w:rsidR="00D95B6F" w:rsidRPr="006B2C7B" w:rsidRDefault="00D95B6F" w:rsidP="00251B8F">
            <w:pPr>
              <w:ind w:left="164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CC0A7DE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4CD88" w14:textId="77777777" w:rsidR="00D95B6F" w:rsidRPr="006B2C7B" w:rsidRDefault="00D95B6F" w:rsidP="00251B8F">
            <w:pPr>
              <w:ind w:right="-108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DCB18" w14:textId="77777777" w:rsidR="00D95B6F" w:rsidRPr="006B2C7B" w:rsidRDefault="00D95B6F" w:rsidP="00251B8F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55F1E" w14:textId="77777777" w:rsidR="00D95B6F" w:rsidRPr="006B2C7B" w:rsidRDefault="00D95B6F" w:rsidP="00251B8F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7EBE11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E668B" w14:textId="77777777" w:rsidR="00D95B6F" w:rsidRPr="006B2C7B" w:rsidRDefault="00D95B6F" w:rsidP="00251B8F">
            <w:pPr>
              <w:ind w:left="54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 w:rsidR="00D95B6F" w:rsidRPr="006B2C7B" w14:paraId="040A23EE" w14:textId="77777777" w:rsidTr="00251B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80E1DFF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Vplyvy na informatizáciu spoločnosti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0A198E0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2B007" w14:textId="77777777" w:rsidR="00D95B6F" w:rsidRPr="006B2C7B" w:rsidRDefault="00D95B6F" w:rsidP="00251B8F">
            <w:pPr>
              <w:ind w:right="-108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4D7D089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8095D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03BF659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8BB4" w14:textId="77777777" w:rsidR="00D95B6F" w:rsidRPr="006B2C7B" w:rsidRDefault="00D95B6F" w:rsidP="00251B8F">
            <w:pPr>
              <w:ind w:left="54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D95B6F" w:rsidRPr="006B2C7B" w14:paraId="2823FF80" w14:textId="77777777" w:rsidTr="00251B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4110308" w14:textId="77777777" w:rsidR="00D95B6F" w:rsidRPr="006B2C7B" w:rsidRDefault="00D95B6F" w:rsidP="00251B8F">
            <w:pPr>
              <w:spacing w:after="0" w:line="240" w:lineRule="auto"/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</w:pPr>
            <w:r w:rsidRPr="006B2C7B">
              <w:rPr>
                <w:rFonts w:ascii="Times" w:eastAsia="Calibri" w:hAnsi="Times" w:cs="Times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AE0BC4" w14:textId="77777777" w:rsidR="00D95B6F" w:rsidRPr="006B2C7B" w:rsidRDefault="00D95B6F" w:rsidP="00251B8F">
            <w:pPr>
              <w:spacing w:after="0" w:line="240" w:lineRule="auto"/>
              <w:jc w:val="center"/>
              <w:rPr>
                <w:rFonts w:ascii="Times" w:eastAsia="MS Mincho" w:hAnsi="Times" w:cs="Times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065172" w14:textId="77777777" w:rsidR="00D95B6F" w:rsidRPr="006B2C7B" w:rsidRDefault="00D95B6F" w:rsidP="00251B8F">
            <w:pPr>
              <w:spacing w:after="0" w:line="240" w:lineRule="auto"/>
              <w:ind w:right="-108"/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6F43FB" w14:textId="77777777" w:rsidR="00D95B6F" w:rsidRPr="006B2C7B" w:rsidRDefault="00D95B6F" w:rsidP="00251B8F">
            <w:pPr>
              <w:spacing w:after="0" w:line="240" w:lineRule="auto"/>
              <w:jc w:val="center"/>
              <w:rPr>
                <w:rFonts w:ascii="Times" w:eastAsia="MS Mincho" w:hAnsi="Times" w:cs="Times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8FA530" w14:textId="77777777" w:rsidR="00D95B6F" w:rsidRPr="006B2C7B" w:rsidRDefault="00D95B6F" w:rsidP="00251B8F">
            <w:pPr>
              <w:spacing w:after="0" w:line="240" w:lineRule="auto"/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C0F455" w14:textId="77777777" w:rsidR="00D95B6F" w:rsidRPr="006B2C7B" w:rsidRDefault="00D95B6F" w:rsidP="00251B8F">
            <w:pPr>
              <w:spacing w:after="0" w:line="240" w:lineRule="auto"/>
              <w:jc w:val="center"/>
              <w:rPr>
                <w:rFonts w:ascii="Times" w:eastAsia="MS Mincho" w:hAnsi="Times" w:cs="Times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6A5AA3" w14:textId="77777777" w:rsidR="00D95B6F" w:rsidRPr="006B2C7B" w:rsidRDefault="00D95B6F" w:rsidP="00251B8F">
            <w:pPr>
              <w:spacing w:after="0" w:line="240" w:lineRule="auto"/>
              <w:ind w:left="54"/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</w:pPr>
          </w:p>
        </w:tc>
      </w:tr>
      <w:tr w:rsidR="00D95B6F" w:rsidRPr="006B2C7B" w14:paraId="7DE168D7" w14:textId="77777777" w:rsidTr="00251B8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0D94A4" w14:textId="77777777" w:rsidR="00D95B6F" w:rsidRPr="006B2C7B" w:rsidRDefault="00D95B6F" w:rsidP="00251B8F">
            <w:pPr>
              <w:spacing w:after="0" w:line="240" w:lineRule="auto"/>
              <w:ind w:left="196" w:hanging="196"/>
              <w:rPr>
                <w:rFonts w:ascii="Times" w:eastAsia="Calibri" w:hAnsi="Times" w:cs="Times"/>
                <w:b/>
                <w:sz w:val="20"/>
                <w:szCs w:val="20"/>
              </w:rPr>
            </w:pPr>
            <w:r w:rsidRPr="006B2C7B">
              <w:rPr>
                <w:rFonts w:ascii="Times" w:eastAsia="Calibri" w:hAnsi="Times" w:cs="Times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" w:eastAsia="Times New Roman" w:hAnsi="Times" w:cs="Times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C0C0177" w14:textId="77777777" w:rsidR="00D95B6F" w:rsidRPr="006B2C7B" w:rsidRDefault="00D95B6F" w:rsidP="00251B8F">
                <w:pPr>
                  <w:spacing w:after="0" w:line="240" w:lineRule="auto"/>
                  <w:jc w:val="center"/>
                  <w:rPr>
                    <w:rFonts w:ascii="Times" w:eastAsia="Times New Roman" w:hAnsi="Times" w:cs="Times"/>
                    <w:b/>
                    <w:sz w:val="20"/>
                    <w:szCs w:val="20"/>
                    <w:lang w:eastAsia="sk-SK"/>
                  </w:rPr>
                </w:pPr>
                <w:r w:rsidRPr="006B2C7B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3A0FA50" w14:textId="77777777" w:rsidR="00D95B6F" w:rsidRPr="006B2C7B" w:rsidRDefault="00D95B6F" w:rsidP="00251B8F">
            <w:pPr>
              <w:spacing w:after="0" w:line="240" w:lineRule="auto"/>
              <w:ind w:right="-108"/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</w:pPr>
            <w:r w:rsidRPr="006B2C7B"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" w:eastAsia="Times New Roman" w:hAnsi="Times" w:cs="Times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1AF9EDD" w14:textId="77777777" w:rsidR="00D95B6F" w:rsidRPr="006B2C7B" w:rsidRDefault="00D95B6F" w:rsidP="00251B8F">
                <w:pPr>
                  <w:spacing w:after="0" w:line="240" w:lineRule="auto"/>
                  <w:jc w:val="center"/>
                  <w:rPr>
                    <w:rFonts w:ascii="Times" w:eastAsia="Times New Roman" w:hAnsi="Times" w:cs="Times"/>
                    <w:b/>
                    <w:sz w:val="20"/>
                    <w:szCs w:val="20"/>
                    <w:lang w:eastAsia="sk-SK"/>
                  </w:rPr>
                </w:pPr>
                <w:r w:rsidRPr="006B2C7B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96E48EC" w14:textId="77777777" w:rsidR="00D95B6F" w:rsidRPr="006B2C7B" w:rsidRDefault="00D95B6F" w:rsidP="00251B8F">
            <w:pPr>
              <w:spacing w:after="0" w:line="240" w:lineRule="auto"/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</w:pPr>
            <w:r w:rsidRPr="006B2C7B"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" w:eastAsia="Times New Roman" w:hAnsi="Times" w:cs="Times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6F047E6" w14:textId="77777777" w:rsidR="00D95B6F" w:rsidRPr="006B2C7B" w:rsidRDefault="00D95B6F" w:rsidP="00251B8F">
                <w:pPr>
                  <w:spacing w:after="0" w:line="240" w:lineRule="auto"/>
                  <w:jc w:val="center"/>
                  <w:rPr>
                    <w:rFonts w:ascii="Times" w:eastAsia="Times New Roman" w:hAnsi="Times" w:cs="Times"/>
                    <w:b/>
                    <w:sz w:val="20"/>
                    <w:szCs w:val="20"/>
                    <w:lang w:eastAsia="sk-SK"/>
                  </w:rPr>
                </w:pPr>
                <w:r w:rsidRPr="006B2C7B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0304F1" w14:textId="77777777" w:rsidR="00D95B6F" w:rsidRPr="006B2C7B" w:rsidRDefault="00D95B6F" w:rsidP="00251B8F">
            <w:pPr>
              <w:spacing w:after="0" w:line="240" w:lineRule="auto"/>
              <w:ind w:left="54"/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</w:pPr>
            <w:r w:rsidRPr="006B2C7B"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95B6F" w:rsidRPr="006B2C7B" w14:paraId="00D92931" w14:textId="77777777" w:rsidTr="00251B8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B7FF166" w14:textId="77777777" w:rsidR="00D95B6F" w:rsidRPr="006B2C7B" w:rsidRDefault="00D95B6F" w:rsidP="00251B8F">
            <w:pPr>
              <w:spacing w:after="0" w:line="240" w:lineRule="auto"/>
              <w:ind w:left="168" w:hanging="168"/>
              <w:rPr>
                <w:rFonts w:ascii="Times" w:eastAsia="Calibri" w:hAnsi="Times" w:cs="Times"/>
                <w:b/>
                <w:sz w:val="20"/>
                <w:szCs w:val="20"/>
              </w:rPr>
            </w:pPr>
            <w:r w:rsidRPr="006B2C7B">
              <w:rPr>
                <w:rFonts w:ascii="Times" w:eastAsia="Calibri" w:hAnsi="Times" w:cs="Times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" w:eastAsia="Times New Roman" w:hAnsi="Times" w:cs="Times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65CA21C" w14:textId="77777777" w:rsidR="00D95B6F" w:rsidRPr="006B2C7B" w:rsidRDefault="00D95B6F" w:rsidP="00251B8F">
                <w:pPr>
                  <w:spacing w:after="0" w:line="240" w:lineRule="auto"/>
                  <w:jc w:val="center"/>
                  <w:rPr>
                    <w:rFonts w:ascii="Times" w:eastAsia="Times New Roman" w:hAnsi="Times" w:cs="Times"/>
                    <w:b/>
                    <w:sz w:val="20"/>
                    <w:szCs w:val="20"/>
                    <w:lang w:eastAsia="sk-SK"/>
                  </w:rPr>
                </w:pPr>
                <w:r w:rsidRPr="006B2C7B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C3CDA9" w14:textId="77777777" w:rsidR="00D95B6F" w:rsidRPr="006B2C7B" w:rsidRDefault="00D95B6F" w:rsidP="00251B8F">
            <w:pPr>
              <w:spacing w:after="0" w:line="240" w:lineRule="auto"/>
              <w:ind w:right="-108"/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</w:pPr>
            <w:r w:rsidRPr="006B2C7B"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" w:eastAsia="Times New Roman" w:hAnsi="Times" w:cs="Times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4B59CCB" w14:textId="77777777" w:rsidR="00D95B6F" w:rsidRPr="006B2C7B" w:rsidRDefault="00D95B6F" w:rsidP="00251B8F">
                <w:pPr>
                  <w:spacing w:after="0" w:line="240" w:lineRule="auto"/>
                  <w:jc w:val="center"/>
                  <w:rPr>
                    <w:rFonts w:ascii="Times" w:eastAsia="Times New Roman" w:hAnsi="Times" w:cs="Times"/>
                    <w:b/>
                    <w:sz w:val="20"/>
                    <w:szCs w:val="20"/>
                    <w:lang w:eastAsia="sk-SK"/>
                  </w:rPr>
                </w:pPr>
                <w:r w:rsidRPr="006B2C7B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4CEDC4" w14:textId="77777777" w:rsidR="00D95B6F" w:rsidRPr="006B2C7B" w:rsidRDefault="00D95B6F" w:rsidP="00251B8F">
            <w:pPr>
              <w:spacing w:after="0" w:line="240" w:lineRule="auto"/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</w:pPr>
            <w:r w:rsidRPr="006B2C7B"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" w:eastAsia="Times New Roman" w:hAnsi="Times" w:cs="Times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04A3FC3" w14:textId="77777777" w:rsidR="00D95B6F" w:rsidRPr="006B2C7B" w:rsidRDefault="00D95B6F" w:rsidP="00251B8F">
                <w:pPr>
                  <w:spacing w:after="0" w:line="240" w:lineRule="auto"/>
                  <w:jc w:val="center"/>
                  <w:rPr>
                    <w:rFonts w:ascii="Times" w:eastAsia="Times New Roman" w:hAnsi="Times" w:cs="Times"/>
                    <w:b/>
                    <w:sz w:val="20"/>
                    <w:szCs w:val="20"/>
                    <w:lang w:eastAsia="sk-SK"/>
                  </w:rPr>
                </w:pPr>
                <w:r w:rsidRPr="006B2C7B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E138" w14:textId="77777777" w:rsidR="00D95B6F" w:rsidRPr="006B2C7B" w:rsidRDefault="00D95B6F" w:rsidP="00251B8F">
            <w:pPr>
              <w:spacing w:after="0" w:line="240" w:lineRule="auto"/>
              <w:ind w:left="54"/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</w:pPr>
            <w:r w:rsidRPr="006B2C7B">
              <w:rPr>
                <w:rFonts w:ascii="Times" w:eastAsia="Times New Roman" w:hAnsi="Times" w:cs="Times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D95B6F" w:rsidRPr="006B2C7B" w14:paraId="5DCF0900" w14:textId="77777777" w:rsidTr="00251B8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60DFC6B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1995085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2AD68" w14:textId="77777777" w:rsidR="00D95B6F" w:rsidRPr="006B2C7B" w:rsidRDefault="00D95B6F" w:rsidP="00251B8F">
            <w:pPr>
              <w:ind w:right="-108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B361FB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2DD3B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Times" w:hAnsi="Times" w:cs="Times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AE14CC" w14:textId="77777777" w:rsidR="00D95B6F" w:rsidRPr="006B2C7B" w:rsidRDefault="00D95B6F" w:rsidP="00251B8F">
                <w:pPr>
                  <w:jc w:val="center"/>
                  <w:rPr>
                    <w:rFonts w:ascii="Times" w:hAnsi="Times" w:cs="Times"/>
                    <w:b/>
                    <w:sz w:val="20"/>
                    <w:szCs w:val="20"/>
                  </w:rPr>
                </w:pPr>
                <w:r w:rsidRPr="006B2C7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B366" w14:textId="77777777" w:rsidR="00D95B6F" w:rsidRPr="006B2C7B" w:rsidRDefault="00D95B6F" w:rsidP="00251B8F">
            <w:pPr>
              <w:ind w:left="54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Negatívne</w:t>
            </w:r>
          </w:p>
        </w:tc>
      </w:tr>
    </w:tbl>
    <w:p w14:paraId="6A9920A3" w14:textId="77777777" w:rsidR="00D95B6F" w:rsidRPr="006B2C7B" w:rsidRDefault="00D95B6F" w:rsidP="00D95B6F">
      <w:pPr>
        <w:spacing w:after="0" w:line="240" w:lineRule="auto"/>
        <w:ind w:right="141"/>
        <w:rPr>
          <w:rFonts w:ascii="Times" w:eastAsia="Times New Roman" w:hAnsi="Times" w:cs="Times"/>
          <w:b/>
          <w:sz w:val="20"/>
          <w:szCs w:val="20"/>
          <w:lang w:eastAsia="sk-SK"/>
        </w:rPr>
      </w:pPr>
    </w:p>
    <w:tbl>
      <w:tblPr>
        <w:tblStyle w:val="Mriekatabuky1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95B6F" w:rsidRPr="006B2C7B" w14:paraId="1FD56C10" w14:textId="77777777" w:rsidTr="00251B8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85ECAD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Poznámky</w:t>
            </w:r>
          </w:p>
        </w:tc>
      </w:tr>
      <w:tr w:rsidR="00D95B6F" w:rsidRPr="006B2C7B" w14:paraId="567BABCD" w14:textId="77777777" w:rsidTr="00251B8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99F52AA" w14:textId="77777777" w:rsidR="00D95B6F" w:rsidRPr="006B2C7B" w:rsidRDefault="00D95B6F" w:rsidP="00251B8F">
            <w:pPr>
              <w:ind w:left="28"/>
              <w:contextualSpacing/>
              <w:jc w:val="both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Predkladateľ označuje pozitívne vplyvy na podnikateľské prostredie napriek skutočnosti, že ich v analýze vplyvov bližšie nekvantifikuje. Pozitívne vplyvy na podnikateľské prostredie sú vo forme podpory hospodárskej súťaže a znížení prekážok brániacich cezhraničnému obchodu.</w:t>
            </w:r>
          </w:p>
          <w:p w14:paraId="50332E15" w14:textId="77777777" w:rsidR="00D95B6F" w:rsidRPr="006B2C7B" w:rsidRDefault="00D95B6F" w:rsidP="00251B8F">
            <w:pPr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</w:p>
        </w:tc>
      </w:tr>
      <w:tr w:rsidR="00D95B6F" w:rsidRPr="006B2C7B" w14:paraId="3CFC4433" w14:textId="77777777" w:rsidTr="00251B8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17ABEF2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Kontakt na spracovateľa</w:t>
            </w:r>
          </w:p>
        </w:tc>
      </w:tr>
      <w:tr w:rsidR="00D95B6F" w:rsidRPr="006B2C7B" w14:paraId="033C6D0B" w14:textId="77777777" w:rsidTr="00251B8F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11CCA" w14:textId="77777777" w:rsidR="00D95B6F" w:rsidRPr="006B2C7B" w:rsidRDefault="00D95B6F" w:rsidP="00251B8F">
            <w:pPr>
              <w:spacing w:before="100" w:beforeAutospacing="1" w:after="100" w:afterAutospacing="1"/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Mgr. Ivana Paulovičová (</w:t>
            </w:r>
            <w:hyperlink r:id="rId9" w:history="1">
              <w:r w:rsidRPr="006B2C7B">
                <w:rPr>
                  <w:rFonts w:ascii="Times" w:hAnsi="Times" w:cs="Times"/>
                  <w:color w:val="0000FF"/>
                  <w:sz w:val="20"/>
                  <w:szCs w:val="20"/>
                  <w:u w:val="single"/>
                </w:rPr>
                <w:t>ivana.paulovicova@mhsr.sk</w:t>
              </w:r>
            </w:hyperlink>
            <w:r w:rsidRPr="006B2C7B">
              <w:rPr>
                <w:rFonts w:ascii="Times" w:hAnsi="Times" w:cs="Times"/>
                <w:sz w:val="20"/>
                <w:szCs w:val="20"/>
              </w:rPr>
              <w:t>), riaditeľka odboru ochrany spotrebiteľa MH SR, 02/4854 7038</w:t>
            </w:r>
          </w:p>
          <w:p w14:paraId="554A3711" w14:textId="77777777" w:rsidR="00D95B6F" w:rsidRPr="006B2C7B" w:rsidRDefault="00D95B6F" w:rsidP="00251B8F">
            <w:pPr>
              <w:rPr>
                <w:rFonts w:ascii="Times" w:hAnsi="Times" w:cs="Times"/>
                <w:i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Mgr. Milan Šimkovič (</w:t>
            </w:r>
            <w:hyperlink r:id="rId10" w:history="1">
              <w:r w:rsidRPr="006B2C7B">
                <w:rPr>
                  <w:rFonts w:ascii="Times" w:hAnsi="Times" w:cs="Times"/>
                  <w:color w:val="0000FF"/>
                  <w:sz w:val="20"/>
                  <w:szCs w:val="20"/>
                  <w:u w:val="single"/>
                </w:rPr>
                <w:t>milan.simkovic@mhsr.sk</w:t>
              </w:r>
            </w:hyperlink>
            <w:r w:rsidRPr="006B2C7B">
              <w:rPr>
                <w:rFonts w:ascii="Times" w:hAnsi="Times" w:cs="Times"/>
                <w:sz w:val="20"/>
                <w:szCs w:val="20"/>
              </w:rPr>
              <w:t>), odbor ochrany spotrebiteľa MH SR,</w:t>
            </w:r>
            <w:r w:rsidRPr="006B2C7B">
              <w:rPr>
                <w:rFonts w:ascii="Times" w:hAnsi="Times" w:cs="Times"/>
                <w:sz w:val="20"/>
                <w:szCs w:val="20"/>
              </w:rPr>
              <w:br/>
              <w:t>02/4854 2427</w:t>
            </w:r>
          </w:p>
          <w:p w14:paraId="1B2F5E2C" w14:textId="77777777" w:rsidR="00D95B6F" w:rsidRPr="006B2C7B" w:rsidRDefault="00D95B6F" w:rsidP="00251B8F">
            <w:pPr>
              <w:rPr>
                <w:rFonts w:ascii="Times" w:hAnsi="Times" w:cs="Times"/>
                <w:i/>
                <w:sz w:val="20"/>
                <w:szCs w:val="20"/>
              </w:rPr>
            </w:pPr>
          </w:p>
        </w:tc>
      </w:tr>
      <w:tr w:rsidR="00D95B6F" w:rsidRPr="006B2C7B" w14:paraId="0ADD58FB" w14:textId="77777777" w:rsidTr="00251B8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02FF52B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Zdroje</w:t>
            </w:r>
          </w:p>
        </w:tc>
      </w:tr>
      <w:tr w:rsidR="00D95B6F" w:rsidRPr="006B2C7B" w14:paraId="0C2E51E8" w14:textId="77777777" w:rsidTr="00251B8F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B3DF1" w14:textId="77777777" w:rsidR="00D95B6F" w:rsidRPr="006B2C7B" w:rsidRDefault="00D95B6F" w:rsidP="00251B8F">
            <w:pPr>
              <w:rPr>
                <w:rFonts w:ascii="Times" w:hAnsi="Times" w:cs="Times"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Kalkulačka nákladov podnikateľského prostredia, register účtovných závierok, dáta Slovenskej obchodnej inšpekcie, expertný odhad.</w:t>
            </w:r>
          </w:p>
          <w:p w14:paraId="0C743F90" w14:textId="77777777" w:rsidR="00D95B6F" w:rsidRPr="006B2C7B" w:rsidRDefault="00D95B6F" w:rsidP="00251B8F">
            <w:pPr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62B73833" w14:textId="77777777" w:rsidR="00D95B6F" w:rsidRPr="006B2C7B" w:rsidRDefault="00D95B6F" w:rsidP="00251B8F">
            <w:pPr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29F3E1E8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</w:tc>
      </w:tr>
      <w:tr w:rsidR="00D95B6F" w:rsidRPr="006B2C7B" w14:paraId="4327B244" w14:textId="77777777" w:rsidTr="00251B8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808F5D7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lastRenderedPageBreak/>
              <w:t>Stanovisko Komisie na posudzovanie vybraných vplyvov z PPK č. ..........</w:t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14:paraId="3ACC1AAA" w14:textId="77777777" w:rsidR="00D95B6F" w:rsidRPr="006B2C7B" w:rsidRDefault="00D95B6F" w:rsidP="00251B8F">
            <w:pPr>
              <w:ind w:left="502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sz w:val="20"/>
                <w:szCs w:val="20"/>
              </w:rPr>
              <w:t>(v prípade, ak sa uskutočnilo v zmysle bodu 8.1 Jednotnej metodiky)</w:t>
            </w:r>
          </w:p>
        </w:tc>
      </w:tr>
      <w:tr w:rsidR="00D95B6F" w:rsidRPr="006B2C7B" w14:paraId="3A4C6D19" w14:textId="77777777" w:rsidTr="00251B8F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EB19E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  <w:tbl>
            <w:tblPr>
              <w:tblStyle w:val="Mriekatabuky1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D95B6F" w:rsidRPr="006B2C7B" w14:paraId="6E38D1DC" w14:textId="77777777" w:rsidTr="00251B8F">
              <w:trPr>
                <w:trHeight w:val="396"/>
              </w:trPr>
              <w:tc>
                <w:tcPr>
                  <w:tcW w:w="2552" w:type="dxa"/>
                </w:tcPr>
                <w:p w14:paraId="3420EF36" w14:textId="77777777" w:rsidR="00D95B6F" w:rsidRPr="006B2C7B" w:rsidRDefault="008D594D" w:rsidP="00251B8F">
                  <w:pPr>
                    <w:rPr>
                      <w:rFonts w:ascii="Times" w:hAnsi="Times" w:cs="Times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" w:hAnsi="Times" w:cs="Times"/>
                        <w:b/>
                        <w:sz w:val="20"/>
                        <w:szCs w:val="20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5B6F" w:rsidRPr="006B2C7B">
                        <w:rPr>
                          <w:rFonts w:ascii="Segoe UI Symbol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95B6F" w:rsidRPr="006B2C7B">
                    <w:rPr>
                      <w:rFonts w:ascii="Times" w:hAnsi="Times" w:cs="Times"/>
                      <w:b/>
                      <w:sz w:val="20"/>
                      <w:szCs w:val="20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14:paraId="6E85CB46" w14:textId="39D9949B" w:rsidR="00D95B6F" w:rsidRPr="006B2C7B" w:rsidRDefault="008D594D" w:rsidP="00251B8F">
                  <w:pPr>
                    <w:rPr>
                      <w:rFonts w:ascii="Times" w:hAnsi="Times" w:cs="Times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" w:hAnsi="Times" w:cs="Times"/>
                        <w:b/>
                        <w:sz w:val="20"/>
                        <w:szCs w:val="20"/>
                      </w:rPr>
                      <w:id w:val="16978881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59BC">
                        <w:rPr>
                          <w:rFonts w:ascii="MS Gothic" w:eastAsia="MS Gothic" w:hAnsi="MS Gothic" w:cs="Times" w:hint="eastAsia"/>
                          <w:b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D95B6F" w:rsidRPr="006B2C7B">
                    <w:rPr>
                      <w:rFonts w:ascii="Times" w:hAnsi="Times" w:cs="Times"/>
                      <w:b/>
                      <w:sz w:val="20"/>
                      <w:szCs w:val="20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14:paraId="1DD42269" w14:textId="77777777" w:rsidR="00D95B6F" w:rsidRPr="006B2C7B" w:rsidRDefault="008D594D" w:rsidP="00251B8F">
                  <w:pPr>
                    <w:ind w:right="459"/>
                    <w:rPr>
                      <w:rFonts w:ascii="Times" w:hAnsi="Times" w:cs="Times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" w:hAnsi="Times" w:cs="Times"/>
                        <w:b/>
                        <w:sz w:val="20"/>
                        <w:szCs w:val="20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5B6F" w:rsidRPr="006B2C7B">
                        <w:rPr>
                          <w:rFonts w:ascii="Segoe UI Symbol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95B6F" w:rsidRPr="006B2C7B">
                    <w:rPr>
                      <w:rFonts w:ascii="Times" w:hAnsi="Times" w:cs="Times"/>
                      <w:b/>
                      <w:sz w:val="20"/>
                      <w:szCs w:val="20"/>
                    </w:rPr>
                    <w:t xml:space="preserve">  Nesúhlasné</w:t>
                  </w:r>
                </w:p>
              </w:tc>
            </w:tr>
          </w:tbl>
          <w:p w14:paraId="14D7DC36" w14:textId="0BF2DCA0" w:rsidR="00D95B6F" w:rsidRDefault="00D95B6F" w:rsidP="00251B8F">
            <w:pPr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14:paraId="7F06A523" w14:textId="5D75802A" w:rsidR="005259BC" w:rsidRDefault="005259BC" w:rsidP="00251B8F">
            <w:pPr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72527B49" w14:textId="7E22B920" w:rsidR="005259BC" w:rsidRPr="005259BC" w:rsidRDefault="005259BC" w:rsidP="005259BC">
            <w:pPr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  <w:r w:rsidRPr="005259BC">
              <w:rPr>
                <w:rFonts w:ascii="Times" w:hAnsi="Times" w:cs="Times"/>
                <w:b/>
                <w:sz w:val="20"/>
                <w:szCs w:val="20"/>
              </w:rPr>
              <w:t>Ku goldplating</w:t>
            </w:r>
            <w:r w:rsidR="004710D8">
              <w:rPr>
                <w:rFonts w:ascii="Times" w:hAnsi="Times" w:cs="Times"/>
                <w:b/>
                <w:sz w:val="20"/>
                <w:szCs w:val="20"/>
              </w:rPr>
              <w:t>u</w:t>
            </w:r>
            <w:r w:rsidRPr="005259BC">
              <w:rPr>
                <w:rFonts w:ascii="Times" w:hAnsi="Times" w:cs="Times"/>
                <w:b/>
                <w:sz w:val="20"/>
                <w:szCs w:val="20"/>
              </w:rPr>
              <w:t xml:space="preserve"> </w:t>
            </w:r>
          </w:p>
          <w:p w14:paraId="61509EAC" w14:textId="2D327E3B" w:rsidR="005259BC" w:rsidRPr="005259BC" w:rsidRDefault="005259BC" w:rsidP="005259B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5259BC">
              <w:rPr>
                <w:rFonts w:ascii="Times" w:hAnsi="Times" w:cs="Times"/>
                <w:sz w:val="20"/>
                <w:szCs w:val="20"/>
              </w:rPr>
              <w:t>Pri preukazovaní transpozície čl. 11 ods. 1 a 2 smernice Európskeho parlamentu a Rady (EÚ) 2019/771 z</w:t>
            </w:r>
            <w:r w:rsidR="002E32E9">
              <w:rPr>
                <w:rFonts w:ascii="Times" w:hAnsi="Times" w:cs="Times"/>
                <w:sz w:val="20"/>
                <w:szCs w:val="20"/>
              </w:rPr>
              <w:t> </w:t>
            </w:r>
            <w:r w:rsidR="004710D8">
              <w:rPr>
                <w:rFonts w:ascii="Times" w:hAnsi="Times" w:cs="Times"/>
                <w:sz w:val="20"/>
                <w:szCs w:val="20"/>
              </w:rPr>
              <w:t xml:space="preserve">              </w:t>
            </w:r>
            <w:r w:rsidRPr="005259BC">
              <w:rPr>
                <w:rFonts w:ascii="Times" w:hAnsi="Times" w:cs="Times"/>
                <w:sz w:val="20"/>
                <w:szCs w:val="20"/>
              </w:rPr>
              <w:t>20. mája 2019 o určitých aspektoch týkajúcich sa zmlúv o predaji tovaru, ktorou sa mení nariadenie (EÚ) 2017/2394 a smernica 2009/22/ES a zrušuje smernica 1999/44/ES (Ú. v. EÚ L 136, 22.5.2019) dochádza ku goldplatingu tým, že sa ustanovuje lehota zodpovednosti predávajúceho za akúkoľvek vadu na 2 roky, čím sa predlžuje minimálna 1 ročná lehota, ktorú vyžaduje čl. 11 ods. 1 smernice (EÚ) 2019/771. Komisia žiada preto náležite vyplniť deviaty a desiaty stĺpec tabuľky zhody a pod tabuľku zhody doplniť poznámku „Vyjadrenie k</w:t>
            </w:r>
            <w:r w:rsidR="002E32E9">
              <w:rPr>
                <w:rFonts w:ascii="Times" w:hAnsi="Times" w:cs="Times"/>
                <w:sz w:val="20"/>
                <w:szCs w:val="20"/>
              </w:rPr>
              <w:t> </w:t>
            </w:r>
            <w:r w:rsidRPr="005259BC">
              <w:rPr>
                <w:rFonts w:ascii="Times" w:hAnsi="Times" w:cs="Times"/>
                <w:sz w:val="20"/>
                <w:szCs w:val="20"/>
              </w:rPr>
              <w:t>opodstatnenosti goldplatingu a jeho odôvodnenie“  a uvedené reflektovať v doložke vybraných vplyvov.</w:t>
            </w:r>
          </w:p>
          <w:p w14:paraId="6CE40FC3" w14:textId="77777777" w:rsidR="005259BC" w:rsidRPr="005259BC" w:rsidRDefault="005259BC" w:rsidP="005259B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043D9F88" w14:textId="77777777" w:rsidR="005259BC" w:rsidRPr="005259BC" w:rsidRDefault="005259BC" w:rsidP="005259B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5259BC">
              <w:rPr>
                <w:rFonts w:ascii="Times" w:hAnsi="Times" w:cs="Times"/>
                <w:sz w:val="20"/>
                <w:szCs w:val="20"/>
              </w:rPr>
              <w:t>Pri preukazovaní transpozície čl. 9 ods. 1a  smernice Európskeho parlamentu a Rady 2011/83/EÚ z 25. októbra 2011 o právach spotrebiteľov, ktorou sa mení a dopĺňa smernica Rady 93/13/EHS a smernica Európskeho parlamentu a Rady 1999/44/ES a ktorou sa zrušuje smernica Rady 85/577/EHS a smernica Európskeho parlamentu a Rady 97/7/ES (Ú. v. EÚ L 304, 22.11.2011) v platnom znení dochádza ku goldplatingu tým, že sa využíva dobrovoľná transpozícia a predlžuje sa lehota na odstúpenie od zmluvy zo 14 na 30 dní. Komisia žiada preto náležite vyplniť deviaty a desiaty stĺpec tabuľky zhody a pod tabuľku zhody doplniť poznámku „Vyjadrenie k opodstatnenosti goldplatingu a jeho odôvodnenie“  a uvedené reflektovať v doložke vybraných vplyvov.</w:t>
            </w:r>
          </w:p>
          <w:p w14:paraId="4B1DE944" w14:textId="77777777" w:rsidR="005259BC" w:rsidRPr="005259BC" w:rsidRDefault="005259BC" w:rsidP="005259B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558AACC5" w14:textId="6E235E88" w:rsidR="005259BC" w:rsidRPr="005259BC" w:rsidRDefault="005259BC" w:rsidP="005259B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5259BC">
              <w:rPr>
                <w:rFonts w:ascii="Times" w:hAnsi="Times" w:cs="Times"/>
                <w:sz w:val="20"/>
                <w:szCs w:val="20"/>
              </w:rPr>
              <w:t>Pri preukazovaní transpozície čl. 1 štvrtého bodu smernice Európskeho parlamentu a Rady (EÚ) 2019/2161</w:t>
            </w:r>
            <w:r w:rsidR="002E32E9">
              <w:rPr>
                <w:rFonts w:ascii="Times" w:hAnsi="Times" w:cs="Times"/>
                <w:sz w:val="20"/>
                <w:szCs w:val="20"/>
              </w:rPr>
              <w:br/>
            </w:r>
            <w:r w:rsidRPr="005259BC">
              <w:rPr>
                <w:rFonts w:ascii="Times" w:hAnsi="Times" w:cs="Times"/>
                <w:sz w:val="20"/>
                <w:szCs w:val="20"/>
              </w:rPr>
              <w:t xml:space="preserve"> z 27. novembra 2019, ktorou sa menia smernica Rady 93/13/EHS a smernice Európskeho parlamentu a Rady 98/6/ES, 2005/29/ES a 2011/83/EÚ, pokiaľ ide o lepšie presadzovanie a modernizáciu predpisov Únie v oblasti ochrany spotrebiteľa (Ú. v. EÚ L 328, 18.12.2019) dochádza ku goldplatingu tým, že sa umožňuje uložiť maximálnu pokutu vo výške 5 % ročného obratu dohliadanej osoby v zmysle § 43 ods. 3 písm. b) zákona č. 108/2024 Z. z. a vo výške 8 % ročného obratu v zmysle zákona č. 747/2004 Z. z. v znení neskorších predpisov, čo je nad rámec minimálnych požiadaviek smernice, ktorá vyžaduje maximálnu hranicu pokuty vo výške 4 % ročného obratu dohliadanej osoby. Komisia žiada preto náležite vyplniť deviaty a desiaty stĺpec tabuľky zhody a</w:t>
            </w:r>
            <w:r w:rsidR="002E32E9">
              <w:rPr>
                <w:rFonts w:ascii="Times" w:hAnsi="Times" w:cs="Times"/>
                <w:sz w:val="20"/>
                <w:szCs w:val="20"/>
              </w:rPr>
              <w:t> </w:t>
            </w:r>
            <w:r w:rsidRPr="005259BC">
              <w:rPr>
                <w:rFonts w:ascii="Times" w:hAnsi="Times" w:cs="Times"/>
                <w:sz w:val="20"/>
                <w:szCs w:val="20"/>
              </w:rPr>
              <w:t>pod tabuľku zhody doplniť poznámku „Vyjadrenie k opodstatnenosti goldplatingu a jeho odôvodnenie“  a</w:t>
            </w:r>
            <w:r w:rsidR="002E32E9">
              <w:rPr>
                <w:rFonts w:ascii="Times" w:hAnsi="Times" w:cs="Times"/>
                <w:sz w:val="20"/>
                <w:szCs w:val="20"/>
              </w:rPr>
              <w:t> </w:t>
            </w:r>
            <w:r w:rsidRPr="005259BC">
              <w:rPr>
                <w:rFonts w:ascii="Times" w:hAnsi="Times" w:cs="Times"/>
                <w:sz w:val="20"/>
                <w:szCs w:val="20"/>
              </w:rPr>
              <w:t>uvedené reflektovať v doložke vybraných vplyvov.</w:t>
            </w:r>
          </w:p>
          <w:p w14:paraId="4412DDF4" w14:textId="77777777" w:rsidR="005259BC" w:rsidRPr="005259BC" w:rsidRDefault="005259BC" w:rsidP="005259B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22D9B20F" w14:textId="5DEE861C" w:rsidR="005259BC" w:rsidRPr="005259BC" w:rsidRDefault="005259BC" w:rsidP="005259B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5259BC">
              <w:rPr>
                <w:rFonts w:ascii="Times" w:hAnsi="Times" w:cs="Times"/>
                <w:sz w:val="20"/>
                <w:szCs w:val="20"/>
              </w:rPr>
              <w:t>Pri preukazovaní transpozície čl. 1 piateho bodu smernice (EÚ) 2019/2161 dochádza ku goldplatingu, tým že sa maximálna výška pokuty podľa §35fa ods. 7 písm. b) zákona č. 747/2004 Z. z. v znení neskorších predpisov stanovuje na 4 000 000 eur, keďže v zmysle čl. 1 piateho bodu smernice (EÚ) 2019/2161 sa vyžaduje maximálna výška pokuty v sume 2 000 000 eur. Komisia žiada preto náležite vyplniť deviaty a desiaty stĺpec tabuľky zhody a pod tabuľku zhody doplniť poznámku „Vyjadrenie k opodstatnenosti goldplatingu a jeho odôvodnenie“  a</w:t>
            </w:r>
            <w:r w:rsidR="002E32E9">
              <w:rPr>
                <w:rFonts w:ascii="Times" w:hAnsi="Times" w:cs="Times"/>
                <w:sz w:val="20"/>
                <w:szCs w:val="20"/>
              </w:rPr>
              <w:t> </w:t>
            </w:r>
            <w:r w:rsidRPr="005259BC">
              <w:rPr>
                <w:rFonts w:ascii="Times" w:hAnsi="Times" w:cs="Times"/>
                <w:sz w:val="20"/>
                <w:szCs w:val="20"/>
              </w:rPr>
              <w:t>uvedené reflektovať v doložke vybraných vplyvov.</w:t>
            </w:r>
          </w:p>
          <w:p w14:paraId="1490A9D1" w14:textId="77777777" w:rsidR="005259BC" w:rsidRPr="005259BC" w:rsidRDefault="005259BC" w:rsidP="005259B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0CCF6B87" w14:textId="229BC002" w:rsidR="005259BC" w:rsidRPr="005259BC" w:rsidRDefault="005259BC" w:rsidP="005259B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5259BC">
              <w:rPr>
                <w:rFonts w:ascii="Times" w:hAnsi="Times" w:cs="Times"/>
                <w:sz w:val="20"/>
                <w:szCs w:val="20"/>
              </w:rPr>
              <w:t>Pri preukazovaní transpozície čl. 3 ods. 6 smernice (EÚ) 2019/2161 dochádza ku goldplatingu tým, že sa umožňuje uložiť maximálnu pokutu vo výške 5 % ročného obratu dohliadanej osoby v zmysle § 43 ods. 3 písm. b) zákona č. 108/2024 Z. z., čo je nad rámec minimálnych požiadaviek smernice, ktorá vyžaduje maximálnu hranicu pokuty vo výške 4 % ročného obratu dohliadanej osoby. Komisia žiada preto náležite vyplniť deviaty a</w:t>
            </w:r>
            <w:r w:rsidR="002E32E9">
              <w:rPr>
                <w:rFonts w:ascii="Times" w:hAnsi="Times" w:cs="Times"/>
                <w:sz w:val="20"/>
                <w:szCs w:val="20"/>
              </w:rPr>
              <w:t> </w:t>
            </w:r>
            <w:r w:rsidRPr="005259BC">
              <w:rPr>
                <w:rFonts w:ascii="Times" w:hAnsi="Times" w:cs="Times"/>
                <w:sz w:val="20"/>
                <w:szCs w:val="20"/>
              </w:rPr>
              <w:t>desiaty stĺpec tabuľky zhody a pod tabuľku zhody doplniť poznámku „Vyjadrenie k opodstatnenosti goldplatingu a jeho odôvodnenie“  a uvedené reflektovať v doložke vybraných vplyvov.</w:t>
            </w:r>
          </w:p>
          <w:p w14:paraId="0C5CE127" w14:textId="77777777" w:rsidR="005259BC" w:rsidRPr="005259BC" w:rsidRDefault="005259BC" w:rsidP="005259B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6236571A" w14:textId="77777777" w:rsidR="005259BC" w:rsidRPr="005259BC" w:rsidRDefault="005259BC" w:rsidP="005259B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5259BC">
              <w:rPr>
                <w:rFonts w:ascii="Times" w:hAnsi="Times" w:cs="Times"/>
                <w:sz w:val="20"/>
                <w:szCs w:val="20"/>
              </w:rPr>
              <w:t>Pri preukazovaní transpozície čl. 4 ods. 8 smernice (EÚ) 2019/2161 dochádza ku goldplatingu tým, že sa využíva dobrovoľná transpozícia a predlžuje sa lehota na odstúpenie od zmluvy zo 14 na 30 dní ak bola zmluva uzavretá pri nevyžiadanej návšteve alebo v súvislosti s ňou alebo na predajnej akcii alebo v súvislosti s ňou. Komisia žiada preto náležite vyplniť deviaty a desiaty stĺpec tabuľky zhody a pod tabuľku zhody doplniť poznámku „Vyjadrenie k opodstatnenosti goldplatingu a jeho odôvodnenie“  a uvedené reflektovať v doložke vybraných vplyvov.</w:t>
            </w:r>
          </w:p>
          <w:p w14:paraId="7FC2C011" w14:textId="48E785E6" w:rsidR="005259BC" w:rsidRDefault="005259BC" w:rsidP="00251B8F">
            <w:pPr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2D339095" w14:textId="77777777" w:rsidR="005259BC" w:rsidRPr="00EB1781" w:rsidRDefault="005259BC" w:rsidP="005259BC">
            <w:pPr>
              <w:rPr>
                <w:rFonts w:ascii="Times New Roman" w:hAnsi="Times New Roman" w:cs="Times New Roman"/>
                <w:b/>
                <w:bCs/>
              </w:rPr>
            </w:pPr>
            <w:r w:rsidRPr="00EB1781">
              <w:rPr>
                <w:rFonts w:ascii="Times New Roman" w:hAnsi="Times New Roman" w:cs="Times New Roman"/>
                <w:b/>
                <w:bCs/>
              </w:rPr>
              <w:t>Vyhodnotenie:</w:t>
            </w:r>
          </w:p>
          <w:p w14:paraId="1D8BE5C8" w14:textId="1A97B33C" w:rsidR="005259BC" w:rsidRPr="005259BC" w:rsidRDefault="005259BC" w:rsidP="00251B8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5259BC">
              <w:rPr>
                <w:rFonts w:ascii="Times" w:hAnsi="Times" w:cs="Times"/>
                <w:sz w:val="20"/>
                <w:szCs w:val="20"/>
              </w:rPr>
              <w:t xml:space="preserve">Predkladateľ </w:t>
            </w:r>
            <w:r w:rsidR="00696D55">
              <w:rPr>
                <w:rFonts w:ascii="Times" w:hAnsi="Times" w:cs="Times"/>
                <w:sz w:val="20"/>
                <w:szCs w:val="20"/>
              </w:rPr>
              <w:t>má za to, že návrhom zákona sa nezavádza goldplating. N</w:t>
            </w:r>
            <w:r w:rsidR="00CF3A41">
              <w:rPr>
                <w:rFonts w:ascii="Times" w:hAnsi="Times" w:cs="Times"/>
                <w:sz w:val="20"/>
                <w:szCs w:val="20"/>
              </w:rPr>
              <w:t>ávrh zákona ale upravuje</w:t>
            </w:r>
            <w:r w:rsidR="00696D55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CF3A41">
              <w:rPr>
                <w:rFonts w:ascii="Times" w:hAnsi="Times" w:cs="Times"/>
                <w:sz w:val="20"/>
                <w:szCs w:val="20"/>
              </w:rPr>
              <w:t xml:space="preserve">niektoré </w:t>
            </w:r>
            <w:r w:rsidR="00696D55">
              <w:rPr>
                <w:rFonts w:ascii="Times" w:hAnsi="Times" w:cs="Times"/>
                <w:sz w:val="20"/>
                <w:szCs w:val="20"/>
              </w:rPr>
              <w:t>ustanovenia</w:t>
            </w:r>
            <w:r w:rsidR="00CF3A41">
              <w:rPr>
                <w:rFonts w:ascii="Times" w:hAnsi="Times" w:cs="Times"/>
                <w:sz w:val="20"/>
                <w:szCs w:val="20"/>
              </w:rPr>
              <w:t xml:space="preserve"> platných a účinných právnych predpisov, ktoré obsahujú goldplating. Predkladateľ sa s pripomienkami Komisie vysporiadal spôsobom, že</w:t>
            </w:r>
            <w:r w:rsidR="00FA65D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5259BC">
              <w:rPr>
                <w:rFonts w:ascii="Times" w:hAnsi="Times" w:cs="Times"/>
                <w:sz w:val="20"/>
                <w:szCs w:val="20"/>
              </w:rPr>
              <w:t>d</w:t>
            </w:r>
            <w:r w:rsidR="000E270F">
              <w:rPr>
                <w:rFonts w:ascii="Times" w:hAnsi="Times" w:cs="Times"/>
                <w:sz w:val="20"/>
                <w:szCs w:val="20"/>
              </w:rPr>
              <w:t>opln</w:t>
            </w:r>
            <w:r w:rsidR="00CF3A41">
              <w:rPr>
                <w:rFonts w:ascii="Times" w:hAnsi="Times" w:cs="Times"/>
                <w:sz w:val="20"/>
                <w:szCs w:val="20"/>
              </w:rPr>
              <w:t>il</w:t>
            </w:r>
            <w:r w:rsidR="000E270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CF3A41">
              <w:rPr>
                <w:rFonts w:ascii="Times" w:hAnsi="Times" w:cs="Times"/>
                <w:sz w:val="20"/>
                <w:szCs w:val="20"/>
              </w:rPr>
              <w:t xml:space="preserve">do </w:t>
            </w:r>
            <w:r w:rsidR="000E270F">
              <w:rPr>
                <w:rFonts w:ascii="Times" w:hAnsi="Times" w:cs="Times"/>
                <w:sz w:val="20"/>
                <w:szCs w:val="20"/>
              </w:rPr>
              <w:t>tabuľky zhody a doložk</w:t>
            </w:r>
            <w:r w:rsidR="00CF3A41">
              <w:rPr>
                <w:rFonts w:ascii="Times" w:hAnsi="Times" w:cs="Times"/>
                <w:sz w:val="20"/>
                <w:szCs w:val="20"/>
              </w:rPr>
              <w:t>y</w:t>
            </w:r>
            <w:r w:rsidRPr="005259BC">
              <w:rPr>
                <w:rFonts w:ascii="Times" w:hAnsi="Times" w:cs="Times"/>
                <w:sz w:val="20"/>
                <w:szCs w:val="20"/>
              </w:rPr>
              <w:t xml:space="preserve"> vybraných vplyvov</w:t>
            </w:r>
            <w:r w:rsidR="00CF3A4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FA65DB">
              <w:rPr>
                <w:rFonts w:ascii="Times" w:hAnsi="Times" w:cs="Times"/>
                <w:sz w:val="20"/>
                <w:szCs w:val="20"/>
              </w:rPr>
              <w:t xml:space="preserve">požadované </w:t>
            </w:r>
            <w:r w:rsidRPr="005259BC">
              <w:rPr>
                <w:rFonts w:ascii="Times" w:hAnsi="Times" w:cs="Times"/>
                <w:sz w:val="20"/>
                <w:szCs w:val="20"/>
              </w:rPr>
              <w:t>informácie o</w:t>
            </w:r>
            <w:r w:rsidR="00CF3A41">
              <w:rPr>
                <w:rFonts w:ascii="Times" w:hAnsi="Times" w:cs="Times"/>
                <w:sz w:val="20"/>
                <w:szCs w:val="20"/>
              </w:rPr>
              <w:t> </w:t>
            </w:r>
            <w:r w:rsidRPr="005259BC">
              <w:rPr>
                <w:rFonts w:ascii="Times" w:hAnsi="Times" w:cs="Times"/>
                <w:sz w:val="20"/>
                <w:szCs w:val="20"/>
              </w:rPr>
              <w:t>goldplatingu</w:t>
            </w:r>
            <w:r w:rsidR="00CF3A41">
              <w:rPr>
                <w:rFonts w:ascii="Times" w:hAnsi="Times" w:cs="Times"/>
                <w:sz w:val="20"/>
                <w:szCs w:val="20"/>
              </w:rPr>
              <w:t xml:space="preserve"> a vysvetlenie vzťahu medzi goldplatingom a návrhom zákona</w:t>
            </w:r>
            <w:r w:rsidR="00FA65DB">
              <w:rPr>
                <w:rFonts w:ascii="Times" w:hAnsi="Times" w:cs="Times"/>
                <w:sz w:val="20"/>
                <w:szCs w:val="20"/>
              </w:rPr>
              <w:t>.</w:t>
            </w:r>
          </w:p>
          <w:p w14:paraId="3827BDB0" w14:textId="0281A90D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67A4DA02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</w:tc>
      </w:tr>
      <w:tr w:rsidR="00D95B6F" w:rsidRPr="006B2C7B" w14:paraId="69B579C3" w14:textId="77777777" w:rsidTr="00251B8F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210220EA" w14:textId="77777777" w:rsidR="00D95B6F" w:rsidRPr="006B2C7B" w:rsidRDefault="00D95B6F" w:rsidP="00D95B6F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Stanovisko Komisie na posudzovanie vybraných vplyvov zo záverečného posúdenia č. ..........</w:t>
            </w:r>
            <w:r w:rsidRPr="006B2C7B">
              <w:rPr>
                <w:rFonts w:ascii="Times" w:hAnsi="Times" w:cs="Times"/>
                <w:sz w:val="20"/>
                <w:szCs w:val="20"/>
              </w:rPr>
              <w:t xml:space="preserve"> (v prípade, ak sa uskutočnilo v zmysle bodu 9.1. Jednotnej metodiky) </w:t>
            </w:r>
          </w:p>
        </w:tc>
      </w:tr>
      <w:tr w:rsidR="00D95B6F" w:rsidRPr="006B2C7B" w14:paraId="43464931" w14:textId="77777777" w:rsidTr="00251B8F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720D15FD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  <w:tbl>
            <w:tblPr>
              <w:tblStyle w:val="Mriekatabuky1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D95B6F" w:rsidRPr="006B2C7B" w14:paraId="78188EFD" w14:textId="77777777" w:rsidTr="00251B8F">
              <w:trPr>
                <w:trHeight w:val="396"/>
              </w:trPr>
              <w:tc>
                <w:tcPr>
                  <w:tcW w:w="2552" w:type="dxa"/>
                </w:tcPr>
                <w:p w14:paraId="7B11772E" w14:textId="77777777" w:rsidR="00D95B6F" w:rsidRPr="006B2C7B" w:rsidRDefault="008D594D" w:rsidP="00251B8F">
                  <w:pPr>
                    <w:rPr>
                      <w:rFonts w:ascii="Times" w:hAnsi="Times" w:cs="Times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" w:hAnsi="Times" w:cs="Times"/>
                        <w:b/>
                        <w:sz w:val="20"/>
                        <w:szCs w:val="20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5B6F" w:rsidRPr="006B2C7B">
                        <w:rPr>
                          <w:rFonts w:ascii="Segoe UI Symbol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95B6F" w:rsidRPr="006B2C7B">
                    <w:rPr>
                      <w:rFonts w:ascii="Times" w:hAnsi="Times" w:cs="Times"/>
                      <w:b/>
                      <w:sz w:val="20"/>
                      <w:szCs w:val="20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14:paraId="68160BAE" w14:textId="77777777" w:rsidR="00D95B6F" w:rsidRPr="006B2C7B" w:rsidRDefault="008D594D" w:rsidP="00251B8F">
                  <w:pPr>
                    <w:rPr>
                      <w:rFonts w:ascii="Times" w:hAnsi="Times" w:cs="Times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" w:hAnsi="Times" w:cs="Times"/>
                        <w:b/>
                        <w:sz w:val="20"/>
                        <w:szCs w:val="20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5B6F" w:rsidRPr="006B2C7B">
                        <w:rPr>
                          <w:rFonts w:ascii="Segoe UI Symbol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95B6F" w:rsidRPr="006B2C7B">
                    <w:rPr>
                      <w:rFonts w:ascii="Times" w:hAnsi="Times" w:cs="Times"/>
                      <w:b/>
                      <w:sz w:val="20"/>
                      <w:szCs w:val="20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14:paraId="30CB08AC" w14:textId="77777777" w:rsidR="00D95B6F" w:rsidRPr="006B2C7B" w:rsidRDefault="008D594D" w:rsidP="00251B8F">
                  <w:pPr>
                    <w:ind w:right="459"/>
                    <w:rPr>
                      <w:rFonts w:ascii="Times" w:hAnsi="Times" w:cs="Times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" w:hAnsi="Times" w:cs="Times"/>
                        <w:b/>
                        <w:sz w:val="20"/>
                        <w:szCs w:val="20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5B6F" w:rsidRPr="006B2C7B">
                        <w:rPr>
                          <w:rFonts w:ascii="Segoe UI Symbol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95B6F" w:rsidRPr="006B2C7B">
                    <w:rPr>
                      <w:rFonts w:ascii="Times" w:hAnsi="Times" w:cs="Times"/>
                      <w:b/>
                      <w:sz w:val="20"/>
                      <w:szCs w:val="20"/>
                    </w:rPr>
                    <w:t xml:space="preserve">  Nesúhlasné</w:t>
                  </w:r>
                </w:p>
              </w:tc>
            </w:tr>
          </w:tbl>
          <w:p w14:paraId="61327E50" w14:textId="77777777" w:rsidR="00D95B6F" w:rsidRPr="006B2C7B" w:rsidRDefault="00D95B6F" w:rsidP="00251B8F">
            <w:pPr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  <w:r w:rsidRPr="006B2C7B">
              <w:rPr>
                <w:rFonts w:ascii="Times" w:hAnsi="Times" w:cs="Times"/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14:paraId="6924AD62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3F1C7F23" w14:textId="77777777" w:rsidR="00D95B6F" w:rsidRPr="006B2C7B" w:rsidRDefault="00D95B6F" w:rsidP="00251B8F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</w:tc>
      </w:tr>
    </w:tbl>
    <w:p w14:paraId="717037BA" w14:textId="77777777" w:rsidR="00274130" w:rsidRPr="00D95B6F" w:rsidRDefault="008D594D" w:rsidP="00D95B6F"/>
    <w:sectPr w:rsidR="00274130" w:rsidRPr="00D95B6F" w:rsidSect="001E356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9F642" w14:textId="77777777" w:rsidR="00745633" w:rsidRDefault="00745633" w:rsidP="001B23B7">
      <w:pPr>
        <w:spacing w:after="0" w:line="240" w:lineRule="auto"/>
      </w:pPr>
      <w:r>
        <w:separator/>
      </w:r>
    </w:p>
  </w:endnote>
  <w:endnote w:type="continuationSeparator" w:id="0">
    <w:p w14:paraId="3EAC7638" w14:textId="77777777" w:rsidR="00745633" w:rsidRDefault="00745633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89D00F" w14:textId="11A4FC59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59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FFA4CB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5D5C5" w14:textId="77777777" w:rsidR="00745633" w:rsidRDefault="00745633" w:rsidP="001B23B7">
      <w:pPr>
        <w:spacing w:after="0" w:line="240" w:lineRule="auto"/>
      </w:pPr>
      <w:r>
        <w:separator/>
      </w:r>
    </w:p>
  </w:footnote>
  <w:footnote w:type="continuationSeparator" w:id="0">
    <w:p w14:paraId="3ECC54FA" w14:textId="77777777" w:rsidR="00745633" w:rsidRDefault="00745633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16B5F"/>
    <w:multiLevelType w:val="hybridMultilevel"/>
    <w:tmpl w:val="0666D8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3263C8">
      <w:numFmt w:val="bullet"/>
      <w:lvlText w:val="-"/>
      <w:lvlJc w:val="left"/>
      <w:pPr>
        <w:ind w:left="1305" w:hanging="225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0926"/>
    <w:rsid w:val="000013C3"/>
    <w:rsid w:val="00016EB6"/>
    <w:rsid w:val="0002235D"/>
    <w:rsid w:val="00036FFE"/>
    <w:rsid w:val="00037065"/>
    <w:rsid w:val="00042B30"/>
    <w:rsid w:val="00043706"/>
    <w:rsid w:val="000579A3"/>
    <w:rsid w:val="00097069"/>
    <w:rsid w:val="000B50AF"/>
    <w:rsid w:val="000C2E76"/>
    <w:rsid w:val="000D348F"/>
    <w:rsid w:val="000E270F"/>
    <w:rsid w:val="000F2BE9"/>
    <w:rsid w:val="00104032"/>
    <w:rsid w:val="00113AE4"/>
    <w:rsid w:val="00123C37"/>
    <w:rsid w:val="00125156"/>
    <w:rsid w:val="00127B68"/>
    <w:rsid w:val="00133B43"/>
    <w:rsid w:val="00142851"/>
    <w:rsid w:val="00156064"/>
    <w:rsid w:val="001777E8"/>
    <w:rsid w:val="00187182"/>
    <w:rsid w:val="001930D5"/>
    <w:rsid w:val="001B23B7"/>
    <w:rsid w:val="001C0A47"/>
    <w:rsid w:val="001C7C54"/>
    <w:rsid w:val="001D48E8"/>
    <w:rsid w:val="001E3562"/>
    <w:rsid w:val="001E79E3"/>
    <w:rsid w:val="001F00A6"/>
    <w:rsid w:val="0020000A"/>
    <w:rsid w:val="00203EE3"/>
    <w:rsid w:val="002113E2"/>
    <w:rsid w:val="002243BB"/>
    <w:rsid w:val="0023360B"/>
    <w:rsid w:val="00243652"/>
    <w:rsid w:val="00277460"/>
    <w:rsid w:val="002952A3"/>
    <w:rsid w:val="002A1E8A"/>
    <w:rsid w:val="002A297D"/>
    <w:rsid w:val="002A4883"/>
    <w:rsid w:val="002E32E9"/>
    <w:rsid w:val="002F3741"/>
    <w:rsid w:val="002F3CEB"/>
    <w:rsid w:val="002F6ADB"/>
    <w:rsid w:val="003141DF"/>
    <w:rsid w:val="003145AE"/>
    <w:rsid w:val="00345B6F"/>
    <w:rsid w:val="00347FBE"/>
    <w:rsid w:val="003553ED"/>
    <w:rsid w:val="00363D94"/>
    <w:rsid w:val="003A057B"/>
    <w:rsid w:val="003A381E"/>
    <w:rsid w:val="003B19CD"/>
    <w:rsid w:val="003B56B7"/>
    <w:rsid w:val="003E1AA4"/>
    <w:rsid w:val="00411898"/>
    <w:rsid w:val="00441195"/>
    <w:rsid w:val="004431EB"/>
    <w:rsid w:val="00445A04"/>
    <w:rsid w:val="0045428B"/>
    <w:rsid w:val="00463F03"/>
    <w:rsid w:val="004710D8"/>
    <w:rsid w:val="0049476D"/>
    <w:rsid w:val="004A4383"/>
    <w:rsid w:val="004C0738"/>
    <w:rsid w:val="004C6831"/>
    <w:rsid w:val="004C7CA7"/>
    <w:rsid w:val="004D0A67"/>
    <w:rsid w:val="004D231F"/>
    <w:rsid w:val="004F2CF1"/>
    <w:rsid w:val="005259BC"/>
    <w:rsid w:val="00530FEB"/>
    <w:rsid w:val="005371E3"/>
    <w:rsid w:val="005537B6"/>
    <w:rsid w:val="00582909"/>
    <w:rsid w:val="00591EC6"/>
    <w:rsid w:val="00591ED3"/>
    <w:rsid w:val="00593562"/>
    <w:rsid w:val="005B7851"/>
    <w:rsid w:val="005D5661"/>
    <w:rsid w:val="005D6751"/>
    <w:rsid w:val="005F191C"/>
    <w:rsid w:val="00600636"/>
    <w:rsid w:val="00612E08"/>
    <w:rsid w:val="0063729B"/>
    <w:rsid w:val="00640564"/>
    <w:rsid w:val="006761F9"/>
    <w:rsid w:val="006933EB"/>
    <w:rsid w:val="00696D55"/>
    <w:rsid w:val="0069778A"/>
    <w:rsid w:val="006A2EE9"/>
    <w:rsid w:val="006C11EF"/>
    <w:rsid w:val="006D1618"/>
    <w:rsid w:val="006F678E"/>
    <w:rsid w:val="006F6B62"/>
    <w:rsid w:val="00720322"/>
    <w:rsid w:val="00731FEB"/>
    <w:rsid w:val="00733E52"/>
    <w:rsid w:val="00745633"/>
    <w:rsid w:val="0075197E"/>
    <w:rsid w:val="00761208"/>
    <w:rsid w:val="00763372"/>
    <w:rsid w:val="007756BE"/>
    <w:rsid w:val="00797378"/>
    <w:rsid w:val="007B241A"/>
    <w:rsid w:val="007B40C1"/>
    <w:rsid w:val="007C5312"/>
    <w:rsid w:val="007D6F2C"/>
    <w:rsid w:val="007E1CCD"/>
    <w:rsid w:val="007F587A"/>
    <w:rsid w:val="0080042A"/>
    <w:rsid w:val="00800666"/>
    <w:rsid w:val="00865E81"/>
    <w:rsid w:val="008706DC"/>
    <w:rsid w:val="00871B26"/>
    <w:rsid w:val="008722B1"/>
    <w:rsid w:val="008801B5"/>
    <w:rsid w:val="00881E07"/>
    <w:rsid w:val="008B222D"/>
    <w:rsid w:val="008C79B7"/>
    <w:rsid w:val="008D4C00"/>
    <w:rsid w:val="008D594D"/>
    <w:rsid w:val="008E60B7"/>
    <w:rsid w:val="00905D91"/>
    <w:rsid w:val="009132FF"/>
    <w:rsid w:val="00932CC5"/>
    <w:rsid w:val="009431E3"/>
    <w:rsid w:val="009475F5"/>
    <w:rsid w:val="009547CC"/>
    <w:rsid w:val="009717F5"/>
    <w:rsid w:val="00974624"/>
    <w:rsid w:val="00983FFD"/>
    <w:rsid w:val="0098472E"/>
    <w:rsid w:val="009B2A05"/>
    <w:rsid w:val="009C424C"/>
    <w:rsid w:val="009E09F7"/>
    <w:rsid w:val="009F4832"/>
    <w:rsid w:val="00A27C5A"/>
    <w:rsid w:val="00A340BB"/>
    <w:rsid w:val="00A5650C"/>
    <w:rsid w:val="00A60413"/>
    <w:rsid w:val="00A7788F"/>
    <w:rsid w:val="00A864A9"/>
    <w:rsid w:val="00A97A32"/>
    <w:rsid w:val="00AC30D6"/>
    <w:rsid w:val="00AC554C"/>
    <w:rsid w:val="00B00B6E"/>
    <w:rsid w:val="00B04882"/>
    <w:rsid w:val="00B43828"/>
    <w:rsid w:val="00B547F5"/>
    <w:rsid w:val="00B84F87"/>
    <w:rsid w:val="00BA2BF4"/>
    <w:rsid w:val="00BE2DFC"/>
    <w:rsid w:val="00BF6AA2"/>
    <w:rsid w:val="00C042DA"/>
    <w:rsid w:val="00C42C3F"/>
    <w:rsid w:val="00C46FC9"/>
    <w:rsid w:val="00C86714"/>
    <w:rsid w:val="00C94E4E"/>
    <w:rsid w:val="00CB08AE"/>
    <w:rsid w:val="00CC254E"/>
    <w:rsid w:val="00CD5FB8"/>
    <w:rsid w:val="00CD6E04"/>
    <w:rsid w:val="00CE0F3F"/>
    <w:rsid w:val="00CE6AAE"/>
    <w:rsid w:val="00CF0BB4"/>
    <w:rsid w:val="00CF18A4"/>
    <w:rsid w:val="00CF1A25"/>
    <w:rsid w:val="00CF3A41"/>
    <w:rsid w:val="00D10314"/>
    <w:rsid w:val="00D17406"/>
    <w:rsid w:val="00D2313B"/>
    <w:rsid w:val="00D412FA"/>
    <w:rsid w:val="00D50F1E"/>
    <w:rsid w:val="00D95B6F"/>
    <w:rsid w:val="00DA71D4"/>
    <w:rsid w:val="00DE2C52"/>
    <w:rsid w:val="00DF357C"/>
    <w:rsid w:val="00E2383A"/>
    <w:rsid w:val="00E352EE"/>
    <w:rsid w:val="00E440B4"/>
    <w:rsid w:val="00E827FC"/>
    <w:rsid w:val="00EA5685"/>
    <w:rsid w:val="00EA758A"/>
    <w:rsid w:val="00EB1781"/>
    <w:rsid w:val="00EB34EA"/>
    <w:rsid w:val="00ED117E"/>
    <w:rsid w:val="00ED165A"/>
    <w:rsid w:val="00ED1AC0"/>
    <w:rsid w:val="00ED1CA4"/>
    <w:rsid w:val="00EF07D9"/>
    <w:rsid w:val="00F15689"/>
    <w:rsid w:val="00F26256"/>
    <w:rsid w:val="00F37142"/>
    <w:rsid w:val="00F50A84"/>
    <w:rsid w:val="00F87681"/>
    <w:rsid w:val="00F954E7"/>
    <w:rsid w:val="00FA02DB"/>
    <w:rsid w:val="00FA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B7CFF9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5B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B048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04882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45B6F"/>
    <w:pPr>
      <w:spacing w:after="200" w:line="276" w:lineRule="auto"/>
      <w:ind w:left="720"/>
      <w:contextualSpacing/>
    </w:pPr>
  </w:style>
  <w:style w:type="paragraph" w:styleId="Normlnywebov">
    <w:name w:val="Normal (Web)"/>
    <w:basedOn w:val="Normlny"/>
    <w:uiPriority w:val="99"/>
    <w:rsid w:val="005D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5D675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D6751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174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740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740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74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7406"/>
    <w:rPr>
      <w:b/>
      <w:bCs/>
      <w:sz w:val="20"/>
      <w:szCs w:val="20"/>
    </w:rPr>
  </w:style>
  <w:style w:type="table" w:customStyle="1" w:styleId="Mriekatabuky11">
    <w:name w:val="Mriežka tabuľky11"/>
    <w:basedOn w:val="Normlnatabuka"/>
    <w:next w:val="Mriekatabuky"/>
    <w:uiPriority w:val="59"/>
    <w:rsid w:val="00D9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ilan.simkovic@mhsr.sk" TargetMode="External"/><Relationship Id="rId4" Type="http://schemas.openxmlformats.org/officeDocument/2006/relationships/styles" Target="styles.xml"/><Relationship Id="rId9" Type="http://schemas.openxmlformats.org/officeDocument/2006/relationships/hyperlink" Target="mailto:ivana.paulovicova@mh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15009C0-55D9-4E18-94F9-F4A1E973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3574</Words>
  <Characters>20374</Characters>
  <DocSecurity>4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2025-05-02T14:34:00Z</dcterms:created>
  <dcterms:modified xsi:type="dcterms:W3CDTF">2025-05-02T14:34:00Z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