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7"/>
          <w:szCs w:val="27"/>
          <w:rtl w:val="0"/>
        </w:rPr>
        <w:t xml:space="preserve">Uznesenie Národnej rady Slovenskej republiky</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jc w:val="center"/>
        <w:rPr>
          <w:rFonts w:ascii="Times" w:cs="Times" w:eastAsia="Times" w:hAnsi="Times"/>
          <w:color w:val="000000"/>
          <w:sz w:val="27"/>
          <w:szCs w:val="27"/>
        </w:rPr>
      </w:pPr>
      <w:r w:rsidDel="00000000" w:rsidR="00000000" w:rsidRPr="00000000">
        <w:rPr>
          <w:rFonts w:ascii="Times New Roman" w:cs="Times New Roman" w:eastAsia="Times New Roman" w:hAnsi="Times New Roman"/>
          <w:color w:val="000000"/>
          <w:rtl w:val="0"/>
        </w:rPr>
        <w:t xml:space="preserve">z ... júna 202</w:t>
      </w:r>
      <w:r w:rsidDel="00000000" w:rsidR="00000000" w:rsidRPr="00000000">
        <w:rPr>
          <w:rFonts w:ascii="Times New Roman" w:cs="Times New Roman" w:eastAsia="Times New Roman" w:hAnsi="Times New Roman"/>
          <w:rtl w:val="0"/>
        </w:rPr>
        <w:t xml:space="preserve">5</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jc w:val="center"/>
        <w:rPr>
          <w:rFonts w:ascii="Times" w:cs="Times" w:eastAsia="Times" w:hAnsi="Times"/>
          <w:color w:val="000000"/>
          <w:sz w:val="27"/>
          <w:szCs w:val="27"/>
        </w:rPr>
      </w:pPr>
      <w:r w:rsidDel="00000000" w:rsidR="00000000" w:rsidRPr="00000000">
        <w:rPr>
          <w:rFonts w:ascii="Times New Roman" w:cs="Times New Roman" w:eastAsia="Times New Roman" w:hAnsi="Times New Roman"/>
          <w:color w:val="000000"/>
          <w:rtl w:val="0"/>
        </w:rPr>
        <w:t xml:space="preserve">k situácii v Gaze</w:t>
      </w:r>
      <w:r w:rsidDel="00000000" w:rsidR="00000000" w:rsidRPr="00000000">
        <w:rPr>
          <w:rtl w:val="0"/>
        </w:rPr>
      </w:r>
    </w:p>
    <w:p w:rsidR="00000000" w:rsidDel="00000000" w:rsidP="00000000" w:rsidRDefault="00000000" w:rsidRPr="00000000" w14:paraId="00000006">
      <w:pPr>
        <w:rPr>
          <w:rFonts w:ascii="Times" w:cs="Times" w:eastAsia="Times" w:hAnsi="Times"/>
          <w:color w:val="000000"/>
          <w:sz w:val="27"/>
          <w:szCs w:val="27"/>
        </w:rPr>
      </w:pPr>
      <w:r w:rsidDel="00000000" w:rsidR="00000000" w:rsidRPr="00000000">
        <w:rPr>
          <w:rFonts w:ascii="Times New Roman" w:cs="Times New Roman" w:eastAsia="Times New Roman" w:hAnsi="Times New Roman"/>
          <w:b w:val="1"/>
          <w:color w:val="000000"/>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before="240" w:line="276" w:lineRule="auto"/>
        <w:jc w:val="both"/>
        <w:rPr>
          <w:rFonts w:ascii="Times New Roman" w:cs="Times New Roman" w:eastAsia="Times New Roman" w:hAnsi="Times New Roman"/>
          <w:color w:val="1e1e1f"/>
          <w:highlight w:val="white"/>
        </w:rPr>
      </w:pPr>
      <w:r w:rsidDel="00000000" w:rsidR="00000000" w:rsidRPr="00000000">
        <w:rPr>
          <w:rFonts w:ascii="Times New Roman" w:cs="Times New Roman" w:eastAsia="Times New Roman" w:hAnsi="Times New Roman"/>
          <w:color w:val="1e1e1f"/>
          <w:highlight w:val="white"/>
          <w:rtl w:val="0"/>
        </w:rPr>
        <w:t xml:space="preserve">so zreteľom na príslušné rezolúcie Bezpečnostnej rady OSN a Valného zhromaždenia OSN,</w:t>
      </w:r>
    </w:p>
    <w:p w:rsidR="00000000" w:rsidDel="00000000" w:rsidP="00000000" w:rsidRDefault="00000000" w:rsidRPr="00000000" w14:paraId="0000000A">
      <w:pPr>
        <w:spacing w:before="240" w:line="276" w:lineRule="auto"/>
        <w:jc w:val="both"/>
        <w:rPr>
          <w:rFonts w:ascii="Times New Roman" w:cs="Times New Roman" w:eastAsia="Times New Roman" w:hAnsi="Times New Roman"/>
          <w:color w:val="1e1e1f"/>
          <w:highlight w:val="white"/>
        </w:rPr>
      </w:pPr>
      <w:r w:rsidDel="00000000" w:rsidR="00000000" w:rsidRPr="00000000">
        <w:rPr>
          <w:rFonts w:ascii="Times New Roman" w:cs="Times New Roman" w:eastAsia="Times New Roman" w:hAnsi="Times New Roman"/>
          <w:color w:val="1e1e1f"/>
          <w:highlight w:val="white"/>
          <w:rtl w:val="0"/>
        </w:rPr>
        <w:t xml:space="preserve">so zreteľom na Chartu Organizácie Spojených národov,</w:t>
      </w:r>
    </w:p>
    <w:p w:rsidR="00000000" w:rsidDel="00000000" w:rsidP="00000000" w:rsidRDefault="00000000" w:rsidRPr="00000000" w14:paraId="0000000B">
      <w:pPr>
        <w:spacing w:before="240" w:line="276" w:lineRule="auto"/>
        <w:jc w:val="both"/>
        <w:rPr>
          <w:rFonts w:ascii="Times New Roman" w:cs="Times New Roman" w:eastAsia="Times New Roman" w:hAnsi="Times New Roman"/>
          <w:color w:val="1e1e1f"/>
          <w:highlight w:val="white"/>
        </w:rPr>
      </w:pPr>
      <w:r w:rsidDel="00000000" w:rsidR="00000000" w:rsidRPr="00000000">
        <w:rPr>
          <w:rFonts w:ascii="Times New Roman" w:cs="Times New Roman" w:eastAsia="Times New Roman" w:hAnsi="Times New Roman"/>
          <w:rtl w:val="0"/>
        </w:rPr>
        <w:t xml:space="preserve">so zreteľom na </w:t>
      </w:r>
      <w:r w:rsidDel="00000000" w:rsidR="00000000" w:rsidRPr="00000000">
        <w:rPr>
          <w:rFonts w:ascii="Times New Roman" w:cs="Times New Roman" w:eastAsia="Times New Roman" w:hAnsi="Times New Roman"/>
          <w:color w:val="1e1e1f"/>
          <w:highlight w:val="white"/>
          <w:rtl w:val="0"/>
        </w:rPr>
        <w:t xml:space="preserve">medzinárodné humanitárne právo, najmä Haagske dohovory z rokov 1899 a 1907 a Ženevské dohovory z roku 1949 a ich dodatkové protokoly, </w:t>
      </w:r>
    </w:p>
    <w:p w:rsidR="00000000" w:rsidDel="00000000" w:rsidP="00000000" w:rsidRDefault="00000000" w:rsidRPr="00000000" w14:paraId="0000000C">
      <w:pPr>
        <w:spacing w:before="240" w:line="276" w:lineRule="auto"/>
        <w:jc w:val="both"/>
        <w:rPr>
          <w:rFonts w:ascii="Times New Roman" w:cs="Times New Roman" w:eastAsia="Times New Roman" w:hAnsi="Times New Roman"/>
          <w:color w:val="1e1e1f"/>
          <w:highlight w:val="white"/>
        </w:rPr>
      </w:pPr>
      <w:r w:rsidDel="00000000" w:rsidR="00000000" w:rsidRPr="00000000">
        <w:rPr>
          <w:rFonts w:ascii="Times New Roman" w:cs="Times New Roman" w:eastAsia="Times New Roman" w:hAnsi="Times New Roman"/>
          <w:color w:val="1e1e1f"/>
          <w:highlight w:val="white"/>
          <w:rtl w:val="0"/>
        </w:rPr>
        <w:t xml:space="preserve">so zreteľom na Dohovor o zabránení a trestaní zločinu genocídy,</w:t>
      </w:r>
    </w:p>
    <w:p w:rsidR="00000000" w:rsidDel="00000000" w:rsidP="00000000" w:rsidRDefault="00000000" w:rsidRPr="00000000" w14:paraId="0000000D">
      <w:pPr>
        <w:spacing w:before="240" w:line="276" w:lineRule="auto"/>
        <w:jc w:val="both"/>
        <w:rPr>
          <w:rFonts w:ascii="Times New Roman" w:cs="Times New Roman" w:eastAsia="Times New Roman" w:hAnsi="Times New Roman"/>
          <w:color w:val="1e1e1f"/>
          <w:highlight w:val="white"/>
        </w:rPr>
      </w:pPr>
      <w:r w:rsidDel="00000000" w:rsidR="00000000" w:rsidRPr="00000000">
        <w:rPr>
          <w:rFonts w:ascii="Times New Roman" w:cs="Times New Roman" w:eastAsia="Times New Roman" w:hAnsi="Times New Roman"/>
          <w:color w:val="1e1e1f"/>
          <w:highlight w:val="white"/>
          <w:rtl w:val="0"/>
        </w:rPr>
        <w:t xml:space="preserve">so zreteľom na Dohovor o právach dieťaťa, </w:t>
      </w:r>
    </w:p>
    <w:p w:rsidR="00000000" w:rsidDel="00000000" w:rsidP="00000000" w:rsidRDefault="00000000" w:rsidRPr="00000000" w14:paraId="0000000E">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keďže 7. októbra 2023 teroristická organizácia Hamas brutálne zaútočila na Izrael, zavraždila takmer 1200 ľudí a uniesla stovky ľudí, z ktorých viac ako 50 stále ostáva v zajatí; keďže Izrael má podľa článku 51 Charty OSN nespochybniteľné právo na sebaobranu a na zásah voči tým, ktorí sú za tieto hanebné činy zodpovední; </w:t>
      </w:r>
    </w:p>
    <w:p w:rsidR="00000000" w:rsidDel="00000000" w:rsidP="00000000" w:rsidRDefault="00000000" w:rsidRPr="00000000" w14:paraId="0000000F">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keďže každý vojenský zásah musí rešpektovať medzinárodné a humanitárne právo, najmä princíp primeranosti, s cieľom minimalizovať straty na nevinných ľudských životoch; </w:t>
      </w:r>
    </w:p>
    <w:p w:rsidR="00000000" w:rsidDel="00000000" w:rsidP="00000000" w:rsidRDefault="00000000" w:rsidRPr="00000000" w14:paraId="00000010">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keďže podľa odhadov medzinárodných organizácií izraelské pozemné a letecké útoky doteraz spôsobili v Gaze viac ako 54 </w:t>
      </w:r>
      <w:r w:rsidDel="00000000" w:rsidR="00000000" w:rsidRPr="00000000">
        <w:rPr>
          <w:rFonts w:ascii="Times New Roman" w:cs="Times New Roman" w:eastAsia="Times New Roman" w:hAnsi="Times New Roman"/>
          <w:rtl w:val="0"/>
        </w:rPr>
        <w:t xml:space="preserve">000</w:t>
      </w:r>
      <w:r w:rsidDel="00000000" w:rsidR="00000000" w:rsidRPr="00000000">
        <w:rPr>
          <w:rFonts w:ascii="Times New Roman" w:cs="Times New Roman" w:eastAsia="Times New Roman" w:hAnsi="Times New Roman"/>
          <w:rtl w:val="0"/>
        </w:rPr>
        <w:t xml:space="preserve"> obetí, prevažne žien a detí, pričom takmer tretina obetí je mladšia ako 18 rokov; </w:t>
      </w:r>
    </w:p>
    <w:p w:rsidR="00000000" w:rsidDel="00000000" w:rsidP="00000000" w:rsidRDefault="00000000" w:rsidRPr="00000000" w14:paraId="00000011">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keďže od porušenia prímeria v marci 2025 sa podmienky v Gaze dramaticky zhoršili aj dôsledkom </w:t>
      </w:r>
      <w:r w:rsidDel="00000000" w:rsidR="00000000" w:rsidRPr="00000000">
        <w:rPr>
          <w:rFonts w:ascii="Times New Roman" w:cs="Times New Roman" w:eastAsia="Times New Roman" w:hAnsi="Times New Roman"/>
          <w:rtl w:val="0"/>
        </w:rPr>
        <w:t xml:space="preserve">viac ako dva mesiace</w:t>
      </w:r>
      <w:r w:rsidDel="00000000" w:rsidR="00000000" w:rsidRPr="00000000">
        <w:rPr>
          <w:rFonts w:ascii="Times New Roman" w:cs="Times New Roman" w:eastAsia="Times New Roman" w:hAnsi="Times New Roman"/>
          <w:rtl w:val="0"/>
        </w:rPr>
        <w:t xml:space="preserve"> trvajúcej blokády humanitárnej pomoci, pričom civilnému obyvateľstvu dochádzajú potraviny a základné zásoby, narastá tak riziko hladomoru a čelí aj kontinuálnemu vysídľovaniu, rastúcej úmrtnosti matiek a detí a vážnemu nedostatku bezpečnostných a ochranných zložiek, vrátane prístupu k zdravotnej starostlivosti; </w:t>
      </w:r>
    </w:p>
    <w:p w:rsidR="00000000" w:rsidDel="00000000" w:rsidP="00000000" w:rsidRDefault="00000000" w:rsidRPr="00000000" w14:paraId="00000012">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keďže Svetová zdravotnícka organizácia (WHO) varovala, že zintenzívnené vojenské operácie Izraela naďalej ohrozujú už aj tak oslabený zdravotný systém Gazy, pričom veľké nemocnice museli prerušiť poskytovanie lekárskych služieb z dôvodu ich blízkosti k bojovej zóne a ďalšie boli zničené​; WHO zaznamenala od októbra 2023 viac než​ 700 útokov na zdravotnícke zariadenia;</w:t>
      </w:r>
    </w:p>
    <w:p w:rsidR="00000000" w:rsidDel="00000000" w:rsidP="00000000" w:rsidRDefault="00000000" w:rsidRPr="00000000" w14:paraId="00000013">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keďže Medzinárodný trestný súd (ICC) vydal zatykač na</w:t>
      </w:r>
      <w:r w:rsidDel="00000000" w:rsidR="00000000" w:rsidRPr="00000000">
        <w:rPr>
          <w:rFonts w:ascii="Times New Roman" w:cs="Times New Roman" w:eastAsia="Times New Roman" w:hAnsi="Times New Roman"/>
          <w:rtl w:val="0"/>
        </w:rPr>
        <w:t xml:space="preserve"> lídra Hamasu Muhammada Dajfa pre podozrenia z masového zabíjania, znásilňovania a únosu rukojemníkov 7. októbra​ 2023</w:t>
      </w:r>
      <w:r w:rsidDel="00000000" w:rsidR="00000000" w:rsidRPr="00000000">
        <w:rPr>
          <w:rFonts w:ascii="Times New Roman" w:cs="Times New Roman" w:eastAsia="Times New Roman" w:hAnsi="Times New Roman"/>
          <w:rtl w:val="0"/>
        </w:rPr>
        <w:t xml:space="preserve"> a na izraelského premiéra Benjamina Netanjahua a bývalého izraelského ministra obrany Joava Galanta pre podozrenia z páchania vojnových zločinov a zločinov proti ľudskosti vrátane vyhladovania civilného obyvateľstva, blokády liekov a humanitárnej pomoci</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4">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keďže Medzinárodný súdny dvor (ICJ) vo svojich rozhodnutiach konštatoval, že konanie izraelskej vlády predstavuje v Gaze riziko genocídy a nariadil okamžité predbežné opatrenia vrátane zabezpečenia základných potrieb a humanitárnej pomoci v súlade s medzinárodným humanitárnym právom; </w:t>
      </w:r>
    </w:p>
    <w:p w:rsidR="00000000" w:rsidDel="00000000" w:rsidP="00000000" w:rsidRDefault="00000000" w:rsidRPr="00000000" w14:paraId="00000015">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keďže​ nielen medzinárodné organizácie a súdy, ale aj svetoví a európski lídri vrátane bývalého izraelského premiéra, izraelskí politici, vedci, armádni velitelia, novinári, umelci a masy protestujúcich po celom svete aj v samotnom Izraeli apelujú na vládu B. Netanyahu, aby rešpektovala medzinárodné právo, ukončila rozsiahle utrpenie nevinných civilistov v Gaze a obnovila humanitárnu pomoc, pretože ani legitímny cieľ boja proti teroristickej organizácii Hamas neospravedlňuje vojenskú ofenzívu týchto rozmerov a dôsledkov ani blokovanie pomoci pre civilné obyvateľstvo; </w:t>
      </w:r>
    </w:p>
    <w:p w:rsidR="00000000" w:rsidDel="00000000" w:rsidP="00000000" w:rsidRDefault="00000000" w:rsidRPr="00000000" w14:paraId="00000016">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keďže​ Rada Európskej únie pre zahraničné veci 20. mája 2025 prijala rozhodnutie o formálnom začatí preskúmania plnenia záväzkov Izraela vyplývajúcich z článku 2 Asociačnej dohody medzi Izraelom a Európskou úniou, ktoré sa týkajú rešpektovania ľudských práv, pričom toto rozhodnutie bolo prijaté so súhlasom Slovenskej republiky a odráža rastúce medzinárodné obavy z porušovania základných ľudských práv a humanitárnych záväzkov zo strany izraelskej vlády počas konfliktu v Gaze.</w:t>
      </w:r>
    </w:p>
    <w:p w:rsidR="00000000" w:rsidDel="00000000" w:rsidP="00000000" w:rsidRDefault="00000000" w:rsidRPr="00000000" w14:paraId="00000017">
      <w:pPr>
        <w:spacing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before="24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Národná rada Slovenskej republiky</w:t>
      </w:r>
    </w:p>
    <w:p w:rsidR="00000000" w:rsidDel="00000000" w:rsidP="00000000" w:rsidRDefault="00000000" w:rsidRPr="00000000" w14:paraId="00000019">
      <w:pPr>
        <w:spacing w:before="24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numPr>
          <w:ilvl w:val="0"/>
          <w:numId w:val="1"/>
        </w:numPr>
        <w:spacing w:line="276"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ostro odsudzuje </w:t>
      </w:r>
    </w:p>
    <w:p w:rsidR="00000000" w:rsidDel="00000000" w:rsidP="00000000" w:rsidRDefault="00000000" w:rsidRPr="00000000" w14:paraId="0000001B">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izraelské útoky na civilné obyvateľstvo v pásme Gazy, ktoré vedú k bezprecedentným stratám na nevinných ľudských životoch ako aj blokovanie prístupu k humanitárnej a zdravotníckej pomoci, v rozpore s rozhodnutiami Medzinárodného súdneho dvora a medzinárodným humanitárnym právom a prejavuje hlboký zármutok a podporu palestínskemu ľudu;</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vyjadruje</w:t>
      </w:r>
    </w:p>
    <w:p w:rsidR="00000000" w:rsidDel="00000000" w:rsidP="00000000" w:rsidRDefault="00000000" w:rsidRPr="00000000" w14:paraId="0000001D">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 </w:t>
      </w:r>
      <w:r w:rsidDel="00000000" w:rsidR="00000000" w:rsidRPr="00000000">
        <w:rPr>
          <w:rFonts w:ascii="Times New Roman" w:cs="Times New Roman" w:eastAsia="Times New Roman" w:hAnsi="Times New Roman"/>
          <w:rtl w:val="0"/>
        </w:rPr>
        <w:t xml:space="preserve">hlboký zármutok nad všetkými nevinnými obeťami </w:t>
      </w:r>
      <w:r w:rsidDel="00000000" w:rsidR="00000000" w:rsidRPr="00000000">
        <w:rPr>
          <w:rFonts w:ascii="Times New Roman" w:cs="Times New Roman" w:eastAsia="Times New Roman" w:hAnsi="Times New Roman"/>
          <w:rtl w:val="0"/>
        </w:rPr>
        <w:t xml:space="preserve">šokujúceho a brutálneho útoku teroristickej skupiny Hamas zo 7. októbra 2023 a opätovne ho odsudzuje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B2 právo Izraela na sebaobranu, ktorá ale musí byť proporčná hrozbe, ktorej čelí, pričom izraelská vojenská odpoveď​ sa ukazuje ako neprimeraná, nakoľko pri nej prišlo o život bezprecedentný počet civilistov v pásme Gazy; </w:t>
      </w:r>
      <w:r w:rsidDel="00000000" w:rsidR="00000000" w:rsidRPr="00000000">
        <w:rPr>
          <w:rtl w:val="0"/>
        </w:rPr>
      </w:r>
    </w:p>
    <w:p w:rsidR="00000000" w:rsidDel="00000000" w:rsidP="00000000" w:rsidRDefault="00000000" w:rsidRPr="00000000" w14:paraId="0000001F">
      <w:pPr>
        <w:spacing w:before="24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B3 nutnosť okamžitého prepustenia </w:t>
      </w:r>
      <w:r w:rsidDel="00000000" w:rsidR="00000000" w:rsidRPr="00000000">
        <w:rPr>
          <w:rFonts w:ascii="Times New Roman" w:cs="Times New Roman" w:eastAsia="Times New Roman" w:hAnsi="Times New Roman"/>
          <w:rtl w:val="0"/>
        </w:rPr>
        <w:t xml:space="preserve">rukojemníkov </w:t>
      </w:r>
      <w:r w:rsidDel="00000000" w:rsidR="00000000" w:rsidRPr="00000000">
        <w:rPr>
          <w:rFonts w:ascii="Times New Roman" w:cs="Times New Roman" w:eastAsia="Times New Roman" w:hAnsi="Times New Roman"/>
          <w:rtl w:val="0"/>
        </w:rPr>
        <w:t xml:space="preserve">a zaistenie ich bezpečného návratu domov, ako aj vrátenie tiel obetí, ktoré zajatie neprežili; pripomína, že únos rukojemníkov je tiež porušením medzinárodného práva a vojnovým zločinom;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vyjadruje hlboké znepokojenie</w:t>
      </w:r>
    </w:p>
    <w:p w:rsidR="00000000" w:rsidDel="00000000" w:rsidP="00000000" w:rsidRDefault="00000000" w:rsidRPr="00000000" w14:paraId="00000021">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C1 nad prehlbujúcou sa humanitárnou katastrofou v Gaze, ktorú podľa viacerých medzinárodných organizácií vrátane OSN zhoršuje systematické ničenie infraštruktúry, blokovanie prístupu k humanitárnej pomoci vrátane základných potrieb ako sú potraviny, voda, palivo ako aj k liekom a zdravotníckemu materiálu, ale aj nútené vysídľovanie palestínskeho obyvateľstva; </w:t>
      </w:r>
    </w:p>
    <w:p w:rsidR="00000000" w:rsidDel="00000000" w:rsidP="00000000" w:rsidRDefault="00000000" w:rsidRPr="00000000" w14:paraId="00000022">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C2 nad vážnym rizikom šírenia sa infekčných ochorení ale aj akútne ohrozenie hladom a vyhladovaním, ktorými trpia najmä deti; </w:t>
      </w:r>
    </w:p>
    <w:p w:rsidR="00000000" w:rsidDel="00000000" w:rsidP="00000000" w:rsidRDefault="00000000" w:rsidRPr="00000000" w14:paraId="00000023">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C3 nad de facto úplným zničením zdravotníckych zariadení a opakujúcimi sa útokmi na humanitárnu pomoc a pracovníkov, ktoré takmer úplne znemožnili pomoc zraneným a chorým obyvateľom v núdzi ku základným životným potrebám;</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vyzýva </w:t>
      </w:r>
    </w:p>
    <w:p w:rsidR="00000000" w:rsidDel="00000000" w:rsidP="00000000" w:rsidRDefault="00000000" w:rsidRPr="00000000" w14:paraId="00000025">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 všetky strany konfliktu </w:t>
      </w:r>
      <w:r w:rsidDel="00000000" w:rsidR="00000000" w:rsidRPr="00000000">
        <w:rPr>
          <w:rFonts w:ascii="Times New Roman" w:cs="Times New Roman" w:eastAsia="Times New Roman" w:hAnsi="Times New Roman"/>
          <w:rtl w:val="0"/>
        </w:rPr>
        <w:t xml:space="preserve">na okamžité kroky,</w:t>
      </w:r>
      <w:r w:rsidDel="00000000" w:rsidR="00000000" w:rsidRPr="00000000">
        <w:rPr>
          <w:rFonts w:ascii="Times New Roman" w:cs="Times New Roman" w:eastAsia="Times New Roman" w:hAnsi="Times New Roman"/>
          <w:rtl w:val="0"/>
        </w:rPr>
        <w:t xml:space="preserve"> ktoré zabránia ďalšiemu prehlbovaniu krízy a stratám na nevinných ľudských životoch, medzi ktorými je úplný, rýchly, bezpečný, neobmedzený a nepretržitý prístup humanitárnej a zdravotníckej pomoci do celého pásma Gazy; </w:t>
      </w:r>
    </w:p>
    <w:p w:rsidR="00000000" w:rsidDel="00000000" w:rsidP="00000000" w:rsidRDefault="00000000" w:rsidRPr="00000000" w14:paraId="00000026">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 všetky strany konfliktu, aby dodržiavali medzinárodné právo a vyjadruje podporu </w:t>
      </w:r>
      <w:r w:rsidDel="00000000" w:rsidR="00000000" w:rsidRPr="00000000">
        <w:rPr>
          <w:rFonts w:ascii="Times New Roman" w:cs="Times New Roman" w:eastAsia="Times New Roman" w:hAnsi="Times New Roman"/>
          <w:rtl w:val="0"/>
        </w:rPr>
        <w:t xml:space="preserve">rozhodnutiam Medzinárodného trestného súdu a Medzinárodného súdneho dvora; žiada, aby sa všetky porušenia medzinárodného práva vrátane vojnových zločinov vyšetrili a aby osoby za ne zodpovedné čelili spravodlivosti; zdôrazňuje, že úmyselné útoky na civilistov predstavujú závažné porušenie medzinárodného práva rovnako ako nútený presun obyvateľstva; </w:t>
      </w:r>
    </w:p>
    <w:p w:rsidR="00000000" w:rsidDel="00000000" w:rsidP="00000000" w:rsidRDefault="00000000" w:rsidRPr="00000000" w14:paraId="00000027">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 na zabezpečenie spravodlivosti pre všetky nevinné civilné obete teroristického útoku zo 7. októbra 2023 v Izraeli ako aj izraelskej ofenzívy v pásme Gazy; </w:t>
      </w:r>
    </w:p>
    <w:p w:rsidR="00000000" w:rsidDel="00000000" w:rsidP="00000000" w:rsidRDefault="00000000" w:rsidRPr="00000000" w14:paraId="00000028">
      <w:pPr>
        <w:numPr>
          <w:ilvl w:val="0"/>
          <w:numId w:val="1"/>
        </w:numPr>
        <w:spacing w:before="240" w:line="276" w:lineRule="auto"/>
        <w:ind w:left="720" w:hanging="360"/>
        <w:jc w:val="both"/>
        <w:rPr>
          <w:rFonts w:ascii="Times New Roman" w:cs="Times New Roman" w:eastAsia="Times New Roman" w:hAnsi="Times New Roman"/>
          <w:b w:val="1"/>
          <w:i w:val="0"/>
          <w:smallCaps w:val="0"/>
          <w:strike w:val="0"/>
          <w:sz w:val="24"/>
          <w:szCs w:val="24"/>
          <w:vertAlign w:val="baseline"/>
        </w:rPr>
      </w:pPr>
      <w:r w:rsidDel="00000000" w:rsidR="00000000" w:rsidRPr="00000000">
        <w:rPr>
          <w:rFonts w:ascii="Times New Roman" w:cs="Times New Roman" w:eastAsia="Times New Roman" w:hAnsi="Times New Roman"/>
          <w:b w:val="1"/>
          <w:rtl w:val="0"/>
        </w:rPr>
        <w:t xml:space="preserve">apeluje</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29">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ukončenie okupácie palestínskych území; pripomína, že izraelské osady na Západnom brehu vrátane východného Jeruzalema sú podľa medzinárodného práva nelegálne a dôrazne odsudzuje nárast násilia extrémistických osadníkov páchaného na Palestínčanoch po 7. októbri 2023;</w:t>
      </w:r>
    </w:p>
    <w:p w:rsidR="00000000" w:rsidDel="00000000" w:rsidP="00000000" w:rsidRDefault="00000000" w:rsidRPr="00000000" w14:paraId="0000002A">
      <w:pPr>
        <w:spacing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dôrazne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odsudzuje </w:t>
      </w:r>
    </w:p>
    <w:p w:rsidR="00000000" w:rsidDel="00000000" w:rsidP="00000000" w:rsidRDefault="00000000" w:rsidRPr="00000000" w14:paraId="0000002D">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 </w:t>
      </w:r>
      <w:r w:rsidDel="00000000" w:rsidR="00000000" w:rsidRPr="00000000">
        <w:rPr>
          <w:rFonts w:ascii="Times New Roman" w:cs="Times New Roman" w:eastAsia="Times New Roman" w:hAnsi="Times New Roman"/>
          <w:rtl w:val="0"/>
        </w:rPr>
        <w:t xml:space="preserve">prejavy neznášanlivosti vrátane antisemitizmu a islamofóbie, ktoré nemajú miesto v modernej spoločnosti založenej na vzájomnom rešpekte a tolerancii a vedú k útokom, konfliktom a krviprelievaniu, ktorých obeťami sú nevinní ľudia; </w:t>
      </w:r>
      <w:r w:rsidDel="00000000" w:rsidR="00000000" w:rsidRPr="00000000">
        <w:rPr>
          <w:rtl w:val="0"/>
        </w:rPr>
      </w:r>
    </w:p>
    <w:p w:rsidR="00000000" w:rsidDel="00000000" w:rsidP="00000000" w:rsidRDefault="00000000" w:rsidRPr="00000000" w14:paraId="0000002E">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F2 útoky na židovské komunity a jej príslušníkov, ktoré nedávno </w:t>
      </w:r>
      <w:r w:rsidDel="00000000" w:rsidR="00000000" w:rsidRPr="00000000">
        <w:rPr>
          <w:rFonts w:ascii="Times New Roman" w:cs="Times New Roman" w:eastAsia="Times New Roman" w:hAnsi="Times New Roman"/>
          <w:rtl w:val="0"/>
        </w:rPr>
        <w:t xml:space="preserve">vyústili</w:t>
      </w:r>
      <w:r w:rsidDel="00000000" w:rsidR="00000000" w:rsidRPr="00000000">
        <w:rPr>
          <w:rFonts w:ascii="Times New Roman" w:cs="Times New Roman" w:eastAsia="Times New Roman" w:hAnsi="Times New Roman"/>
          <w:rtl w:val="0"/>
        </w:rPr>
        <w:t xml:space="preserve"> aj do hanebnej vraždy 2 zamestnancov veľvyslanectva Izraela </w:t>
      </w:r>
      <w:r w:rsidDel="00000000" w:rsidR="00000000" w:rsidRPr="00000000">
        <w:rPr>
          <w:rFonts w:ascii="Times New Roman" w:cs="Times New Roman" w:eastAsia="Times New Roman" w:hAnsi="Times New Roman"/>
          <w:rtl w:val="0"/>
        </w:rPr>
        <w:t xml:space="preserve">pred Židovským múzeom vo Washington</w:t>
      </w:r>
      <w:r w:rsidDel="00000000" w:rsidR="00000000" w:rsidRPr="00000000">
        <w:rPr>
          <w:rFonts w:ascii="Times New Roman" w:cs="Times New Roman" w:eastAsia="Times New Roman" w:hAnsi="Times New Roman"/>
          <w:rtl w:val="0"/>
        </w:rPr>
        <w:t xml:space="preserve">e a útoku počas zhromaždenia na podporu prepustenia izraelských rukojemníkov v Colorade;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vyzýva</w:t>
      </w:r>
      <w:r w:rsidDel="00000000" w:rsidR="00000000" w:rsidRPr="00000000">
        <w:rPr>
          <w:rtl w:val="0"/>
        </w:rPr>
      </w:r>
    </w:p>
    <w:p w:rsidR="00000000" w:rsidDel="00000000" w:rsidP="00000000" w:rsidRDefault="00000000" w:rsidRPr="00000000" w14:paraId="00000030">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uzavretie okamžitého prímeria, obnovenie prístupu k humanitárnej pomoci a znovuotvorenie mierových rokovaní; </w:t>
      </w:r>
    </w:p>
    <w:p w:rsidR="00000000" w:rsidDel="00000000" w:rsidP="00000000" w:rsidRDefault="00000000" w:rsidRPr="00000000" w14:paraId="00000031">
      <w:pPr>
        <w:numPr>
          <w:ilvl w:val="0"/>
          <w:numId w:val="1"/>
        </w:numPr>
        <w:spacing w:before="240" w:line="276"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podporuje</w:t>
      </w:r>
    </w:p>
    <w:p w:rsidR="00000000" w:rsidDel="00000000" w:rsidP="00000000" w:rsidRDefault="00000000" w:rsidRPr="00000000" w14:paraId="00000032">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H1 dvojštátne riešenie izraelsko-palestínskeho konfliktu ako jediný spravodlivý a udržateľný rámec pre mierové usporiadanie vzťahov medzi oboma krajinami; dôrazne odmieta rozširovanie osád, kolektívne tresty a plány na trvalé vysídlenie alebo presídlenie palestínskeho obyvateľstva, ktoré sú s týmto cieľom nezlučiteľné; opakuje potrebu pre oba suverénne a demokratické štáty žiť vedľa seba v mieri a v bezpečí;</w:t>
      </w:r>
    </w:p>
    <w:p w:rsidR="00000000" w:rsidDel="00000000" w:rsidP="00000000" w:rsidRDefault="00000000" w:rsidRPr="00000000" w14:paraId="00000033">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 udržateľnú rekonštrukciu Gazy a nutnosť efektívnej a demokratickej správy vecí verejných a bezpečnostných záruk, ktoré zabezpečia podmienky života v bezpečí pre civilné obyvateľstvo na oboch stranách hranice;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vyzýva vládu Slovenskej republiky,</w:t>
      </w:r>
    </w:p>
    <w:p w:rsidR="00000000" w:rsidDel="00000000" w:rsidP="00000000" w:rsidRDefault="00000000" w:rsidRPr="00000000" w14:paraId="00000035">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I1 aby podporila revíziu bilaterálnych dohôd Európskej Únie s Izraelom, predovšetkým Dohody o pridružení medzi EÚ a Izraelom</w:t>
      </w:r>
      <w:r w:rsidDel="00000000" w:rsidR="00000000" w:rsidRPr="00000000">
        <w:rPr>
          <w:rFonts w:ascii="Times New Roman" w:cs="Times New Roman" w:eastAsia="Times New Roman" w:hAnsi="Times New Roman"/>
          <w:rtl w:val="0"/>
        </w:rPr>
        <w:t xml:space="preserve">, ktorá vo svojom článku 2 explicitne definuje rešpektovanie ľudských práv ako podstatnú náležitosť zmluvného vzťahu, pričom pripomína, že EÚ má nielen morálnu ale aj právnu povinnosť konať, nakoľko revízia dohôd obsahujúcich ľudskoprávne klauzuly je nielen možná ale v súlade so záväzkami Únie ako normatívneho aktéra;</w:t>
      </w:r>
    </w:p>
    <w:p w:rsidR="00000000" w:rsidDel="00000000" w:rsidP="00000000" w:rsidRDefault="00000000" w:rsidRPr="00000000" w14:paraId="00000036">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I2 aby spoločne s európskymi partnermi prehodnotila vzťahy s vládou </w:t>
      </w:r>
      <w:r w:rsidDel="00000000" w:rsidR="00000000" w:rsidRPr="00000000">
        <w:rPr>
          <w:rFonts w:ascii="Times New Roman" w:cs="Times New Roman" w:eastAsia="Times New Roman" w:hAnsi="Times New Roman"/>
          <w:rtl w:val="0"/>
        </w:rPr>
        <w:t xml:space="preserve">B. Netanyahu</w:t>
      </w:r>
      <w:r w:rsidDel="00000000" w:rsidR="00000000" w:rsidRPr="00000000">
        <w:rPr>
          <w:rFonts w:ascii="Times New Roman" w:cs="Times New Roman" w:eastAsia="Times New Roman" w:hAnsi="Times New Roman"/>
          <w:rtl w:val="0"/>
        </w:rPr>
        <w:t xml:space="preserve">a a podporila dostupné nástroje diplomatického, politického a ekonomického tlaku, ktoré by viedli k okamžitému prímeriu s cieľom obnoviť dialóg o trvalom riešení;</w:t>
      </w:r>
    </w:p>
    <w:p w:rsidR="00000000" w:rsidDel="00000000" w:rsidP="00000000" w:rsidRDefault="00000000" w:rsidRPr="00000000" w14:paraId="00000037">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I3 aby sa aj naďalej aktívne podieľala a zintenzívnila priamu pomoc palestínskemu obyvateľstvu ako napr. prevoz pacientov z Gazy do EÚ či poskytovanie humanitárnej pomoci;</w:t>
      </w:r>
    </w:p>
    <w:p w:rsidR="00000000" w:rsidDel="00000000" w:rsidP="00000000" w:rsidRDefault="00000000" w:rsidRPr="00000000" w14:paraId="00000038">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I4  aby rešpektovala rozhodnutia medzinárodných </w:t>
      </w:r>
      <w:r w:rsidDel="00000000" w:rsidR="00000000" w:rsidRPr="00000000">
        <w:rPr>
          <w:rFonts w:ascii="Times New Roman" w:cs="Times New Roman" w:eastAsia="Times New Roman" w:hAnsi="Times New Roman"/>
          <w:rtl w:val="0"/>
        </w:rPr>
        <w:t xml:space="preserve">súdov</w:t>
      </w:r>
      <w:r w:rsidDel="00000000" w:rsidR="00000000" w:rsidRPr="00000000">
        <w:rPr>
          <w:rFonts w:ascii="Times New Roman" w:cs="Times New Roman" w:eastAsia="Times New Roman" w:hAnsi="Times New Roman"/>
          <w:rtl w:val="0"/>
        </w:rPr>
        <w:t xml:space="preserve"> a náležite apelovala na dodržiavanie medzinárodného práva, na ktorom je založený medzinárodný poriadok. </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style>
  <w:style w:type="paragraph" w:styleId="Nadpis1">
    <w:name w:val="heading 1"/>
    <w:basedOn w:val="Normlny"/>
    <w:next w:val="Normlny"/>
    <w:uiPriority w:val="9"/>
    <w:qFormat w:val="1"/>
    <w:pPr>
      <w:keepNext w:val="1"/>
      <w:keepLines w:val="1"/>
      <w:spacing w:after="120" w:before="480"/>
      <w:outlineLvl w:val="0"/>
    </w:pPr>
    <w:rPr>
      <w:b w:val="1"/>
      <w:sz w:val="48"/>
      <w:szCs w:val="48"/>
    </w:rPr>
  </w:style>
  <w:style w:type="paragraph" w:styleId="Nadpis2">
    <w:name w:val="heading 2"/>
    <w:basedOn w:val="Normlny"/>
    <w:next w:val="Normlny"/>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y"/>
    <w:next w:val="Normlny"/>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y"/>
    <w:next w:val="Normlny"/>
    <w:uiPriority w:val="9"/>
    <w:semiHidden w:val="1"/>
    <w:unhideWhenUsed w:val="1"/>
    <w:qFormat w:val="1"/>
    <w:pPr>
      <w:keepNext w:val="1"/>
      <w:keepLines w:val="1"/>
      <w:spacing w:after="40" w:before="240"/>
      <w:outlineLvl w:val="3"/>
    </w:pPr>
    <w:rPr>
      <w:b w:val="1"/>
    </w:rPr>
  </w:style>
  <w:style w:type="paragraph" w:styleId="Nadpis5">
    <w:name w:val="heading 5"/>
    <w:basedOn w:val="Normlny"/>
    <w:next w:val="Normlny"/>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y"/>
    <w:next w:val="Normlny"/>
    <w:uiPriority w:val="9"/>
    <w:semiHidden w:val="1"/>
    <w:unhideWhenUsed w:val="1"/>
    <w:qFormat w:val="1"/>
    <w:pPr>
      <w:keepNext w:val="1"/>
      <w:keepLines w:val="1"/>
      <w:spacing w:after="40" w:before="200"/>
      <w:outlineLvl w:val="5"/>
    </w:pPr>
    <w:rPr>
      <w:b w:val="1"/>
      <w:sz w:val="20"/>
      <w:szCs w:val="20"/>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120" w:before="480"/>
    </w:pPr>
    <w:rPr>
      <w:b w:val="1"/>
      <w:sz w:val="72"/>
      <w:szCs w:val="72"/>
    </w:rPr>
  </w:style>
  <w:style w:type="paragraph" w:styleId="Odsekzoznamu">
    <w:name w:val="List Paragraph"/>
    <w:basedOn w:val="Normlny"/>
    <w:uiPriority w:val="34"/>
    <w:qFormat w:val="1"/>
    <w:rsid w:val="00544B9F"/>
    <w:pPr>
      <w:ind w:left="720"/>
      <w:contextualSpacing w:val="1"/>
    </w:pPr>
  </w:style>
  <w:style w:type="character" w:styleId="awspan" w:customStyle="1">
    <w:name w:val="awspan"/>
    <w:basedOn w:val="Predvolenpsmoodseku"/>
    <w:rsid w:val="00AA775C"/>
  </w:style>
  <w:style w:type="paragraph" w:styleId="Podtitul">
    <w:name w:val="Subtitle"/>
    <w:basedOn w:val="Normlny"/>
    <w:next w:val="Normlny"/>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uA22tPsYe+0qE5nKym7PLan/w==">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2025-05-25T19:50:00Z</dcterms:created>
  <dc:creator>Beata Jurik</dc:creator>
</cp:coreProperties>
</file>