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A240" w14:textId="77777777" w:rsidR="00E65EFE" w:rsidRPr="001436ED" w:rsidRDefault="00E65EFE" w:rsidP="00E65EFE">
      <w:pPr>
        <w:pBdr>
          <w:bottom w:val="single" w:sz="12" w:space="1" w:color="00000A"/>
        </w:pBdr>
        <w:jc w:val="center"/>
        <w:rPr>
          <w:rFonts w:ascii="Book Antiqua" w:eastAsiaTheme="majorEastAsia" w:hAnsi="Book Antiqua" w:cs="Times New Roman"/>
          <w:b/>
          <w:bCs/>
          <w:sz w:val="22"/>
          <w:szCs w:val="22"/>
          <w:lang w:eastAsia="sk-SK" w:bidi="ar-SA"/>
        </w:rPr>
      </w:pPr>
      <w:r w:rsidRPr="001436ED">
        <w:rPr>
          <w:rFonts w:ascii="Book Antiqua" w:eastAsiaTheme="majorEastAsia" w:hAnsi="Book Antiqua" w:cs="Times New Roman"/>
          <w:b/>
          <w:bCs/>
          <w:sz w:val="22"/>
          <w:szCs w:val="22"/>
          <w:lang w:eastAsia="sk-SK" w:bidi="ar-SA"/>
        </w:rPr>
        <w:t>N Á R O D N Á   R A D A   S L O V E N S K E J   R E P U B L I K Y</w:t>
      </w:r>
    </w:p>
    <w:p w14:paraId="3D741C56" w14:textId="77777777" w:rsidR="00E65EFE" w:rsidRPr="001436ED" w:rsidRDefault="00E65EFE" w:rsidP="00E65EFE">
      <w:pPr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</w:p>
    <w:p w14:paraId="2A6FD3BB" w14:textId="77777777" w:rsidR="00E65EFE" w:rsidRPr="001436ED" w:rsidRDefault="00E65EFE" w:rsidP="00E65EFE">
      <w:pPr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1436ED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>IX. volebné obdobie</w:t>
      </w:r>
    </w:p>
    <w:p w14:paraId="1F1A782A" w14:textId="77777777" w:rsidR="00E65EFE" w:rsidRPr="001436ED" w:rsidRDefault="00E65EFE" w:rsidP="00E65EFE">
      <w:pPr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1436ED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  <w:r w:rsidRPr="001436ED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  <w:r w:rsidRPr="001436ED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</w:p>
    <w:p w14:paraId="5580A4D2" w14:textId="77777777" w:rsidR="00E65EFE" w:rsidRPr="001436ED" w:rsidRDefault="00E65EFE" w:rsidP="00E65EFE">
      <w:pPr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</w:p>
    <w:p w14:paraId="433FE3A8" w14:textId="77777777" w:rsidR="00E65EFE" w:rsidRPr="001436ED" w:rsidRDefault="00E65EFE" w:rsidP="00E65EFE">
      <w:pPr>
        <w:jc w:val="center"/>
        <w:rPr>
          <w:rFonts w:ascii="Book Antiqua" w:eastAsiaTheme="majorEastAsia" w:hAnsi="Book Antiqua" w:cs="Times New Roman"/>
          <w:b/>
          <w:bCs/>
          <w:kern w:val="0"/>
          <w:sz w:val="22"/>
          <w:szCs w:val="22"/>
          <w:lang w:eastAsia="sk-SK" w:bidi="ar-SA"/>
        </w:rPr>
      </w:pPr>
      <w:r w:rsidRPr="001436ED">
        <w:rPr>
          <w:rFonts w:ascii="Book Antiqua" w:eastAsiaTheme="majorEastAsia" w:hAnsi="Book Antiqua" w:cs="Times New Roman"/>
          <w:b/>
          <w:bCs/>
          <w:kern w:val="0"/>
          <w:sz w:val="22"/>
          <w:szCs w:val="22"/>
          <w:lang w:eastAsia="sk-SK" w:bidi="ar-SA"/>
        </w:rPr>
        <w:t>N á v r h</w:t>
      </w:r>
    </w:p>
    <w:p w14:paraId="050D75EF" w14:textId="77777777" w:rsidR="00E65EFE" w:rsidRPr="001436ED" w:rsidRDefault="00E65EFE" w:rsidP="00E65EFE">
      <w:pPr>
        <w:jc w:val="center"/>
        <w:rPr>
          <w:rFonts w:ascii="Book Antiqua" w:eastAsiaTheme="majorEastAsia" w:hAnsi="Book Antiqua" w:cs="Times New Roman"/>
          <w:b/>
          <w:kern w:val="0"/>
          <w:sz w:val="22"/>
          <w:szCs w:val="22"/>
          <w:lang w:eastAsia="sk-SK" w:bidi="ar-SA"/>
        </w:rPr>
      </w:pPr>
    </w:p>
    <w:p w14:paraId="7071F364" w14:textId="77777777" w:rsidR="00E65EFE" w:rsidRPr="001436ED" w:rsidRDefault="00E65EFE" w:rsidP="00E65EFE">
      <w:pPr>
        <w:spacing w:before="120" w:after="120"/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1436ED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 xml:space="preserve">skupiny poslancov Národnej rady Slovenskej republiky </w:t>
      </w:r>
    </w:p>
    <w:p w14:paraId="5E932B8D" w14:textId="77777777" w:rsidR="00E65EFE" w:rsidRPr="001436ED" w:rsidRDefault="00E65EFE" w:rsidP="00E65EFE">
      <w:pPr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</w:p>
    <w:p w14:paraId="4EFAB389" w14:textId="77777777" w:rsidR="00E65EFE" w:rsidRPr="001436ED" w:rsidRDefault="00E65EFE" w:rsidP="00E65EFE">
      <w:pPr>
        <w:jc w:val="center"/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</w:pPr>
      <w:r w:rsidRPr="001436ED"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  <w:t>n a   p r i j a t i e</w:t>
      </w:r>
    </w:p>
    <w:p w14:paraId="02C67D85" w14:textId="77777777" w:rsidR="00E65EFE" w:rsidRPr="001436ED" w:rsidRDefault="00E65EFE" w:rsidP="00E65EFE">
      <w:pPr>
        <w:jc w:val="center"/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</w:pPr>
    </w:p>
    <w:p w14:paraId="13C9F644" w14:textId="60A2BF9C" w:rsidR="00E65EFE" w:rsidRPr="001436ED" w:rsidRDefault="00E65EFE" w:rsidP="00E65EFE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>uznesenia k</w:t>
      </w:r>
      <w:r w:rsidR="003B2BD4">
        <w:rPr>
          <w:rFonts w:ascii="Book Antiqua" w:hAnsi="Book Antiqua"/>
          <w:b/>
          <w:bCs/>
          <w:sz w:val="22"/>
          <w:szCs w:val="22"/>
        </w:rPr>
        <w:t xml:space="preserve"> alarmujúcemu stavu </w:t>
      </w:r>
      <w:r w:rsidRPr="001436ED">
        <w:rPr>
          <w:rFonts w:ascii="Book Antiqua" w:hAnsi="Book Antiqua"/>
          <w:b/>
          <w:bCs/>
          <w:sz w:val="22"/>
          <w:szCs w:val="22"/>
        </w:rPr>
        <w:t>narastajúcej chudoby na území Slovenskej republiky</w:t>
      </w:r>
    </w:p>
    <w:p w14:paraId="45F942DB" w14:textId="77777777" w:rsidR="00E65EFE" w:rsidRPr="001436ED" w:rsidRDefault="00E65EFE" w:rsidP="00E65EFE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1436ED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__________________________________________________________________________</w:t>
      </w:r>
    </w:p>
    <w:p w14:paraId="0686A63A" w14:textId="77777777" w:rsidR="00E65EFE" w:rsidRPr="001436ED" w:rsidRDefault="00E65EFE" w:rsidP="00E65EFE">
      <w:pPr>
        <w:tabs>
          <w:tab w:val="left" w:pos="-1980"/>
        </w:tabs>
        <w:jc w:val="both"/>
        <w:rPr>
          <w:rFonts w:ascii="Book Antiqua" w:eastAsia="Times New Roman" w:hAnsi="Book Antiqua" w:cs="Times New Roman"/>
          <w:kern w:val="0"/>
          <w:sz w:val="22"/>
          <w:szCs w:val="22"/>
          <w:u w:val="single"/>
          <w:lang w:eastAsia="sk-SK" w:bidi="ar-SA"/>
        </w:rPr>
      </w:pPr>
    </w:p>
    <w:p w14:paraId="022013DE" w14:textId="77777777" w:rsidR="00D96C64" w:rsidRPr="00812A13" w:rsidRDefault="00D96C64" w:rsidP="00D96C64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D96C64" w:rsidRPr="00812A13" w14:paraId="466DAF19" w14:textId="77777777" w:rsidTr="00045D9B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6D90F" w14:textId="77777777" w:rsidR="00D96C64" w:rsidRPr="00812A13" w:rsidRDefault="00D96C64" w:rsidP="00045D9B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1CAC6" w14:textId="77777777" w:rsidR="00D96C64" w:rsidRPr="00812A13" w:rsidRDefault="00D96C64" w:rsidP="00045D9B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CF2DC" w14:textId="77777777" w:rsidR="00D96C64" w:rsidRPr="00812A13" w:rsidRDefault="00D96C64" w:rsidP="00045D9B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D96C64" w:rsidRPr="00812A13" w14:paraId="4883300B" w14:textId="77777777" w:rsidTr="00045D9B">
        <w:trPr>
          <w:trHeight w:val="7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32F5D" w14:textId="77777777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E9D0875" w14:textId="198B2F43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Peter Pollák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295A4C25" w14:textId="77777777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8330440" w14:textId="08370935" w:rsidR="00554434" w:rsidRPr="00812A13" w:rsidRDefault="00D96C64" w:rsidP="00554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Lukáš Bužo 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7CDDD157" w14:textId="4268F6B1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4B4F42F" w14:textId="2596E847" w:rsidR="00D96C64" w:rsidRPr="00812A13" w:rsidRDefault="00D96C64" w:rsidP="00554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Gábor Grendel 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0D089967" w14:textId="77777777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088A510D" w14:textId="3A103AA5" w:rsidR="00D96C64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Július Jakab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2007E4B2" w14:textId="77777777" w:rsidR="00D96C64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1DF1AE3B" w14:textId="645DADE0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Marek Krajčí 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5BB5CE8B" w14:textId="77777777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8C1A4C7" w14:textId="646928B4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Rastislav Krátky 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04DA914" w14:textId="64B30918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7E5C39AE" w14:textId="6CCB4D97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Roman Mikulec 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102CEE0A" w14:textId="77777777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6B4A6DD" w14:textId="366FF025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Jozef Pročko 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0AF50324" w14:textId="4370D095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7486455B" w14:textId="37AA6096" w:rsidR="00D96C64" w:rsidRPr="00812A13" w:rsidRDefault="00D96C64" w:rsidP="00045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Michal Šipoš 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5E1FA69F" w14:textId="1CA9EA69" w:rsidR="00D96C64" w:rsidRPr="00812A13" w:rsidRDefault="00D96C64" w:rsidP="00045D9B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br/>
              <w:t>Anežka Škopová</w:t>
            </w:r>
            <w:r w:rsidR="00554434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8179F" w14:textId="77777777" w:rsidR="00D96C64" w:rsidRPr="00812A13" w:rsidRDefault="00D96C64" w:rsidP="00045D9B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F2441" w14:textId="77777777" w:rsidR="00D96C64" w:rsidRPr="00812A13" w:rsidRDefault="00D96C64" w:rsidP="00045D9B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3EDE7DE5" w14:textId="77777777" w:rsidR="00D96C64" w:rsidRPr="00812A13" w:rsidRDefault="00D96C64" w:rsidP="00045D9B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7890A171" w14:textId="77777777" w:rsidR="00D96C64" w:rsidRPr="00812A13" w:rsidRDefault="00D96C64" w:rsidP="00045D9B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5F8E516D" w14:textId="77777777" w:rsidR="00D96C64" w:rsidRPr="00812A13" w:rsidRDefault="00D96C64" w:rsidP="00045D9B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1D6B9A8" w14:textId="77777777" w:rsidR="00D96C64" w:rsidRPr="00812A13" w:rsidRDefault="00D96C64" w:rsidP="00045D9B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559D53EC" w14:textId="77777777" w:rsidR="00D96C64" w:rsidRPr="00812A13" w:rsidRDefault="00D96C64" w:rsidP="00045D9B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bookmarkStart w:id="0" w:name="__DdeLink__1042_3691294648"/>
            <w:bookmarkEnd w:id="0"/>
          </w:p>
          <w:p w14:paraId="0FA9622C" w14:textId="77777777" w:rsidR="00D96C64" w:rsidRPr="00812A13" w:rsidRDefault="00D96C64" w:rsidP="00045D9B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12A13">
              <w:rPr>
                <w:rStyle w:val="awspan"/>
                <w:rFonts w:ascii="Book Antiqua" w:eastAsia="Times New Roman" w:hAnsi="Book Antiqua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7027F8DD" w14:textId="77777777" w:rsidR="00D96C64" w:rsidRPr="00812A13" w:rsidRDefault="00D96C64" w:rsidP="00045D9B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6BD6F647" w14:textId="59FECF6D" w:rsidR="00D96C64" w:rsidRDefault="00D96C64" w:rsidP="00D96C6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1F6866A3" w14:textId="03362D1F" w:rsidR="00D14F06" w:rsidRDefault="00D14F06" w:rsidP="00D96C6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06DB0B0" w14:textId="1B203326" w:rsidR="00D14F06" w:rsidRDefault="00D14F06" w:rsidP="00D96C6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3D56EFCD" w14:textId="4B3A71C0" w:rsidR="00D14F06" w:rsidRDefault="00D14F06" w:rsidP="00D96C6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1C2AAA45" w14:textId="77777777" w:rsidR="00D14F06" w:rsidRPr="00812A13" w:rsidRDefault="00D14F06" w:rsidP="00D96C6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bookmarkStart w:id="1" w:name="_GoBack"/>
      <w:bookmarkEnd w:id="1"/>
    </w:p>
    <w:p w14:paraId="30B2EB4B" w14:textId="77777777" w:rsidR="00D96C64" w:rsidRPr="00812A13" w:rsidRDefault="00D96C64" w:rsidP="00D96C6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416C202" w14:textId="6B686BA4" w:rsidR="00E65EFE" w:rsidRPr="003A0CD2" w:rsidRDefault="00D96C64" w:rsidP="003A0CD2">
      <w:pPr>
        <w:jc w:val="center"/>
        <w:rPr>
          <w:rFonts w:ascii="Book Antiqua" w:hAnsi="Book Antiqua"/>
          <w:sz w:val="22"/>
          <w:szCs w:val="22"/>
        </w:rPr>
      </w:pPr>
      <w:r w:rsidRPr="00812A13">
        <w:rPr>
          <w:rFonts w:ascii="Book Antiqua" w:hAnsi="Book Antiqua"/>
          <w:sz w:val="22"/>
          <w:szCs w:val="22"/>
        </w:rPr>
        <w:t>Bratislava máj 2025</w:t>
      </w:r>
      <w:r w:rsidRPr="00812A13">
        <w:rPr>
          <w:rFonts w:ascii="Book Antiqua" w:hAnsi="Book Antiqua"/>
          <w:sz w:val="22"/>
          <w:szCs w:val="22"/>
        </w:rPr>
        <w:br w:type="page"/>
      </w:r>
    </w:p>
    <w:p w14:paraId="6DCC2D70" w14:textId="77777777" w:rsidR="00E65EFE" w:rsidRPr="001436ED" w:rsidRDefault="00E65EFE" w:rsidP="00B04673">
      <w:pPr>
        <w:widowControl w:val="0"/>
        <w:pBdr>
          <w:bottom w:val="single" w:sz="12" w:space="1" w:color="000000"/>
        </w:pBd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4C91F39A" w14:textId="1FED4DBE" w:rsidR="00562D65" w:rsidRPr="001436ED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>NÁRODNÁ RADA SLOVENSKEJ REPUBLIKY</w:t>
      </w:r>
      <w:bookmarkStart w:id="2" w:name="_Hlk89090507"/>
      <w:bookmarkEnd w:id="2"/>
    </w:p>
    <w:p w14:paraId="163B481E" w14:textId="77777777" w:rsidR="00562D65" w:rsidRPr="001436ED" w:rsidRDefault="00562D65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B4A7352" w14:textId="77777777" w:rsidR="00562D65" w:rsidRPr="001436ED" w:rsidRDefault="001718E7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72371B7B" w14:textId="77777777" w:rsidR="00562D65" w:rsidRPr="001436ED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Pr="001436ED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Pr="001436ED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Pr="001436ED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Pr="001436ED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Pr="001436ED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3C0888A" w14:textId="5B955749" w:rsidR="00562D65" w:rsidRPr="001436ED" w:rsidRDefault="001718E7" w:rsidP="00AC1AFE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Cs/>
          <w:sz w:val="22"/>
          <w:szCs w:val="22"/>
        </w:rPr>
        <w:t>z ... 202</w:t>
      </w:r>
      <w:r w:rsidR="00132B8B" w:rsidRPr="001436ED">
        <w:rPr>
          <w:rFonts w:ascii="Book Antiqua" w:hAnsi="Book Antiqua"/>
          <w:bCs/>
          <w:sz w:val="22"/>
          <w:szCs w:val="22"/>
        </w:rPr>
        <w:t>5</w:t>
      </w:r>
      <w:r w:rsidRPr="001436ED">
        <w:rPr>
          <w:rFonts w:ascii="Book Antiqua" w:hAnsi="Book Antiqua"/>
          <w:bCs/>
          <w:sz w:val="22"/>
          <w:szCs w:val="22"/>
        </w:rPr>
        <w:t>,</w:t>
      </w:r>
    </w:p>
    <w:p w14:paraId="60AA9102" w14:textId="7CC5D5DE" w:rsidR="003B2BD4" w:rsidRPr="001436ED" w:rsidRDefault="003B2BD4" w:rsidP="003B2BD4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>k</w:t>
      </w:r>
      <w:r>
        <w:rPr>
          <w:rFonts w:ascii="Book Antiqua" w:hAnsi="Book Antiqua"/>
          <w:b/>
          <w:bCs/>
          <w:sz w:val="22"/>
          <w:szCs w:val="22"/>
        </w:rPr>
        <w:t xml:space="preserve"> alarmujúcemu stavu </w:t>
      </w:r>
      <w:r w:rsidRPr="001436ED">
        <w:rPr>
          <w:rFonts w:ascii="Book Antiqua" w:hAnsi="Book Antiqua"/>
          <w:b/>
          <w:bCs/>
          <w:sz w:val="22"/>
          <w:szCs w:val="22"/>
        </w:rPr>
        <w:t>narastajúcej chudoby na území Slovenskej republiky</w:t>
      </w:r>
    </w:p>
    <w:p w14:paraId="10C6831A" w14:textId="77777777" w:rsidR="00AC1AFE" w:rsidRPr="001436ED" w:rsidRDefault="00AC1AFE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2C049015" w14:textId="77777777" w:rsidR="00562D65" w:rsidRPr="001436ED" w:rsidRDefault="001718E7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 w:cs="Times New Roman"/>
          <w:b/>
          <w:bCs/>
          <w:sz w:val="22"/>
          <w:szCs w:val="22"/>
        </w:rPr>
        <w:t>Národná rada Slovenskej republiky:</w:t>
      </w:r>
    </w:p>
    <w:p w14:paraId="4F034B45" w14:textId="02812747" w:rsidR="00C50FBB" w:rsidRPr="001436ED" w:rsidRDefault="00140ADA" w:rsidP="00C50FBB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436ED">
        <w:rPr>
          <w:rFonts w:ascii="Book Antiqua" w:hAnsi="Book Antiqua"/>
          <w:b/>
          <w:sz w:val="22"/>
          <w:szCs w:val="22"/>
        </w:rPr>
        <w:t>so zreteľom</w:t>
      </w:r>
      <w:r w:rsidR="003B2BD4">
        <w:rPr>
          <w:rFonts w:ascii="Book Antiqua" w:hAnsi="Book Antiqua"/>
          <w:b/>
          <w:sz w:val="22"/>
          <w:szCs w:val="22"/>
        </w:rPr>
        <w:t xml:space="preserve"> na</w:t>
      </w:r>
    </w:p>
    <w:p w14:paraId="6CD09A2F" w14:textId="6E0DE1F3" w:rsidR="00140ADA" w:rsidRPr="001436ED" w:rsidRDefault="00140ADA" w:rsidP="003B2BD4">
      <w:pPr>
        <w:numPr>
          <w:ilvl w:val="0"/>
          <w:numId w:val="6"/>
        </w:numPr>
        <w:spacing w:after="160" w:line="278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alarmujúci nárast miery chudoby a sociálneho vylúčenia </w:t>
      </w:r>
      <w:r w:rsidR="003B2BD4">
        <w:rPr>
          <w:rFonts w:ascii="Book Antiqua" w:hAnsi="Book Antiqua"/>
          <w:sz w:val="22"/>
          <w:szCs w:val="22"/>
        </w:rPr>
        <w:t>v </w:t>
      </w:r>
      <w:r w:rsidRPr="001436ED">
        <w:rPr>
          <w:rFonts w:ascii="Book Antiqua" w:hAnsi="Book Antiqua"/>
          <w:sz w:val="22"/>
          <w:szCs w:val="22"/>
        </w:rPr>
        <w:t>Slovensk</w:t>
      </w:r>
      <w:r w:rsidR="003B2BD4">
        <w:rPr>
          <w:rFonts w:ascii="Book Antiqua" w:hAnsi="Book Antiqua"/>
          <w:sz w:val="22"/>
          <w:szCs w:val="22"/>
        </w:rPr>
        <w:t>ej republike</w:t>
      </w:r>
      <w:r w:rsidRPr="001436ED">
        <w:rPr>
          <w:rFonts w:ascii="Book Antiqua" w:hAnsi="Book Antiqua"/>
          <w:sz w:val="22"/>
          <w:szCs w:val="22"/>
        </w:rPr>
        <w:t>,</w:t>
      </w:r>
    </w:p>
    <w:p w14:paraId="19B7FBB5" w14:textId="77777777" w:rsidR="00140ADA" w:rsidRPr="001436ED" w:rsidRDefault="00140ADA" w:rsidP="003B2BD4">
      <w:pPr>
        <w:numPr>
          <w:ilvl w:val="0"/>
          <w:numId w:val="6"/>
        </w:numPr>
        <w:spacing w:after="160" w:line="278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>narastajúci počet detí, rodín, seniorov a pracujúcich, ktorí nie sú schopní zabezpečiť si základné životné potreby,</w:t>
      </w:r>
    </w:p>
    <w:p w14:paraId="4240012E" w14:textId="3C8046E6" w:rsidR="00140ADA" w:rsidRPr="001436ED" w:rsidRDefault="00140ADA" w:rsidP="003B2BD4">
      <w:pPr>
        <w:numPr>
          <w:ilvl w:val="0"/>
          <w:numId w:val="6"/>
        </w:numPr>
        <w:spacing w:after="160" w:line="278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potrebu okamžitého a koordinovaného zásahu </w:t>
      </w:r>
      <w:r w:rsidR="003B2BD4">
        <w:rPr>
          <w:rFonts w:ascii="Book Antiqua" w:hAnsi="Book Antiqua"/>
          <w:sz w:val="22"/>
          <w:szCs w:val="22"/>
        </w:rPr>
        <w:t>vlády Slovenskej republiky</w:t>
      </w:r>
      <w:r w:rsidRPr="001436ED">
        <w:rPr>
          <w:rFonts w:ascii="Book Antiqua" w:hAnsi="Book Antiqua"/>
          <w:sz w:val="22"/>
          <w:szCs w:val="22"/>
        </w:rPr>
        <w:t xml:space="preserve"> v prospech najohrozenejších skupín obyvateľstva,</w:t>
      </w:r>
    </w:p>
    <w:p w14:paraId="0B97F04C" w14:textId="2C7A24EB" w:rsidR="00AC1AFE" w:rsidRPr="001436ED" w:rsidRDefault="00AC1AFE" w:rsidP="00C50FBB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14:paraId="0CFB880B" w14:textId="77777777" w:rsidR="00140ADA" w:rsidRPr="001436ED" w:rsidRDefault="00C50FBB" w:rsidP="00140ADA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436ED">
        <w:rPr>
          <w:rFonts w:ascii="Book Antiqua" w:hAnsi="Book Antiqua"/>
          <w:b/>
          <w:sz w:val="22"/>
          <w:szCs w:val="22"/>
        </w:rPr>
        <w:t>konštatuje,</w:t>
      </w:r>
      <w:r w:rsidR="00140ADA" w:rsidRPr="001436ED">
        <w:rPr>
          <w:rFonts w:ascii="Book Antiqua" w:hAnsi="Book Antiqua"/>
          <w:b/>
          <w:sz w:val="22"/>
          <w:szCs w:val="22"/>
        </w:rPr>
        <w:t xml:space="preserve"> že</w:t>
      </w:r>
    </w:p>
    <w:p w14:paraId="38DE2A66" w14:textId="12042AC3" w:rsidR="00140ADA" w:rsidRPr="001436ED" w:rsidRDefault="00B04673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</w:t>
      </w:r>
      <w:r w:rsidR="00140ADA" w:rsidRPr="001436ED">
        <w:rPr>
          <w:rFonts w:ascii="Book Antiqua" w:hAnsi="Book Antiqua"/>
          <w:sz w:val="22"/>
          <w:szCs w:val="22"/>
        </w:rPr>
        <w:t>iera chudoby na Slovensku dosiahla úroveň, ktorá ohrozuje základné princípy sociálnej spravodlivosti</w:t>
      </w:r>
      <w:r>
        <w:rPr>
          <w:rFonts w:ascii="Book Antiqua" w:hAnsi="Book Antiqua"/>
          <w:sz w:val="22"/>
          <w:szCs w:val="22"/>
        </w:rPr>
        <w:t>,</w:t>
      </w:r>
      <w:r w:rsidR="00140ADA" w:rsidRPr="001436ED">
        <w:rPr>
          <w:rFonts w:ascii="Book Antiqua" w:hAnsi="Book Antiqua"/>
          <w:sz w:val="22"/>
          <w:szCs w:val="22"/>
        </w:rPr>
        <w:t xml:space="preserve"> </w:t>
      </w:r>
    </w:p>
    <w:p w14:paraId="4F3E01E4" w14:textId="2D092A2A" w:rsidR="00140ADA" w:rsidRPr="001436ED" w:rsidRDefault="00B04673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140ADA" w:rsidRPr="001436ED">
        <w:rPr>
          <w:rFonts w:ascii="Book Antiqua" w:hAnsi="Book Antiqua"/>
          <w:sz w:val="22"/>
          <w:szCs w:val="22"/>
        </w:rPr>
        <w:t>vyšujúce sa ceny potravín, služieb č</w:t>
      </w:r>
      <w:r w:rsidR="003B2BD4">
        <w:rPr>
          <w:rFonts w:ascii="Book Antiqua" w:hAnsi="Book Antiqua"/>
          <w:sz w:val="22"/>
          <w:szCs w:val="22"/>
        </w:rPr>
        <w:t>i</w:t>
      </w:r>
      <w:r w:rsidR="00140ADA" w:rsidRPr="001436ED">
        <w:rPr>
          <w:rFonts w:ascii="Book Antiqua" w:hAnsi="Book Antiqua"/>
          <w:sz w:val="22"/>
          <w:szCs w:val="22"/>
        </w:rPr>
        <w:t xml:space="preserve"> bývania zhoršujú sociálnu situáciu </w:t>
      </w:r>
      <w:r w:rsidR="003B2BD4">
        <w:rPr>
          <w:rFonts w:ascii="Book Antiqua" w:hAnsi="Book Antiqua"/>
          <w:sz w:val="22"/>
          <w:szCs w:val="22"/>
        </w:rPr>
        <w:t>najohrozenejších</w:t>
      </w:r>
      <w:r w:rsidR="00140ADA" w:rsidRPr="001436ED">
        <w:rPr>
          <w:rFonts w:ascii="Book Antiqua" w:hAnsi="Book Antiqua"/>
          <w:sz w:val="22"/>
          <w:szCs w:val="22"/>
        </w:rPr>
        <w:t xml:space="preserve"> skupín obyvateľstva</w:t>
      </w:r>
      <w:r>
        <w:rPr>
          <w:rFonts w:ascii="Book Antiqua" w:hAnsi="Book Antiqua"/>
          <w:sz w:val="22"/>
          <w:szCs w:val="22"/>
        </w:rPr>
        <w:t xml:space="preserve">, </w:t>
      </w:r>
    </w:p>
    <w:p w14:paraId="375C8857" w14:textId="4A469047" w:rsidR="00140ADA" w:rsidRPr="001436ED" w:rsidRDefault="00B04673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</w:t>
      </w:r>
      <w:r w:rsidR="00140ADA" w:rsidRPr="001436ED">
        <w:rPr>
          <w:rFonts w:ascii="Book Antiqua" w:hAnsi="Book Antiqua"/>
          <w:sz w:val="22"/>
          <w:szCs w:val="22"/>
        </w:rPr>
        <w:t>patrenia</w:t>
      </w:r>
      <w:r>
        <w:rPr>
          <w:rFonts w:ascii="Book Antiqua" w:hAnsi="Book Antiqua"/>
          <w:sz w:val="22"/>
          <w:szCs w:val="22"/>
        </w:rPr>
        <w:t xml:space="preserve"> prijaté</w:t>
      </w:r>
      <w:r w:rsidR="00140ADA" w:rsidRPr="001436ED">
        <w:rPr>
          <w:rFonts w:ascii="Book Antiqua" w:hAnsi="Book Antiqua"/>
          <w:sz w:val="22"/>
          <w:szCs w:val="22"/>
        </w:rPr>
        <w:t xml:space="preserve"> počas vlády Roberta Fica nedokázali adekvátne reagovať na zhoršujúcu sa situáciu najzraniteľnejších skupín obyvateľstva</w:t>
      </w:r>
      <w:r w:rsidR="003B2BD4">
        <w:rPr>
          <w:rFonts w:ascii="Book Antiqua" w:hAnsi="Book Antiqua"/>
          <w:sz w:val="22"/>
          <w:szCs w:val="22"/>
        </w:rPr>
        <w:t xml:space="preserve"> a ukázali sa absolútne neefektívne a nedostatočné</w:t>
      </w:r>
      <w:r>
        <w:rPr>
          <w:rFonts w:ascii="Book Antiqua" w:hAnsi="Book Antiqua"/>
          <w:sz w:val="22"/>
          <w:szCs w:val="22"/>
        </w:rPr>
        <w:t xml:space="preserve">, </w:t>
      </w:r>
    </w:p>
    <w:p w14:paraId="1F08ABBB" w14:textId="01BA5A03" w:rsidR="00140ADA" w:rsidRPr="001436ED" w:rsidRDefault="00B04673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opatrenia vlády</w:t>
      </w:r>
      <w:r w:rsidR="00140ADA" w:rsidRPr="001436ED">
        <w:rPr>
          <w:rFonts w:ascii="Book Antiqua" w:hAnsi="Book Antiqua"/>
          <w:sz w:val="22"/>
          <w:szCs w:val="22"/>
        </w:rPr>
        <w:t xml:space="preserve"> ako zavedenie transakčnej dane, zvýšenie DPH, zvýšenie odvodov</w:t>
      </w:r>
      <w:r w:rsidR="003B2BD4">
        <w:rPr>
          <w:rFonts w:ascii="Book Antiqua" w:hAnsi="Book Antiqua"/>
          <w:sz w:val="22"/>
          <w:szCs w:val="22"/>
        </w:rPr>
        <w:t xml:space="preserve">, zníženie daňového bonusu, zrušenie rodičovského dôchodku </w:t>
      </w:r>
      <w:r w:rsidR="00140ADA" w:rsidRPr="001436ED">
        <w:rPr>
          <w:rFonts w:ascii="Book Antiqua" w:hAnsi="Book Antiqua"/>
          <w:sz w:val="22"/>
          <w:szCs w:val="22"/>
        </w:rPr>
        <w:t xml:space="preserve">či obmedzenie </w:t>
      </w:r>
      <w:r w:rsidR="00CB7A3F">
        <w:rPr>
          <w:rFonts w:ascii="Book Antiqua" w:hAnsi="Book Antiqua"/>
          <w:sz w:val="22"/>
          <w:szCs w:val="22"/>
        </w:rPr>
        <w:t xml:space="preserve">ďalších </w:t>
      </w:r>
      <w:r w:rsidR="00140ADA" w:rsidRPr="001436ED">
        <w:rPr>
          <w:rFonts w:ascii="Book Antiqua" w:hAnsi="Book Antiqua"/>
          <w:sz w:val="22"/>
          <w:szCs w:val="22"/>
        </w:rPr>
        <w:t>sociálnych opatrení zhoršujú situáciu najzraniteľnejších skupín obyvateľstva</w:t>
      </w:r>
      <w:r>
        <w:rPr>
          <w:rFonts w:ascii="Book Antiqua" w:hAnsi="Book Antiqua"/>
          <w:sz w:val="22"/>
          <w:szCs w:val="22"/>
        </w:rPr>
        <w:t xml:space="preserve">, </w:t>
      </w:r>
    </w:p>
    <w:p w14:paraId="51E865C7" w14:textId="77777777" w:rsidR="00AC1AFE" w:rsidRPr="001436ED" w:rsidRDefault="00AC1AFE" w:rsidP="00A84B64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14:paraId="21D1CAFE" w14:textId="276F645D" w:rsidR="00140ADA" w:rsidRPr="001436ED" w:rsidRDefault="00B04673" w:rsidP="00140ADA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ž</w:t>
      </w:r>
      <w:r w:rsidR="00A84B64" w:rsidRPr="001436ED">
        <w:rPr>
          <w:rFonts w:ascii="Book Antiqua" w:hAnsi="Book Antiqua"/>
          <w:b/>
          <w:sz w:val="22"/>
          <w:szCs w:val="22"/>
        </w:rPr>
        <w:t>iada</w:t>
      </w:r>
      <w:r w:rsidR="00140ADA" w:rsidRPr="001436ED">
        <w:rPr>
          <w:rFonts w:ascii="Book Antiqua" w:hAnsi="Book Antiqua"/>
          <w:b/>
          <w:sz w:val="22"/>
          <w:szCs w:val="22"/>
        </w:rPr>
        <w:t xml:space="preserve"> vládu Slovenskej republiky, aby</w:t>
      </w:r>
    </w:p>
    <w:p w14:paraId="78E29DC0" w14:textId="2D7E360B" w:rsidR="00CB7A3F" w:rsidRPr="005A2CB3" w:rsidRDefault="00CB7A3F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5A2CB3">
        <w:rPr>
          <w:rFonts w:ascii="Book Antiqua" w:hAnsi="Book Antiqua"/>
          <w:bCs/>
          <w:sz w:val="22"/>
          <w:szCs w:val="22"/>
        </w:rPr>
        <w:lastRenderedPageBreak/>
        <w:t xml:space="preserve">neznižovala </w:t>
      </w:r>
      <w:r w:rsidR="005A2CB3" w:rsidRPr="005A2CB3">
        <w:rPr>
          <w:rFonts w:ascii="Book Antiqua" w:hAnsi="Book Antiqua"/>
          <w:bCs/>
          <w:sz w:val="22"/>
          <w:szCs w:val="22"/>
        </w:rPr>
        <w:t xml:space="preserve">súčasne dosiahnutý sociálny štandard jednotlivých skupín obyvateľstva, </w:t>
      </w:r>
    </w:p>
    <w:p w14:paraId="10EE4509" w14:textId="651BDC63" w:rsidR="00140ADA" w:rsidRPr="001436ED" w:rsidRDefault="00B04673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B04673">
        <w:rPr>
          <w:rFonts w:ascii="Book Antiqua" w:hAnsi="Book Antiqua"/>
          <w:sz w:val="22"/>
          <w:szCs w:val="22"/>
        </w:rPr>
        <w:t>d</w:t>
      </w:r>
      <w:r w:rsidR="00140ADA" w:rsidRPr="00B04673">
        <w:rPr>
          <w:rFonts w:ascii="Book Antiqua" w:hAnsi="Book Antiqua"/>
          <w:sz w:val="22"/>
          <w:szCs w:val="22"/>
        </w:rPr>
        <w:t xml:space="preserve">o 30 dní predložila Národnej rade SR plán, </w:t>
      </w:r>
      <w:r>
        <w:rPr>
          <w:rFonts w:ascii="Book Antiqua" w:hAnsi="Book Antiqua"/>
          <w:sz w:val="22"/>
          <w:szCs w:val="22"/>
        </w:rPr>
        <w:t xml:space="preserve">konkrétne </w:t>
      </w:r>
      <w:r w:rsidR="00140ADA" w:rsidRPr="00B04673">
        <w:rPr>
          <w:rFonts w:ascii="Book Antiqua" w:hAnsi="Book Antiqua"/>
          <w:sz w:val="22"/>
          <w:szCs w:val="22"/>
        </w:rPr>
        <w:t>opatrenia</w:t>
      </w:r>
      <w:r w:rsidR="00140ADA" w:rsidRPr="001436ED">
        <w:rPr>
          <w:rFonts w:ascii="Book Antiqua" w:hAnsi="Book Antiqua"/>
          <w:sz w:val="22"/>
          <w:szCs w:val="22"/>
        </w:rPr>
        <w:t xml:space="preserve"> a legislatívne návrhy na okamžité riešenie chudoby</w:t>
      </w:r>
      <w:r>
        <w:rPr>
          <w:rFonts w:ascii="Book Antiqua" w:hAnsi="Book Antiqua"/>
          <w:sz w:val="22"/>
          <w:szCs w:val="22"/>
        </w:rPr>
        <w:t xml:space="preserve">, </w:t>
      </w:r>
    </w:p>
    <w:p w14:paraId="67DBD470" w14:textId="60670645" w:rsidR="00140ADA" w:rsidRPr="00B04673" w:rsidRDefault="00B04673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sz w:val="22"/>
          <w:szCs w:val="22"/>
        </w:rPr>
      </w:pPr>
      <w:r w:rsidRPr="00B04673">
        <w:rPr>
          <w:rFonts w:ascii="Book Antiqua" w:hAnsi="Book Antiqua"/>
          <w:sz w:val="22"/>
          <w:szCs w:val="22"/>
        </w:rPr>
        <w:t>o</w:t>
      </w:r>
      <w:r w:rsidR="00140ADA" w:rsidRPr="00B04673">
        <w:rPr>
          <w:rFonts w:ascii="Book Antiqua" w:hAnsi="Book Antiqua"/>
          <w:sz w:val="22"/>
          <w:szCs w:val="22"/>
        </w:rPr>
        <w:t xml:space="preserve">kamžite zriadila </w:t>
      </w:r>
      <w:r w:rsidR="003A0CD2">
        <w:rPr>
          <w:rFonts w:ascii="Book Antiqua" w:hAnsi="Book Antiqua"/>
          <w:sz w:val="22"/>
          <w:szCs w:val="22"/>
        </w:rPr>
        <w:t>m</w:t>
      </w:r>
      <w:r w:rsidR="00140ADA" w:rsidRPr="00B04673">
        <w:rPr>
          <w:rFonts w:ascii="Book Antiqua" w:hAnsi="Book Antiqua"/>
          <w:sz w:val="22"/>
          <w:szCs w:val="22"/>
        </w:rPr>
        <w:t>edzirezortnú pracovnú skupinu pre boj proti chudobe,</w:t>
      </w:r>
      <w:r w:rsidR="00140ADA" w:rsidRPr="001436ED">
        <w:rPr>
          <w:rFonts w:ascii="Book Antiqua" w:hAnsi="Book Antiqua"/>
          <w:sz w:val="22"/>
          <w:szCs w:val="22"/>
        </w:rPr>
        <w:t xml:space="preserve"> zloženú zo zástupcov ministerstiev, miest</w:t>
      </w:r>
      <w:r>
        <w:rPr>
          <w:rFonts w:ascii="Book Antiqua" w:hAnsi="Book Antiqua"/>
          <w:sz w:val="22"/>
          <w:szCs w:val="22"/>
        </w:rPr>
        <w:t xml:space="preserve">, </w:t>
      </w:r>
      <w:r w:rsidR="00140ADA" w:rsidRPr="001436ED">
        <w:rPr>
          <w:rFonts w:ascii="Book Antiqua" w:hAnsi="Book Antiqua"/>
          <w:sz w:val="22"/>
          <w:szCs w:val="22"/>
        </w:rPr>
        <w:t>obcí, samosprávnych krajov, mimovládnych organizácií</w:t>
      </w:r>
      <w:r w:rsidR="003A0CD2">
        <w:rPr>
          <w:rFonts w:ascii="Book Antiqua" w:hAnsi="Book Antiqua"/>
          <w:sz w:val="22"/>
          <w:szCs w:val="22"/>
        </w:rPr>
        <w:t xml:space="preserve">, </w:t>
      </w:r>
      <w:r w:rsidR="00140ADA" w:rsidRPr="00B04673">
        <w:rPr>
          <w:rFonts w:ascii="Book Antiqua" w:hAnsi="Book Antiqua"/>
          <w:sz w:val="22"/>
          <w:szCs w:val="22"/>
        </w:rPr>
        <w:t>odborníkov</w:t>
      </w:r>
      <w:r w:rsidR="003A0CD2">
        <w:rPr>
          <w:rFonts w:ascii="Book Antiqua" w:hAnsi="Book Antiqua"/>
          <w:sz w:val="22"/>
          <w:szCs w:val="22"/>
        </w:rPr>
        <w:t xml:space="preserve"> a zástupcov koaličných a opozičných strán, </w:t>
      </w:r>
    </w:p>
    <w:p w14:paraId="29364BD8" w14:textId="59297AEE" w:rsidR="00140ADA" w:rsidRPr="001436ED" w:rsidRDefault="00B04673" w:rsidP="00140ADA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B04673">
        <w:rPr>
          <w:rFonts w:ascii="Book Antiqua" w:hAnsi="Book Antiqua"/>
          <w:sz w:val="22"/>
          <w:szCs w:val="22"/>
        </w:rPr>
        <w:t>z</w:t>
      </w:r>
      <w:r w:rsidR="00140ADA" w:rsidRPr="00B04673">
        <w:rPr>
          <w:rFonts w:ascii="Book Antiqua" w:hAnsi="Book Antiqua"/>
          <w:sz w:val="22"/>
          <w:szCs w:val="22"/>
        </w:rPr>
        <w:t>abezpečila financovanie navrhnutých opatrení z existujúcich</w:t>
      </w:r>
      <w:r w:rsidR="00140ADA" w:rsidRPr="001436ED">
        <w:rPr>
          <w:rFonts w:ascii="Book Antiqua" w:hAnsi="Book Antiqua"/>
          <w:sz w:val="22"/>
          <w:szCs w:val="22"/>
        </w:rPr>
        <w:t xml:space="preserve"> rezerv štátneho rozpočtu, </w:t>
      </w:r>
      <w:r>
        <w:rPr>
          <w:rFonts w:ascii="Book Antiqua" w:hAnsi="Book Antiqua"/>
          <w:sz w:val="22"/>
          <w:szCs w:val="22"/>
        </w:rPr>
        <w:t xml:space="preserve">z fondov Európskej únie, </w:t>
      </w:r>
      <w:r w:rsidR="00140ADA" w:rsidRPr="001436ED">
        <w:rPr>
          <w:rFonts w:ascii="Book Antiqua" w:hAnsi="Book Antiqua"/>
          <w:sz w:val="22"/>
          <w:szCs w:val="22"/>
        </w:rPr>
        <w:t xml:space="preserve">ako aj </w:t>
      </w:r>
      <w:r>
        <w:rPr>
          <w:rFonts w:ascii="Book Antiqua" w:hAnsi="Book Antiqua"/>
          <w:sz w:val="22"/>
          <w:szCs w:val="22"/>
        </w:rPr>
        <w:t xml:space="preserve">z Mechanizmu na podporu obnovy a odolnosti. </w:t>
      </w:r>
    </w:p>
    <w:p w14:paraId="6D0DDEFE" w14:textId="77777777" w:rsidR="00A84B64" w:rsidRPr="001436ED" w:rsidRDefault="00A84B64" w:rsidP="00C50FBB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sz w:val="22"/>
          <w:szCs w:val="22"/>
        </w:rPr>
      </w:pPr>
    </w:p>
    <w:p w14:paraId="5C06545A" w14:textId="6CD2DE4E" w:rsidR="00CF0A32" w:rsidRPr="001436ED" w:rsidRDefault="00CF0A32" w:rsidP="00A84B64">
      <w:pPr>
        <w:tabs>
          <w:tab w:val="left" w:pos="1095"/>
        </w:tabs>
        <w:spacing w:before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08E7EA39" w14:textId="68C69ECE" w:rsidR="00562D65" w:rsidRPr="001436ED" w:rsidRDefault="001718E7" w:rsidP="0038401C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44113997" w14:textId="77777777" w:rsidR="00562D65" w:rsidRPr="001436ED" w:rsidRDefault="00562D65" w:rsidP="00140ADA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72BB75C7" w14:textId="0B2F7AC3" w:rsidR="00140ADA" w:rsidRPr="001436ED" w:rsidRDefault="00140ADA" w:rsidP="00140ADA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Chudoba na Slovensku už dávno nie je okrajovým problémom. Dotýka sa takmer milióna ľudí – detí, rodín, seniorov, osamelých rodičov, pracujúcich i nezamestnaných. Chudoba oslabuje celé regióny, znižuje kvalitu života a vytvára napätie v spoločnosti. </w:t>
      </w:r>
    </w:p>
    <w:p w14:paraId="1CA23C32" w14:textId="77777777" w:rsidR="00140ADA" w:rsidRPr="001436ED" w:rsidRDefault="00140ADA" w:rsidP="00140ADA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>Od roku 2020 Slovensko čelilo v sérii bezprecedentných kríz. Pandémia ochorenia COVID-19, ekonomická kríza či inflačná kríza zasiahli spoločnosť, ekonomiku aj zdravotníctvo. Vlády Igora Matoviča a Eduarda Hegera museli v extrémne náročných podmienkach prijímať rozhodnutia s cieľom ochrániť zdravie, životy aj ekonomickú stabilitu obyvateľstva. Napriek ťažkým časom sa im podarilo prijať viacero opatrení, ktoré pomáhali spomaľovať nárast chudoby.</w:t>
      </w:r>
    </w:p>
    <w:p w14:paraId="16EC0908" w14:textId="77777777" w:rsidR="00140ADA" w:rsidRPr="001436ED" w:rsidRDefault="00140ADA" w:rsidP="00140ADA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Zaviedli sa schémy ako </w:t>
      </w:r>
      <w:r w:rsidRPr="001436ED">
        <w:rPr>
          <w:rFonts w:ascii="Book Antiqua" w:hAnsi="Book Antiqua"/>
          <w:b/>
          <w:bCs/>
          <w:sz w:val="22"/>
          <w:szCs w:val="22"/>
        </w:rPr>
        <w:t>kurzarbeit</w:t>
      </w:r>
      <w:r w:rsidRPr="001436ED">
        <w:rPr>
          <w:rFonts w:ascii="Book Antiqua" w:hAnsi="Book Antiqua"/>
          <w:sz w:val="22"/>
          <w:szCs w:val="22"/>
        </w:rPr>
        <w:t xml:space="preserve">, ktoré zachránili tisíce pracovných miest. </w:t>
      </w:r>
      <w:r w:rsidRPr="001436ED">
        <w:rPr>
          <w:rFonts w:ascii="Book Antiqua" w:hAnsi="Book Antiqua"/>
          <w:b/>
          <w:bCs/>
          <w:sz w:val="22"/>
          <w:szCs w:val="22"/>
        </w:rPr>
        <w:t>Rodičovský dôchodok</w:t>
      </w:r>
      <w:r w:rsidRPr="001436ED">
        <w:rPr>
          <w:rFonts w:ascii="Book Antiqua" w:hAnsi="Book Antiqua"/>
          <w:sz w:val="22"/>
          <w:szCs w:val="22"/>
        </w:rPr>
        <w:t xml:space="preserve">, </w:t>
      </w:r>
      <w:r w:rsidRPr="001436ED">
        <w:rPr>
          <w:rFonts w:ascii="Book Antiqua" w:hAnsi="Book Antiqua"/>
          <w:b/>
          <w:bCs/>
          <w:sz w:val="22"/>
          <w:szCs w:val="22"/>
        </w:rPr>
        <w:t>príspevky 200 eur na každé dieťa</w:t>
      </w:r>
      <w:r w:rsidRPr="001436ED">
        <w:rPr>
          <w:rFonts w:ascii="Book Antiqua" w:hAnsi="Book Antiqua"/>
          <w:sz w:val="22"/>
          <w:szCs w:val="22"/>
        </w:rPr>
        <w:t xml:space="preserve">, či rozšírené </w:t>
      </w:r>
      <w:r w:rsidRPr="001436ED">
        <w:rPr>
          <w:rFonts w:ascii="Book Antiqua" w:hAnsi="Book Antiqua"/>
          <w:b/>
          <w:bCs/>
          <w:sz w:val="22"/>
          <w:szCs w:val="22"/>
        </w:rPr>
        <w:t>jednorazové kompenzácie</w:t>
      </w:r>
      <w:r w:rsidRPr="001436ED">
        <w:rPr>
          <w:rFonts w:ascii="Book Antiqua" w:hAnsi="Book Antiqua"/>
          <w:sz w:val="22"/>
          <w:szCs w:val="22"/>
        </w:rPr>
        <w:t xml:space="preserve"> pre zraniteľné skupiny prispievali k zmierňovaniu následkov krízy. Vlády reagovali aj na rast cien energií a infláciu. Tieto kroky síce problém chudoby neodstránili, ale brzdili jeho dramatický rast.</w:t>
      </w:r>
    </w:p>
    <w:p w14:paraId="78233A97" w14:textId="39E5B901" w:rsidR="00140ADA" w:rsidRPr="001436ED" w:rsidRDefault="00140ADA" w:rsidP="00140ADA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Od nástupu vlády Roberta Fica v roku 2023 však sledujeme opačný vývoj. Mnohé prospešné opatrenia boli </w:t>
      </w:r>
      <w:r w:rsidRPr="001436ED">
        <w:rPr>
          <w:rFonts w:ascii="Book Antiqua" w:hAnsi="Book Antiqua"/>
          <w:b/>
          <w:bCs/>
          <w:sz w:val="22"/>
          <w:szCs w:val="22"/>
        </w:rPr>
        <w:t>zrušené alebo zásadne obmedzené</w:t>
      </w:r>
      <w:r w:rsidRPr="001436ED">
        <w:rPr>
          <w:rFonts w:ascii="Book Antiqua" w:hAnsi="Book Antiqua"/>
          <w:sz w:val="22"/>
          <w:szCs w:val="22"/>
        </w:rPr>
        <w:t xml:space="preserve">. Namiesto efektívnych riešení vláda prijala škodlivé rozhodnutia, ktoré </w:t>
      </w:r>
      <w:r w:rsidRPr="001436ED">
        <w:rPr>
          <w:rFonts w:ascii="Book Antiqua" w:hAnsi="Book Antiqua"/>
          <w:b/>
          <w:bCs/>
          <w:sz w:val="22"/>
          <w:szCs w:val="22"/>
        </w:rPr>
        <w:t>zaťažujú peňaženky obyčajných ľudí</w:t>
      </w:r>
      <w:r w:rsidRPr="001436ED">
        <w:rPr>
          <w:rFonts w:ascii="Book Antiqua" w:hAnsi="Book Antiqua"/>
          <w:sz w:val="22"/>
          <w:szCs w:val="22"/>
        </w:rPr>
        <w:t xml:space="preserve"> – </w:t>
      </w:r>
      <w:r w:rsidRPr="001436ED">
        <w:rPr>
          <w:rFonts w:ascii="Book Antiqua" w:hAnsi="Book Antiqua"/>
          <w:b/>
          <w:bCs/>
          <w:sz w:val="22"/>
          <w:szCs w:val="22"/>
        </w:rPr>
        <w:t>zvýšenie DPH</w:t>
      </w:r>
      <w:r w:rsidRPr="001436ED">
        <w:rPr>
          <w:rFonts w:ascii="Book Antiqua" w:hAnsi="Book Antiqua"/>
          <w:sz w:val="22"/>
          <w:szCs w:val="22"/>
        </w:rPr>
        <w:t xml:space="preserve">, </w:t>
      </w:r>
      <w:r w:rsidRPr="001436ED">
        <w:rPr>
          <w:rFonts w:ascii="Book Antiqua" w:hAnsi="Book Antiqua"/>
          <w:b/>
          <w:bCs/>
          <w:sz w:val="22"/>
          <w:szCs w:val="22"/>
        </w:rPr>
        <w:t>zvýšenie odvodov</w:t>
      </w:r>
      <w:r w:rsidRPr="001436ED">
        <w:rPr>
          <w:rFonts w:ascii="Book Antiqua" w:hAnsi="Book Antiqua"/>
          <w:sz w:val="22"/>
          <w:szCs w:val="22"/>
        </w:rPr>
        <w:t xml:space="preserve">, zavedenie </w:t>
      </w:r>
      <w:r w:rsidRPr="001436ED">
        <w:rPr>
          <w:rFonts w:ascii="Book Antiqua" w:hAnsi="Book Antiqua"/>
          <w:b/>
          <w:bCs/>
          <w:sz w:val="22"/>
          <w:szCs w:val="22"/>
        </w:rPr>
        <w:t>transakčnej dane</w:t>
      </w:r>
      <w:r w:rsidRPr="001436ED">
        <w:rPr>
          <w:rFonts w:ascii="Book Antiqua" w:hAnsi="Book Antiqua"/>
          <w:sz w:val="22"/>
          <w:szCs w:val="22"/>
        </w:rPr>
        <w:t xml:space="preserve">, a redukcia podpory pre rodiny či dôchodcov. Výsledkom </w:t>
      </w:r>
      <w:r w:rsidR="003B2BD4">
        <w:rPr>
          <w:rFonts w:ascii="Book Antiqua" w:hAnsi="Book Antiqua"/>
          <w:sz w:val="22"/>
          <w:szCs w:val="22"/>
        </w:rPr>
        <w:t>je</w:t>
      </w:r>
      <w:r w:rsidRPr="001436ED">
        <w:rPr>
          <w:rFonts w:ascii="Book Antiqua" w:hAnsi="Book Antiqua"/>
          <w:sz w:val="22"/>
          <w:szCs w:val="22"/>
        </w:rPr>
        <w:t xml:space="preserve"> </w:t>
      </w:r>
      <w:r w:rsidRPr="001436ED">
        <w:rPr>
          <w:rFonts w:ascii="Book Antiqua" w:hAnsi="Book Antiqua"/>
          <w:b/>
          <w:bCs/>
          <w:sz w:val="22"/>
          <w:szCs w:val="22"/>
        </w:rPr>
        <w:t>prudký nárast počtu ľudí, ktorí si nedokážu zabezpečiť ani základné životné potreby</w:t>
      </w:r>
      <w:r w:rsidRPr="001436ED">
        <w:rPr>
          <w:rFonts w:ascii="Book Antiqua" w:hAnsi="Book Antiqua"/>
          <w:sz w:val="22"/>
          <w:szCs w:val="22"/>
        </w:rPr>
        <w:t>.</w:t>
      </w:r>
    </w:p>
    <w:p w14:paraId="7A8BA604" w14:textId="77777777" w:rsidR="00140ADA" w:rsidRPr="001436ED" w:rsidRDefault="00140ADA" w:rsidP="00140ADA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Podnikateľské prostredie sa zhoršuje, investori strácajú dôveru, podnikatelia zatvárajú prevádzky a viacerí z nich rozmýšľajú o odchode zo Slovenska. To všetko má </w:t>
      </w:r>
      <w:r w:rsidRPr="001436ED">
        <w:rPr>
          <w:rFonts w:ascii="Book Antiqua" w:hAnsi="Book Antiqua"/>
          <w:b/>
          <w:bCs/>
          <w:sz w:val="22"/>
          <w:szCs w:val="22"/>
        </w:rPr>
        <w:t>priame dôsledky na rast nezamestnanosti a zvyšovanie chudoby</w:t>
      </w:r>
      <w:r w:rsidRPr="001436ED">
        <w:rPr>
          <w:rFonts w:ascii="Book Antiqua" w:hAnsi="Book Antiqua"/>
          <w:sz w:val="22"/>
          <w:szCs w:val="22"/>
        </w:rPr>
        <w:t>.</w:t>
      </w:r>
    </w:p>
    <w:p w14:paraId="5A6CEEB3" w14:textId="625D228A" w:rsidR="00140ADA" w:rsidRPr="001436ED" w:rsidRDefault="00140ADA" w:rsidP="00140ADA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b/>
          <w:bCs/>
          <w:sz w:val="22"/>
          <w:szCs w:val="22"/>
        </w:rPr>
        <w:t xml:space="preserve">V roku 2024 sa počet ľudí ohrozených chudobou zvýšil o takmer 40 000. </w:t>
      </w:r>
      <w:r w:rsidRPr="001436ED">
        <w:rPr>
          <w:rFonts w:ascii="Book Antiqua" w:hAnsi="Book Antiqua"/>
          <w:sz w:val="22"/>
          <w:szCs w:val="22"/>
        </w:rPr>
        <w:t>Ak štát nezačne konať okamžite a koordinovane, dôsledky budú ešte vážnejšie. Vďaka politikám vlády Roberta Fica chudoba narast</w:t>
      </w:r>
      <w:r w:rsidR="003B2BD4">
        <w:rPr>
          <w:rFonts w:ascii="Book Antiqua" w:hAnsi="Book Antiqua"/>
          <w:sz w:val="22"/>
          <w:szCs w:val="22"/>
        </w:rPr>
        <w:t>á</w:t>
      </w:r>
      <w:r w:rsidRPr="001436ED">
        <w:rPr>
          <w:rFonts w:ascii="Book Antiqua" w:hAnsi="Book Antiqua"/>
          <w:sz w:val="22"/>
          <w:szCs w:val="22"/>
        </w:rPr>
        <w:t xml:space="preserve"> rýchlejšie než kedykoľvek predtým –</w:t>
      </w:r>
      <w:r w:rsidR="003B2BD4">
        <w:rPr>
          <w:rFonts w:ascii="Book Antiqua" w:hAnsi="Book Antiqua"/>
          <w:sz w:val="22"/>
          <w:szCs w:val="22"/>
        </w:rPr>
        <w:t xml:space="preserve"> </w:t>
      </w:r>
      <w:r w:rsidRPr="001436ED">
        <w:rPr>
          <w:rFonts w:ascii="Book Antiqua" w:hAnsi="Book Antiqua"/>
          <w:sz w:val="22"/>
          <w:szCs w:val="22"/>
        </w:rPr>
        <w:t>prehlb</w:t>
      </w:r>
      <w:r w:rsidR="003B2BD4">
        <w:rPr>
          <w:rFonts w:ascii="Book Antiqua" w:hAnsi="Book Antiqua"/>
          <w:sz w:val="22"/>
          <w:szCs w:val="22"/>
        </w:rPr>
        <w:t>uje sa</w:t>
      </w:r>
      <w:r w:rsidRPr="001436ED">
        <w:rPr>
          <w:rFonts w:ascii="Book Antiqua" w:hAnsi="Book Antiqua"/>
          <w:sz w:val="22"/>
          <w:szCs w:val="22"/>
        </w:rPr>
        <w:t xml:space="preserve"> regionálna nerovnosť, oslab</w:t>
      </w:r>
      <w:r w:rsidR="003B2BD4">
        <w:rPr>
          <w:rFonts w:ascii="Book Antiqua" w:hAnsi="Book Antiqua"/>
          <w:sz w:val="22"/>
          <w:szCs w:val="22"/>
        </w:rPr>
        <w:t>uje</w:t>
      </w:r>
      <w:r w:rsidRPr="001436ED">
        <w:rPr>
          <w:rFonts w:ascii="Book Antiqua" w:hAnsi="Book Antiqua"/>
          <w:sz w:val="22"/>
          <w:szCs w:val="22"/>
        </w:rPr>
        <w:t xml:space="preserve"> sa sociálna kohézia a narast</w:t>
      </w:r>
      <w:r w:rsidR="003B2BD4">
        <w:rPr>
          <w:rFonts w:ascii="Book Antiqua" w:hAnsi="Book Antiqua"/>
          <w:sz w:val="22"/>
          <w:szCs w:val="22"/>
        </w:rPr>
        <w:t>á</w:t>
      </w:r>
      <w:r w:rsidRPr="001436ED">
        <w:rPr>
          <w:rFonts w:ascii="Book Antiqua" w:hAnsi="Book Antiqua"/>
          <w:sz w:val="22"/>
          <w:szCs w:val="22"/>
        </w:rPr>
        <w:t xml:space="preserve"> frustrácia obyvateľstva. Takýto vývoj je </w:t>
      </w:r>
      <w:r w:rsidRPr="001436ED">
        <w:rPr>
          <w:rFonts w:ascii="Book Antiqua" w:hAnsi="Book Antiqua"/>
          <w:b/>
          <w:bCs/>
          <w:sz w:val="22"/>
          <w:szCs w:val="22"/>
        </w:rPr>
        <w:t>nielen ekonomicky nákladný, ale aj spoločensky nebezpečný</w:t>
      </w:r>
      <w:r w:rsidRPr="001436ED">
        <w:rPr>
          <w:rFonts w:ascii="Book Antiqua" w:hAnsi="Book Antiqua"/>
          <w:sz w:val="22"/>
          <w:szCs w:val="22"/>
        </w:rPr>
        <w:t>.</w:t>
      </w:r>
    </w:p>
    <w:p w14:paraId="200E1DA0" w14:textId="1EE0FEEA" w:rsidR="00140ADA" w:rsidRPr="001436ED" w:rsidRDefault="00140ADA" w:rsidP="00140ADA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/>
          <w:sz w:val="22"/>
          <w:szCs w:val="22"/>
        </w:rPr>
        <w:t xml:space="preserve">Preto je nevyhnutné, aby Národná rada Slovenskej republiky využila svoju právomoc a </w:t>
      </w:r>
      <w:r w:rsidR="003A0CD2">
        <w:rPr>
          <w:rFonts w:ascii="Book Antiqua" w:hAnsi="Book Antiqua"/>
          <w:b/>
          <w:bCs/>
          <w:sz w:val="22"/>
          <w:szCs w:val="22"/>
        </w:rPr>
        <w:t>požiadala</w:t>
      </w:r>
      <w:r w:rsidRPr="001436ED">
        <w:rPr>
          <w:rFonts w:ascii="Book Antiqua" w:hAnsi="Book Antiqua"/>
          <w:b/>
          <w:bCs/>
          <w:sz w:val="22"/>
          <w:szCs w:val="22"/>
        </w:rPr>
        <w:t xml:space="preserve"> vládu konať rýchlo, rozhodne a solidárne</w:t>
      </w:r>
      <w:r w:rsidRPr="001436ED">
        <w:rPr>
          <w:rFonts w:ascii="Book Antiqua" w:hAnsi="Book Antiqua"/>
          <w:sz w:val="22"/>
          <w:szCs w:val="22"/>
        </w:rPr>
        <w:t xml:space="preserve">. Chudoba nesmie byť v 21. storočí tolerovaná. Slovensko má zdroje aj možnosti na to, aby pomohlo svojim občanom žiť dôstojne. </w:t>
      </w:r>
    </w:p>
    <w:p w14:paraId="3D1CBF72" w14:textId="5893395F" w:rsidR="00D77118" w:rsidRPr="001436ED" w:rsidRDefault="00D77118" w:rsidP="00140ADA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315D49CA" w14:textId="1845B58C" w:rsidR="00562D65" w:rsidRPr="001436ED" w:rsidRDefault="001718E7" w:rsidP="00140ADA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 w:rsidRPr="001436ED">
        <w:rPr>
          <w:rFonts w:ascii="Book Antiqua" w:hAnsi="Book Antiqua" w:cs="Times New Roman"/>
          <w:sz w:val="22"/>
          <w:szCs w:val="22"/>
        </w:rPr>
        <w:tab/>
      </w:r>
    </w:p>
    <w:sectPr w:rsidR="00562D65" w:rsidRPr="001436E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7D135" w14:textId="77777777" w:rsidR="00DC2F27" w:rsidRDefault="00DC2F27" w:rsidP="00053756">
      <w:pPr>
        <w:rPr>
          <w:rFonts w:hint="eastAsia"/>
        </w:rPr>
      </w:pPr>
      <w:r>
        <w:separator/>
      </w:r>
    </w:p>
  </w:endnote>
  <w:endnote w:type="continuationSeparator" w:id="0">
    <w:p w14:paraId="1F3D4BE4" w14:textId="77777777" w:rsidR="00DC2F27" w:rsidRDefault="00DC2F27" w:rsidP="000537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CFE2D" w14:textId="77777777" w:rsidR="00DC2F27" w:rsidRDefault="00DC2F27" w:rsidP="00053756">
      <w:pPr>
        <w:rPr>
          <w:rFonts w:hint="eastAsia"/>
        </w:rPr>
      </w:pPr>
      <w:r>
        <w:separator/>
      </w:r>
    </w:p>
  </w:footnote>
  <w:footnote w:type="continuationSeparator" w:id="0">
    <w:p w14:paraId="688D7FAB" w14:textId="77777777" w:rsidR="00DC2F27" w:rsidRDefault="00DC2F27" w:rsidP="000537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ED0"/>
    <w:multiLevelType w:val="multilevel"/>
    <w:tmpl w:val="9D42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2F22"/>
    <w:multiLevelType w:val="hybridMultilevel"/>
    <w:tmpl w:val="C4A8FEEE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4D1"/>
    <w:multiLevelType w:val="hybridMultilevel"/>
    <w:tmpl w:val="AA90F69A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58C7895"/>
    <w:multiLevelType w:val="multilevel"/>
    <w:tmpl w:val="907C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10DEC"/>
    <w:multiLevelType w:val="multilevel"/>
    <w:tmpl w:val="9F04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D0A1A"/>
    <w:multiLevelType w:val="hybridMultilevel"/>
    <w:tmpl w:val="F7E6F160"/>
    <w:lvl w:ilvl="0" w:tplc="5822A628">
      <w:start w:val="8"/>
      <w:numFmt w:val="bullet"/>
      <w:lvlText w:val="-"/>
      <w:lvlJc w:val="left"/>
      <w:pPr>
        <w:ind w:left="72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002962"/>
    <w:rsid w:val="00053756"/>
    <w:rsid w:val="000B7A9B"/>
    <w:rsid w:val="000D1C53"/>
    <w:rsid w:val="000F5B20"/>
    <w:rsid w:val="001134F9"/>
    <w:rsid w:val="00124DD6"/>
    <w:rsid w:val="00132B8B"/>
    <w:rsid w:val="00140ADA"/>
    <w:rsid w:val="001436ED"/>
    <w:rsid w:val="001718E7"/>
    <w:rsid w:val="00171E87"/>
    <w:rsid w:val="001D1300"/>
    <w:rsid w:val="0022529B"/>
    <w:rsid w:val="00334590"/>
    <w:rsid w:val="00340AD9"/>
    <w:rsid w:val="003658C3"/>
    <w:rsid w:val="0038401C"/>
    <w:rsid w:val="00397070"/>
    <w:rsid w:val="003A0CD2"/>
    <w:rsid w:val="003B2BD4"/>
    <w:rsid w:val="003C1B0C"/>
    <w:rsid w:val="00441608"/>
    <w:rsid w:val="00456367"/>
    <w:rsid w:val="00461FD5"/>
    <w:rsid w:val="0046376D"/>
    <w:rsid w:val="0048457B"/>
    <w:rsid w:val="00511938"/>
    <w:rsid w:val="0054297E"/>
    <w:rsid w:val="00554434"/>
    <w:rsid w:val="00562D65"/>
    <w:rsid w:val="00563E2A"/>
    <w:rsid w:val="00571FAE"/>
    <w:rsid w:val="00573578"/>
    <w:rsid w:val="0058661A"/>
    <w:rsid w:val="005A2CB3"/>
    <w:rsid w:val="005D06A7"/>
    <w:rsid w:val="005D0C5A"/>
    <w:rsid w:val="005D4FBB"/>
    <w:rsid w:val="005E66DC"/>
    <w:rsid w:val="00627677"/>
    <w:rsid w:val="00683001"/>
    <w:rsid w:val="006B7A69"/>
    <w:rsid w:val="00742134"/>
    <w:rsid w:val="007823DB"/>
    <w:rsid w:val="007922B5"/>
    <w:rsid w:val="007A75A3"/>
    <w:rsid w:val="008F1CB2"/>
    <w:rsid w:val="00922E41"/>
    <w:rsid w:val="00981976"/>
    <w:rsid w:val="009F487C"/>
    <w:rsid w:val="00A84B64"/>
    <w:rsid w:val="00AC02E1"/>
    <w:rsid w:val="00AC1AFE"/>
    <w:rsid w:val="00AE4D7D"/>
    <w:rsid w:val="00B04673"/>
    <w:rsid w:val="00B26779"/>
    <w:rsid w:val="00B36226"/>
    <w:rsid w:val="00B84AB0"/>
    <w:rsid w:val="00B857E8"/>
    <w:rsid w:val="00B955AA"/>
    <w:rsid w:val="00C50FBB"/>
    <w:rsid w:val="00C65CD4"/>
    <w:rsid w:val="00C703B1"/>
    <w:rsid w:val="00CB7A3F"/>
    <w:rsid w:val="00CE7AE3"/>
    <w:rsid w:val="00CF0A32"/>
    <w:rsid w:val="00D0614A"/>
    <w:rsid w:val="00D14F06"/>
    <w:rsid w:val="00D43E9E"/>
    <w:rsid w:val="00D62F41"/>
    <w:rsid w:val="00D77118"/>
    <w:rsid w:val="00D96C64"/>
    <w:rsid w:val="00DC2F27"/>
    <w:rsid w:val="00E37E1C"/>
    <w:rsid w:val="00E40E90"/>
    <w:rsid w:val="00E60D73"/>
    <w:rsid w:val="00E65EFE"/>
    <w:rsid w:val="00E813F5"/>
    <w:rsid w:val="00EE019E"/>
    <w:rsid w:val="00F41A22"/>
    <w:rsid w:val="00F658B2"/>
    <w:rsid w:val="00F669DA"/>
    <w:rsid w:val="00FD450D"/>
    <w:rsid w:val="00FD4B64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543B2F55-C35F-470F-8A94-5C375B54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537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3756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3756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375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53756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53756"/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  <w:style w:type="character" w:customStyle="1" w:styleId="NzovChar">
    <w:name w:val="Názov Char"/>
    <w:basedOn w:val="Predvolenpsmoodseku"/>
    <w:link w:val="Nzov"/>
    <w:uiPriority w:val="10"/>
    <w:qFormat/>
    <w:locked/>
    <w:rsid w:val="00334590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locked/>
    <w:rsid w:val="00334590"/>
    <w:rPr>
      <w:rFonts w:asciiTheme="majorHAnsi" w:eastAsiaTheme="majorEastAsia" w:hAnsiTheme="majorHAnsi"/>
    </w:rPr>
  </w:style>
  <w:style w:type="table" w:styleId="Mriekatabuky">
    <w:name w:val="Table Grid"/>
    <w:basedOn w:val="Normlnatabuka"/>
    <w:uiPriority w:val="39"/>
    <w:rsid w:val="00334590"/>
    <w:rPr>
      <w:rFonts w:ascii="Times New Roman" w:eastAsia="Times New Roman" w:hAnsi="Times New Roman" w:cs="Times New Roman"/>
      <w:kern w:val="0"/>
      <w:sz w:val="20"/>
      <w:szCs w:val="20"/>
      <w:lang w:eastAsia="sk-SK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703B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03B1"/>
    <w:rPr>
      <w:rFonts w:ascii="Segoe UI" w:hAnsi="Segoe UI"/>
      <w:sz w:val="18"/>
      <w:szCs w:val="16"/>
    </w:rPr>
  </w:style>
  <w:style w:type="paragraph" w:styleId="Revzia">
    <w:name w:val="Revision"/>
    <w:hidden/>
    <w:uiPriority w:val="99"/>
    <w:semiHidden/>
    <w:rsid w:val="00922E4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87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7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26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BFB8-68CE-4FCC-8FD9-B972576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cp:keywords/>
  <dc:description/>
  <cp:lastModifiedBy>Klub SLOVENSKO, ZA ĽUDÍ, KÚ</cp:lastModifiedBy>
  <cp:revision>9</cp:revision>
  <cp:lastPrinted>2025-05-27T10:01:00Z</cp:lastPrinted>
  <dcterms:created xsi:type="dcterms:W3CDTF">2025-05-27T09:27:00Z</dcterms:created>
  <dcterms:modified xsi:type="dcterms:W3CDTF">2025-05-27T10:39:00Z</dcterms:modified>
  <dc:language>sk-SK</dc:language>
</cp:coreProperties>
</file>