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F0" w:rsidRDefault="00B528F0"/>
    <w:p w:rsidR="00B528F0" w:rsidRDefault="00585F48">
      <w:pPr>
        <w:jc w:val="center"/>
        <w:rPr>
          <w:szCs w:val="24"/>
        </w:rPr>
      </w:pPr>
      <w:r>
        <w:rPr>
          <w:b/>
          <w:bCs/>
          <w:color w:val="000000"/>
          <w:szCs w:val="24"/>
        </w:rPr>
        <w:t>NÁRODNÁ   RADA   SLOVENSKEJ   REPUBLIKY</w:t>
      </w:r>
    </w:p>
    <w:p w:rsidR="00B528F0" w:rsidRDefault="00585F48">
      <w:pPr>
        <w:jc w:val="center"/>
        <w:rPr>
          <w:szCs w:val="24"/>
        </w:rPr>
      </w:pPr>
      <w:r>
        <w:rPr>
          <w:b/>
          <w:bCs/>
          <w:color w:val="000000"/>
          <w:szCs w:val="24"/>
        </w:rPr>
        <w:t>________________________________________________________________</w:t>
      </w:r>
    </w:p>
    <w:p w:rsidR="00B528F0" w:rsidRDefault="00585F48">
      <w:pPr>
        <w:jc w:val="center"/>
        <w:rPr>
          <w:b/>
          <w:bCs/>
          <w:color w:val="000000"/>
          <w:szCs w:val="24"/>
        </w:rPr>
      </w:pPr>
      <w:r>
        <w:rPr>
          <w:b/>
          <w:bCs/>
          <w:color w:val="000000"/>
          <w:szCs w:val="24"/>
        </w:rPr>
        <w:t>IX. volebné obdobie</w:t>
      </w:r>
      <w:r>
        <w:rPr>
          <w:b/>
          <w:bCs/>
          <w:color w:val="000000"/>
          <w:szCs w:val="24"/>
        </w:rPr>
        <w:br/>
      </w:r>
    </w:p>
    <w:p w:rsidR="00B528F0" w:rsidRDefault="00585F48">
      <w:pPr>
        <w:jc w:val="center"/>
        <w:rPr>
          <w:szCs w:val="24"/>
        </w:rPr>
      </w:pPr>
      <w:r>
        <w:rPr>
          <w:b/>
          <w:bCs/>
          <w:color w:val="000000"/>
          <w:szCs w:val="24"/>
        </w:rPr>
        <w:br/>
      </w:r>
    </w:p>
    <w:p w:rsidR="00B528F0" w:rsidRDefault="00B528F0">
      <w:pPr>
        <w:rPr>
          <w:color w:val="000000"/>
          <w:szCs w:val="24"/>
        </w:rPr>
      </w:pPr>
    </w:p>
    <w:p w:rsidR="00B528F0" w:rsidRDefault="00585F48">
      <w:pPr>
        <w:rPr>
          <w:color w:val="000000"/>
          <w:szCs w:val="24"/>
        </w:rPr>
      </w:pPr>
      <w:r>
        <w:rPr>
          <w:color w:val="000000"/>
          <w:szCs w:val="24"/>
        </w:rPr>
        <w:t>Číslo: KNR-VSRR-4449/2025-1</w:t>
      </w:r>
      <w:r w:rsidR="005E6529">
        <w:rPr>
          <w:color w:val="000000"/>
          <w:szCs w:val="24"/>
        </w:rPr>
        <w:t>8</w:t>
      </w:r>
    </w:p>
    <w:p w:rsidR="00B528F0" w:rsidRDefault="00B528F0">
      <w:pPr>
        <w:jc w:val="center"/>
        <w:outlineLvl w:val="2"/>
        <w:rPr>
          <w:b/>
          <w:bCs/>
          <w:i/>
          <w:color w:val="000000"/>
          <w:sz w:val="28"/>
          <w:szCs w:val="28"/>
        </w:rPr>
      </w:pPr>
    </w:p>
    <w:p w:rsidR="00B528F0" w:rsidRDefault="00B528F0">
      <w:pPr>
        <w:jc w:val="center"/>
        <w:outlineLvl w:val="2"/>
        <w:rPr>
          <w:b/>
          <w:bCs/>
          <w:i/>
          <w:color w:val="000000"/>
          <w:sz w:val="28"/>
          <w:szCs w:val="28"/>
        </w:rPr>
      </w:pPr>
    </w:p>
    <w:p w:rsidR="00B528F0" w:rsidRDefault="00B528F0">
      <w:pPr>
        <w:jc w:val="center"/>
        <w:outlineLvl w:val="2"/>
        <w:rPr>
          <w:b/>
          <w:bCs/>
          <w:i/>
          <w:color w:val="000000"/>
          <w:sz w:val="28"/>
          <w:szCs w:val="28"/>
        </w:rPr>
      </w:pPr>
    </w:p>
    <w:p w:rsidR="00B528F0" w:rsidRDefault="00585F48">
      <w:pPr>
        <w:jc w:val="center"/>
        <w:outlineLvl w:val="2"/>
        <w:rPr>
          <w:b/>
          <w:bCs/>
          <w:sz w:val="28"/>
          <w:szCs w:val="28"/>
        </w:rPr>
      </w:pPr>
      <w:r>
        <w:rPr>
          <w:b/>
          <w:bCs/>
          <w:color w:val="000000"/>
          <w:sz w:val="28"/>
          <w:szCs w:val="28"/>
        </w:rPr>
        <w:t>745a</w:t>
      </w:r>
    </w:p>
    <w:p w:rsidR="00B528F0" w:rsidRDefault="00B528F0">
      <w:pPr>
        <w:rPr>
          <w:szCs w:val="24"/>
        </w:rPr>
      </w:pPr>
    </w:p>
    <w:p w:rsidR="00B528F0" w:rsidRDefault="00585F48">
      <w:pPr>
        <w:jc w:val="center"/>
        <w:outlineLvl w:val="2"/>
        <w:rPr>
          <w:b/>
          <w:bCs/>
          <w:szCs w:val="24"/>
        </w:rPr>
      </w:pPr>
      <w:r>
        <w:rPr>
          <w:b/>
          <w:bCs/>
          <w:color w:val="000000"/>
          <w:szCs w:val="24"/>
        </w:rPr>
        <w:t>S p o l o č n á    s p r á v a</w:t>
      </w:r>
    </w:p>
    <w:p w:rsidR="00B528F0" w:rsidRDefault="00585F48">
      <w:pPr>
        <w:jc w:val="both"/>
        <w:rPr>
          <w:szCs w:val="24"/>
        </w:rPr>
      </w:pPr>
      <w:r>
        <w:rPr>
          <w:color w:val="000000"/>
          <w:szCs w:val="24"/>
        </w:rPr>
        <w:t xml:space="preserve"> </w:t>
      </w:r>
    </w:p>
    <w:p w:rsidR="00B528F0" w:rsidRDefault="00585F48">
      <w:pPr>
        <w:jc w:val="both"/>
        <w:rPr>
          <w:rFonts w:cs="Arial"/>
        </w:rPr>
      </w:pPr>
      <w:r>
        <w:rPr>
          <w:b/>
          <w:bCs/>
          <w:color w:val="000000"/>
          <w:szCs w:val="24"/>
        </w:rPr>
        <w:t xml:space="preserve">výborov Národnej rady Slovenskej republiky o prerokovaní </w:t>
      </w:r>
      <w:r>
        <w:rPr>
          <w:b/>
          <w:szCs w:val="24"/>
        </w:rPr>
        <w:t>návrhu poslancov Národnej rady Slovenskej republiky Dávida DEMEČKA a Michala BARTEKA na vydanie zákona, ktorým sa mení zákon č. 83/1990 Zb. o združovaní občanov v znení neskorších predpisov a ktorým sa menia niektoré zákony (tlač 745a)</w:t>
      </w:r>
      <w:r>
        <w:rPr>
          <w:rFonts w:cs="Arial"/>
        </w:rPr>
        <w:t xml:space="preserve"> </w:t>
      </w:r>
      <w:r>
        <w:rPr>
          <w:color w:val="000000"/>
          <w:szCs w:val="24"/>
        </w:rPr>
        <w:t>v druhom čítaní</w:t>
      </w:r>
    </w:p>
    <w:p w:rsidR="00B528F0" w:rsidRDefault="00585F48">
      <w:pPr>
        <w:jc w:val="both"/>
        <w:rPr>
          <w:szCs w:val="24"/>
        </w:rPr>
      </w:pPr>
      <w:r>
        <w:rPr>
          <w:color w:val="000000"/>
          <w:szCs w:val="24"/>
        </w:rPr>
        <w:t>___________________________________________________________________________</w:t>
      </w:r>
    </w:p>
    <w:p w:rsidR="00B528F0" w:rsidRDefault="00B528F0">
      <w:pPr>
        <w:spacing w:after="240"/>
        <w:rPr>
          <w:szCs w:val="24"/>
        </w:rPr>
      </w:pPr>
    </w:p>
    <w:p w:rsidR="00B528F0" w:rsidRDefault="00585F48">
      <w:pPr>
        <w:jc w:val="both"/>
        <w:rPr>
          <w:rFonts w:cs="Arial"/>
        </w:rPr>
      </w:pPr>
      <w:r>
        <w:rPr>
          <w:color w:val="000000"/>
          <w:szCs w:val="24"/>
        </w:rPr>
        <w:tab/>
        <w:t>Výbor Národnej rady Slovenskej republiky pre verejnú správu a regionálny rozvoj ako gestorský výbor k </w:t>
      </w:r>
      <w:r>
        <w:rPr>
          <w:szCs w:val="24"/>
        </w:rPr>
        <w:t>návrhu poslancov Národnej rady Slovenskej republiky Dávida DEMEČKA a Michala BARTEKA na vydanie zákona, ktorým sa mení zákon č. 83/1990 Zb. o združovaní občanov v znení neskorších predpisov a ktorým sa menia niektoré zákony</w:t>
      </w:r>
      <w:r>
        <w:rPr>
          <w:b/>
          <w:szCs w:val="24"/>
        </w:rPr>
        <w:t xml:space="preserve"> (tlač 745) </w:t>
      </w:r>
      <w:r>
        <w:rPr>
          <w:color w:val="000000"/>
          <w:szCs w:val="24"/>
        </w:rPr>
        <w:t>podáva Národnej rade Slovenskej republiky v súlade s § 79 ods. 1 zákona Národnej rady Slovenskej republiky č. 350/1996 Z. z. o rokovacom poriadku Národnej rady Slovenskej republiky spoločnú správu výborov Národnej rady Slovenskej republiky:</w:t>
      </w:r>
    </w:p>
    <w:p w:rsidR="00B528F0" w:rsidRDefault="00B528F0">
      <w:pPr>
        <w:rPr>
          <w:szCs w:val="24"/>
        </w:rPr>
      </w:pPr>
    </w:p>
    <w:p w:rsidR="00B528F0" w:rsidRDefault="00585F48">
      <w:pPr>
        <w:jc w:val="center"/>
        <w:rPr>
          <w:szCs w:val="24"/>
        </w:rPr>
      </w:pPr>
      <w:r>
        <w:rPr>
          <w:b/>
          <w:bCs/>
          <w:color w:val="000000"/>
          <w:szCs w:val="24"/>
        </w:rPr>
        <w:t>I.</w:t>
      </w:r>
    </w:p>
    <w:p w:rsidR="00B528F0" w:rsidRDefault="00B528F0">
      <w:pPr>
        <w:rPr>
          <w:szCs w:val="24"/>
        </w:rPr>
      </w:pPr>
    </w:p>
    <w:p w:rsidR="00B528F0" w:rsidRDefault="00585F48">
      <w:pPr>
        <w:jc w:val="both"/>
        <w:rPr>
          <w:szCs w:val="24"/>
        </w:rPr>
      </w:pPr>
      <w:r>
        <w:rPr>
          <w:color w:val="000000"/>
          <w:szCs w:val="24"/>
        </w:rPr>
        <w:tab/>
        <w:t xml:space="preserve">Národná rada Slovenskej republiky uznesením </w:t>
      </w:r>
      <w:r>
        <w:rPr>
          <w:color w:val="000000"/>
          <w:szCs w:val="24"/>
          <w:shd w:val="clear" w:color="auto" w:fill="FFFFFF"/>
        </w:rPr>
        <w:t>č. 821 z 27. marca 2025</w:t>
      </w:r>
      <w:r>
        <w:rPr>
          <w:rFonts w:ascii="Arial" w:hAnsi="Arial" w:cs="Arial"/>
          <w:color w:val="000000"/>
          <w:sz w:val="18"/>
          <w:szCs w:val="18"/>
          <w:shd w:val="clear" w:color="auto" w:fill="FFFFFF"/>
        </w:rPr>
        <w:t xml:space="preserve"> </w:t>
      </w:r>
      <w:r>
        <w:rPr>
          <w:color w:val="000000"/>
          <w:szCs w:val="24"/>
        </w:rPr>
        <w:t xml:space="preserve">pridelila </w:t>
      </w:r>
      <w:r>
        <w:rPr>
          <w:b/>
          <w:szCs w:val="24"/>
        </w:rPr>
        <w:t>návrh poslancov Národnej rady Slovenskej republiky Dávida DEMEČKA a Michala BARTEKA na vydanie zákona, ktorým sa mení zákon č. 83/1990 Zb. o združovaní občanov v znení neskorších predpisov a ktorým sa menia niektoré zákony (tlač 745)</w:t>
      </w:r>
      <w:r>
        <w:rPr>
          <w:color w:val="000000"/>
          <w:szCs w:val="24"/>
        </w:rPr>
        <w:t xml:space="preserve"> na prerokovanie týmto výborom:</w:t>
      </w:r>
    </w:p>
    <w:p w:rsidR="00B528F0" w:rsidRDefault="00B528F0">
      <w:pPr>
        <w:rPr>
          <w:szCs w:val="24"/>
        </w:rPr>
      </w:pPr>
    </w:p>
    <w:p w:rsidR="00B528F0" w:rsidRDefault="00585F48">
      <w:pPr>
        <w:jc w:val="both"/>
        <w:rPr>
          <w:b/>
          <w:bCs/>
          <w:color w:val="000000"/>
          <w:szCs w:val="24"/>
        </w:rPr>
      </w:pPr>
      <w:r>
        <w:rPr>
          <w:color w:val="000000"/>
          <w:szCs w:val="24"/>
        </w:rPr>
        <w:tab/>
      </w:r>
      <w:r>
        <w:rPr>
          <w:b/>
          <w:bCs/>
          <w:color w:val="000000"/>
          <w:szCs w:val="24"/>
        </w:rPr>
        <w:t>Ústavnoprávnemu výboru Národnej rady Slovenskej republiky a</w:t>
      </w:r>
    </w:p>
    <w:p w:rsidR="00B528F0" w:rsidRDefault="00585F48">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r>
        <w:rPr>
          <w:b/>
          <w:color w:val="000000"/>
          <w:szCs w:val="24"/>
        </w:rPr>
        <w:t>;</w:t>
      </w:r>
    </w:p>
    <w:p w:rsidR="00B528F0" w:rsidRDefault="00B528F0">
      <w:pPr>
        <w:ind w:left="705"/>
        <w:jc w:val="both"/>
        <w:rPr>
          <w:b/>
          <w:color w:val="000000"/>
          <w:szCs w:val="24"/>
        </w:rPr>
      </w:pPr>
    </w:p>
    <w:p w:rsidR="00B528F0" w:rsidRDefault="00585F48">
      <w:pPr>
        <w:ind w:firstLine="708"/>
        <w:jc w:val="both"/>
        <w:rPr>
          <w:szCs w:val="24"/>
        </w:rPr>
      </w:pPr>
      <w:r>
        <w:rPr>
          <w:color w:val="000000"/>
          <w:szCs w:val="24"/>
        </w:rPr>
        <w:t>Výbory prerokovali predmetný  návrh zákona v lehote určenej uznesením Národnej rady Slovenskej republiky.</w:t>
      </w:r>
    </w:p>
    <w:p w:rsidR="00B528F0" w:rsidRDefault="00B528F0">
      <w:pPr>
        <w:jc w:val="center"/>
        <w:rPr>
          <w:b/>
          <w:bCs/>
          <w:color w:val="000000"/>
          <w:szCs w:val="24"/>
        </w:rPr>
      </w:pPr>
    </w:p>
    <w:p w:rsidR="00B528F0" w:rsidRDefault="00585F48">
      <w:pPr>
        <w:jc w:val="center"/>
        <w:rPr>
          <w:szCs w:val="24"/>
        </w:rPr>
      </w:pPr>
      <w:r>
        <w:rPr>
          <w:b/>
          <w:bCs/>
          <w:color w:val="000000"/>
          <w:szCs w:val="24"/>
        </w:rPr>
        <w:t>II.</w:t>
      </w:r>
    </w:p>
    <w:p w:rsidR="00B528F0" w:rsidRDefault="00B528F0">
      <w:pPr>
        <w:rPr>
          <w:szCs w:val="24"/>
        </w:rPr>
      </w:pPr>
    </w:p>
    <w:p w:rsidR="00B528F0" w:rsidRDefault="00585F48">
      <w:pPr>
        <w:jc w:val="both"/>
        <w:rPr>
          <w:color w:val="000000"/>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B528F0" w:rsidRDefault="00B528F0">
      <w:pPr>
        <w:jc w:val="both"/>
        <w:rPr>
          <w:color w:val="000000"/>
          <w:szCs w:val="24"/>
        </w:rPr>
      </w:pPr>
    </w:p>
    <w:p w:rsidR="00B528F0" w:rsidRDefault="00B528F0">
      <w:pPr>
        <w:jc w:val="both"/>
        <w:rPr>
          <w:color w:val="000000"/>
          <w:szCs w:val="24"/>
        </w:rPr>
      </w:pPr>
    </w:p>
    <w:p w:rsidR="00B528F0" w:rsidRDefault="00585F48">
      <w:pPr>
        <w:tabs>
          <w:tab w:val="left" w:pos="-1985"/>
          <w:tab w:val="left" w:pos="709"/>
          <w:tab w:val="left" w:pos="1077"/>
        </w:tabs>
        <w:spacing w:line="276" w:lineRule="auto"/>
        <w:jc w:val="center"/>
        <w:rPr>
          <w:b/>
          <w:bCs/>
        </w:rPr>
      </w:pPr>
      <w:r>
        <w:rPr>
          <w:b/>
          <w:bCs/>
        </w:rPr>
        <w:lastRenderedPageBreak/>
        <w:t>III.</w:t>
      </w:r>
    </w:p>
    <w:p w:rsidR="00B528F0" w:rsidRDefault="00B528F0">
      <w:pPr>
        <w:tabs>
          <w:tab w:val="left" w:pos="-1985"/>
          <w:tab w:val="left" w:pos="709"/>
          <w:tab w:val="left" w:pos="1077"/>
        </w:tabs>
        <w:spacing w:line="276" w:lineRule="auto"/>
        <w:jc w:val="center"/>
        <w:rPr>
          <w:b/>
          <w:bCs/>
        </w:rPr>
      </w:pPr>
    </w:p>
    <w:p w:rsidR="00B528F0" w:rsidRDefault="00585F48">
      <w:pPr>
        <w:spacing w:line="276" w:lineRule="auto"/>
        <w:ind w:firstLine="708"/>
        <w:jc w:val="both"/>
      </w:pPr>
      <w:r>
        <w:rPr>
          <w:b/>
          <w:color w:val="000000"/>
          <w:szCs w:val="24"/>
        </w:rPr>
        <w:t>Stanovisko vlády</w:t>
      </w:r>
      <w:r>
        <w:rPr>
          <w:color w:val="000000"/>
          <w:szCs w:val="24"/>
        </w:rPr>
        <w:t xml:space="preserve"> Slovenskej republiky </w:t>
      </w:r>
      <w:r>
        <w:rPr>
          <w:iCs/>
          <w:color w:val="000000"/>
          <w:szCs w:val="24"/>
        </w:rPr>
        <w:t>k návrhu poslancov Národnej rady Slovenskej republiky Dávida DEMEČKA a Michala BARTEKA na vydanie zákona, ktorým sa mení zákon č. 83/1990 Zb. o združovaní občanov v znení neskorších predpisov a ktorým sa menia niektoré zákony</w:t>
      </w:r>
      <w:r>
        <w:rPr>
          <w:color w:val="000000"/>
          <w:szCs w:val="24"/>
        </w:rPr>
        <w:t xml:space="preserve"> </w:t>
      </w:r>
      <w:r>
        <w:rPr>
          <w:b/>
          <w:color w:val="000000"/>
          <w:szCs w:val="24"/>
        </w:rPr>
        <w:t xml:space="preserve">(tlač 745) </w:t>
      </w:r>
      <w:r>
        <w:rPr>
          <w:color w:val="000000"/>
          <w:szCs w:val="24"/>
        </w:rPr>
        <w:t xml:space="preserve">podľa § 70 ods. 2 zákona Národnej rady Slovenskej republiky č. 350/1996 Z. z. o rokovacom poriadku Národnej rady Slovenskej republiky v znení neskorších predpisov </w:t>
      </w:r>
      <w:r>
        <w:rPr>
          <w:b/>
          <w:color w:val="000000"/>
          <w:szCs w:val="24"/>
        </w:rPr>
        <w:t>nebolo do konania schôdze gestorského výboru doručené</w:t>
      </w:r>
      <w:r>
        <w:rPr>
          <w:color w:val="000000"/>
          <w:szCs w:val="24"/>
        </w:rPr>
        <w:t>.</w:t>
      </w:r>
    </w:p>
    <w:p w:rsidR="00B528F0" w:rsidRDefault="00B528F0">
      <w:pPr>
        <w:rPr>
          <w:szCs w:val="24"/>
        </w:rPr>
      </w:pPr>
    </w:p>
    <w:p w:rsidR="00B528F0" w:rsidRDefault="00585F48">
      <w:pPr>
        <w:jc w:val="center"/>
        <w:rPr>
          <w:szCs w:val="24"/>
        </w:rPr>
      </w:pPr>
      <w:r>
        <w:rPr>
          <w:b/>
          <w:bCs/>
          <w:color w:val="000000"/>
          <w:szCs w:val="24"/>
        </w:rPr>
        <w:t>IV.</w:t>
      </w:r>
    </w:p>
    <w:p w:rsidR="00B528F0" w:rsidRDefault="00B528F0">
      <w:pPr>
        <w:rPr>
          <w:szCs w:val="24"/>
        </w:rPr>
      </w:pPr>
    </w:p>
    <w:p w:rsidR="00B528F0" w:rsidRDefault="00585F48">
      <w:pPr>
        <w:jc w:val="both"/>
        <w:rPr>
          <w:szCs w:val="24"/>
        </w:rPr>
      </w:pPr>
      <w:r>
        <w:rPr>
          <w:color w:val="000000"/>
          <w:szCs w:val="24"/>
        </w:rPr>
        <w:tab/>
        <w:t>Výbory Národnej rady Slovenskej republiky, ktorým bol návrh zákona pridelený zaujali k nemu nasledovné stanoviská:</w:t>
      </w:r>
    </w:p>
    <w:p w:rsidR="00B528F0" w:rsidRDefault="00585F48">
      <w:pPr>
        <w:spacing w:before="240"/>
        <w:ind w:firstLine="708"/>
        <w:jc w:val="both"/>
        <w:rPr>
          <w:b/>
          <w:bCs/>
          <w:color w:val="000000"/>
          <w:szCs w:val="24"/>
        </w:rPr>
      </w:pPr>
      <w:r>
        <w:rPr>
          <w:b/>
        </w:rPr>
        <w:t>Ústavnoprávny  výbor</w:t>
      </w:r>
      <w:r>
        <w:t xml:space="preserve">  Národnej  rady  Slovenskej  republiky  </w:t>
      </w:r>
      <w:r>
        <w:rPr>
          <w:color w:val="000000"/>
          <w:szCs w:val="24"/>
        </w:rPr>
        <w:t xml:space="preserve">uznesením č. 282         z 21. mája 2025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Pr>
          <w:b/>
          <w:bCs/>
          <w:color w:val="000000"/>
          <w:szCs w:val="24"/>
        </w:rPr>
        <w:tab/>
      </w:r>
    </w:p>
    <w:p w:rsidR="00B528F0" w:rsidRDefault="00585F48">
      <w:pPr>
        <w:spacing w:before="240"/>
        <w:ind w:firstLine="708"/>
        <w:jc w:val="both"/>
        <w:rPr>
          <w:b/>
          <w:bCs/>
          <w:color w:val="000000"/>
          <w:szCs w:val="24"/>
        </w:rPr>
      </w:pPr>
      <w:r>
        <w:rPr>
          <w:b/>
          <w:bCs/>
          <w:color w:val="000000"/>
          <w:szCs w:val="24"/>
        </w:rPr>
        <w:t xml:space="preserve">Výbor Národnej rady Slovenskej republiky pre verejnú správu a regionálny rozvoj </w:t>
      </w:r>
      <w:r>
        <w:rPr>
          <w:color w:val="000000"/>
          <w:szCs w:val="24"/>
        </w:rPr>
        <w:t xml:space="preserve">uznesením č. 119 z 27. mája 2025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 xml:space="preserve">schváliť s pozmeňujúcimi a doplňujúcimi návrhmi; </w:t>
      </w:r>
    </w:p>
    <w:p w:rsidR="00B528F0" w:rsidRDefault="00B528F0">
      <w:pPr>
        <w:ind w:firstLine="708"/>
        <w:jc w:val="both"/>
        <w:rPr>
          <w:szCs w:val="24"/>
        </w:rPr>
      </w:pPr>
    </w:p>
    <w:p w:rsidR="00B528F0" w:rsidRDefault="00585F48">
      <w:pPr>
        <w:jc w:val="center"/>
        <w:rPr>
          <w:b/>
          <w:bCs/>
          <w:color w:val="000000"/>
          <w:szCs w:val="24"/>
        </w:rPr>
      </w:pPr>
      <w:r>
        <w:rPr>
          <w:b/>
          <w:bCs/>
          <w:color w:val="000000"/>
          <w:szCs w:val="24"/>
        </w:rPr>
        <w:t>V.</w:t>
      </w:r>
    </w:p>
    <w:p w:rsidR="00B528F0" w:rsidRDefault="00B528F0">
      <w:pPr>
        <w:jc w:val="center"/>
        <w:rPr>
          <w:b/>
          <w:bCs/>
          <w:color w:val="000000"/>
          <w:szCs w:val="24"/>
        </w:rPr>
      </w:pPr>
    </w:p>
    <w:p w:rsidR="00B528F0" w:rsidRDefault="00585F48">
      <w:pPr>
        <w:spacing w:after="120"/>
        <w:ind w:firstLine="708"/>
        <w:jc w:val="both"/>
        <w:rPr>
          <w:color w:val="000000"/>
          <w:szCs w:val="24"/>
        </w:rPr>
      </w:pPr>
      <w:r>
        <w:rPr>
          <w:color w:val="000000"/>
          <w:szCs w:val="24"/>
        </w:rPr>
        <w:t>Z uznesení výborov Národnej rady Slovenskej republiky uvedených pod bodom I</w:t>
      </w:r>
      <w:r w:rsidR="00161CBD">
        <w:rPr>
          <w:color w:val="000000"/>
          <w:szCs w:val="24"/>
        </w:rPr>
        <w:t>V</w:t>
      </w:r>
      <w:r>
        <w:rPr>
          <w:color w:val="000000"/>
          <w:szCs w:val="24"/>
        </w:rPr>
        <w:t>. spoločnej správy vyplynuli tieto pozmeňujúce a doplňujúce návrhy:</w:t>
      </w:r>
    </w:p>
    <w:p w:rsidR="00B528F0" w:rsidRDefault="00B528F0">
      <w:pPr>
        <w:tabs>
          <w:tab w:val="left" w:pos="4678"/>
        </w:tabs>
        <w:jc w:val="both"/>
        <w:rPr>
          <w:kern w:val="2"/>
        </w:rPr>
      </w:pPr>
    </w:p>
    <w:p w:rsidR="00B528F0" w:rsidRDefault="00585F48">
      <w:pPr>
        <w:pStyle w:val="Odsekzoznamu"/>
        <w:numPr>
          <w:ilvl w:val="0"/>
          <w:numId w:val="1"/>
        </w:numPr>
        <w:ind w:left="284" w:hanging="284"/>
        <w:rPr>
          <w:color w:val="000000"/>
          <w:sz w:val="27"/>
          <w:szCs w:val="27"/>
        </w:rPr>
      </w:pPr>
      <w:r>
        <w:rPr>
          <w:sz w:val="24"/>
          <w:szCs w:val="24"/>
        </w:rPr>
        <w:t>V názve návrhu zákona sa za slovo „mení“ vkladajú slová „a dopĺňa“</w:t>
      </w:r>
      <w:r>
        <w:rPr>
          <w:color w:val="000000"/>
          <w:sz w:val="24"/>
          <w:szCs w:val="24"/>
        </w:rPr>
        <w:t>.</w:t>
      </w:r>
    </w:p>
    <w:p w:rsidR="00B528F0" w:rsidRDefault="00B528F0">
      <w:pPr>
        <w:rPr>
          <w:color w:val="000000"/>
          <w:szCs w:val="24"/>
        </w:rPr>
      </w:pPr>
    </w:p>
    <w:p w:rsidR="00B528F0" w:rsidRDefault="00585F48">
      <w:pPr>
        <w:ind w:left="2268"/>
        <w:jc w:val="both"/>
        <w:rPr>
          <w:szCs w:val="24"/>
        </w:rPr>
      </w:pPr>
      <w:r>
        <w:rPr>
          <w:szCs w:val="24"/>
        </w:rPr>
        <w:t xml:space="preserve">Legislatívno-technická úprava; spresnenie názvu návrhu zákona. </w:t>
      </w:r>
    </w:p>
    <w:p w:rsidR="00B528F0" w:rsidRDefault="00B528F0">
      <w:pPr>
        <w:pStyle w:val="Odsekzoznamu"/>
        <w:ind w:left="1134"/>
        <w:jc w:val="both"/>
        <w:rPr>
          <w:sz w:val="24"/>
          <w:szCs w:val="24"/>
        </w:rPr>
      </w:pPr>
    </w:p>
    <w:p w:rsidR="00B528F0" w:rsidRDefault="00B528F0">
      <w:pPr>
        <w:pStyle w:val="Odsekzoznamu"/>
        <w:ind w:left="426"/>
        <w:rPr>
          <w:sz w:val="24"/>
          <w:szCs w:val="24"/>
        </w:rPr>
      </w:pPr>
    </w:p>
    <w:p w:rsidR="00B528F0" w:rsidRDefault="00585F48">
      <w:pPr>
        <w:ind w:left="3540"/>
        <w:jc w:val="both"/>
        <w:rPr>
          <w:szCs w:val="24"/>
        </w:rPr>
      </w:pPr>
      <w:r>
        <w:rPr>
          <w:szCs w:val="24"/>
        </w:rPr>
        <w:t>Ústavnoprávny výbor NR SR</w:t>
      </w:r>
    </w:p>
    <w:p w:rsidR="00B528F0" w:rsidRDefault="00585F48">
      <w:pPr>
        <w:ind w:left="3540"/>
        <w:jc w:val="both"/>
        <w:rPr>
          <w:szCs w:val="24"/>
        </w:rPr>
      </w:pPr>
      <w:r>
        <w:rPr>
          <w:szCs w:val="24"/>
        </w:rPr>
        <w:t>Výbor NR SR pre verejnú správu a regionálny rozvoj</w:t>
      </w:r>
    </w:p>
    <w:p w:rsidR="00B528F0" w:rsidRDefault="00B528F0">
      <w:pPr>
        <w:ind w:left="4248" w:firstLine="708"/>
        <w:rPr>
          <w:b/>
          <w:szCs w:val="24"/>
        </w:rPr>
      </w:pPr>
    </w:p>
    <w:p w:rsidR="00B528F0" w:rsidRDefault="00585F48">
      <w:pPr>
        <w:pStyle w:val="Odsekzoznamu"/>
        <w:ind w:left="4674" w:firstLine="282"/>
        <w:rPr>
          <w:b/>
          <w:sz w:val="24"/>
          <w:szCs w:val="24"/>
        </w:rPr>
      </w:pPr>
      <w:r>
        <w:rPr>
          <w:b/>
          <w:sz w:val="24"/>
          <w:szCs w:val="24"/>
        </w:rPr>
        <w:t>Gestorský výbor odporúča schváliť.</w:t>
      </w:r>
    </w:p>
    <w:p w:rsidR="00B528F0" w:rsidRDefault="00B528F0">
      <w:pPr>
        <w:pStyle w:val="Odsekzoznamu"/>
        <w:ind w:left="4674" w:firstLine="282"/>
        <w:rPr>
          <w:b/>
          <w:sz w:val="24"/>
          <w:szCs w:val="24"/>
        </w:rPr>
      </w:pPr>
    </w:p>
    <w:p w:rsidR="00B528F0" w:rsidRDefault="00585F48">
      <w:pPr>
        <w:pStyle w:val="Odsekzoznamu"/>
        <w:numPr>
          <w:ilvl w:val="0"/>
          <w:numId w:val="1"/>
        </w:numPr>
        <w:spacing w:after="240"/>
        <w:ind w:left="284" w:hanging="284"/>
        <w:contextualSpacing w:val="0"/>
        <w:jc w:val="both"/>
        <w:rPr>
          <w:sz w:val="24"/>
          <w:szCs w:val="24"/>
        </w:rPr>
      </w:pPr>
      <w:r>
        <w:rPr>
          <w:sz w:val="24"/>
          <w:szCs w:val="24"/>
        </w:rPr>
        <w:t>V čl. I, 3. bode sa slová „§ 20a vkladá § 20b“ nahrádzajú slovami „§ 20b vkladá § 20c“ a zároveň sa primerane upraví označenie prechodného ustanovenia.</w:t>
      </w:r>
    </w:p>
    <w:p w:rsidR="00B528F0" w:rsidRDefault="00585F48">
      <w:pPr>
        <w:pStyle w:val="Odsekzoznamu"/>
        <w:ind w:left="1134"/>
        <w:jc w:val="both"/>
        <w:rPr>
          <w:sz w:val="24"/>
          <w:szCs w:val="24"/>
        </w:rPr>
      </w:pPr>
      <w:r>
        <w:rPr>
          <w:sz w:val="24"/>
          <w:szCs w:val="24"/>
        </w:rPr>
        <w:t>Legislatívno-technická úprava; preznačenie označenia uvedeného ustanovenia vzhľadom na schválenú novelu zákona č. 83/1990 Zb. o združovaní občanov v znení neskorších predpisov v tlači 245 (čl. IV), ktorý v bode 4 vkladal totožné označenie prechodného ustanovenia § 20b.</w:t>
      </w:r>
    </w:p>
    <w:p w:rsidR="00585F48" w:rsidRDefault="00585F48" w:rsidP="00585F48">
      <w:pPr>
        <w:rPr>
          <w:szCs w:val="24"/>
        </w:rPr>
      </w:pPr>
    </w:p>
    <w:p w:rsidR="00585F48" w:rsidRPr="00585F48" w:rsidRDefault="00585F48" w:rsidP="00585F48">
      <w:pPr>
        <w:rPr>
          <w:szCs w:val="24"/>
        </w:rPr>
      </w:pPr>
      <w:r>
        <w:rPr>
          <w:szCs w:val="24"/>
        </w:rPr>
        <w:tab/>
      </w:r>
      <w:r>
        <w:rPr>
          <w:szCs w:val="24"/>
        </w:rPr>
        <w:tab/>
      </w:r>
      <w:r>
        <w:rPr>
          <w:szCs w:val="24"/>
        </w:rPr>
        <w:tab/>
      </w:r>
      <w:r>
        <w:rPr>
          <w:szCs w:val="24"/>
        </w:rPr>
        <w:tab/>
      </w:r>
      <w:r>
        <w:rPr>
          <w:szCs w:val="24"/>
        </w:rPr>
        <w:tab/>
        <w:t>Ústavnoprávny výbor NR SR</w:t>
      </w:r>
    </w:p>
    <w:p w:rsidR="00B528F0" w:rsidRDefault="00585F48">
      <w:pPr>
        <w:ind w:left="3540"/>
        <w:jc w:val="both"/>
        <w:rPr>
          <w:szCs w:val="24"/>
        </w:rPr>
      </w:pPr>
      <w:r>
        <w:rPr>
          <w:szCs w:val="24"/>
        </w:rPr>
        <w:t>Výbor NR SR pre verejnú správu a regionálny rozvoj</w:t>
      </w:r>
    </w:p>
    <w:p w:rsidR="00B528F0" w:rsidRDefault="00B528F0">
      <w:pPr>
        <w:ind w:left="4248" w:firstLine="708"/>
        <w:rPr>
          <w:b/>
          <w:szCs w:val="24"/>
        </w:rPr>
      </w:pPr>
    </w:p>
    <w:p w:rsidR="00B528F0" w:rsidRDefault="00585F48">
      <w:pPr>
        <w:pStyle w:val="Odsekzoznamu"/>
        <w:ind w:left="4674" w:firstLine="282"/>
        <w:rPr>
          <w:sz w:val="24"/>
          <w:szCs w:val="24"/>
        </w:rPr>
      </w:pPr>
      <w:r>
        <w:rPr>
          <w:b/>
          <w:sz w:val="24"/>
          <w:szCs w:val="24"/>
        </w:rPr>
        <w:t>Gestorský výbor odporúča schváliť.</w:t>
      </w:r>
    </w:p>
    <w:p w:rsidR="00B528F0" w:rsidRDefault="00B528F0">
      <w:pPr>
        <w:pStyle w:val="Odsekzoznamu"/>
        <w:ind w:left="426"/>
        <w:rPr>
          <w:sz w:val="24"/>
          <w:szCs w:val="24"/>
        </w:rPr>
      </w:pPr>
    </w:p>
    <w:p w:rsidR="00585F48" w:rsidRDefault="00585F48">
      <w:pPr>
        <w:pStyle w:val="Odsekzoznamu"/>
        <w:ind w:left="426"/>
        <w:rPr>
          <w:sz w:val="24"/>
          <w:szCs w:val="24"/>
        </w:rPr>
      </w:pPr>
    </w:p>
    <w:p w:rsidR="00585F48" w:rsidRDefault="00585F48">
      <w:pPr>
        <w:pStyle w:val="Odsekzoznamu"/>
        <w:ind w:left="426"/>
        <w:rPr>
          <w:sz w:val="24"/>
          <w:szCs w:val="24"/>
        </w:rPr>
      </w:pPr>
    </w:p>
    <w:p w:rsidR="00B528F0" w:rsidRDefault="00585F48">
      <w:pPr>
        <w:pStyle w:val="Odsekzoznamu"/>
        <w:numPr>
          <w:ilvl w:val="0"/>
          <w:numId w:val="1"/>
        </w:numPr>
        <w:spacing w:after="240"/>
        <w:ind w:left="426" w:hanging="426"/>
        <w:contextualSpacing w:val="0"/>
        <w:jc w:val="both"/>
        <w:rPr>
          <w:sz w:val="24"/>
          <w:szCs w:val="24"/>
        </w:rPr>
      </w:pPr>
      <w:r>
        <w:rPr>
          <w:sz w:val="24"/>
          <w:szCs w:val="24"/>
        </w:rPr>
        <w:lastRenderedPageBreak/>
        <w:t>V čl. I, 4. bode sa slová „§ 19, § 20 a § 20a nahrádzajú“  nahrádzajú slovami „§ 19 až 20a nahrádza“.</w:t>
      </w:r>
    </w:p>
    <w:p w:rsidR="00B528F0" w:rsidRDefault="00585F48">
      <w:pPr>
        <w:pStyle w:val="Odsekzoznamu"/>
        <w:ind w:left="3258" w:firstLine="282"/>
        <w:jc w:val="both"/>
        <w:rPr>
          <w:sz w:val="24"/>
          <w:szCs w:val="24"/>
        </w:rPr>
      </w:pPr>
      <w:r>
        <w:rPr>
          <w:sz w:val="24"/>
          <w:szCs w:val="24"/>
        </w:rPr>
        <w:t>Legislatívno-technická úprava.</w:t>
      </w:r>
    </w:p>
    <w:p w:rsidR="00B528F0" w:rsidRDefault="00B528F0">
      <w:pPr>
        <w:pStyle w:val="Odsekzoznamu"/>
        <w:ind w:left="3258" w:firstLine="282"/>
        <w:jc w:val="both"/>
        <w:rPr>
          <w:sz w:val="24"/>
          <w:szCs w:val="24"/>
        </w:rPr>
      </w:pPr>
    </w:p>
    <w:p w:rsidR="00585F48" w:rsidRDefault="00585F48">
      <w:pPr>
        <w:pStyle w:val="Odsekzoznamu"/>
        <w:ind w:left="3258" w:firstLine="282"/>
        <w:jc w:val="both"/>
        <w:rPr>
          <w:sz w:val="24"/>
          <w:szCs w:val="24"/>
        </w:rPr>
      </w:pPr>
      <w:r w:rsidRPr="00585F48">
        <w:rPr>
          <w:sz w:val="24"/>
          <w:szCs w:val="24"/>
        </w:rPr>
        <w:t>Ústavnoprávny výbor NR SR</w:t>
      </w:r>
    </w:p>
    <w:p w:rsidR="00B528F0" w:rsidRDefault="00585F48">
      <w:pPr>
        <w:ind w:left="3540"/>
        <w:jc w:val="both"/>
        <w:rPr>
          <w:szCs w:val="24"/>
        </w:rPr>
      </w:pPr>
      <w:r>
        <w:rPr>
          <w:szCs w:val="24"/>
        </w:rPr>
        <w:t>Výbor NR SR pre verejnú správu a regionálny rozvoj</w:t>
      </w:r>
    </w:p>
    <w:p w:rsidR="00B528F0" w:rsidRDefault="00B528F0">
      <w:pPr>
        <w:ind w:left="4248" w:firstLine="708"/>
        <w:rPr>
          <w:b/>
          <w:szCs w:val="24"/>
        </w:rPr>
      </w:pPr>
    </w:p>
    <w:p w:rsidR="00B528F0" w:rsidRDefault="00585F48">
      <w:pPr>
        <w:pStyle w:val="Odsekzoznamu"/>
        <w:ind w:left="4674" w:firstLine="282"/>
        <w:rPr>
          <w:sz w:val="24"/>
          <w:szCs w:val="24"/>
        </w:rPr>
      </w:pPr>
      <w:r>
        <w:rPr>
          <w:b/>
          <w:sz w:val="24"/>
          <w:szCs w:val="24"/>
        </w:rPr>
        <w:t>Gestorský výbor odporúča schváliť.</w:t>
      </w:r>
    </w:p>
    <w:p w:rsidR="00B528F0" w:rsidRDefault="00B528F0">
      <w:pPr>
        <w:pStyle w:val="Odsekzoznamu"/>
        <w:ind w:left="3258" w:firstLine="282"/>
        <w:jc w:val="both"/>
        <w:rPr>
          <w:sz w:val="24"/>
          <w:szCs w:val="24"/>
        </w:rPr>
      </w:pPr>
    </w:p>
    <w:p w:rsidR="00B528F0" w:rsidRDefault="00585F48">
      <w:pPr>
        <w:pStyle w:val="Odsekzoznamu"/>
        <w:numPr>
          <w:ilvl w:val="0"/>
          <w:numId w:val="1"/>
        </w:numPr>
        <w:spacing w:after="240"/>
        <w:ind w:left="284" w:hanging="284"/>
        <w:contextualSpacing w:val="0"/>
        <w:jc w:val="both"/>
        <w:rPr>
          <w:sz w:val="24"/>
          <w:szCs w:val="24"/>
        </w:rPr>
      </w:pPr>
      <w:r>
        <w:rPr>
          <w:sz w:val="24"/>
          <w:szCs w:val="24"/>
        </w:rPr>
        <w:t xml:space="preserve">Za čl. I sa vkladá nový čl. II, ktorý znie. </w:t>
      </w:r>
    </w:p>
    <w:p w:rsidR="00B528F0" w:rsidRDefault="00585F48">
      <w:pPr>
        <w:pStyle w:val="Odsekzoznamu"/>
        <w:spacing w:after="240"/>
        <w:contextualSpacing w:val="0"/>
        <w:jc w:val="center"/>
        <w:rPr>
          <w:b/>
          <w:sz w:val="24"/>
          <w:szCs w:val="24"/>
        </w:rPr>
      </w:pPr>
      <w:r>
        <w:rPr>
          <w:sz w:val="24"/>
          <w:szCs w:val="24"/>
        </w:rPr>
        <w:t>„</w:t>
      </w:r>
      <w:r>
        <w:rPr>
          <w:b/>
          <w:sz w:val="24"/>
          <w:szCs w:val="24"/>
        </w:rPr>
        <w:t>Čl. II</w:t>
      </w:r>
    </w:p>
    <w:p w:rsidR="00B528F0" w:rsidRDefault="00B528F0">
      <w:pPr>
        <w:pStyle w:val="Odsekzoznamu"/>
        <w:spacing w:after="240"/>
        <w:ind w:left="284"/>
        <w:contextualSpacing w:val="0"/>
        <w:jc w:val="both"/>
        <w:rPr>
          <w:sz w:val="24"/>
          <w:szCs w:val="24"/>
        </w:rPr>
      </w:pPr>
    </w:p>
    <w:p w:rsidR="00B528F0" w:rsidRDefault="00585F48">
      <w:pPr>
        <w:spacing w:after="240"/>
        <w:ind w:firstLine="284"/>
        <w:jc w:val="both"/>
      </w:pPr>
      <w:r>
        <w:t>Zákon č. 180/2013 Z. z. o organizácii miestnej štátnej správy a o zmene a doplnení niektorých zákonov v znení zákona č. 474/2013 Z. z., zákona č. 506/2013 Z. z., zákona č. 115/2014 Z. z., zákona č. 374/2014 Z. z., zákona č. 125/2016 Z. z., zákona č. 378/2016 Z. z. a zákona č. 55/2017 Z. z. sa dopĺňa takto:</w:t>
      </w:r>
    </w:p>
    <w:p w:rsidR="00B528F0" w:rsidRDefault="00585F48">
      <w:pPr>
        <w:spacing w:after="240"/>
        <w:ind w:firstLine="284"/>
        <w:jc w:val="both"/>
      </w:pPr>
      <w:r>
        <w:t>Za § 4a sa vkladá § 4b, ktorý znie:</w:t>
      </w:r>
    </w:p>
    <w:p w:rsidR="00B528F0" w:rsidRDefault="00585F48">
      <w:pPr>
        <w:spacing w:after="240"/>
        <w:jc w:val="center"/>
      </w:pPr>
      <w:r>
        <w:t>„§ 4b</w:t>
      </w:r>
    </w:p>
    <w:p w:rsidR="00B528F0" w:rsidRDefault="00585F48">
      <w:pPr>
        <w:spacing w:after="240"/>
        <w:ind w:firstLine="284"/>
        <w:jc w:val="both"/>
      </w:pPr>
      <w:r>
        <w:t>(1) Nebytové priestory alebo ich časti v budovách vo vlastníctve Slovenskej republiky, v správe ministerstva, v ktorých vykonáva pôsobnosť okresný úrad alebo ministerstvo vybavovaním vecí fyzických osôb a právnických osôb v osobnom kontakte, možno prenechať do nájmu aj bez ponuky podľa osobitného predpisu</w:t>
      </w:r>
      <w:r>
        <w:rPr>
          <w:vertAlign w:val="superscript"/>
        </w:rPr>
        <w:t>1b</w:t>
      </w:r>
      <w:r>
        <w:t>), ak nájomcom je obec, vyšší územný celok alebo právnická osoba s majetkovou účasťou štátu a nájomca poskytuje univerzálne poštové služby alebo iné služby podporujúce prístup fyzických osôb a právnických osôb k vybavovaniu vecí súvisiacich s výkonom pôsobnosti okresného úradu alebo ministerstva v osobnom kontakte.</w:t>
      </w:r>
    </w:p>
    <w:p w:rsidR="00B528F0" w:rsidRDefault="00585F48">
      <w:pPr>
        <w:spacing w:after="240"/>
        <w:ind w:firstLine="284"/>
        <w:jc w:val="both"/>
      </w:pPr>
      <w:r>
        <w:t>(2) Uplatnením postupu podľa odseku 1 možno dohodnúť najmenej také nájomné, za aké sa v tom čase a na tom mieste obvykle prenechávajú do nájmu na dohodnutý účel také alebo porovnateľné nebytové priestory alebo ich časti.</w:t>
      </w:r>
    </w:p>
    <w:p w:rsidR="00B528F0" w:rsidRDefault="00585F48">
      <w:pPr>
        <w:spacing w:after="240"/>
        <w:ind w:firstLine="284"/>
        <w:jc w:val="both"/>
      </w:pPr>
      <w:r>
        <w:t>(3) Na platnosť zmluvy o nájme podľa odseku 1 sa nevyžaduje súhlas podľa osobitného predpisu</w:t>
      </w:r>
      <w:r>
        <w:rPr>
          <w:vertAlign w:val="superscript"/>
        </w:rPr>
        <w:t>1c</w:t>
      </w:r>
      <w:r>
        <w:t>). “.</w:t>
      </w:r>
    </w:p>
    <w:p w:rsidR="00B528F0" w:rsidRDefault="00585F48">
      <w:pPr>
        <w:spacing w:after="240"/>
        <w:ind w:firstLine="284"/>
        <w:jc w:val="both"/>
      </w:pPr>
      <w:r>
        <w:t>Poznámky pod čiarou k odkazom 1b a 1c znejú:</w:t>
      </w:r>
    </w:p>
    <w:p w:rsidR="00B528F0" w:rsidRDefault="00585F48">
      <w:pPr>
        <w:jc w:val="both"/>
      </w:pPr>
      <w:r>
        <w:t>„</w:t>
      </w:r>
      <w:r>
        <w:rPr>
          <w:vertAlign w:val="superscript"/>
        </w:rPr>
        <w:t>1b</w:t>
      </w:r>
      <w:r>
        <w:t>) § 13 ods. 1 zákona Národnej rady Slovenskej republiky č. 278/1993 Z. z. v znení neskorších predpisov.</w:t>
      </w:r>
    </w:p>
    <w:p w:rsidR="00B528F0" w:rsidRDefault="00585F48">
      <w:pPr>
        <w:pStyle w:val="Odsekzoznamu"/>
        <w:spacing w:after="240"/>
        <w:ind w:left="0"/>
        <w:contextualSpacing w:val="0"/>
        <w:jc w:val="both"/>
        <w:rPr>
          <w:sz w:val="24"/>
          <w:szCs w:val="24"/>
        </w:rPr>
      </w:pPr>
      <w:r>
        <w:rPr>
          <w:sz w:val="24"/>
          <w:vertAlign w:val="superscript"/>
        </w:rPr>
        <w:t>1c</w:t>
      </w:r>
      <w:r>
        <w:rPr>
          <w:sz w:val="24"/>
        </w:rPr>
        <w:t>) § 13 ods. 9 zákona Národnej rady Slovenskej republiky č. 278/1993 Z. z. v znení neskorších predpisov.“.“.</w:t>
      </w:r>
    </w:p>
    <w:p w:rsidR="00B528F0" w:rsidRDefault="00585F48">
      <w:pPr>
        <w:spacing w:after="240"/>
        <w:ind w:firstLine="284"/>
        <w:jc w:val="both"/>
        <w:rPr>
          <w:szCs w:val="24"/>
        </w:rPr>
      </w:pPr>
      <w:r>
        <w:rPr>
          <w:szCs w:val="24"/>
        </w:rPr>
        <w:t xml:space="preserve">Nasledujúce články sa primerane preznačia. </w:t>
      </w:r>
    </w:p>
    <w:p w:rsidR="00B528F0" w:rsidRDefault="00585F48">
      <w:pPr>
        <w:spacing w:after="240"/>
        <w:ind w:firstLine="284"/>
        <w:jc w:val="both"/>
        <w:rPr>
          <w:szCs w:val="24"/>
        </w:rPr>
      </w:pPr>
      <w:r>
        <w:rPr>
          <w:szCs w:val="24"/>
        </w:rPr>
        <w:t xml:space="preserve">V súvislosti s vložením článku II sa primerane upraví názov zákona. </w:t>
      </w:r>
    </w:p>
    <w:p w:rsidR="00B528F0" w:rsidRDefault="00585F48">
      <w:pPr>
        <w:ind w:left="2268"/>
        <w:jc w:val="both"/>
        <w:rPr>
          <w:szCs w:val="24"/>
        </w:rPr>
      </w:pPr>
      <w:r>
        <w:rPr>
          <w:szCs w:val="24"/>
        </w:rPr>
        <w:t>Aplikačná prax v rámci existencie klientskych centier v sieti okresných úradov ukázala potrebu, aby Ministerstvo vnútra Slovenskej republiky (ďalej len „ministerstvo“) ako správca majetku štátu zabezpečilo v rámci klientskych centier aj také služby podporujúce prístup fyzických osôb a právnických osôb k vybavovaniu vecí v osobnom kontakte, ktoré neposkytuje priamo okresný úrad alebo ministerstvo, avšak s výkonom ich pôsobnosti úzko súvisia a obyvateľ si tak môže vybaviť viacero svojich vecí na jednom mieste.</w:t>
      </w:r>
    </w:p>
    <w:p w:rsidR="00B528F0" w:rsidRDefault="00585F48">
      <w:pPr>
        <w:ind w:left="2268"/>
        <w:jc w:val="both"/>
        <w:rPr>
          <w:szCs w:val="24"/>
        </w:rPr>
      </w:pPr>
      <w:r>
        <w:rPr>
          <w:szCs w:val="24"/>
        </w:rPr>
        <w:t>Podľa § 13 zákona NR SR č. 278/1993 Z. z. o správe majetku štátu v znení neskorších predpisov (ďalej len „zákon o správe majetku štátu alebo zákon“), je správca povinný ponúknuť dočasne prebytočný nehnuteľný majetok štátu v registri ponúkaného majetku štátu (ďalej len „register“) a dohodnúť také nájomné, za aké sa v tom čase a na tom mieste obvykle prenechávajú do nájmu na dohodnutý účel také alebo porovnateľné nehnuteľnosti (ďalej len „trhové nájomné“).</w:t>
      </w:r>
    </w:p>
    <w:p w:rsidR="00B528F0" w:rsidRDefault="00585F48">
      <w:pPr>
        <w:ind w:left="2268"/>
        <w:jc w:val="both"/>
        <w:rPr>
          <w:szCs w:val="24"/>
        </w:rPr>
      </w:pPr>
      <w:r>
        <w:rPr>
          <w:szCs w:val="24"/>
        </w:rPr>
        <w:t xml:space="preserve">V záujme zachovania súťažného prostredia, konkurencieschopnosti a transparentnosti, nie je správca oprávnený v rámci ponuky v registri vymedziť konkrétny účel, na ktorý sa má záujmový nehnuteľný majetok využívať, zákon zároveň taxatívne vymedzuje subjekty, ktorým môže správca prenechať dočasne prebytočný nehnuteľný majetok štátu bez povinnosti ponúknuť takýto majetok v registri. </w:t>
      </w:r>
    </w:p>
    <w:p w:rsidR="00B528F0" w:rsidRDefault="00585F48">
      <w:pPr>
        <w:ind w:left="2268"/>
        <w:jc w:val="both"/>
        <w:rPr>
          <w:szCs w:val="24"/>
        </w:rPr>
      </w:pPr>
      <w:r>
        <w:rPr>
          <w:szCs w:val="24"/>
        </w:rPr>
        <w:t>V aplikačnej praxi tak často dochádza k situácii, kedy ministerstvo má v záujme podporiť prístup fyzických osôb a právnických osôb k vybavovaniu vecí v osobnom kontakte, avšak výsledkom ponuky na nájom je, že výhercom je záujemca, ktorý ponúkol najvyššie trhové nájomné, pričom jeho zámer využitia predmetného ponúkaného nehnuteľného majetku štátu bude diametrálne odlišný od zámeru ministerstva. V praxi sa totiž častokrát stáva, že výherca avizuje poskytovanie služby alebo ponúkanie tovaru, ktoré nielenže nesúvisí s výkonom pôsobnosti okresného úradu alebo ministerstva v priestoroch klientskeho centra, ale hraničí s porušovaním dobrých mravov spoločnosti, napr. predaj erotických pomôcok na verejne dostupnom mieste, propagácia názorov a myšlienok rôznych náboženských skupín, ponúkanie rôznych kozmetických prípravkov atď.</w:t>
      </w:r>
    </w:p>
    <w:p w:rsidR="00B528F0" w:rsidRDefault="00585F48">
      <w:pPr>
        <w:ind w:left="2268"/>
        <w:jc w:val="both"/>
        <w:rPr>
          <w:szCs w:val="24"/>
        </w:rPr>
      </w:pPr>
      <w:r>
        <w:rPr>
          <w:szCs w:val="24"/>
        </w:rPr>
        <w:t xml:space="preserve">Z dôvodu vykonávania vymedzeného okruhu činností v rámci klientskych centier a v záujme redukovania zásahov správcu do ponuky na nájom jej rušením, sa navrhuje osobitná úprava nakladania s dočasne prebytočným nehnuteľným majetkom štátu, teda nehnuteľnosťami, v ktorých sídlia klientske centrá. Navrhuje sa, aby takýto nehnuteľný majetok štátu bolo možné prenechať do nájmu aj bez ponuky podľa osobitného predpisu, minimálne za trhové nájomné, ak nájomcom je obec, vyšší územný celok alebo právnická osoba s majetkovou účasťou štátu a nájomca poskytuje univerzálne poštové služby alebo iné služby podporujúce prístup fyzických osôb a právnických osôb k vybavovaniu vecí v osobnom kontakte súvisiacich s výkonom pôsobnosti okresného úradu alebo ministerstva. </w:t>
      </w:r>
    </w:p>
    <w:p w:rsidR="00B528F0" w:rsidRDefault="00585F48">
      <w:pPr>
        <w:pStyle w:val="Odsekzoznamu"/>
        <w:ind w:left="2268" w:hanging="852"/>
        <w:rPr>
          <w:rFonts w:eastAsia="Calibri"/>
          <w:i/>
          <w:sz w:val="24"/>
          <w:szCs w:val="24"/>
        </w:rPr>
      </w:pPr>
      <w:r>
        <w:rPr>
          <w:sz w:val="24"/>
          <w:szCs w:val="24"/>
        </w:rPr>
        <w:t xml:space="preserve">              O dočasnej prebytočnosti takéhoto nehnuteľného majetku štátu vydá               správca (ministerstvo) rozhodnutie a s nájomcom, uzatvorí zmluvu o nájme najviac na päť rokov.</w:t>
      </w:r>
    </w:p>
    <w:p w:rsidR="00B528F0" w:rsidRDefault="00B528F0">
      <w:pPr>
        <w:pStyle w:val="Odsekzoznamu"/>
        <w:ind w:left="1134" w:firstLine="282"/>
        <w:rPr>
          <w:rFonts w:eastAsia="Calibri"/>
          <w:i/>
          <w:sz w:val="24"/>
          <w:szCs w:val="24"/>
        </w:rPr>
      </w:pPr>
    </w:p>
    <w:p w:rsidR="00B528F0" w:rsidRDefault="00585F48">
      <w:pPr>
        <w:ind w:left="3540"/>
        <w:jc w:val="both"/>
        <w:rPr>
          <w:szCs w:val="24"/>
        </w:rPr>
      </w:pPr>
      <w:r>
        <w:rPr>
          <w:szCs w:val="24"/>
        </w:rPr>
        <w:t>Výbor NR SR pre verejnú správu a regionálny rozvoj</w:t>
      </w:r>
    </w:p>
    <w:p w:rsidR="00B528F0" w:rsidRDefault="00B528F0">
      <w:pPr>
        <w:ind w:left="4248" w:firstLine="708"/>
        <w:rPr>
          <w:b/>
          <w:szCs w:val="24"/>
        </w:rPr>
      </w:pPr>
    </w:p>
    <w:p w:rsidR="00B528F0" w:rsidRDefault="00585F48">
      <w:pPr>
        <w:pStyle w:val="Odsekzoznamu"/>
        <w:ind w:left="4674" w:firstLine="282"/>
        <w:rPr>
          <w:sz w:val="24"/>
          <w:szCs w:val="24"/>
        </w:rPr>
      </w:pPr>
      <w:r>
        <w:rPr>
          <w:b/>
          <w:sz w:val="24"/>
          <w:szCs w:val="24"/>
        </w:rPr>
        <w:t>Gestorský výbor odporúča schváliť.</w:t>
      </w:r>
    </w:p>
    <w:p w:rsidR="00B528F0" w:rsidRDefault="00B528F0">
      <w:pPr>
        <w:pStyle w:val="Odsekzoznamu"/>
        <w:ind w:left="426"/>
        <w:rPr>
          <w:sz w:val="24"/>
          <w:szCs w:val="24"/>
        </w:rPr>
      </w:pPr>
    </w:p>
    <w:p w:rsidR="00B528F0" w:rsidRDefault="00585F48">
      <w:pPr>
        <w:pStyle w:val="Odsekzoznamu"/>
        <w:numPr>
          <w:ilvl w:val="0"/>
          <w:numId w:val="1"/>
        </w:numPr>
        <w:tabs>
          <w:tab w:val="left" w:pos="284"/>
        </w:tabs>
        <w:spacing w:after="240"/>
        <w:ind w:left="0" w:firstLine="0"/>
        <w:jc w:val="both"/>
        <w:rPr>
          <w:sz w:val="24"/>
          <w:szCs w:val="24"/>
        </w:rPr>
      </w:pPr>
      <w:r>
        <w:rPr>
          <w:sz w:val="24"/>
          <w:szCs w:val="24"/>
        </w:rPr>
        <w:t>V čl. II sa doterajší text označuje ako novelizačný bod 1 a slová „rozhodol o odmietnutí registrácie združenia alebo o rozpustení združenia podľa osobitného predpisu“ sa nahrádzajú slovami „vydal rozhodnutie podľa § 391“.</w:t>
      </w:r>
    </w:p>
    <w:p w:rsidR="00B528F0" w:rsidRDefault="00B528F0">
      <w:pPr>
        <w:pStyle w:val="Odsekzoznamu"/>
        <w:spacing w:after="240"/>
        <w:jc w:val="both"/>
        <w:rPr>
          <w:sz w:val="24"/>
          <w:szCs w:val="24"/>
        </w:rPr>
      </w:pPr>
    </w:p>
    <w:p w:rsidR="00B528F0" w:rsidRDefault="00585F48">
      <w:pPr>
        <w:pStyle w:val="Odsekzoznamu"/>
        <w:spacing w:after="240"/>
        <w:jc w:val="both"/>
        <w:rPr>
          <w:sz w:val="24"/>
          <w:szCs w:val="24"/>
        </w:rPr>
      </w:pPr>
      <w:r>
        <w:rPr>
          <w:sz w:val="24"/>
          <w:szCs w:val="24"/>
        </w:rPr>
        <w:t xml:space="preserve">                        Legislatívno-technická úprava</w:t>
      </w:r>
    </w:p>
    <w:p w:rsidR="00B528F0" w:rsidRDefault="00B528F0">
      <w:pPr>
        <w:pStyle w:val="Odsekzoznamu"/>
        <w:spacing w:after="240"/>
        <w:jc w:val="both"/>
        <w:rPr>
          <w:sz w:val="24"/>
          <w:szCs w:val="24"/>
        </w:rPr>
      </w:pPr>
    </w:p>
    <w:p w:rsidR="00B528F0" w:rsidRDefault="00585F48">
      <w:pPr>
        <w:pStyle w:val="Odsekzoznamu"/>
        <w:numPr>
          <w:ilvl w:val="0"/>
          <w:numId w:val="1"/>
        </w:numPr>
        <w:spacing w:after="240"/>
        <w:ind w:left="284" w:hanging="284"/>
        <w:contextualSpacing w:val="0"/>
        <w:jc w:val="both"/>
        <w:rPr>
          <w:sz w:val="24"/>
          <w:szCs w:val="24"/>
        </w:rPr>
      </w:pPr>
      <w:r>
        <w:rPr>
          <w:sz w:val="24"/>
          <w:szCs w:val="24"/>
        </w:rPr>
        <w:t>V čl. II sa dopĺňa nový bod 2, ktorý znie:</w:t>
      </w:r>
    </w:p>
    <w:p w:rsidR="00B528F0" w:rsidRDefault="00585F48">
      <w:pPr>
        <w:pStyle w:val="Odsekzoznamu"/>
        <w:ind w:left="1134"/>
        <w:jc w:val="both"/>
        <w:rPr>
          <w:sz w:val="24"/>
          <w:szCs w:val="24"/>
        </w:rPr>
      </w:pPr>
      <w:r>
        <w:rPr>
          <w:sz w:val="24"/>
          <w:szCs w:val="24"/>
        </w:rPr>
        <w:t>„2.  Za § 493f sa vkladá nový § 493g, ktorý vrátane nadpisu znie:</w:t>
      </w:r>
    </w:p>
    <w:p w:rsidR="00B528F0" w:rsidRDefault="00585F48">
      <w:pPr>
        <w:pStyle w:val="Odsekzoznamu"/>
        <w:ind w:left="1134"/>
        <w:jc w:val="center"/>
        <w:rPr>
          <w:b/>
          <w:sz w:val="24"/>
          <w:szCs w:val="24"/>
        </w:rPr>
      </w:pPr>
      <w:r>
        <w:rPr>
          <w:b/>
          <w:sz w:val="24"/>
          <w:szCs w:val="24"/>
        </w:rPr>
        <w:t>„§ 493g</w:t>
      </w:r>
    </w:p>
    <w:p w:rsidR="00B528F0" w:rsidRDefault="00585F48">
      <w:pPr>
        <w:pStyle w:val="Odsekzoznamu"/>
        <w:ind w:left="1134"/>
        <w:jc w:val="both"/>
        <w:rPr>
          <w:b/>
          <w:sz w:val="24"/>
          <w:szCs w:val="24"/>
        </w:rPr>
      </w:pPr>
      <w:r>
        <w:rPr>
          <w:b/>
          <w:sz w:val="24"/>
          <w:szCs w:val="24"/>
        </w:rPr>
        <w:t>Prechodné ustanovenie k úpravám účinným od 1. septembra 2025</w:t>
      </w:r>
    </w:p>
    <w:p w:rsidR="00B528F0" w:rsidRDefault="00B528F0">
      <w:pPr>
        <w:pStyle w:val="Odsekzoznamu"/>
        <w:ind w:left="1134"/>
        <w:jc w:val="both"/>
        <w:rPr>
          <w:b/>
          <w:sz w:val="24"/>
          <w:szCs w:val="24"/>
        </w:rPr>
      </w:pPr>
    </w:p>
    <w:p w:rsidR="00B528F0" w:rsidRDefault="00585F48">
      <w:pPr>
        <w:pStyle w:val="Odsekzoznamu"/>
        <w:ind w:left="0" w:firstLine="426"/>
        <w:jc w:val="both"/>
        <w:rPr>
          <w:sz w:val="24"/>
          <w:szCs w:val="24"/>
        </w:rPr>
      </w:pPr>
      <w:r>
        <w:rPr>
          <w:sz w:val="24"/>
          <w:szCs w:val="24"/>
        </w:rPr>
        <w:t>Na konania, v ktorých sa žalobca domáha preskúmania rozhodnutí ministerstva vnútra podľa § 391, sa použijú ustanovenia tohto zákona v znení účinnom do 31. augusta 2025.“.“.</w:t>
      </w:r>
    </w:p>
    <w:p w:rsidR="00AA19B5" w:rsidRDefault="00AA19B5">
      <w:pPr>
        <w:pStyle w:val="Odsekzoznamu"/>
        <w:ind w:left="2268"/>
        <w:jc w:val="both"/>
        <w:rPr>
          <w:sz w:val="24"/>
          <w:szCs w:val="24"/>
        </w:rPr>
      </w:pPr>
    </w:p>
    <w:p w:rsidR="00B528F0" w:rsidRDefault="00585F48">
      <w:pPr>
        <w:pStyle w:val="Odsekzoznamu"/>
        <w:ind w:left="2268"/>
        <w:jc w:val="both"/>
        <w:rPr>
          <w:sz w:val="24"/>
          <w:szCs w:val="24"/>
        </w:rPr>
      </w:pPr>
      <w:r>
        <w:rPr>
          <w:sz w:val="24"/>
          <w:szCs w:val="24"/>
        </w:rPr>
        <w:t>V prechodnom období sa v 2-mesačnej lehote na podanie správnej žaloby (§ 395 SSP) budú objavovať správne žaloby voči rozhodnutiam, ktoré ešte vydalo ministerstvo vnútra a správne žaloby, kde bude žalovaným okresný úrad v sídle kraja. Taktiež, ak súd zistí dôvodnosť žaloby a vec vráti žalovanému na konanie, je potrebné, aby správny súd mohol vrátiť vec tomu, kto rozhodnutie vydal, t. j. ministerstvu vnútra alebo okresnému úradu v sídle kraja.</w:t>
      </w:r>
    </w:p>
    <w:p w:rsidR="00B528F0" w:rsidRDefault="00B528F0">
      <w:pPr>
        <w:pStyle w:val="Odsekzoznamu"/>
        <w:ind w:left="1134" w:firstLine="282"/>
        <w:rPr>
          <w:rFonts w:eastAsia="Calibri"/>
          <w:i/>
          <w:sz w:val="24"/>
          <w:szCs w:val="24"/>
        </w:rPr>
      </w:pPr>
    </w:p>
    <w:p w:rsidR="00B528F0" w:rsidRDefault="00585F48">
      <w:pPr>
        <w:ind w:left="3540"/>
        <w:jc w:val="both"/>
        <w:rPr>
          <w:szCs w:val="24"/>
        </w:rPr>
      </w:pPr>
      <w:r>
        <w:rPr>
          <w:szCs w:val="24"/>
        </w:rPr>
        <w:t>Výbor NR SR pre verejnú správu a regionálny rozvoj</w:t>
      </w:r>
    </w:p>
    <w:p w:rsidR="00B528F0" w:rsidRDefault="00B528F0">
      <w:pPr>
        <w:ind w:left="4248" w:firstLine="708"/>
        <w:rPr>
          <w:b/>
          <w:szCs w:val="24"/>
        </w:rPr>
      </w:pPr>
    </w:p>
    <w:p w:rsidR="00B528F0" w:rsidRDefault="00585F48">
      <w:pPr>
        <w:pStyle w:val="Odsekzoznamu"/>
        <w:ind w:left="4674" w:firstLine="282"/>
        <w:rPr>
          <w:sz w:val="24"/>
          <w:szCs w:val="24"/>
        </w:rPr>
      </w:pPr>
      <w:r>
        <w:rPr>
          <w:b/>
          <w:sz w:val="24"/>
          <w:szCs w:val="24"/>
        </w:rPr>
        <w:t>Gestorský výbor odporúča schváliť.</w:t>
      </w:r>
    </w:p>
    <w:p w:rsidR="00B528F0" w:rsidRDefault="00B528F0">
      <w:pPr>
        <w:pStyle w:val="Odsekzoznamu"/>
        <w:ind w:left="426"/>
        <w:rPr>
          <w:sz w:val="24"/>
          <w:szCs w:val="24"/>
        </w:rPr>
      </w:pPr>
    </w:p>
    <w:p w:rsidR="00B528F0" w:rsidRDefault="00585F48">
      <w:pPr>
        <w:pStyle w:val="Odsekzoznamu"/>
        <w:numPr>
          <w:ilvl w:val="0"/>
          <w:numId w:val="1"/>
        </w:numPr>
        <w:tabs>
          <w:tab w:val="left" w:pos="284"/>
        </w:tabs>
        <w:jc w:val="both"/>
        <w:rPr>
          <w:sz w:val="24"/>
          <w:szCs w:val="24"/>
        </w:rPr>
      </w:pPr>
      <w:r>
        <w:rPr>
          <w:rFonts w:eastAsia="Calibri"/>
          <w:bCs/>
          <w:sz w:val="24"/>
          <w:szCs w:val="24"/>
        </w:rPr>
        <w:t>Za čl. III sa vkladajú nové čl. IV a V, ktoré znejú:</w:t>
      </w:r>
    </w:p>
    <w:p w:rsidR="00B528F0" w:rsidRDefault="00B528F0">
      <w:pPr>
        <w:pStyle w:val="Odsekzoznamu"/>
        <w:tabs>
          <w:tab w:val="left" w:pos="284"/>
        </w:tabs>
        <w:jc w:val="both"/>
        <w:rPr>
          <w:sz w:val="24"/>
          <w:szCs w:val="24"/>
        </w:rPr>
      </w:pPr>
    </w:p>
    <w:p w:rsidR="00B528F0" w:rsidRDefault="00585F48">
      <w:pPr>
        <w:pStyle w:val="Odsekzoznamu"/>
        <w:jc w:val="center"/>
        <w:rPr>
          <w:b/>
          <w:sz w:val="24"/>
          <w:szCs w:val="24"/>
        </w:rPr>
      </w:pPr>
      <w:r>
        <w:rPr>
          <w:rFonts w:eastAsia="Calibri"/>
          <w:bCs/>
          <w:sz w:val="24"/>
          <w:szCs w:val="24"/>
        </w:rPr>
        <w:t>„</w:t>
      </w:r>
      <w:r>
        <w:rPr>
          <w:rFonts w:eastAsia="Calibri"/>
          <w:b/>
          <w:bCs/>
          <w:sz w:val="24"/>
          <w:szCs w:val="24"/>
        </w:rPr>
        <w:t>Čl. IV</w:t>
      </w:r>
    </w:p>
    <w:p w:rsidR="00B528F0" w:rsidRDefault="00B528F0">
      <w:pPr>
        <w:pStyle w:val="Odsekzoznamu"/>
        <w:spacing w:after="160"/>
        <w:ind w:left="284"/>
        <w:jc w:val="center"/>
        <w:rPr>
          <w:color w:val="000000"/>
          <w:sz w:val="27"/>
          <w:szCs w:val="27"/>
        </w:rPr>
      </w:pPr>
    </w:p>
    <w:p w:rsidR="00B528F0" w:rsidRDefault="00585F48">
      <w:pPr>
        <w:pStyle w:val="Odsekzoznamu"/>
        <w:ind w:left="0" w:firstLine="426"/>
        <w:jc w:val="both"/>
        <w:rPr>
          <w:rFonts w:eastAsia="Calibri"/>
          <w:bCs/>
          <w:sz w:val="24"/>
          <w:szCs w:val="24"/>
        </w:rPr>
      </w:pPr>
      <w:r>
        <w:rPr>
          <w:rFonts w:eastAsia="Calibri"/>
          <w:bCs/>
          <w:sz w:val="24"/>
          <w:szCs w:val="24"/>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zákona č. 366/2022 Z. z., zákona č. 429/2022 Z. z., zákona č. 48/2023 Z. z., zákona č. 42/2024 Z. z., zákona č. 160/2024 Z. z., zákona č.</w:t>
      </w:r>
      <w:r>
        <w:rPr>
          <w:rFonts w:eastAsia="Calibri"/>
          <w:bCs/>
          <w:szCs w:val="24"/>
        </w:rPr>
        <w:t xml:space="preserve"> </w:t>
      </w:r>
      <w:r>
        <w:rPr>
          <w:rFonts w:eastAsia="Calibri"/>
          <w:bCs/>
          <w:sz w:val="24"/>
          <w:szCs w:val="24"/>
        </w:rPr>
        <w:t>177/2024 Z. z., zákona č. 307/2024 Z. z., zákona č. 357/2024 Z. z. a zákona č. 364/2024 Z. z. sa mení a dopĺňa takto:</w:t>
      </w:r>
    </w:p>
    <w:p w:rsidR="00B528F0" w:rsidRDefault="00B528F0">
      <w:pPr>
        <w:jc w:val="both"/>
        <w:rPr>
          <w:rFonts w:eastAsia="Calibri"/>
          <w:szCs w:val="24"/>
        </w:rPr>
      </w:pPr>
    </w:p>
    <w:p w:rsidR="00B528F0" w:rsidRDefault="00585F48">
      <w:pPr>
        <w:pStyle w:val="Odsekzoznamu"/>
        <w:numPr>
          <w:ilvl w:val="1"/>
          <w:numId w:val="7"/>
        </w:numPr>
        <w:ind w:left="284" w:hanging="284"/>
        <w:jc w:val="both"/>
        <w:rPr>
          <w:rFonts w:eastAsia="Calibri"/>
          <w:sz w:val="24"/>
          <w:szCs w:val="24"/>
        </w:rPr>
      </w:pPr>
      <w:r>
        <w:rPr>
          <w:rFonts w:eastAsia="Calibri"/>
          <w:sz w:val="24"/>
          <w:szCs w:val="24"/>
        </w:rPr>
        <w:t>V § 95a ods. 2 sa na konci pripájajú tieto slová: „alebo inej informačnej technológie overovania schválenej ministerstvom vnútra“.</w:t>
      </w:r>
    </w:p>
    <w:p w:rsidR="00B528F0" w:rsidRDefault="00B528F0">
      <w:pPr>
        <w:pStyle w:val="Odsekzoznamu"/>
        <w:ind w:left="284"/>
        <w:jc w:val="both"/>
        <w:rPr>
          <w:rFonts w:eastAsia="Calibri"/>
          <w:sz w:val="24"/>
          <w:szCs w:val="24"/>
        </w:rPr>
      </w:pPr>
    </w:p>
    <w:p w:rsidR="00B528F0" w:rsidRDefault="00585F48">
      <w:pPr>
        <w:pStyle w:val="Odsekzoznamu"/>
        <w:numPr>
          <w:ilvl w:val="1"/>
          <w:numId w:val="8"/>
        </w:numPr>
        <w:ind w:left="284" w:hanging="284"/>
        <w:jc w:val="both"/>
        <w:rPr>
          <w:rFonts w:eastAsia="Calibri"/>
          <w:sz w:val="24"/>
          <w:szCs w:val="24"/>
        </w:rPr>
      </w:pPr>
      <w:r>
        <w:rPr>
          <w:rFonts w:eastAsia="Calibri"/>
          <w:sz w:val="24"/>
          <w:szCs w:val="24"/>
        </w:rPr>
        <w:t>V § 95a ods. 3 sa za slovo „aplikáciu“ vkladajú slová „alebo inú informačnú technológiu overovania“, slovo „nej“ sa nahrádza slovom „nich“ a slovo „jej“ sa nahrádza slovom „ich“.</w:t>
      </w:r>
    </w:p>
    <w:p w:rsidR="00B528F0" w:rsidRDefault="00B528F0">
      <w:pPr>
        <w:pStyle w:val="Odsekzoznamu"/>
        <w:ind w:left="284"/>
        <w:jc w:val="both"/>
        <w:rPr>
          <w:rFonts w:eastAsia="Calibri"/>
          <w:sz w:val="24"/>
          <w:szCs w:val="24"/>
        </w:rPr>
      </w:pPr>
    </w:p>
    <w:p w:rsidR="00585F48" w:rsidRDefault="00585F48">
      <w:pPr>
        <w:pStyle w:val="Odsekzoznamu"/>
        <w:ind w:left="284"/>
        <w:jc w:val="both"/>
        <w:rPr>
          <w:rFonts w:eastAsia="Calibri"/>
          <w:sz w:val="24"/>
          <w:szCs w:val="24"/>
        </w:rPr>
      </w:pPr>
    </w:p>
    <w:p w:rsidR="00B528F0" w:rsidRDefault="00585F48">
      <w:pPr>
        <w:pStyle w:val="Odsekzoznamu"/>
        <w:numPr>
          <w:ilvl w:val="1"/>
          <w:numId w:val="9"/>
        </w:numPr>
        <w:ind w:left="284" w:hanging="284"/>
        <w:jc w:val="both"/>
        <w:rPr>
          <w:rFonts w:eastAsia="Calibri"/>
          <w:sz w:val="24"/>
          <w:szCs w:val="24"/>
        </w:rPr>
      </w:pPr>
      <w:r>
        <w:rPr>
          <w:rFonts w:eastAsia="Calibri"/>
          <w:sz w:val="24"/>
          <w:szCs w:val="24"/>
        </w:rPr>
        <w:t xml:space="preserve">§ 95a sa dopĺňa odsekom 4, ktorý znie: </w:t>
      </w:r>
    </w:p>
    <w:p w:rsidR="00B528F0" w:rsidRDefault="00585F48">
      <w:pPr>
        <w:pStyle w:val="Odsekzoznamu"/>
        <w:ind w:left="284" w:firstLine="283"/>
        <w:jc w:val="both"/>
        <w:rPr>
          <w:rFonts w:eastAsia="Calibri"/>
          <w:sz w:val="24"/>
          <w:szCs w:val="24"/>
        </w:rPr>
      </w:pPr>
      <w:r>
        <w:rPr>
          <w:rFonts w:eastAsia="Calibri"/>
          <w:sz w:val="24"/>
          <w:szCs w:val="24"/>
        </w:rPr>
        <w:t>„(4) Údaje uvedené v digitálnom vodičskom preukaze môže overovať len ten, komu z tohto zákona alebo osobitného predpisu vyplýva povinnosť alebo oprávnenie vyžadovať predloženie vodičského preukazu alebo zisťovať či overovať skutočnosti uvedené vo vodičskom preukaze alebo skutočnosti z neho vyplývajúce.“.</w:t>
      </w:r>
    </w:p>
    <w:p w:rsidR="00B528F0" w:rsidRDefault="00B528F0">
      <w:pPr>
        <w:jc w:val="both"/>
        <w:rPr>
          <w:rFonts w:eastAsia="Calibri"/>
          <w:szCs w:val="24"/>
        </w:rPr>
      </w:pPr>
    </w:p>
    <w:p w:rsidR="00B528F0" w:rsidRDefault="00585F48">
      <w:pPr>
        <w:pStyle w:val="Odsekzoznamu"/>
        <w:numPr>
          <w:ilvl w:val="1"/>
          <w:numId w:val="10"/>
        </w:numPr>
        <w:ind w:left="284" w:hanging="284"/>
        <w:jc w:val="both"/>
        <w:rPr>
          <w:rFonts w:eastAsia="Calibri"/>
          <w:sz w:val="24"/>
          <w:szCs w:val="24"/>
        </w:rPr>
      </w:pPr>
      <w:r>
        <w:rPr>
          <w:rFonts w:eastAsia="Calibri"/>
          <w:sz w:val="24"/>
          <w:szCs w:val="24"/>
        </w:rPr>
        <w:t>§ 143l vrátane nadpisu sa vypúšťa.</w:t>
      </w:r>
    </w:p>
    <w:p w:rsidR="00B528F0" w:rsidRDefault="00B528F0">
      <w:pPr>
        <w:ind w:left="3540" w:firstLine="708"/>
        <w:contextualSpacing/>
        <w:jc w:val="both"/>
        <w:rPr>
          <w:szCs w:val="24"/>
          <w:u w:val="single"/>
        </w:rPr>
      </w:pPr>
    </w:p>
    <w:p w:rsidR="00B528F0" w:rsidRDefault="00585F48">
      <w:pPr>
        <w:pStyle w:val="Odsekzoznamu"/>
        <w:ind w:left="0"/>
        <w:jc w:val="center"/>
        <w:rPr>
          <w:rFonts w:eastAsia="Calibri"/>
          <w:b/>
          <w:sz w:val="24"/>
          <w:szCs w:val="24"/>
        </w:rPr>
      </w:pPr>
      <w:r>
        <w:rPr>
          <w:rFonts w:eastAsia="Calibri"/>
          <w:b/>
          <w:sz w:val="24"/>
          <w:szCs w:val="24"/>
        </w:rPr>
        <w:t>Čl. VI</w:t>
      </w:r>
    </w:p>
    <w:p w:rsidR="00B528F0" w:rsidRDefault="00B528F0">
      <w:pPr>
        <w:pStyle w:val="Odsekzoznamu"/>
        <w:ind w:left="0"/>
        <w:jc w:val="both"/>
        <w:rPr>
          <w:rFonts w:eastAsia="Calibri"/>
          <w:sz w:val="24"/>
          <w:szCs w:val="24"/>
        </w:rPr>
      </w:pPr>
    </w:p>
    <w:p w:rsidR="00B528F0" w:rsidRDefault="00585F48">
      <w:pPr>
        <w:pStyle w:val="Odsekzoznamu"/>
        <w:ind w:left="0" w:firstLine="426"/>
        <w:jc w:val="both"/>
        <w:rPr>
          <w:rFonts w:eastAsia="Calibri"/>
          <w:sz w:val="24"/>
          <w:szCs w:val="24"/>
        </w:rPr>
      </w:pPr>
      <w:r>
        <w:rPr>
          <w:rFonts w:eastAsia="Calibri"/>
          <w:sz w:val="24"/>
          <w:szCs w:val="24"/>
        </w:rPr>
        <w:t xml:space="preserve">Zákon č. 395/2019 Z. z. o občianskych preukazoch a o zmene a doplnení niektorých zákonov v znení zákona č. 73/2020 Z. z., zákona č. 532/2021 Z. z., zákona č. 180/2022 Z. z., zákona č. 390/2022 Z. z., zákona č. 529/2023 Z. z. a zákona č. </w:t>
      </w:r>
      <w:r>
        <w:rPr>
          <w:rFonts w:eastAsia="Calibri"/>
          <w:bCs/>
          <w:sz w:val="24"/>
          <w:szCs w:val="24"/>
        </w:rPr>
        <w:t xml:space="preserve">364/2024 Z. z. </w:t>
      </w:r>
      <w:r>
        <w:rPr>
          <w:rFonts w:eastAsia="Calibri"/>
          <w:sz w:val="24"/>
          <w:szCs w:val="24"/>
        </w:rPr>
        <w:t>sa mení a dopĺňa takto:</w:t>
      </w:r>
    </w:p>
    <w:p w:rsidR="00B528F0" w:rsidRDefault="00B528F0">
      <w:pPr>
        <w:pStyle w:val="Odsekzoznamu"/>
        <w:ind w:left="0"/>
        <w:jc w:val="both"/>
        <w:rPr>
          <w:rFonts w:eastAsia="Calibri"/>
          <w:sz w:val="24"/>
          <w:szCs w:val="24"/>
        </w:rPr>
      </w:pPr>
    </w:p>
    <w:p w:rsidR="00B528F0" w:rsidRDefault="00585F48">
      <w:pPr>
        <w:pStyle w:val="Odsekzoznamu"/>
        <w:numPr>
          <w:ilvl w:val="0"/>
          <w:numId w:val="11"/>
        </w:numPr>
        <w:ind w:left="284" w:hanging="284"/>
        <w:jc w:val="both"/>
        <w:rPr>
          <w:rFonts w:eastAsia="Calibri"/>
          <w:sz w:val="24"/>
          <w:szCs w:val="24"/>
        </w:rPr>
      </w:pPr>
      <w:r>
        <w:rPr>
          <w:rFonts w:eastAsia="Calibri"/>
          <w:sz w:val="24"/>
          <w:szCs w:val="24"/>
        </w:rPr>
        <w:t>V § 3a ods. 2 sa na konci pripájajú tieto slová: „alebo inej informačnej technológie overovania schválenej ministerstvom vnútra“.</w:t>
      </w:r>
    </w:p>
    <w:p w:rsidR="00B528F0" w:rsidRDefault="00B528F0">
      <w:pPr>
        <w:pStyle w:val="Odsekzoznamu"/>
        <w:ind w:left="284"/>
        <w:jc w:val="both"/>
        <w:rPr>
          <w:rFonts w:eastAsia="Calibri"/>
          <w:sz w:val="24"/>
          <w:szCs w:val="24"/>
        </w:rPr>
      </w:pPr>
    </w:p>
    <w:p w:rsidR="00B528F0" w:rsidRDefault="00585F48">
      <w:pPr>
        <w:pStyle w:val="Odsekzoznamu"/>
        <w:numPr>
          <w:ilvl w:val="0"/>
          <w:numId w:val="12"/>
        </w:numPr>
        <w:ind w:left="284" w:hanging="284"/>
        <w:jc w:val="both"/>
        <w:rPr>
          <w:rFonts w:eastAsia="Calibri"/>
          <w:sz w:val="24"/>
          <w:szCs w:val="24"/>
        </w:rPr>
      </w:pPr>
      <w:r>
        <w:rPr>
          <w:rFonts w:eastAsia="Calibri"/>
          <w:sz w:val="24"/>
          <w:szCs w:val="24"/>
        </w:rPr>
        <w:t>V § 3a ods. 3 sa za slovo „aplikáciu“ vkladajú slová „alebo inú informačnú technológiu overovania“, slovo „nej“ sa nahrádza slovom „nich“, slovo „jej“ sa nahrádza slovom „ich“ a na konci sa pripája táto veta: „Digitálny občiansky preukaz nemožno predložiť na účely hraničnej kontroly.“.</w:t>
      </w:r>
    </w:p>
    <w:p w:rsidR="00B528F0" w:rsidRDefault="00B528F0">
      <w:pPr>
        <w:pStyle w:val="Odsekzoznamu"/>
        <w:ind w:left="284"/>
        <w:jc w:val="both"/>
        <w:rPr>
          <w:rFonts w:eastAsia="Calibri"/>
          <w:sz w:val="24"/>
          <w:szCs w:val="24"/>
        </w:rPr>
      </w:pPr>
    </w:p>
    <w:p w:rsidR="00B528F0" w:rsidRDefault="00585F48">
      <w:pPr>
        <w:pStyle w:val="Odsekzoznamu"/>
        <w:numPr>
          <w:ilvl w:val="0"/>
          <w:numId w:val="13"/>
        </w:numPr>
        <w:ind w:left="284" w:hanging="284"/>
        <w:jc w:val="both"/>
        <w:rPr>
          <w:rFonts w:eastAsia="Calibri"/>
          <w:sz w:val="24"/>
          <w:szCs w:val="24"/>
        </w:rPr>
      </w:pPr>
      <w:r>
        <w:rPr>
          <w:rFonts w:eastAsia="Calibri"/>
          <w:sz w:val="24"/>
          <w:szCs w:val="24"/>
        </w:rPr>
        <w:t>§ 3a sa dopĺňa odsekom 4, ktorý znie:</w:t>
      </w:r>
    </w:p>
    <w:p w:rsidR="00B528F0" w:rsidRDefault="00585F48">
      <w:pPr>
        <w:pStyle w:val="Odsekzoznamu"/>
        <w:ind w:left="284" w:firstLine="283"/>
        <w:jc w:val="both"/>
        <w:rPr>
          <w:rFonts w:eastAsia="Calibri"/>
          <w:sz w:val="24"/>
          <w:szCs w:val="24"/>
        </w:rPr>
      </w:pPr>
      <w:r>
        <w:rPr>
          <w:rFonts w:eastAsia="Calibri"/>
          <w:sz w:val="24"/>
          <w:szCs w:val="24"/>
        </w:rPr>
        <w:t>„(4) Údaje uvedené v digitálnom občianskom preukaze môže overovať len ten, komu z tohto zákona alebo osobitného predpisu vyplýva povinnosť alebo oprávnenie vyžadovať predloženie občianskeho preukazu alebo zisťovať či overovať skutočnosti uvedené v občianskom preukaze alebo skutočnosti z neho vyplývajúce.“.</w:t>
      </w:r>
    </w:p>
    <w:p w:rsidR="00B528F0" w:rsidRDefault="00B528F0">
      <w:pPr>
        <w:jc w:val="both"/>
        <w:rPr>
          <w:rFonts w:eastAsia="Calibri"/>
          <w:szCs w:val="24"/>
        </w:rPr>
      </w:pPr>
    </w:p>
    <w:p w:rsidR="00B528F0" w:rsidRDefault="00585F48">
      <w:pPr>
        <w:pStyle w:val="Odsekzoznamu"/>
        <w:numPr>
          <w:ilvl w:val="0"/>
          <w:numId w:val="14"/>
        </w:numPr>
        <w:ind w:left="284" w:hanging="284"/>
        <w:jc w:val="both"/>
        <w:rPr>
          <w:rFonts w:eastAsia="Calibri"/>
          <w:sz w:val="24"/>
          <w:szCs w:val="24"/>
        </w:rPr>
      </w:pPr>
      <w:r>
        <w:rPr>
          <w:rFonts w:eastAsia="Calibri"/>
          <w:sz w:val="24"/>
          <w:szCs w:val="24"/>
        </w:rPr>
        <w:t>§ 19b vrátane nadpisu sa vypúšťa.“.</w:t>
      </w:r>
    </w:p>
    <w:p w:rsidR="00B528F0" w:rsidRDefault="00B528F0">
      <w:pPr>
        <w:jc w:val="both"/>
        <w:rPr>
          <w:rFonts w:eastAsia="Calibri"/>
          <w:szCs w:val="24"/>
        </w:rPr>
      </w:pPr>
    </w:p>
    <w:p w:rsidR="00B528F0" w:rsidRDefault="00585F48">
      <w:pPr>
        <w:jc w:val="both"/>
        <w:rPr>
          <w:rFonts w:eastAsia="Calibri"/>
          <w:szCs w:val="24"/>
        </w:rPr>
      </w:pPr>
      <w:r>
        <w:rPr>
          <w:rFonts w:eastAsia="Calibri"/>
          <w:szCs w:val="24"/>
        </w:rPr>
        <w:t>Doterajší čl. IV sa primerane prečísluje.</w:t>
      </w:r>
    </w:p>
    <w:p w:rsidR="00B528F0" w:rsidRDefault="00B528F0">
      <w:pPr>
        <w:jc w:val="both"/>
        <w:rPr>
          <w:rFonts w:eastAsia="Calibri"/>
          <w:szCs w:val="24"/>
        </w:rPr>
      </w:pPr>
    </w:p>
    <w:p w:rsidR="00B528F0" w:rsidRDefault="00585F48">
      <w:pPr>
        <w:jc w:val="both"/>
        <w:rPr>
          <w:rFonts w:eastAsia="Calibri"/>
          <w:szCs w:val="24"/>
        </w:rPr>
      </w:pPr>
      <w:r>
        <w:rPr>
          <w:rFonts w:eastAsia="Calibri"/>
          <w:szCs w:val="24"/>
        </w:rPr>
        <w:t>Navrhované čl. IV a V nadobudnú účinnosť 1. júla 2025, čo sa premietne do ustanovenia o účinnosti (doterajší čl. IV).</w:t>
      </w:r>
    </w:p>
    <w:p w:rsidR="00B528F0" w:rsidRDefault="00B528F0">
      <w:pPr>
        <w:jc w:val="both"/>
        <w:rPr>
          <w:rFonts w:eastAsia="Calibri"/>
          <w:szCs w:val="24"/>
        </w:rPr>
      </w:pPr>
    </w:p>
    <w:p w:rsidR="00B528F0" w:rsidRDefault="00585F48">
      <w:pPr>
        <w:pStyle w:val="Odsekzoznamu"/>
        <w:ind w:left="2268"/>
        <w:jc w:val="both"/>
        <w:rPr>
          <w:rFonts w:eastAsia="Calibri"/>
          <w:sz w:val="24"/>
          <w:szCs w:val="24"/>
        </w:rPr>
      </w:pPr>
      <w:r>
        <w:rPr>
          <w:rFonts w:eastAsia="Calibri"/>
          <w:sz w:val="24"/>
          <w:szCs w:val="24"/>
        </w:rPr>
        <w:t>V bodoch 1 a 2 sa do zákona dopĺňa možnosť overovania digitálneho vodičského preukazu aj iným technickým spôsobom ako len prostredníctvom samotnej overovacej aplikácie. Ide o informačné systémy rôznych subjektov, do ktorých bude postupom schváleným ministerstvom vnútra možné priamo integrovať overovacie mechanizmy, bez potreby používať overovaciu aplikáciu.</w:t>
      </w:r>
    </w:p>
    <w:p w:rsidR="00B528F0" w:rsidRDefault="00585F48">
      <w:pPr>
        <w:pStyle w:val="Odsekzoznamu"/>
        <w:ind w:left="2268"/>
        <w:jc w:val="both"/>
        <w:rPr>
          <w:rFonts w:eastAsia="Calibri"/>
          <w:sz w:val="24"/>
          <w:szCs w:val="24"/>
        </w:rPr>
      </w:pPr>
      <w:r>
        <w:rPr>
          <w:rFonts w:eastAsia="Calibri"/>
          <w:sz w:val="24"/>
          <w:szCs w:val="24"/>
        </w:rPr>
        <w:t>V bode 3 sa do ustanovenia o digitálnom vodičskom preukaze dopĺňa odsek, ktorý kvôli ochrane osobných údajov výslovne vyjadruje možnosť využívať overovanie digitálneho vodičského preukazu len pre tie subjekty, ktoré sú oprávnené zisťovať údaje v ňom uvedené. Okrem príslušníkov kontrolných a </w:t>
      </w:r>
      <w:proofErr w:type="spellStart"/>
      <w:r>
        <w:rPr>
          <w:rFonts w:eastAsia="Calibri"/>
          <w:sz w:val="24"/>
          <w:szCs w:val="24"/>
        </w:rPr>
        <w:t>dohľadových</w:t>
      </w:r>
      <w:proofErr w:type="spellEnd"/>
      <w:r>
        <w:rPr>
          <w:rFonts w:eastAsia="Calibri"/>
          <w:sz w:val="24"/>
          <w:szCs w:val="24"/>
        </w:rPr>
        <w:t xml:space="preserve"> orgánov </w:t>
      </w:r>
      <w:r>
        <w:rPr>
          <w:rFonts w:eastAsia="Calibri"/>
          <w:color w:val="000000" w:themeColor="text1"/>
          <w:sz w:val="24"/>
          <w:szCs w:val="24"/>
        </w:rPr>
        <w:t xml:space="preserve">v cestnej premávke </w:t>
      </w:r>
      <w:r>
        <w:rPr>
          <w:rFonts w:eastAsia="Calibri"/>
          <w:sz w:val="24"/>
          <w:szCs w:val="24"/>
        </w:rPr>
        <w:t xml:space="preserve">to môžu byť napr. </w:t>
      </w:r>
      <w:proofErr w:type="spellStart"/>
      <w:r>
        <w:rPr>
          <w:rFonts w:eastAsia="Calibri"/>
          <w:sz w:val="24"/>
          <w:szCs w:val="24"/>
        </w:rPr>
        <w:t>autopožičovne</w:t>
      </w:r>
      <w:proofErr w:type="spellEnd"/>
      <w:r>
        <w:rPr>
          <w:rFonts w:eastAsia="Calibri"/>
          <w:sz w:val="24"/>
          <w:szCs w:val="24"/>
        </w:rPr>
        <w:t xml:space="preserve">, dopravcovia alebo iní zamestnávatelia, ktorí zamestnancom zverujú svoje motorové vozidlá a potrebujú si overiť ich vodičské oprávnenie. </w:t>
      </w:r>
    </w:p>
    <w:p w:rsidR="00B528F0" w:rsidRDefault="00585F48">
      <w:pPr>
        <w:pStyle w:val="Odsekzoznamu"/>
        <w:ind w:left="2268"/>
        <w:jc w:val="both"/>
        <w:rPr>
          <w:rFonts w:eastAsia="Calibri"/>
          <w:sz w:val="24"/>
          <w:szCs w:val="24"/>
        </w:rPr>
      </w:pPr>
      <w:r>
        <w:rPr>
          <w:rFonts w:eastAsia="Calibri"/>
          <w:sz w:val="24"/>
          <w:szCs w:val="24"/>
        </w:rPr>
        <w:t>V bode 4 sa ruší súčasné prechodné ustanovenie, ktoré obmedzuje možnosť používania digitálneho vodičského preukazu len voči príslušníkom Policajného zboru, resp. na orgáne Policajného zboru. V nadväznosti na zmeny navrhované v predchádzajúcich bodoch sa integrovanie overovacích mechanizmov digitálneho vodičského preukazu bude rozširovať postupne, po schválení ministerstvom vnútra na základe technických a funkčných možností.</w:t>
      </w:r>
    </w:p>
    <w:p w:rsidR="00B528F0" w:rsidRDefault="00B528F0">
      <w:pPr>
        <w:ind w:left="3119" w:firstLine="4"/>
        <w:contextualSpacing/>
        <w:jc w:val="both"/>
        <w:rPr>
          <w:szCs w:val="24"/>
          <w:u w:val="single"/>
        </w:rPr>
      </w:pPr>
    </w:p>
    <w:p w:rsidR="00B528F0" w:rsidRDefault="00585F48">
      <w:pPr>
        <w:pStyle w:val="Odsekzoznamu"/>
        <w:ind w:left="2268"/>
        <w:jc w:val="both"/>
        <w:rPr>
          <w:rFonts w:eastAsia="Calibri"/>
          <w:sz w:val="24"/>
          <w:szCs w:val="24"/>
        </w:rPr>
      </w:pPr>
      <w:r>
        <w:rPr>
          <w:rFonts w:eastAsia="Calibri"/>
          <w:sz w:val="24"/>
          <w:szCs w:val="24"/>
        </w:rPr>
        <w:t>V bodoch 1 a 2 sa do zákona dopĺňa možnosť overovania digitálneho občianskeho preukazu aj iným technickým spôsobom ako len prostredníctvom samotnej overovacej aplikácie. Ide o informačné systémy rôznych subjektov, do ktorých bude postupom schváleným ministerstvom vnútra možné priamo integrovať overovacie mechanizmy, bez potreby používať overovaciu aplikáciu.</w:t>
      </w:r>
    </w:p>
    <w:p w:rsidR="00B528F0" w:rsidRDefault="00585F48">
      <w:pPr>
        <w:pStyle w:val="Odsekzoznamu"/>
        <w:ind w:left="2268"/>
        <w:jc w:val="both"/>
        <w:rPr>
          <w:rFonts w:eastAsia="Calibri"/>
          <w:sz w:val="24"/>
          <w:szCs w:val="24"/>
        </w:rPr>
      </w:pPr>
      <w:r>
        <w:rPr>
          <w:rFonts w:eastAsia="Calibri"/>
          <w:sz w:val="24"/>
          <w:szCs w:val="24"/>
        </w:rPr>
        <w:t xml:space="preserve">V bode 3 sa do ustanovenia o digitálnom občianskom preukaze dopĺňa odsek, ktorý kvôli ochrane osobných údajov výslovne vyjadruje možnosť používať overovaciu aplikáciu len pre tie subjekty, ktoré sú oprávnené zisťovať údaje v ňom uvedené. Okrem príslušníkov Policajného zboru pri plnení ich úloh to môžu byť najmä povinné osoby pri identifikácii klientov podľa zákona č. 297/2008 Z. z. o ochrane pred legalizáciou príjmov z trestnej činnosti a o ochrane pred financovaním terorizmu, predajcovia pri overovaní veku pri predaji špecifického druhu tovaru, kontrolné orgány pri vstupe do budov a pod. </w:t>
      </w:r>
    </w:p>
    <w:p w:rsidR="00B528F0" w:rsidRDefault="00585F48">
      <w:pPr>
        <w:ind w:left="2268"/>
        <w:jc w:val="both"/>
        <w:rPr>
          <w:rFonts w:eastAsia="Calibri"/>
          <w:szCs w:val="24"/>
        </w:rPr>
      </w:pPr>
      <w:r>
        <w:rPr>
          <w:rFonts w:eastAsia="Calibri"/>
          <w:szCs w:val="24"/>
        </w:rPr>
        <w:t>V bode 4 sa ruší súčasné prechodné ustanovenie, ktoré obmedzuje možnosť používania digitálneho občianskeho preukazu len voči príslušníkom Policajného zboru, resp. na orgáne Policajného zboru. V nadväznosti na zmeny navrhované v predchádzajúcich bodoch sa integrovanie overovacích mechanizmov digitálneho občianskeho preukazu bude rozširovať postupne, po schválení ministerstvom vnútra na základe technických a funkčných možností.</w:t>
      </w:r>
    </w:p>
    <w:p w:rsidR="00B528F0" w:rsidRDefault="00B528F0">
      <w:pPr>
        <w:pStyle w:val="Odsekzoznamu"/>
        <w:ind w:left="1134" w:firstLine="282"/>
        <w:rPr>
          <w:sz w:val="24"/>
          <w:szCs w:val="24"/>
        </w:rPr>
      </w:pPr>
    </w:p>
    <w:p w:rsidR="00B528F0" w:rsidRDefault="00585F48">
      <w:pPr>
        <w:ind w:left="3540"/>
        <w:jc w:val="both"/>
        <w:rPr>
          <w:szCs w:val="24"/>
        </w:rPr>
      </w:pPr>
      <w:r>
        <w:rPr>
          <w:szCs w:val="24"/>
        </w:rPr>
        <w:t>Výbor NR SR pre verejnú správu a regionálny rozvoj</w:t>
      </w:r>
    </w:p>
    <w:p w:rsidR="00B528F0" w:rsidRDefault="00B528F0">
      <w:pPr>
        <w:ind w:left="4248" w:firstLine="708"/>
        <w:rPr>
          <w:b/>
          <w:szCs w:val="24"/>
        </w:rPr>
      </w:pPr>
    </w:p>
    <w:p w:rsidR="00B528F0" w:rsidRDefault="00585F48">
      <w:pPr>
        <w:pStyle w:val="Odsekzoznamu"/>
        <w:ind w:left="4674" w:firstLine="282"/>
        <w:rPr>
          <w:b/>
          <w:sz w:val="24"/>
          <w:szCs w:val="24"/>
        </w:rPr>
      </w:pPr>
      <w:r>
        <w:rPr>
          <w:b/>
          <w:sz w:val="24"/>
          <w:szCs w:val="24"/>
        </w:rPr>
        <w:t>Gestorský výbor odporúča schváliť.</w:t>
      </w:r>
    </w:p>
    <w:p w:rsidR="00B528F0" w:rsidRDefault="00B528F0">
      <w:pPr>
        <w:jc w:val="center"/>
        <w:rPr>
          <w:b/>
          <w:szCs w:val="24"/>
        </w:rPr>
      </w:pPr>
      <w:bookmarkStart w:id="0" w:name="_GoBack"/>
      <w:bookmarkEnd w:id="0"/>
    </w:p>
    <w:p w:rsidR="00B528F0" w:rsidRDefault="00585F48">
      <w:pPr>
        <w:jc w:val="center"/>
        <w:rPr>
          <w:b/>
          <w:szCs w:val="24"/>
        </w:rPr>
      </w:pPr>
      <w:r>
        <w:rPr>
          <w:b/>
          <w:szCs w:val="24"/>
        </w:rPr>
        <w:t>VII.</w:t>
      </w:r>
    </w:p>
    <w:p w:rsidR="00B528F0" w:rsidRDefault="00B528F0">
      <w:pPr>
        <w:jc w:val="center"/>
        <w:rPr>
          <w:b/>
          <w:szCs w:val="24"/>
        </w:rPr>
      </w:pPr>
    </w:p>
    <w:p w:rsidR="00B528F0" w:rsidRDefault="00585F48">
      <w:pPr>
        <w:ind w:firstLine="708"/>
        <w:jc w:val="both"/>
        <w:rPr>
          <w:szCs w:val="24"/>
        </w:rPr>
      </w:pPr>
      <w:r>
        <w:rPr>
          <w:szCs w:val="24"/>
        </w:rPr>
        <w:t>Gestorský výbor odporúča o návrhoch výborov Národnej rady Slovenskej republiky, ktoré sú  uvedené v spoločnej správe hlasovať takto:</w:t>
      </w:r>
    </w:p>
    <w:p w:rsidR="00B528F0" w:rsidRDefault="00B528F0">
      <w:pPr>
        <w:tabs>
          <w:tab w:val="left" w:pos="-1985"/>
          <w:tab w:val="left" w:pos="709"/>
          <w:tab w:val="left" w:pos="1077"/>
        </w:tabs>
        <w:jc w:val="both"/>
        <w:rPr>
          <w:szCs w:val="24"/>
          <w:lang w:val="cs-CZ"/>
        </w:rPr>
      </w:pPr>
    </w:p>
    <w:p w:rsidR="00B528F0" w:rsidRDefault="00585F48">
      <w:pPr>
        <w:pStyle w:val="Odsekzoznamu"/>
        <w:tabs>
          <w:tab w:val="left" w:pos="-1985"/>
          <w:tab w:val="left" w:pos="709"/>
          <w:tab w:val="left" w:pos="1077"/>
        </w:tabs>
        <w:ind w:left="1065"/>
        <w:jc w:val="both"/>
        <w:rPr>
          <w:sz w:val="24"/>
          <w:szCs w:val="24"/>
        </w:rPr>
      </w:pPr>
      <w:r>
        <w:rPr>
          <w:sz w:val="24"/>
          <w:szCs w:val="24"/>
        </w:rPr>
        <w:t xml:space="preserve">hlasovať  spoločne o bodoch </w:t>
      </w:r>
      <w:r>
        <w:rPr>
          <w:b/>
          <w:sz w:val="24"/>
          <w:szCs w:val="24"/>
        </w:rPr>
        <w:t>1 až 7</w:t>
      </w:r>
      <w:r>
        <w:rPr>
          <w:sz w:val="24"/>
          <w:szCs w:val="24"/>
        </w:rPr>
        <w:t xml:space="preserve"> spoločnej správy, s odporúčaním gestorského výboru </w:t>
      </w:r>
      <w:r>
        <w:rPr>
          <w:b/>
          <w:sz w:val="24"/>
          <w:szCs w:val="24"/>
        </w:rPr>
        <w:t>schváliť</w:t>
      </w:r>
      <w:r>
        <w:rPr>
          <w:sz w:val="24"/>
          <w:szCs w:val="24"/>
        </w:rPr>
        <w:t>.</w:t>
      </w:r>
    </w:p>
    <w:p w:rsidR="00B528F0" w:rsidRDefault="00B528F0">
      <w:pPr>
        <w:pStyle w:val="Odsekzoznamu"/>
        <w:tabs>
          <w:tab w:val="left" w:pos="-1985"/>
          <w:tab w:val="left" w:pos="709"/>
          <w:tab w:val="left" w:pos="1077"/>
        </w:tabs>
        <w:ind w:left="1065"/>
        <w:jc w:val="both"/>
        <w:rPr>
          <w:sz w:val="24"/>
          <w:szCs w:val="24"/>
          <w:lang w:val="cs-CZ"/>
        </w:rPr>
      </w:pPr>
    </w:p>
    <w:p w:rsidR="00B528F0" w:rsidRDefault="00585F48">
      <w:pPr>
        <w:jc w:val="center"/>
        <w:rPr>
          <w:b/>
          <w:szCs w:val="24"/>
        </w:rPr>
      </w:pPr>
      <w:r>
        <w:rPr>
          <w:b/>
          <w:szCs w:val="24"/>
        </w:rPr>
        <w:t>VIII.</w:t>
      </w:r>
    </w:p>
    <w:p w:rsidR="00B528F0" w:rsidRDefault="00B528F0">
      <w:pPr>
        <w:rPr>
          <w:szCs w:val="24"/>
        </w:rPr>
      </w:pPr>
    </w:p>
    <w:p w:rsidR="00B528F0" w:rsidRDefault="00585F48">
      <w:pPr>
        <w:pStyle w:val="Odsekzoznamu"/>
        <w:ind w:left="0" w:firstLine="708"/>
        <w:jc w:val="both"/>
        <w:rPr>
          <w:color w:val="000000"/>
          <w:sz w:val="24"/>
          <w:szCs w:val="24"/>
        </w:rPr>
      </w:pPr>
      <w:r>
        <w:rPr>
          <w:color w:val="000000"/>
          <w:sz w:val="24"/>
          <w:szCs w:val="24"/>
        </w:rPr>
        <w:t>Gestorský   výbor  na  základe  stanovísk  výborov k </w:t>
      </w:r>
      <w:r>
        <w:rPr>
          <w:sz w:val="24"/>
          <w:szCs w:val="24"/>
        </w:rPr>
        <w:t>návrhu poslancov Národnej rady Slovenskej republiky Dávida DEMEČKA a Michala BARTEKA na vydanie zákona, ktorým sa mení zákon č. 83/1990 Zb. o združovaní občanov v znení neskorších predpisov a ktorým sa menia niektoré zákony</w:t>
      </w:r>
      <w:r>
        <w:rPr>
          <w:b/>
          <w:sz w:val="24"/>
          <w:szCs w:val="24"/>
        </w:rPr>
        <w:t xml:space="preserve"> (tlač 745)</w:t>
      </w:r>
      <w:r>
        <w:rPr>
          <w:color w:val="000000"/>
          <w:sz w:val="24"/>
          <w:szCs w:val="24"/>
        </w:rPr>
        <w:t xml:space="preserve"> odporúča 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spoločnej správe.</w:t>
      </w:r>
    </w:p>
    <w:p w:rsidR="00B528F0" w:rsidRDefault="00B528F0">
      <w:pPr>
        <w:rPr>
          <w:szCs w:val="24"/>
        </w:rPr>
      </w:pPr>
    </w:p>
    <w:p w:rsidR="00B528F0" w:rsidRDefault="00585F48">
      <w:pPr>
        <w:jc w:val="both"/>
        <w:rPr>
          <w:szCs w:val="24"/>
        </w:rPr>
      </w:pPr>
      <w:r>
        <w:rPr>
          <w:b/>
          <w:bCs/>
          <w:color w:val="000000"/>
          <w:szCs w:val="24"/>
        </w:rPr>
        <w:tab/>
      </w:r>
      <w:r>
        <w:rPr>
          <w:color w:val="000000"/>
          <w:szCs w:val="24"/>
        </w:rPr>
        <w:t xml:space="preserve">Spoločná správa výborov Národnej rady Slovenskej republiky o prerokovaní </w:t>
      </w:r>
      <w:r>
        <w:rPr>
          <w:b/>
          <w:szCs w:val="24"/>
        </w:rPr>
        <w:t xml:space="preserve"> </w:t>
      </w:r>
      <w:r>
        <w:rPr>
          <w:szCs w:val="24"/>
        </w:rPr>
        <w:t>návrhu poslancov Národnej rady Slovenskej republiky Dávida DEMEČKA a Michala BARTEKA na vydanie zákona, ktorým sa mení zákon č. 83/1990 Zb. o združovaní občanov v znení neskorších predpisov a ktorým sa menia niektoré zákony</w:t>
      </w:r>
      <w:r>
        <w:rPr>
          <w:b/>
          <w:szCs w:val="24"/>
        </w:rPr>
        <w:t xml:space="preserve"> (tlač 745a)</w:t>
      </w:r>
      <w:r>
        <w:rPr>
          <w:color w:val="000000"/>
          <w:szCs w:val="24"/>
        </w:rPr>
        <w:t xml:space="preserve"> bola schválená uznesením   gestorského </w:t>
      </w:r>
      <w:r w:rsidRPr="00585F48">
        <w:rPr>
          <w:color w:val="000000"/>
          <w:szCs w:val="24"/>
        </w:rPr>
        <w:t xml:space="preserve">výboru č. </w:t>
      </w:r>
      <w:r w:rsidRPr="00585F48">
        <w:rPr>
          <w:b/>
          <w:color w:val="000000"/>
          <w:szCs w:val="24"/>
        </w:rPr>
        <w:t xml:space="preserve">122 </w:t>
      </w:r>
      <w:r w:rsidRPr="00585F48">
        <w:rPr>
          <w:bCs/>
          <w:color w:val="000000"/>
          <w:szCs w:val="24"/>
        </w:rPr>
        <w:t>dňa</w:t>
      </w:r>
      <w:r w:rsidRPr="00585F48">
        <w:rPr>
          <w:b/>
          <w:bCs/>
          <w:color w:val="000000"/>
          <w:szCs w:val="24"/>
        </w:rPr>
        <w:t xml:space="preserve"> </w:t>
      </w:r>
      <w:r w:rsidRPr="00585F48">
        <w:rPr>
          <w:b/>
          <w:color w:val="000000"/>
          <w:szCs w:val="24"/>
        </w:rPr>
        <w:t>27. mája 2025.</w:t>
      </w:r>
      <w:r>
        <w:rPr>
          <w:bCs/>
          <w:i/>
          <w:iCs/>
          <w:color w:val="000000"/>
          <w:szCs w:val="24"/>
        </w:rPr>
        <w:t xml:space="preserve"> </w:t>
      </w:r>
    </w:p>
    <w:p w:rsidR="00B528F0" w:rsidRDefault="00B528F0">
      <w:pPr>
        <w:rPr>
          <w:szCs w:val="24"/>
        </w:rPr>
      </w:pPr>
    </w:p>
    <w:p w:rsidR="00B528F0" w:rsidRDefault="00585F48">
      <w:pPr>
        <w:ind w:firstLine="567"/>
        <w:jc w:val="both"/>
        <w:rPr>
          <w:b/>
        </w:rPr>
      </w:pPr>
      <w:r>
        <w:rPr>
          <w:bCs/>
        </w:rPr>
        <w:t xml:space="preserve">Týmto uznesením výbor zároveň poveril spravodajcu </w:t>
      </w:r>
      <w:r>
        <w:rPr>
          <w:b/>
        </w:rPr>
        <w:t>Jozefa CECHA</w:t>
      </w:r>
      <w:r>
        <w:rPr>
          <w:b/>
          <w:bCs/>
        </w:rPr>
        <w:t xml:space="preserve">, </w:t>
      </w:r>
      <w:r>
        <w:rPr>
          <w:bCs/>
        </w:rPr>
        <w:t xml:space="preserve">aby na  schôdzi Národnej rady Slovenskej republiky informoval o výsledku rokovania Výboru NR SR pre verejnú správu a regionálny rozvoj, a aby pri rokovaní o predmetnom návrhu zákona predkladal návrhy v zmysle príslušných ustanovení zákona č.  350/1996 Z. z. o rokovacom </w:t>
      </w:r>
      <w:r w:rsidRPr="00585F48">
        <w:rPr>
          <w:bCs/>
        </w:rPr>
        <w:t xml:space="preserve">poriadku Národnej rady Slovenskej republiky v znení neskorších predpisov a určil poslancov </w:t>
      </w:r>
      <w:r w:rsidRPr="00585F48">
        <w:rPr>
          <w:b/>
        </w:rPr>
        <w:t xml:space="preserve">Romana MALATINCA, Branislava BECÍKA, Viliama </w:t>
      </w:r>
      <w:proofErr w:type="spellStart"/>
      <w:r w:rsidRPr="00585F48">
        <w:rPr>
          <w:b/>
        </w:rPr>
        <w:t>Zahorčáka</w:t>
      </w:r>
      <w:proofErr w:type="spellEnd"/>
      <w:r w:rsidRPr="00585F48">
        <w:rPr>
          <w:b/>
        </w:rPr>
        <w:t xml:space="preserve">, Jaroslava BAŠKU a Vladimíra FAIČA </w:t>
      </w:r>
      <w:r w:rsidRPr="00585F48">
        <w:t>za náhradníkov spravodajcu</w:t>
      </w:r>
      <w:r w:rsidRPr="00585F48">
        <w:rPr>
          <w:b/>
        </w:rPr>
        <w:t xml:space="preserve">.  </w:t>
      </w:r>
    </w:p>
    <w:p w:rsidR="00B528F0" w:rsidRDefault="00B528F0">
      <w:pPr>
        <w:ind w:firstLine="708"/>
        <w:jc w:val="both"/>
        <w:rPr>
          <w:color w:val="000000"/>
          <w:szCs w:val="24"/>
        </w:rPr>
      </w:pPr>
    </w:p>
    <w:p w:rsidR="00B528F0" w:rsidRDefault="00B528F0">
      <w:pPr>
        <w:ind w:firstLine="708"/>
        <w:jc w:val="both"/>
        <w:rPr>
          <w:color w:val="000000"/>
          <w:szCs w:val="24"/>
        </w:rPr>
      </w:pPr>
    </w:p>
    <w:p w:rsidR="00B528F0" w:rsidRDefault="00B528F0">
      <w:pPr>
        <w:ind w:firstLine="708"/>
        <w:jc w:val="both"/>
        <w:rPr>
          <w:color w:val="000000"/>
          <w:szCs w:val="24"/>
        </w:rPr>
      </w:pPr>
    </w:p>
    <w:p w:rsidR="00B528F0" w:rsidRDefault="00B528F0">
      <w:pPr>
        <w:ind w:firstLine="708"/>
        <w:jc w:val="both"/>
        <w:rPr>
          <w:color w:val="000000"/>
          <w:szCs w:val="24"/>
        </w:rPr>
      </w:pPr>
    </w:p>
    <w:p w:rsidR="00B528F0" w:rsidRDefault="00B528F0">
      <w:pPr>
        <w:ind w:firstLine="708"/>
        <w:jc w:val="both"/>
        <w:rPr>
          <w:color w:val="000000"/>
          <w:szCs w:val="24"/>
        </w:rPr>
      </w:pPr>
    </w:p>
    <w:p w:rsidR="00B528F0" w:rsidRDefault="00585F48">
      <w:pPr>
        <w:jc w:val="center"/>
        <w:rPr>
          <w:szCs w:val="24"/>
        </w:rPr>
      </w:pPr>
      <w:r>
        <w:rPr>
          <w:b/>
          <w:bCs/>
          <w:color w:val="000000"/>
          <w:szCs w:val="24"/>
        </w:rPr>
        <w:t xml:space="preserve">Igor  J A N C K U L Í K, v. r. </w:t>
      </w:r>
    </w:p>
    <w:p w:rsidR="00B528F0" w:rsidRDefault="00585F48">
      <w:pPr>
        <w:rPr>
          <w:szCs w:val="24"/>
        </w:rPr>
      </w:pPr>
      <w:r>
        <w:rPr>
          <w:color w:val="000000"/>
          <w:szCs w:val="24"/>
        </w:rPr>
        <w:t xml:space="preserve">                                                               podpredseda </w:t>
      </w:r>
    </w:p>
    <w:p w:rsidR="00B528F0" w:rsidRDefault="00585F48">
      <w:pPr>
        <w:jc w:val="center"/>
        <w:rPr>
          <w:color w:val="000000"/>
          <w:szCs w:val="24"/>
        </w:rPr>
      </w:pPr>
      <w:r>
        <w:rPr>
          <w:color w:val="000000"/>
          <w:szCs w:val="24"/>
        </w:rPr>
        <w:t>Výboru NR SR pre verejnú správu a regionálny rozvoj</w:t>
      </w:r>
    </w:p>
    <w:p w:rsidR="00B528F0" w:rsidRDefault="00B528F0">
      <w:pPr>
        <w:jc w:val="center"/>
        <w:rPr>
          <w:szCs w:val="24"/>
        </w:rPr>
      </w:pPr>
    </w:p>
    <w:p w:rsidR="00B528F0" w:rsidRDefault="00B528F0">
      <w:pPr>
        <w:rPr>
          <w:color w:val="000000"/>
          <w:szCs w:val="24"/>
        </w:rPr>
      </w:pPr>
    </w:p>
    <w:p w:rsidR="00B528F0" w:rsidRDefault="00B528F0">
      <w:pPr>
        <w:rPr>
          <w:color w:val="000000"/>
          <w:szCs w:val="24"/>
        </w:rPr>
      </w:pPr>
    </w:p>
    <w:p w:rsidR="00B528F0" w:rsidRDefault="00585F48">
      <w:r>
        <w:rPr>
          <w:color w:val="000000"/>
          <w:szCs w:val="24"/>
        </w:rPr>
        <w:t>V Bratislave, 27. mája 2025</w:t>
      </w:r>
    </w:p>
    <w:sectPr w:rsidR="00B528F0">
      <w:footerReference w:type="default" r:id="rId8"/>
      <w:pgSz w:w="11906" w:h="16838"/>
      <w:pgMar w:top="709" w:right="1417" w:bottom="765"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5EF" w:rsidRDefault="00585F48">
      <w:r>
        <w:separator/>
      </w:r>
    </w:p>
  </w:endnote>
  <w:endnote w:type="continuationSeparator" w:id="0">
    <w:p w:rsidR="008525EF" w:rsidRDefault="0058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968974"/>
      <w:docPartObj>
        <w:docPartGallery w:val="Page Numbers (Bottom of Page)"/>
        <w:docPartUnique/>
      </w:docPartObj>
    </w:sdtPr>
    <w:sdtEndPr/>
    <w:sdtContent>
      <w:p w:rsidR="00B528F0" w:rsidRDefault="00585F48">
        <w:pPr>
          <w:pStyle w:val="Pta"/>
          <w:jc w:val="right"/>
        </w:pPr>
        <w:r>
          <w:fldChar w:fldCharType="begin"/>
        </w:r>
        <w:r>
          <w:instrText xml:space="preserve"> PAGE </w:instrText>
        </w:r>
        <w:r>
          <w:fldChar w:fldCharType="separate"/>
        </w:r>
        <w:r w:rsidR="00AA19B5">
          <w:rPr>
            <w:noProof/>
          </w:rPr>
          <w:t>8</w:t>
        </w:r>
        <w:r>
          <w:fldChar w:fldCharType="end"/>
        </w:r>
      </w:p>
    </w:sdtContent>
  </w:sdt>
  <w:p w:rsidR="00B528F0" w:rsidRDefault="00B528F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5EF" w:rsidRDefault="00585F48">
      <w:r>
        <w:separator/>
      </w:r>
    </w:p>
  </w:footnote>
  <w:footnote w:type="continuationSeparator" w:id="0">
    <w:p w:rsidR="008525EF" w:rsidRDefault="00585F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3B67"/>
    <w:multiLevelType w:val="multilevel"/>
    <w:tmpl w:val="4A6EACBE"/>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B3D4135"/>
    <w:multiLevelType w:val="multilevel"/>
    <w:tmpl w:val="7F74FB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16236D"/>
    <w:multiLevelType w:val="multilevel"/>
    <w:tmpl w:val="A97ECEF6"/>
    <w:lvl w:ilvl="0">
      <w:start w:val="1"/>
      <w:numFmt w:val="decimal"/>
      <w:lvlText w:val="%1."/>
      <w:lvlJc w:val="left"/>
      <w:pPr>
        <w:tabs>
          <w:tab w:val="num" w:pos="0"/>
        </w:tabs>
        <w:ind w:left="720" w:hanging="360"/>
      </w:pPr>
      <w:rPr>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1232ADC"/>
    <w:multiLevelType w:val="multilevel"/>
    <w:tmpl w:val="F9D2AED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61E141A9"/>
    <w:multiLevelType w:val="multilevel"/>
    <w:tmpl w:val="795650C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6E5D3D26"/>
    <w:multiLevelType w:val="multilevel"/>
    <w:tmpl w:val="19CCF6D4"/>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5"/>
    <w:lvlOverride w:ilvl="0"/>
    <w:lvlOverride w:ilvl="1">
      <w:startOverride w:val="1"/>
    </w:lvlOverride>
  </w:num>
  <w:num w:numId="8">
    <w:abstractNumId w:val="5"/>
  </w:num>
  <w:num w:numId="9">
    <w:abstractNumId w:val="5"/>
  </w:num>
  <w:num w:numId="10">
    <w:abstractNumId w:val="5"/>
  </w:num>
  <w:num w:numId="11">
    <w:abstractNumId w:val="4"/>
    <w:lvlOverride w:ilvl="0">
      <w:startOverride w:val="1"/>
    </w:lvlOverride>
  </w:num>
  <w:num w:numId="12">
    <w:abstractNumId w:val="4"/>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F0"/>
    <w:rsid w:val="00161CBD"/>
    <w:rsid w:val="00585F48"/>
    <w:rsid w:val="005E6529"/>
    <w:rsid w:val="008525EF"/>
    <w:rsid w:val="00AA19B5"/>
    <w:rsid w:val="00B528F0"/>
    <w:rsid w:val="00B5745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D210"/>
  <w15:docId w15:val="{93F1DA90-E0CF-4D80-B7E7-92C52B7C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3C11"/>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99"/>
    <w:semiHidden/>
    <w:qFormat/>
    <w:rsid w:val="00833C11"/>
    <w:rPr>
      <w:rFonts w:ascii="Times New Roman" w:eastAsia="Times New Roman" w:hAnsi="Times New Roman" w:cs="Times New Roman"/>
      <w:sz w:val="24"/>
      <w:szCs w:val="20"/>
      <w:lang w:eastAsia="sk-SK"/>
    </w:rPr>
  </w:style>
  <w:style w:type="character" w:customStyle="1" w:styleId="OdsekzoznamuChar">
    <w:name w:val="Odsek zoznamu Char"/>
    <w:link w:val="Odsekzoznamu"/>
    <w:uiPriority w:val="34"/>
    <w:qFormat/>
    <w:locked/>
    <w:rsid w:val="00833C11"/>
    <w:rPr>
      <w:rFonts w:ascii="Times New Roman" w:eastAsia="Times New Roman" w:hAnsi="Times New Roman" w:cs="Times New Roman"/>
      <w:sz w:val="28"/>
      <w:szCs w:val="20"/>
      <w:lang w:eastAsia="sk-SK"/>
    </w:rPr>
  </w:style>
  <w:style w:type="character" w:styleId="Siln">
    <w:name w:val="Strong"/>
    <w:basedOn w:val="Predvolenpsmoodseku"/>
    <w:uiPriority w:val="22"/>
    <w:qFormat/>
    <w:rsid w:val="00833C11"/>
    <w:rPr>
      <w:b/>
      <w:bCs/>
    </w:rPr>
  </w:style>
  <w:style w:type="character" w:customStyle="1" w:styleId="PtaChar">
    <w:name w:val="Päta Char"/>
    <w:basedOn w:val="Predvolenpsmoodseku"/>
    <w:link w:val="Pta"/>
    <w:uiPriority w:val="99"/>
    <w:qFormat/>
    <w:rsid w:val="00833C11"/>
    <w:rPr>
      <w:rFonts w:ascii="Times New Roman" w:eastAsia="Times New Roman" w:hAnsi="Times New Roman" w:cs="Times New Roman"/>
      <w:sz w:val="24"/>
      <w:szCs w:val="20"/>
      <w:lang w:eastAsia="sk-SK"/>
    </w:rPr>
  </w:style>
  <w:style w:type="character" w:customStyle="1" w:styleId="Internetovodkaz">
    <w:name w:val="Internetový odkaz"/>
    <w:basedOn w:val="Predvolenpsmoodseku"/>
    <w:uiPriority w:val="99"/>
    <w:unhideWhenUsed/>
    <w:rsid w:val="00347F7C"/>
    <w:rPr>
      <w:color w:val="0563C1" w:themeColor="hyperlink"/>
      <w:u w:val="single"/>
    </w:rPr>
  </w:style>
  <w:style w:type="character" w:customStyle="1" w:styleId="TextbublinyChar">
    <w:name w:val="Text bubliny Char"/>
    <w:basedOn w:val="Predvolenpsmoodseku"/>
    <w:link w:val="Textbubliny"/>
    <w:uiPriority w:val="99"/>
    <w:semiHidden/>
    <w:qFormat/>
    <w:rsid w:val="00646506"/>
    <w:rPr>
      <w:rFonts w:ascii="Segoe UI" w:eastAsia="Times New Roman" w:hAnsi="Segoe UI" w:cs="Segoe UI"/>
      <w:sz w:val="18"/>
      <w:szCs w:val="18"/>
      <w:lang w:eastAsia="sk-SK"/>
    </w:rPr>
  </w:style>
  <w:style w:type="character" w:customStyle="1" w:styleId="TextkomentraChar">
    <w:name w:val="Text komentára Char"/>
    <w:basedOn w:val="Predvolenpsmoodseku"/>
    <w:link w:val="Textkomentra"/>
    <w:uiPriority w:val="99"/>
    <w:qFormat/>
    <w:rsid w:val="00B1575B"/>
    <w:rPr>
      <w:rFonts w:ascii="Times New Roman" w:eastAsiaTheme="minorEastAsia" w:hAnsi="Times New Roman"/>
      <w:sz w:val="20"/>
      <w:szCs w:val="20"/>
    </w:rPr>
  </w:style>
  <w:style w:type="character" w:styleId="Odkaznakomentr">
    <w:name w:val="annotation reference"/>
    <w:basedOn w:val="Predvolenpsmoodseku"/>
    <w:uiPriority w:val="99"/>
    <w:semiHidden/>
    <w:unhideWhenUsed/>
    <w:qFormat/>
    <w:rsid w:val="00F9285E"/>
    <w:rPr>
      <w:sz w:val="16"/>
      <w:szCs w:val="16"/>
    </w:rPr>
  </w:style>
  <w:style w:type="character" w:customStyle="1" w:styleId="PredmetkomentraChar">
    <w:name w:val="Predmet komentára Char"/>
    <w:basedOn w:val="TextkomentraChar"/>
    <w:link w:val="Predmetkomentra"/>
    <w:uiPriority w:val="99"/>
    <w:semiHidden/>
    <w:qFormat/>
    <w:rsid w:val="00F9285E"/>
    <w:rPr>
      <w:rFonts w:ascii="Times New Roman" w:eastAsia="Times New Roman" w:hAnsi="Times New Roman" w:cs="Times New Roman"/>
      <w:b/>
      <w:bCs/>
      <w:sz w:val="20"/>
      <w:szCs w:val="20"/>
      <w:lang w:eastAsia="sk-SK"/>
    </w:rPr>
  </w:style>
  <w:style w:type="character" w:customStyle="1" w:styleId="awspan">
    <w:name w:val="awspan"/>
    <w:basedOn w:val="Predvolenpsmoodseku"/>
    <w:qFormat/>
    <w:rsid w:val="00BA2947"/>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semiHidden/>
    <w:unhideWhenUsed/>
    <w:rsid w:val="00833C11"/>
    <w:pPr>
      <w:spacing w:after="12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link w:val="OdsekzoznamuChar"/>
    <w:uiPriority w:val="34"/>
    <w:qFormat/>
    <w:rsid w:val="00833C11"/>
    <w:pPr>
      <w:ind w:left="720"/>
      <w:contextualSpacing/>
    </w:pPr>
    <w:rPr>
      <w:sz w:val="28"/>
    </w:rPr>
  </w:style>
  <w:style w:type="paragraph" w:styleId="Normlnywebov">
    <w:name w:val="Normal (Web)"/>
    <w:basedOn w:val="Normlny"/>
    <w:uiPriority w:val="99"/>
    <w:unhideWhenUsed/>
    <w:qFormat/>
    <w:rsid w:val="00833C11"/>
    <w:pPr>
      <w:spacing w:beforeAutospacing="1" w:afterAutospacing="1"/>
    </w:pPr>
    <w:rPr>
      <w:szCs w:val="24"/>
    </w:rPr>
  </w:style>
  <w:style w:type="paragraph" w:customStyle="1" w:styleId="Hlavikaapta">
    <w:name w:val="Hlavička a päta"/>
    <w:basedOn w:val="Normlny"/>
    <w:qFormat/>
  </w:style>
  <w:style w:type="paragraph" w:styleId="Pta">
    <w:name w:val="footer"/>
    <w:basedOn w:val="Normlny"/>
    <w:link w:val="PtaChar"/>
    <w:uiPriority w:val="99"/>
    <w:unhideWhenUsed/>
    <w:rsid w:val="00833C11"/>
    <w:pPr>
      <w:tabs>
        <w:tab w:val="center" w:pos="4536"/>
        <w:tab w:val="right" w:pos="9072"/>
      </w:tabs>
    </w:pPr>
  </w:style>
  <w:style w:type="paragraph" w:styleId="Textbubliny">
    <w:name w:val="Balloon Text"/>
    <w:basedOn w:val="Normlny"/>
    <w:link w:val="TextbublinyChar"/>
    <w:uiPriority w:val="99"/>
    <w:semiHidden/>
    <w:unhideWhenUsed/>
    <w:qFormat/>
    <w:rsid w:val="00646506"/>
    <w:rPr>
      <w:rFonts w:ascii="Segoe UI" w:hAnsi="Segoe UI" w:cs="Segoe UI"/>
      <w:sz w:val="18"/>
      <w:szCs w:val="18"/>
    </w:rPr>
  </w:style>
  <w:style w:type="paragraph" w:styleId="Bezriadkovania">
    <w:name w:val="No Spacing"/>
    <w:uiPriority w:val="1"/>
    <w:qFormat/>
    <w:rsid w:val="000E1612"/>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qFormat/>
    <w:rsid w:val="00B1575B"/>
    <w:pPr>
      <w:ind w:left="284" w:right="-284"/>
    </w:pPr>
    <w:rPr>
      <w:rFonts w:eastAsiaTheme="minorEastAsia" w:cstheme="minorBidi"/>
      <w:sz w:val="20"/>
      <w:lang w:eastAsia="en-US"/>
    </w:rPr>
  </w:style>
  <w:style w:type="paragraph" w:customStyle="1" w:styleId="TxBrp9">
    <w:name w:val="TxBr_p9"/>
    <w:basedOn w:val="Normlny"/>
    <w:qFormat/>
    <w:rsid w:val="000E4591"/>
    <w:pPr>
      <w:widowControl w:val="0"/>
      <w:tabs>
        <w:tab w:val="left" w:pos="204"/>
      </w:tabs>
      <w:spacing w:line="240" w:lineRule="atLeast"/>
      <w:jc w:val="both"/>
    </w:pPr>
    <w:rPr>
      <w:sz w:val="20"/>
      <w:szCs w:val="24"/>
      <w:lang w:val="en-US"/>
    </w:rPr>
  </w:style>
  <w:style w:type="paragraph" w:customStyle="1" w:styleId="xxmsonormal">
    <w:name w:val="x_x_msonormal"/>
    <w:basedOn w:val="Normlny"/>
    <w:qFormat/>
    <w:rsid w:val="004D79A2"/>
    <w:rPr>
      <w:rFonts w:ascii="Calibri" w:eastAsiaTheme="minorHAnsi" w:hAnsi="Calibri" w:cs="Calibri"/>
      <w:sz w:val="22"/>
      <w:szCs w:val="22"/>
    </w:rPr>
  </w:style>
  <w:style w:type="paragraph" w:styleId="Predmetkomentra">
    <w:name w:val="annotation subject"/>
    <w:basedOn w:val="Textkomentra"/>
    <w:next w:val="Textkomentra"/>
    <w:link w:val="PredmetkomentraChar"/>
    <w:uiPriority w:val="99"/>
    <w:semiHidden/>
    <w:unhideWhenUsed/>
    <w:qFormat/>
    <w:rsid w:val="00F9285E"/>
    <w:pPr>
      <w:ind w:left="0" w:right="0"/>
    </w:pPr>
    <w:rPr>
      <w:rFonts w:eastAsia="Times New Roman" w:cs="Times New Roman"/>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45CF-5B7A-4595-B605-E160BE1B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2759</Words>
  <Characters>15732</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dc:description/>
  <cp:lastModifiedBy>Mališka, Martin</cp:lastModifiedBy>
  <cp:revision>30</cp:revision>
  <cp:lastPrinted>2025-05-27T07:33:00Z</cp:lastPrinted>
  <dcterms:created xsi:type="dcterms:W3CDTF">2025-05-23T11:12:00Z</dcterms:created>
  <dcterms:modified xsi:type="dcterms:W3CDTF">2025-05-27T10:09:00Z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b25181fa017d8b5d26d0c3170c989d9dfc61120d0a06f3db7ac49f487c2f59fd</vt:lpwstr>
  </property>
</Properties>
</file>