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07" w:rsidRPr="0037536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536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Výbor </w:t>
      </w:r>
    </w:p>
    <w:p w:rsidR="00642407" w:rsidRPr="0037536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5361">
        <w:rPr>
          <w:rFonts w:ascii="Times New Roman" w:hAnsi="Times New Roman" w:cs="Times New Roman"/>
          <w:b/>
          <w:i/>
          <w:sz w:val="24"/>
          <w:szCs w:val="24"/>
        </w:rPr>
        <w:t xml:space="preserve">   Národnej rady Slovenskej republiky</w:t>
      </w:r>
    </w:p>
    <w:p w:rsidR="00642407" w:rsidRPr="00375361" w:rsidRDefault="00642407" w:rsidP="006424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5361">
        <w:rPr>
          <w:rFonts w:ascii="Times New Roman" w:hAnsi="Times New Roman" w:cs="Times New Roman"/>
          <w:b/>
          <w:i/>
          <w:sz w:val="24"/>
          <w:szCs w:val="24"/>
        </w:rPr>
        <w:t>pre verejnú správu a regionálny rozvoj</w:t>
      </w:r>
    </w:p>
    <w:p w:rsidR="00642407" w:rsidRPr="0034173F" w:rsidRDefault="0034173F" w:rsidP="0037536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34173F">
        <w:rPr>
          <w:rFonts w:ascii="Times New Roman" w:hAnsi="Times New Roman" w:cs="Times New Roman"/>
          <w:sz w:val="24"/>
          <w:szCs w:val="24"/>
        </w:rPr>
        <w:t>33</w:t>
      </w:r>
      <w:r w:rsidR="00642407" w:rsidRPr="0034173F">
        <w:rPr>
          <w:rFonts w:ascii="Times New Roman" w:hAnsi="Times New Roman" w:cs="Times New Roman"/>
          <w:sz w:val="24"/>
          <w:szCs w:val="24"/>
        </w:rPr>
        <w:t xml:space="preserve">. schôdza výboru </w:t>
      </w:r>
    </w:p>
    <w:p w:rsidR="003308C8" w:rsidRDefault="00642407" w:rsidP="0037536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34173F">
        <w:rPr>
          <w:rFonts w:ascii="Times New Roman" w:hAnsi="Times New Roman" w:cs="Times New Roman"/>
          <w:sz w:val="24"/>
          <w:szCs w:val="24"/>
        </w:rPr>
        <w:t xml:space="preserve">Číslo: </w:t>
      </w:r>
      <w:r w:rsidR="00714670">
        <w:rPr>
          <w:rFonts w:ascii="Times New Roman" w:hAnsi="Times New Roman" w:cs="Times New Roman"/>
          <w:sz w:val="24"/>
          <w:szCs w:val="24"/>
        </w:rPr>
        <w:t>KNR-VSRR-4449/2025-</w:t>
      </w:r>
      <w:r w:rsidR="00FC3521">
        <w:rPr>
          <w:rFonts w:ascii="Times New Roman" w:hAnsi="Times New Roman" w:cs="Times New Roman"/>
          <w:sz w:val="24"/>
          <w:szCs w:val="24"/>
        </w:rPr>
        <w:t>10</w:t>
      </w:r>
    </w:p>
    <w:p w:rsidR="00375361" w:rsidRDefault="00375361" w:rsidP="00375361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642407" w:rsidRPr="000C74A1" w:rsidRDefault="000C74A1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119</w:t>
      </w:r>
      <w:bookmarkStart w:id="0" w:name="_GoBack"/>
      <w:bookmarkEnd w:id="0"/>
    </w:p>
    <w:p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407" w:rsidRDefault="00375361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361">
        <w:rPr>
          <w:rFonts w:ascii="Times New Roman" w:hAnsi="Times New Roman" w:cs="Times New Roman"/>
          <w:b/>
          <w:sz w:val="24"/>
          <w:szCs w:val="24"/>
        </w:rPr>
        <w:t>U z n e s e n i e</w:t>
      </w:r>
    </w:p>
    <w:p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Výboru Národnej rady Slovenskej republiky </w:t>
      </w:r>
    </w:p>
    <w:p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verejnú správu a regionálny rozvoj </w:t>
      </w:r>
    </w:p>
    <w:p w:rsidR="00642407" w:rsidRDefault="00375361" w:rsidP="00642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B83B61">
        <w:rPr>
          <w:rFonts w:ascii="Times New Roman" w:hAnsi="Times New Roman" w:cs="Times New Roman"/>
          <w:b/>
          <w:sz w:val="24"/>
          <w:szCs w:val="24"/>
        </w:rPr>
        <w:t>27. mája 2025</w:t>
      </w:r>
    </w:p>
    <w:p w:rsidR="00642407" w:rsidRDefault="00642407" w:rsidP="00642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407" w:rsidRPr="00642407" w:rsidRDefault="00775837" w:rsidP="003753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n</w:t>
      </w:r>
      <w:r w:rsidRPr="00775837">
        <w:rPr>
          <w:rFonts w:ascii="Times New Roman" w:hAnsi="Times New Roman" w:cs="Times New Roman"/>
          <w:sz w:val="24"/>
          <w:szCs w:val="24"/>
        </w:rPr>
        <w:t>ávrh</w:t>
      </w:r>
      <w:r w:rsidR="00752436">
        <w:rPr>
          <w:rFonts w:ascii="Times New Roman" w:hAnsi="Times New Roman" w:cs="Times New Roman"/>
          <w:sz w:val="24"/>
          <w:szCs w:val="24"/>
        </w:rPr>
        <w:t>u</w:t>
      </w:r>
      <w:r w:rsidRPr="00775837">
        <w:rPr>
          <w:rFonts w:ascii="Times New Roman" w:hAnsi="Times New Roman" w:cs="Times New Roman"/>
          <w:sz w:val="24"/>
          <w:szCs w:val="24"/>
        </w:rPr>
        <w:t xml:space="preserve"> poslancov Národnej rady Slovenskej republiky Dávida DEMEČKA a Michala BARTEKA na vydanie zákona, ktorým sa mení zákon č. 83/1990 Zb. o združovaní občanov v znení neskorších predpisov a ktorým sa menia niektoré zákony </w:t>
      </w:r>
      <w:r w:rsidR="00642407" w:rsidRPr="00375361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 w:rsidR="00714670" w:rsidRPr="00375361">
        <w:rPr>
          <w:rFonts w:ascii="Times New Roman" w:hAnsi="Times New Roman" w:cs="Times New Roman"/>
          <w:b/>
          <w:sz w:val="24"/>
          <w:szCs w:val="24"/>
        </w:rPr>
        <w:t>745</w:t>
      </w:r>
      <w:r w:rsidR="00642407" w:rsidRPr="00375361">
        <w:rPr>
          <w:rFonts w:ascii="Times New Roman" w:hAnsi="Times New Roman" w:cs="Times New Roman"/>
          <w:b/>
          <w:sz w:val="24"/>
          <w:szCs w:val="24"/>
        </w:rPr>
        <w:t>)</w:t>
      </w:r>
      <w:r w:rsidR="00375361" w:rsidRPr="00375361">
        <w:rPr>
          <w:rFonts w:ascii="Times New Roman" w:hAnsi="Times New Roman" w:cs="Times New Roman"/>
          <w:sz w:val="24"/>
          <w:szCs w:val="24"/>
        </w:rPr>
        <w:t>;</w:t>
      </w:r>
      <w:r w:rsidR="00642407" w:rsidRPr="008E7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361" w:rsidRPr="00375361" w:rsidRDefault="00642407" w:rsidP="003753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07">
        <w:rPr>
          <w:rFonts w:ascii="Times New Roman" w:hAnsi="Times New Roman" w:cs="Times New Roman"/>
          <w:sz w:val="24"/>
          <w:szCs w:val="24"/>
        </w:rPr>
        <w:tab/>
      </w:r>
      <w:r w:rsidR="00375361" w:rsidRPr="00375361">
        <w:rPr>
          <w:rFonts w:ascii="Times New Roman" w:hAnsi="Times New Roman" w:cs="Times New Roman"/>
          <w:b/>
          <w:sz w:val="24"/>
          <w:szCs w:val="24"/>
        </w:rPr>
        <w:t xml:space="preserve">Výbor Národnej rady Slovenskej republiky </w:t>
      </w:r>
    </w:p>
    <w:p w:rsidR="00642407" w:rsidRPr="00642407" w:rsidRDefault="00375361" w:rsidP="003753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361">
        <w:rPr>
          <w:rFonts w:ascii="Times New Roman" w:hAnsi="Times New Roman" w:cs="Times New Roman"/>
          <w:b/>
          <w:sz w:val="24"/>
          <w:szCs w:val="24"/>
        </w:rPr>
        <w:t>pre verejnú správu a regionálny rozvoj</w:t>
      </w:r>
      <w:r w:rsidR="00642407" w:rsidRPr="006424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375361" w:rsidP="003753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361">
        <w:rPr>
          <w:rFonts w:ascii="Times New Roman" w:hAnsi="Times New Roman" w:cs="Times New Roman"/>
          <w:b/>
          <w:sz w:val="24"/>
          <w:szCs w:val="24"/>
        </w:rPr>
        <w:t>s ú h l a s í</w:t>
      </w:r>
      <w:r w:rsidR="006424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375361" w:rsidP="00375361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752436">
        <w:rPr>
          <w:rFonts w:ascii="Times New Roman" w:hAnsi="Times New Roman" w:cs="Times New Roman"/>
          <w:sz w:val="24"/>
          <w:szCs w:val="24"/>
        </w:rPr>
        <w:t>n</w:t>
      </w:r>
      <w:r w:rsidR="00752436" w:rsidRPr="00775837">
        <w:rPr>
          <w:rFonts w:ascii="Times New Roman" w:hAnsi="Times New Roman" w:cs="Times New Roman"/>
          <w:sz w:val="24"/>
          <w:szCs w:val="24"/>
        </w:rPr>
        <w:t>ávrh</w:t>
      </w:r>
      <w:r>
        <w:rPr>
          <w:rFonts w:ascii="Times New Roman" w:hAnsi="Times New Roman" w:cs="Times New Roman"/>
          <w:sz w:val="24"/>
          <w:szCs w:val="24"/>
        </w:rPr>
        <w:t>om</w:t>
      </w:r>
      <w:r w:rsidR="00752436" w:rsidRPr="00775837">
        <w:rPr>
          <w:rFonts w:ascii="Times New Roman" w:hAnsi="Times New Roman" w:cs="Times New Roman"/>
          <w:sz w:val="24"/>
          <w:szCs w:val="24"/>
        </w:rPr>
        <w:t xml:space="preserve"> poslancov Národnej rady Slovenskej republiky Dávida DEMEČKA a Michala BARTEKA na vydanie zákona, ktorým sa mení zákon č. 83/1990 Zb. o združovaní občanov v znení neskorších predpisov a ktorým sa menia niektoré zákony </w:t>
      </w:r>
      <w:r w:rsidR="00752436" w:rsidRPr="00E10BE5">
        <w:rPr>
          <w:rFonts w:ascii="Times New Roman" w:hAnsi="Times New Roman" w:cs="Times New Roman"/>
          <w:b/>
          <w:sz w:val="24"/>
          <w:szCs w:val="24"/>
        </w:rPr>
        <w:t>(tlač 745)</w:t>
      </w:r>
      <w:r w:rsidR="00E10BE5" w:rsidRPr="00E10BE5">
        <w:rPr>
          <w:rFonts w:ascii="Times New Roman" w:hAnsi="Times New Roman" w:cs="Times New Roman"/>
          <w:sz w:val="24"/>
          <w:szCs w:val="24"/>
        </w:rPr>
        <w:t>;</w:t>
      </w:r>
    </w:p>
    <w:p w:rsidR="00752436" w:rsidRDefault="00752436" w:rsidP="0075243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d p o r ú č a </w:t>
      </w: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Národnej rade Slovenskej republiky</w:t>
      </w: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FC3521" w:rsidP="00375361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775837">
        <w:rPr>
          <w:rFonts w:ascii="Times New Roman" w:hAnsi="Times New Roman" w:cs="Times New Roman"/>
          <w:sz w:val="24"/>
          <w:szCs w:val="24"/>
        </w:rPr>
        <w:t xml:space="preserve">ávrh poslancov Národnej rady Slovenskej republiky Dávida DEMEČKA a Michala BARTEKA na vydanie zákona, ktorým sa mení zákon č. 83/1990 Zb. o združovaní občanov v znení neskorších predpisov a ktorým sa menia niektoré zákony </w:t>
      </w:r>
      <w:r w:rsidRPr="00E10BE5">
        <w:rPr>
          <w:rFonts w:ascii="Times New Roman" w:hAnsi="Times New Roman" w:cs="Times New Roman"/>
          <w:b/>
          <w:sz w:val="24"/>
          <w:szCs w:val="24"/>
        </w:rPr>
        <w:t>(tlač 745)</w:t>
      </w:r>
      <w:r w:rsidR="00642407" w:rsidRPr="00642407">
        <w:rPr>
          <w:rFonts w:ascii="Times New Roman" w:hAnsi="Times New Roman" w:cs="Times New Roman"/>
          <w:sz w:val="24"/>
          <w:szCs w:val="24"/>
        </w:rPr>
        <w:t xml:space="preserve"> </w:t>
      </w:r>
      <w:r w:rsidR="00642407">
        <w:rPr>
          <w:rFonts w:ascii="Times New Roman" w:hAnsi="Times New Roman" w:cs="Times New Roman"/>
          <w:b/>
          <w:sz w:val="24"/>
          <w:szCs w:val="24"/>
        </w:rPr>
        <w:t>schváliť</w:t>
      </w:r>
      <w:r w:rsidR="003753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A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375361" w:rsidRPr="00375361">
        <w:rPr>
          <w:rFonts w:ascii="Times New Roman" w:hAnsi="Times New Roman" w:cs="Times New Roman"/>
          <w:sz w:val="24"/>
          <w:szCs w:val="24"/>
        </w:rPr>
        <w:t>s pozmeňujúcimi a doplňujúcimi návrhmi, ktoré tvoria prílohu tohto uznesenia</w:t>
      </w:r>
      <w:r w:rsidR="0064240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42407" w:rsidRDefault="00642407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Pr="006B401E" w:rsidRDefault="006B401E" w:rsidP="0037536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01E">
        <w:rPr>
          <w:rFonts w:ascii="Times New Roman" w:hAnsi="Times New Roman" w:cs="Times New Roman"/>
          <w:b/>
          <w:spacing w:val="38"/>
          <w:sz w:val="24"/>
          <w:szCs w:val="24"/>
        </w:rPr>
        <w:t>poveruje</w:t>
      </w:r>
      <w:r w:rsidR="00642407" w:rsidRPr="006B401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642407" w:rsidRDefault="00375361" w:rsidP="0064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48CB">
        <w:rPr>
          <w:rFonts w:ascii="Times New Roman" w:hAnsi="Times New Roman" w:cs="Times New Roman"/>
          <w:sz w:val="24"/>
          <w:szCs w:val="24"/>
        </w:rPr>
        <w:t xml:space="preserve">predsedu výboru, aby výsledky rokovania Výboru Národnej rady Slovenskej republiky pre </w:t>
      </w:r>
      <w:r>
        <w:rPr>
          <w:rFonts w:ascii="Times New Roman" w:hAnsi="Times New Roman" w:cs="Times New Roman"/>
          <w:sz w:val="24"/>
          <w:szCs w:val="24"/>
        </w:rPr>
        <w:t>verejnú správu a regionálny rozvoj</w:t>
      </w:r>
      <w:r w:rsidRPr="00B048CB">
        <w:rPr>
          <w:rFonts w:ascii="Times New Roman" w:hAnsi="Times New Roman" w:cs="Times New Roman"/>
          <w:sz w:val="24"/>
          <w:szCs w:val="24"/>
        </w:rPr>
        <w:t xml:space="preserve"> v druhom čítaní spolu s výsledkami rokovania Ústavnoprávneho výboru Národnej rady Slovenskej republiky spracoval do pís</w:t>
      </w:r>
      <w:r>
        <w:rPr>
          <w:rFonts w:ascii="Times New Roman" w:hAnsi="Times New Roman" w:cs="Times New Roman"/>
          <w:sz w:val="24"/>
          <w:szCs w:val="24"/>
        </w:rPr>
        <w:t xml:space="preserve">omnej spoločnej správy výborov </w:t>
      </w:r>
      <w:r w:rsidRPr="00B048CB">
        <w:rPr>
          <w:rFonts w:ascii="Times New Roman" w:hAnsi="Times New Roman" w:cs="Times New Roman"/>
          <w:sz w:val="24"/>
          <w:szCs w:val="24"/>
        </w:rPr>
        <w:t>Národnej rady Slovenskej republiky podľa § 79 ods. 1 zákona Národnej rady Slovenskej republiky č. 350/1996 Z. z. o rokovacom poriadku Národnej rady Slovenskej republiky v znení neskorších predpisov a predložil ju na schválenie.</w:t>
      </w:r>
      <w:r w:rsidR="00642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407" w:rsidRDefault="00642407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5F8" w:rsidRDefault="006835F8" w:rsidP="006424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361" w:rsidRPr="00B048CB" w:rsidRDefault="00375361" w:rsidP="00375361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8CB">
        <w:rPr>
          <w:rFonts w:ascii="Times New Roman" w:hAnsi="Times New Roman" w:cs="Times New Roman"/>
          <w:b/>
          <w:sz w:val="24"/>
          <w:szCs w:val="24"/>
        </w:rPr>
        <w:t xml:space="preserve">Igor  JANCKULÍK, v. r. </w:t>
      </w:r>
    </w:p>
    <w:p w:rsidR="00375361" w:rsidRPr="00B048CB" w:rsidRDefault="00375361" w:rsidP="00375361">
      <w:pPr>
        <w:pStyle w:val="Odsekzoznamu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048CB">
        <w:rPr>
          <w:rFonts w:ascii="Times New Roman" w:hAnsi="Times New Roman" w:cs="Times New Roman"/>
          <w:sz w:val="24"/>
          <w:szCs w:val="24"/>
        </w:rPr>
        <w:t xml:space="preserve">podpredseda výboru </w:t>
      </w:r>
    </w:p>
    <w:p w:rsidR="00375361" w:rsidRPr="00B048CB" w:rsidRDefault="00375361" w:rsidP="00375361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361" w:rsidRPr="00B048CB" w:rsidRDefault="00375361" w:rsidP="00375361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8CB">
        <w:rPr>
          <w:rFonts w:ascii="Times New Roman" w:hAnsi="Times New Roman" w:cs="Times New Roman"/>
          <w:b/>
          <w:sz w:val="24"/>
          <w:szCs w:val="24"/>
        </w:rPr>
        <w:t xml:space="preserve">Viliam ZAHORČÁK, v. r. </w:t>
      </w:r>
    </w:p>
    <w:p w:rsidR="00375361" w:rsidRPr="00B048CB" w:rsidRDefault="00375361" w:rsidP="00375361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8CB">
        <w:rPr>
          <w:rFonts w:ascii="Times New Roman" w:hAnsi="Times New Roman" w:cs="Times New Roman"/>
          <w:b/>
          <w:sz w:val="24"/>
          <w:szCs w:val="24"/>
        </w:rPr>
        <w:t xml:space="preserve">Marek LACKOVIČ, v. r. </w:t>
      </w:r>
    </w:p>
    <w:p w:rsidR="00375361" w:rsidRDefault="00375361" w:rsidP="00375361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048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8CB">
        <w:rPr>
          <w:rFonts w:ascii="Times New Roman" w:hAnsi="Times New Roman" w:cs="Times New Roman"/>
          <w:sz w:val="24"/>
          <w:szCs w:val="24"/>
        </w:rPr>
        <w:t xml:space="preserve"> overovatelia výboru</w:t>
      </w:r>
    </w:p>
    <w:p w:rsidR="00375361" w:rsidRPr="00B048CB" w:rsidRDefault="00375361" w:rsidP="003753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Príloha k uzneseniu č. 119</w:t>
      </w:r>
      <w:r w:rsidRPr="00B048CB">
        <w:rPr>
          <w:rFonts w:ascii="Times New Roman" w:hAnsi="Times New Roman" w:cs="Times New Roman"/>
          <w:sz w:val="24"/>
          <w:szCs w:val="24"/>
        </w:rPr>
        <w:t xml:space="preserve"> – tlač </w:t>
      </w:r>
      <w:r>
        <w:rPr>
          <w:rFonts w:ascii="Times New Roman" w:hAnsi="Times New Roman" w:cs="Times New Roman"/>
          <w:sz w:val="24"/>
          <w:szCs w:val="24"/>
        </w:rPr>
        <w:t>745</w:t>
      </w:r>
    </w:p>
    <w:p w:rsidR="00375361" w:rsidRPr="00B048CB" w:rsidRDefault="00375361" w:rsidP="003753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5361" w:rsidRPr="00B048CB" w:rsidRDefault="00375361" w:rsidP="003753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8CB">
        <w:rPr>
          <w:rFonts w:ascii="Times New Roman" w:hAnsi="Times New Roman" w:cs="Times New Roman"/>
          <w:b/>
          <w:sz w:val="24"/>
          <w:szCs w:val="24"/>
        </w:rPr>
        <w:t>Pozmeňujúce a doplňujúce návrhy</w:t>
      </w:r>
    </w:p>
    <w:p w:rsidR="00375361" w:rsidRPr="00B048CB" w:rsidRDefault="00375361" w:rsidP="003753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048CB">
        <w:rPr>
          <w:rFonts w:ascii="Times New Roman" w:hAnsi="Times New Roman" w:cs="Times New Roman"/>
          <w:sz w:val="24"/>
          <w:szCs w:val="24"/>
        </w:rPr>
        <w:t xml:space="preserve">k </w:t>
      </w:r>
      <w:r w:rsidRPr="00375361">
        <w:rPr>
          <w:rFonts w:ascii="Times New Roman" w:hAnsi="Times New Roman" w:cs="Times New Roman"/>
          <w:sz w:val="24"/>
          <w:szCs w:val="24"/>
        </w:rPr>
        <w:t>návrhu poslancov Národnej rady Slovenskej republiky Dávida DEMEČKA a Michala BARTEKA na vydanie zákona, ktorým sa mení zákon č. 83/1990 Zb. o združovaní občanov v znení neskorších predpisov a ktorým sa menia niektoré zákony</w:t>
      </w:r>
    </w:p>
    <w:p w:rsidR="00375361" w:rsidRPr="00B048CB" w:rsidRDefault="00375361" w:rsidP="003753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048CB">
        <w:rPr>
          <w:rFonts w:ascii="Times New Roman" w:hAnsi="Times New Roman" w:cs="Times New Roman"/>
          <w:sz w:val="24"/>
          <w:szCs w:val="24"/>
        </w:rPr>
        <w:t xml:space="preserve">(tlač </w:t>
      </w:r>
      <w:r>
        <w:rPr>
          <w:rFonts w:ascii="Times New Roman" w:hAnsi="Times New Roman" w:cs="Times New Roman"/>
          <w:sz w:val="24"/>
          <w:szCs w:val="24"/>
        </w:rPr>
        <w:t>745</w:t>
      </w:r>
      <w:r w:rsidRPr="00B048CB">
        <w:rPr>
          <w:rFonts w:ascii="Times New Roman" w:hAnsi="Times New Roman" w:cs="Times New Roman"/>
          <w:sz w:val="24"/>
          <w:szCs w:val="24"/>
        </w:rPr>
        <w:t>)</w:t>
      </w:r>
    </w:p>
    <w:p w:rsidR="00375361" w:rsidRDefault="00375361" w:rsidP="003753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048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391B" w:rsidRDefault="008A391B" w:rsidP="00375361">
      <w:pPr>
        <w:spacing w:after="0" w:line="240" w:lineRule="auto"/>
        <w:jc w:val="both"/>
      </w:pPr>
    </w:p>
    <w:p w:rsidR="00B51114" w:rsidRPr="00C02957" w:rsidRDefault="00B51114" w:rsidP="00B51114">
      <w:pPr>
        <w:pStyle w:val="Odsekzoznamu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4C35">
        <w:rPr>
          <w:rFonts w:ascii="Times New Roman" w:hAnsi="Times New Roman" w:cs="Times New Roman"/>
          <w:sz w:val="24"/>
          <w:szCs w:val="24"/>
        </w:rPr>
        <w:t xml:space="preserve">V názve </w:t>
      </w:r>
      <w:r>
        <w:rPr>
          <w:rFonts w:ascii="Times New Roman" w:hAnsi="Times New Roman" w:cs="Times New Roman"/>
          <w:sz w:val="24"/>
          <w:szCs w:val="24"/>
        </w:rPr>
        <w:t>návrhu zákona sa za slovo „mení“ vkladajú slová „a dopĺňa</w:t>
      </w:r>
      <w:r w:rsidRPr="00C02957">
        <w:rPr>
          <w:rFonts w:ascii="Times New Roman" w:hAnsi="Times New Roman" w:cs="Times New Roman"/>
          <w:sz w:val="24"/>
          <w:szCs w:val="24"/>
        </w:rPr>
        <w:t>“.</w:t>
      </w:r>
    </w:p>
    <w:p w:rsidR="00B51114" w:rsidRPr="007F4C35" w:rsidRDefault="00B51114" w:rsidP="00B51114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F4C35">
        <w:rPr>
          <w:rFonts w:ascii="Times New Roman" w:hAnsi="Times New Roman" w:cs="Times New Roman"/>
          <w:sz w:val="24"/>
          <w:szCs w:val="24"/>
        </w:rPr>
        <w:t xml:space="preserve">Legislatívno-technická úprava; spresnenie názvu návrhu zákona. </w:t>
      </w:r>
    </w:p>
    <w:p w:rsidR="00B51114" w:rsidRPr="007F4C35" w:rsidRDefault="00B51114" w:rsidP="00B51114">
      <w:pPr>
        <w:pStyle w:val="Odsekzoznamu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B51114" w:rsidRPr="007F4C35" w:rsidRDefault="00B51114" w:rsidP="00B51114">
      <w:pPr>
        <w:pStyle w:val="Odsekzoznamu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4C35">
        <w:rPr>
          <w:rFonts w:ascii="Times New Roman" w:hAnsi="Times New Roman" w:cs="Times New Roman"/>
          <w:sz w:val="24"/>
          <w:szCs w:val="24"/>
        </w:rPr>
        <w:t xml:space="preserve">V čl. I, 3. bode sa slová „§ 20a vkladá § 20b“ nahrádzajú slovami „§ 20b vkladá § 20c“ a zároveň sa primerane upraví </w:t>
      </w:r>
      <w:r>
        <w:rPr>
          <w:rFonts w:ascii="Times New Roman" w:hAnsi="Times New Roman" w:cs="Times New Roman"/>
          <w:sz w:val="24"/>
          <w:szCs w:val="24"/>
        </w:rPr>
        <w:t>označenie</w:t>
      </w:r>
      <w:r w:rsidRPr="007F4C35">
        <w:rPr>
          <w:rFonts w:ascii="Times New Roman" w:hAnsi="Times New Roman" w:cs="Times New Roman"/>
          <w:sz w:val="24"/>
          <w:szCs w:val="24"/>
        </w:rPr>
        <w:t xml:space="preserve"> prechodného ustanovenia. </w:t>
      </w:r>
    </w:p>
    <w:p w:rsidR="00B51114" w:rsidRPr="007F4C35" w:rsidRDefault="00B51114" w:rsidP="00B51114">
      <w:pPr>
        <w:spacing w:after="0" w:line="240" w:lineRule="auto"/>
        <w:ind w:left="4608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B51114" w:rsidRPr="007F4C35" w:rsidRDefault="00B51114" w:rsidP="00B51114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F4C35">
        <w:rPr>
          <w:rFonts w:ascii="Times New Roman" w:hAnsi="Times New Roman" w:cs="Times New Roman"/>
          <w:sz w:val="24"/>
          <w:szCs w:val="24"/>
        </w:rPr>
        <w:t>Legislatívno-technická úprava; preznačenie označenia uvedeného ustanovenia vzhľadom na schválenú novelu zákona č. 83/1990 Zb. o združovaní občanov v znení neskorších predpisov v tlači 245 (čl. IV), ktorý v bode 4 vkladal totožné označenie prechodného ustanovenia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C35">
        <w:rPr>
          <w:rFonts w:ascii="Times New Roman" w:hAnsi="Times New Roman" w:cs="Times New Roman"/>
          <w:sz w:val="24"/>
          <w:szCs w:val="24"/>
        </w:rPr>
        <w:t>20b.</w:t>
      </w:r>
    </w:p>
    <w:p w:rsidR="00B51114" w:rsidRPr="007F4C35" w:rsidRDefault="00B51114" w:rsidP="00B51114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51114" w:rsidRPr="007F4C35" w:rsidRDefault="00B51114" w:rsidP="00B51114">
      <w:pPr>
        <w:pStyle w:val="Odsekzoznamu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4C35">
        <w:rPr>
          <w:rFonts w:ascii="Times New Roman" w:hAnsi="Times New Roman" w:cs="Times New Roman"/>
          <w:sz w:val="24"/>
          <w:szCs w:val="24"/>
        </w:rPr>
        <w:t>V čl. I, 4. bode sa slová „§ 19, § 20 a § 20a</w:t>
      </w:r>
      <w:r>
        <w:rPr>
          <w:rFonts w:ascii="Times New Roman" w:hAnsi="Times New Roman" w:cs="Times New Roman"/>
          <w:sz w:val="24"/>
          <w:szCs w:val="24"/>
        </w:rPr>
        <w:t xml:space="preserve"> nahrádzajú</w:t>
      </w:r>
      <w:r w:rsidRPr="007F4C35">
        <w:rPr>
          <w:rFonts w:ascii="Times New Roman" w:hAnsi="Times New Roman" w:cs="Times New Roman"/>
          <w:sz w:val="24"/>
          <w:szCs w:val="24"/>
        </w:rPr>
        <w:t>“  nahrádzajú slovami „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Pr="007F4C35">
        <w:rPr>
          <w:rFonts w:ascii="Times New Roman" w:hAnsi="Times New Roman" w:cs="Times New Roman"/>
          <w:sz w:val="24"/>
          <w:szCs w:val="24"/>
        </w:rPr>
        <w:t>19 až 20a</w:t>
      </w:r>
      <w:r>
        <w:rPr>
          <w:rFonts w:ascii="Times New Roman" w:hAnsi="Times New Roman" w:cs="Times New Roman"/>
          <w:sz w:val="24"/>
          <w:szCs w:val="24"/>
        </w:rPr>
        <w:t xml:space="preserve"> nahrádza</w:t>
      </w:r>
      <w:r w:rsidRPr="007F4C35">
        <w:rPr>
          <w:rFonts w:ascii="Times New Roman" w:hAnsi="Times New Roman" w:cs="Times New Roman"/>
          <w:sz w:val="24"/>
          <w:szCs w:val="24"/>
        </w:rPr>
        <w:t>“.</w:t>
      </w:r>
    </w:p>
    <w:p w:rsidR="00B51114" w:rsidRPr="007F4C35" w:rsidRDefault="00B51114" w:rsidP="00B5111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114" w:rsidRPr="007F4C35" w:rsidRDefault="00B51114" w:rsidP="00B51114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7F4C35">
        <w:rPr>
          <w:rFonts w:ascii="Times New Roman" w:hAnsi="Times New Roman" w:cs="Times New Roman"/>
          <w:sz w:val="24"/>
          <w:szCs w:val="24"/>
        </w:rPr>
        <w:t>Legislatívno-technická úprava.</w:t>
      </w:r>
    </w:p>
    <w:p w:rsidR="00375361" w:rsidRPr="00C82E07" w:rsidRDefault="00375361" w:rsidP="00375361">
      <w:pPr>
        <w:spacing w:after="0" w:line="240" w:lineRule="auto"/>
        <w:jc w:val="both"/>
        <w:rPr>
          <w:sz w:val="24"/>
          <w:szCs w:val="24"/>
        </w:rPr>
      </w:pPr>
    </w:p>
    <w:p w:rsidR="00375361" w:rsidRPr="00C82E07" w:rsidRDefault="00375361" w:rsidP="00375361">
      <w:pPr>
        <w:spacing w:after="0" w:line="240" w:lineRule="auto"/>
        <w:jc w:val="both"/>
        <w:rPr>
          <w:sz w:val="24"/>
          <w:szCs w:val="24"/>
        </w:rPr>
      </w:pPr>
    </w:p>
    <w:p w:rsidR="00375361" w:rsidRDefault="00375361" w:rsidP="00B51114">
      <w:pPr>
        <w:pStyle w:val="Odsekzoznamu"/>
        <w:numPr>
          <w:ilvl w:val="0"/>
          <w:numId w:val="10"/>
        </w:numPr>
        <w:spacing w:after="24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82E0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čl. I sa vkladá nový čl. II, ktorý znie:</w:t>
      </w:r>
    </w:p>
    <w:p w:rsidR="00375361" w:rsidRDefault="00375361" w:rsidP="00375361">
      <w:pPr>
        <w:pStyle w:val="Odsekzoznamu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E603A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375361" w:rsidRDefault="00375361" w:rsidP="00375361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Zákon č. 180/2013 Z. z. </w:t>
      </w:r>
      <w:r w:rsidRPr="00B51114">
        <w:rPr>
          <w:rFonts w:ascii="Times New Roman" w:hAnsi="Times New Roman" w:cs="Times New Roman"/>
          <w:sz w:val="24"/>
        </w:rPr>
        <w:t>o organizácii miestnej štátnej správy a o zmene a doplnení niektorých zákonov</w:t>
      </w:r>
      <w:r>
        <w:rPr>
          <w:rFonts w:ascii="Times New Roman" w:hAnsi="Times New Roman" w:cs="Times New Roman"/>
          <w:sz w:val="24"/>
        </w:rPr>
        <w:t xml:space="preserve"> v znení zákona č. 474/2013 Z. z., zákona č. 506/2013 Z. z., zákona č. 115/2014 Z. z., zákona č. 374/2014 Z. z., zákona č. 125/2016 Z. z., zákona č. 378/2016 Z. z. a zákona č. 55/2017 Z. z. sa dopĺňa </w:t>
      </w:r>
      <w:r w:rsidRPr="00E0727A">
        <w:rPr>
          <w:rFonts w:ascii="Times New Roman" w:hAnsi="Times New Roman" w:cs="Times New Roman"/>
          <w:sz w:val="24"/>
        </w:rPr>
        <w:t>takto:</w:t>
      </w:r>
    </w:p>
    <w:p w:rsidR="00375361" w:rsidRDefault="00375361" w:rsidP="00375361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§ 4a sa vkladá § 4b, ktorý znie:</w:t>
      </w:r>
    </w:p>
    <w:p w:rsidR="00375361" w:rsidRDefault="00375361" w:rsidP="00375361">
      <w:pPr>
        <w:spacing w:after="24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„§ 4b</w:t>
      </w:r>
    </w:p>
    <w:p w:rsidR="00375361" w:rsidRPr="00173A4C" w:rsidRDefault="00375361" w:rsidP="00375361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(1) Nebytové priestory alebo ich časti v budovách vo vlastníctve Slovenskej republiky, v správe ministerstva, v ktorých vykonáva pôsobnosť okresný úrad alebo ministerstvo vybavovaním vecí fyzických osôb a právnických osôb v osobnom kontakte, možno prenechať do nájmu aj bez ponuky podľa osobitného predpisu</w:t>
      </w:r>
      <w:r>
        <w:rPr>
          <w:rFonts w:ascii="Times New Roman" w:hAnsi="Times New Roman" w:cs="Times New Roman"/>
          <w:sz w:val="24"/>
          <w:vertAlign w:val="superscript"/>
        </w:rPr>
        <w:t>1b</w:t>
      </w:r>
      <w:r>
        <w:rPr>
          <w:rFonts w:ascii="Times New Roman" w:hAnsi="Times New Roman" w:cs="Times New Roman"/>
          <w:sz w:val="24"/>
        </w:rPr>
        <w:t xml:space="preserve">), ak nájomcom je obec, vyšší územný celok alebo právnická osoba s majetkovou účasťou štátu a nájomca poskytuje univerzálne poštové služby </w:t>
      </w:r>
      <w:r w:rsidRPr="00173A4C">
        <w:rPr>
          <w:rFonts w:ascii="Times New Roman" w:hAnsi="Times New Roman" w:cs="Times New Roman"/>
          <w:sz w:val="24"/>
        </w:rPr>
        <w:t xml:space="preserve">alebo iné služby podporujúce prístup fyzických osôb a právnických osôb </w:t>
      </w:r>
      <w:r w:rsidRPr="00173A4C">
        <w:rPr>
          <w:rFonts w:ascii="Times New Roman" w:hAnsi="Times New Roman" w:cs="Times New Roman"/>
          <w:sz w:val="24"/>
        </w:rPr>
        <w:lastRenderedPageBreak/>
        <w:t>k vybavovaniu vecí súvisiacich s výkonom pôsobnosti okresného úradu alebo ministerstva v osobnom kontakte.</w:t>
      </w:r>
    </w:p>
    <w:p w:rsidR="00375361" w:rsidRDefault="00375361" w:rsidP="00375361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173A4C">
        <w:rPr>
          <w:rFonts w:ascii="Times New Roman" w:hAnsi="Times New Roman" w:cs="Times New Roman"/>
          <w:sz w:val="24"/>
        </w:rPr>
        <w:t>(2) Uplatnením postupu podľa odseku 1 možno dohodnúť najmenej také nájomné, za</w:t>
      </w:r>
      <w:r>
        <w:rPr>
          <w:rFonts w:ascii="Times New Roman" w:hAnsi="Times New Roman" w:cs="Times New Roman"/>
          <w:sz w:val="24"/>
        </w:rPr>
        <w:t xml:space="preserve"> aké sa v tom čase a na tom mieste obvykle prenechávajú do nájmu na dohodnutý účel také alebo porovnateľné nebytové priestory alebo ich časti.</w:t>
      </w:r>
    </w:p>
    <w:p w:rsidR="00375361" w:rsidRDefault="00375361" w:rsidP="00375361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(3) </w:t>
      </w:r>
      <w:r w:rsidRPr="00F13C00">
        <w:rPr>
          <w:rFonts w:ascii="Times New Roman" w:hAnsi="Times New Roman" w:cs="Times New Roman"/>
          <w:sz w:val="24"/>
        </w:rPr>
        <w:t>Na platnosť zmluvy o</w:t>
      </w:r>
      <w:r>
        <w:rPr>
          <w:rFonts w:ascii="Times New Roman" w:hAnsi="Times New Roman" w:cs="Times New Roman"/>
          <w:sz w:val="24"/>
        </w:rPr>
        <w:t> </w:t>
      </w:r>
      <w:r w:rsidRPr="00F13C00">
        <w:rPr>
          <w:rFonts w:ascii="Times New Roman" w:hAnsi="Times New Roman" w:cs="Times New Roman"/>
          <w:sz w:val="24"/>
        </w:rPr>
        <w:t>nájme</w:t>
      </w:r>
      <w:r>
        <w:rPr>
          <w:rFonts w:ascii="Times New Roman" w:hAnsi="Times New Roman" w:cs="Times New Roman"/>
          <w:sz w:val="24"/>
        </w:rPr>
        <w:t xml:space="preserve"> podľa odseku 1</w:t>
      </w:r>
      <w:r w:rsidRPr="00F13C00">
        <w:rPr>
          <w:rFonts w:ascii="Times New Roman" w:hAnsi="Times New Roman" w:cs="Times New Roman"/>
          <w:sz w:val="24"/>
        </w:rPr>
        <w:t xml:space="preserve"> sa </w:t>
      </w:r>
      <w:r>
        <w:rPr>
          <w:rFonts w:ascii="Times New Roman" w:hAnsi="Times New Roman" w:cs="Times New Roman"/>
          <w:sz w:val="24"/>
        </w:rPr>
        <w:t>ne</w:t>
      </w:r>
      <w:r w:rsidRPr="00F13C00">
        <w:rPr>
          <w:rFonts w:ascii="Times New Roman" w:hAnsi="Times New Roman" w:cs="Times New Roman"/>
          <w:sz w:val="24"/>
        </w:rPr>
        <w:t>vyžadu</w:t>
      </w:r>
      <w:r>
        <w:rPr>
          <w:rFonts w:ascii="Times New Roman" w:hAnsi="Times New Roman" w:cs="Times New Roman"/>
          <w:sz w:val="24"/>
        </w:rPr>
        <w:t>je súhlas podľa osobitného predpisu</w:t>
      </w:r>
      <w:r>
        <w:rPr>
          <w:rFonts w:ascii="Times New Roman" w:hAnsi="Times New Roman" w:cs="Times New Roman"/>
          <w:sz w:val="24"/>
          <w:vertAlign w:val="superscript"/>
        </w:rPr>
        <w:t>1c</w:t>
      </w:r>
      <w:r>
        <w:rPr>
          <w:rFonts w:ascii="Times New Roman" w:hAnsi="Times New Roman" w:cs="Times New Roman"/>
          <w:sz w:val="24"/>
        </w:rPr>
        <w:t>). “.</w:t>
      </w:r>
    </w:p>
    <w:p w:rsidR="00375361" w:rsidRDefault="00375361" w:rsidP="00375361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375361" w:rsidRDefault="00375361" w:rsidP="00375361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Poznámky pod čiarou k odkazom 1b a 1c znejú:</w:t>
      </w:r>
    </w:p>
    <w:p w:rsidR="00375361" w:rsidRDefault="00375361" w:rsidP="003753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  <w:vertAlign w:val="superscript"/>
        </w:rPr>
        <w:t>1b</w:t>
      </w:r>
      <w:r>
        <w:rPr>
          <w:rFonts w:ascii="Times New Roman" w:hAnsi="Times New Roman" w:cs="Times New Roman"/>
          <w:sz w:val="24"/>
        </w:rPr>
        <w:t>) § 13 ods. 1 zákona Národnej rady Slovenskej republiky č. 278/1993 Z. z. v znení neskorších predpisov.</w:t>
      </w:r>
    </w:p>
    <w:p w:rsidR="00375361" w:rsidRDefault="00375361" w:rsidP="00375361">
      <w:pPr>
        <w:pStyle w:val="Odsekzoznamu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vertAlign w:val="superscript"/>
        </w:rPr>
        <w:t>1c</w:t>
      </w:r>
      <w:r>
        <w:rPr>
          <w:rFonts w:ascii="Times New Roman" w:hAnsi="Times New Roman" w:cs="Times New Roman"/>
          <w:sz w:val="24"/>
        </w:rPr>
        <w:t>)</w:t>
      </w:r>
      <w:r w:rsidRPr="001474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§ 13 ods. 9 zákona Národnej rady Slovenskej republiky č. 278/1993 Z. z. v znení neskorších predpisov.“.“.</w:t>
      </w:r>
    </w:p>
    <w:p w:rsidR="00375361" w:rsidRDefault="00375361" w:rsidP="00375361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3A4C">
        <w:rPr>
          <w:rFonts w:ascii="Times New Roman" w:hAnsi="Times New Roman" w:cs="Times New Roman"/>
          <w:sz w:val="24"/>
          <w:szCs w:val="24"/>
        </w:rPr>
        <w:t>Nasledujúce články sa primerane preznačia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5361" w:rsidRPr="00173A4C" w:rsidRDefault="00375361" w:rsidP="00375361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súvislosti s vložením článku II sa primerane upraví názov zákona. </w:t>
      </w:r>
    </w:p>
    <w:p w:rsidR="00375361" w:rsidRDefault="00375361" w:rsidP="00375361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Aplikačná prax v rámci existencie klientskych centier v sieti okresných úradov ukázala potrebu, aby </w:t>
      </w:r>
      <w:r w:rsidRPr="00EB51EC">
        <w:rPr>
          <w:rFonts w:ascii="Times New Roman" w:hAnsi="Times New Roman" w:cs="Times New Roman"/>
          <w:sz w:val="24"/>
          <w:szCs w:val="24"/>
        </w:rPr>
        <w:t>Ministerstvo vnútra Slovenskej republiky (ďalej len „ministerstvo“) ako správca majetku štátu</w:t>
      </w:r>
      <w:r>
        <w:rPr>
          <w:rFonts w:ascii="Times New Roman" w:hAnsi="Times New Roman" w:cs="Times New Roman"/>
          <w:sz w:val="24"/>
          <w:szCs w:val="24"/>
        </w:rPr>
        <w:t xml:space="preserve"> zabezpečilo v rámci klientskych centier aj také služby</w:t>
      </w:r>
      <w:r w:rsidRPr="007F6693">
        <w:rPr>
          <w:rFonts w:ascii="Times New Roman" w:hAnsi="Times New Roman" w:cs="Times New Roman"/>
          <w:sz w:val="24"/>
          <w:szCs w:val="24"/>
        </w:rPr>
        <w:t xml:space="preserve"> podporujúce prístup fyzických osôb a právnických osôb k vybavovaniu vecí v osobnom kontakte</w:t>
      </w:r>
      <w:r>
        <w:rPr>
          <w:rFonts w:ascii="Times New Roman" w:hAnsi="Times New Roman" w:cs="Times New Roman"/>
          <w:sz w:val="24"/>
          <w:szCs w:val="24"/>
        </w:rPr>
        <w:t>, ktoré neposkytuje priamo okresný úrad alebo ministerstvo, avšak s výkonom ich pôsobnosti úzko súvisia a obyvateľ si tak môže vybaviť viacero svojich vecí na jednom mieste.</w:t>
      </w:r>
    </w:p>
    <w:p w:rsidR="00375361" w:rsidRDefault="00375361" w:rsidP="00375361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</w:t>
      </w:r>
      <w:r w:rsidRPr="000046BF">
        <w:rPr>
          <w:rFonts w:ascii="Times New Roman" w:hAnsi="Times New Roman" w:cs="Times New Roman"/>
          <w:sz w:val="24"/>
          <w:szCs w:val="24"/>
        </w:rPr>
        <w:t xml:space="preserve">§ 13 zákona </w:t>
      </w:r>
      <w:r w:rsidRPr="00EB51EC">
        <w:rPr>
          <w:rFonts w:ascii="Times New Roman" w:hAnsi="Times New Roman" w:cs="Times New Roman"/>
          <w:sz w:val="24"/>
          <w:szCs w:val="24"/>
        </w:rPr>
        <w:t>NR SR č. 278/1993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1EC">
        <w:rPr>
          <w:rFonts w:ascii="Times New Roman" w:hAnsi="Times New Roman" w:cs="Times New Roman"/>
          <w:sz w:val="24"/>
          <w:szCs w:val="24"/>
        </w:rPr>
        <w:t>z. o správe majetku štátu v znení neskorších predpisov (ďalej len „zákon o správe majetku štátu alebo zákon“)</w:t>
      </w:r>
      <w:r>
        <w:rPr>
          <w:rFonts w:ascii="Times New Roman" w:hAnsi="Times New Roman" w:cs="Times New Roman"/>
          <w:sz w:val="24"/>
          <w:szCs w:val="24"/>
        </w:rPr>
        <w:t xml:space="preserve">, je správca povinný ponúknuť dočasne prebytočný nehnuteľný majetok štátu </w:t>
      </w:r>
      <w:r w:rsidRPr="001772F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772F2">
        <w:rPr>
          <w:rFonts w:ascii="Times New Roman" w:hAnsi="Times New Roman" w:cs="Times New Roman"/>
          <w:sz w:val="24"/>
          <w:szCs w:val="24"/>
        </w:rPr>
        <w:t>registri</w:t>
      </w:r>
      <w:r>
        <w:rPr>
          <w:rFonts w:ascii="Times New Roman" w:hAnsi="Times New Roman" w:cs="Times New Roman"/>
          <w:sz w:val="24"/>
          <w:szCs w:val="24"/>
        </w:rPr>
        <w:t xml:space="preserve"> ponúkaného majetku štátu (ďalej len „register“) a dohodnúť také nájomné, za aké sa v tom čase a na tom mieste obvykle prenechávajú do nájmu na dohodnutý účel také alebo porovnateľné nehnuteľnosti (ďalej len „trhové nájomné“).</w:t>
      </w:r>
    </w:p>
    <w:p w:rsidR="00375361" w:rsidRDefault="00375361" w:rsidP="00375361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záujme zachovania súťažného prostredia, konkurencieschopnosti a transparentnosti, nie je správca oprávnený v rámci ponuky v registri vymedziť konkrétny účel, na ktorý sa má záujmový nehnuteľný majetok využívať, zákon zároveň taxatívne vymedzuje subjekty, ktorým môže správca prenechať dočasne prebytočný nehnuteľný majetok štátu bez povinnosti </w:t>
      </w:r>
      <w:r w:rsidRPr="00EC28F1">
        <w:rPr>
          <w:rFonts w:ascii="Times New Roman" w:hAnsi="Times New Roman" w:cs="Times New Roman"/>
          <w:sz w:val="24"/>
          <w:szCs w:val="24"/>
        </w:rPr>
        <w:t xml:space="preserve">ponúknuť </w:t>
      </w:r>
      <w:r>
        <w:rPr>
          <w:rFonts w:ascii="Times New Roman" w:hAnsi="Times New Roman" w:cs="Times New Roman"/>
          <w:sz w:val="24"/>
          <w:szCs w:val="24"/>
        </w:rPr>
        <w:t>takýto</w:t>
      </w:r>
      <w:r w:rsidRPr="00EC28F1">
        <w:rPr>
          <w:rFonts w:ascii="Times New Roman" w:hAnsi="Times New Roman" w:cs="Times New Roman"/>
          <w:sz w:val="24"/>
          <w:szCs w:val="24"/>
        </w:rPr>
        <w:t xml:space="preserve"> majetok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28F1">
        <w:rPr>
          <w:rFonts w:ascii="Times New Roman" w:hAnsi="Times New Roman" w:cs="Times New Roman"/>
          <w:sz w:val="24"/>
          <w:szCs w:val="24"/>
        </w:rPr>
        <w:t>registri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5361" w:rsidRDefault="00375361" w:rsidP="00375361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aplikačnej praxi tak často dochádza k situácii, kedy ministerstvo má v záujme podporiť</w:t>
      </w:r>
      <w:r w:rsidRPr="0040719C">
        <w:rPr>
          <w:rFonts w:ascii="Times New Roman" w:hAnsi="Times New Roman" w:cs="Times New Roman"/>
          <w:sz w:val="24"/>
          <w:szCs w:val="24"/>
        </w:rPr>
        <w:t xml:space="preserve"> prístup fyzických osôb a právnických osôb k vybavovaniu vecí v osobnom kontakte</w:t>
      </w:r>
      <w:r>
        <w:rPr>
          <w:rFonts w:ascii="Times New Roman" w:hAnsi="Times New Roman" w:cs="Times New Roman"/>
          <w:sz w:val="24"/>
          <w:szCs w:val="24"/>
        </w:rPr>
        <w:t xml:space="preserve">, avšak </w:t>
      </w:r>
      <w:r w:rsidRPr="00173A4C">
        <w:rPr>
          <w:rFonts w:ascii="Times New Roman" w:hAnsi="Times New Roman" w:cs="Times New Roman"/>
          <w:sz w:val="24"/>
          <w:szCs w:val="24"/>
        </w:rPr>
        <w:t>výsledkom ponuky na nájom</w:t>
      </w:r>
      <w:r>
        <w:rPr>
          <w:rFonts w:ascii="Times New Roman" w:hAnsi="Times New Roman" w:cs="Times New Roman"/>
          <w:sz w:val="24"/>
          <w:szCs w:val="24"/>
        </w:rPr>
        <w:t xml:space="preserve"> je, že výhercom je záujemca, ktorý ponúkol najvyššie trhové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nájomné, pričom jeho zámer využitia predmetného ponúkaného nehnuteľného majetku štátu bude diametrálne odlišný od zámeru ministerstva. V praxi sa totiž častokrát stáva, že výherca avizuje poskytovanie služby alebo ponúkanie tovaru, ktoré nielenže nesúvisí s výkonom pôsobnosti okresného úradu alebo ministerstva v priestoroch klientskeho centra, ale hraničí s porušovaním dobrých mravov spoločnosti, napr. predaj erotických pomôcok na verejne dostupnom mieste, propagácia názorov a myšlienok rôznych náboženských skupín, </w:t>
      </w:r>
      <w:r w:rsidRPr="00397C24">
        <w:rPr>
          <w:rFonts w:ascii="Times New Roman" w:hAnsi="Times New Roman" w:cs="Times New Roman"/>
          <w:sz w:val="24"/>
          <w:szCs w:val="24"/>
        </w:rPr>
        <w:t>ponúkanie rôznych kozmetických prípravkov atď.</w:t>
      </w:r>
    </w:p>
    <w:p w:rsidR="00375361" w:rsidRDefault="00375361" w:rsidP="00375361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dôvodu vykonávania vymedzeného okruhu činností v rámci klientskych centier a v záujme redukovania zásahov </w:t>
      </w:r>
      <w:r w:rsidRPr="00173A4C">
        <w:rPr>
          <w:rFonts w:ascii="Times New Roman" w:hAnsi="Times New Roman" w:cs="Times New Roman"/>
          <w:sz w:val="24"/>
          <w:szCs w:val="24"/>
        </w:rPr>
        <w:t xml:space="preserve">správcu do ponuky na nájom jej rušením,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173A4C">
        <w:rPr>
          <w:rFonts w:ascii="Times New Roman" w:hAnsi="Times New Roman" w:cs="Times New Roman"/>
          <w:sz w:val="24"/>
          <w:szCs w:val="24"/>
        </w:rPr>
        <w:t xml:space="preserve"> navrhuje</w:t>
      </w:r>
      <w:r>
        <w:rPr>
          <w:rFonts w:ascii="Times New Roman" w:hAnsi="Times New Roman" w:cs="Times New Roman"/>
          <w:sz w:val="24"/>
          <w:szCs w:val="24"/>
        </w:rPr>
        <w:t xml:space="preserve"> osobitná úprava</w:t>
      </w:r>
      <w:r w:rsidRPr="00173A4C">
        <w:rPr>
          <w:rFonts w:ascii="Times New Roman" w:hAnsi="Times New Roman" w:cs="Times New Roman"/>
          <w:sz w:val="24"/>
          <w:szCs w:val="24"/>
        </w:rPr>
        <w:t xml:space="preserve"> nakladania s dočasne</w:t>
      </w:r>
      <w:r w:rsidRPr="00397C24">
        <w:rPr>
          <w:rFonts w:ascii="Times New Roman" w:hAnsi="Times New Roman" w:cs="Times New Roman"/>
          <w:sz w:val="24"/>
          <w:szCs w:val="24"/>
        </w:rPr>
        <w:t xml:space="preserve"> prebytočným nehnuteľným majetkom štátu,</w:t>
      </w:r>
      <w:r>
        <w:rPr>
          <w:rFonts w:ascii="Times New Roman" w:hAnsi="Times New Roman" w:cs="Times New Roman"/>
          <w:sz w:val="24"/>
          <w:szCs w:val="24"/>
        </w:rPr>
        <w:t xml:space="preserve"> teda nehnuteľnosťami, v ktorých sídlia klientske centrá.</w:t>
      </w:r>
      <w:r w:rsidRPr="00397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Navrhuje sa</w:t>
      </w:r>
      <w:r w:rsidRPr="00036C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aby</w:t>
      </w:r>
      <w:r w:rsidRPr="00036C7B">
        <w:rPr>
          <w:rFonts w:ascii="Times New Roman" w:hAnsi="Times New Roman" w:cs="Times New Roman"/>
          <w:sz w:val="24"/>
          <w:szCs w:val="24"/>
        </w:rPr>
        <w:t xml:space="preserve"> takýto nehnuteľný majetok štátu </w:t>
      </w:r>
      <w:r>
        <w:rPr>
          <w:rFonts w:ascii="Times New Roman" w:hAnsi="Times New Roman" w:cs="Times New Roman"/>
          <w:sz w:val="24"/>
          <w:szCs w:val="24"/>
        </w:rPr>
        <w:t>bolo možné</w:t>
      </w:r>
      <w:r w:rsidRPr="00036C7B">
        <w:rPr>
          <w:rFonts w:ascii="Times New Roman" w:hAnsi="Times New Roman" w:cs="Times New Roman"/>
          <w:sz w:val="24"/>
          <w:szCs w:val="24"/>
        </w:rPr>
        <w:t xml:space="preserve"> prenechať do nájmu aj bez ponuky podľa osobitného predpisu, minimálne za trhové nájomné, ak nájomcom je obec, vyšší územný celok alebo právnická osoba s majetkovou účasťou štátu a nájomca poskytuje univerzálne poštové služby alebo iné služby podporujúce prístup fyzických osôb a právnických osôb k vybavovaniu vecí v osobnom kontakte súvisiacich s výkonom pôsobnosti okresného úradu alebo ministerstva. </w:t>
      </w:r>
    </w:p>
    <w:p w:rsidR="00375361" w:rsidRPr="000046BF" w:rsidRDefault="00375361" w:rsidP="00375361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dočasnej prebytočnosti takéhoto nehnuteľného majetku štátu vydá správca (ministerstvo) rozhodnutie a s nájomcom, uzatvorí zmluvu o nájme najviac na päť rokov.</w:t>
      </w:r>
    </w:p>
    <w:p w:rsidR="00375361" w:rsidRPr="00375361" w:rsidRDefault="00375361" w:rsidP="00B51114">
      <w:pPr>
        <w:pStyle w:val="Odsekzoznamu"/>
        <w:numPr>
          <w:ilvl w:val="0"/>
          <w:numId w:val="10"/>
        </w:numPr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5361">
        <w:rPr>
          <w:rFonts w:ascii="Times New Roman" w:hAnsi="Times New Roman" w:cs="Times New Roman"/>
          <w:sz w:val="24"/>
          <w:szCs w:val="24"/>
        </w:rPr>
        <w:t>V čl. II sa doterajší text označuje ako novelizačný bod 1 a slová „rozhodol o odmietnutí registrácie združenia alebo o rozpustení združenia podľa osobitného predpisu“ sa nahrádzajú slovami „vydal rozhodnutie podľa § 391“.</w:t>
      </w:r>
    </w:p>
    <w:p w:rsidR="00375361" w:rsidRDefault="00375361" w:rsidP="00375361">
      <w:pPr>
        <w:spacing w:after="24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</w:t>
      </w:r>
      <w:r w:rsidRPr="00307C03">
        <w:rPr>
          <w:rFonts w:ascii="Times New Roman" w:hAnsi="Times New Roman" w:cs="Times New Roman"/>
          <w:sz w:val="24"/>
          <w:szCs w:val="24"/>
        </w:rPr>
        <w:t>.</w:t>
      </w:r>
    </w:p>
    <w:p w:rsidR="00375361" w:rsidRPr="00375361" w:rsidRDefault="00375361" w:rsidP="00B51114">
      <w:pPr>
        <w:pStyle w:val="Odsekzoznamu"/>
        <w:numPr>
          <w:ilvl w:val="0"/>
          <w:numId w:val="10"/>
        </w:numPr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5361">
        <w:rPr>
          <w:rFonts w:ascii="Times New Roman" w:hAnsi="Times New Roman" w:cs="Times New Roman"/>
          <w:sz w:val="24"/>
          <w:szCs w:val="24"/>
        </w:rPr>
        <w:t>V čl. II sa dopĺňa nový bod 2, ktorý znie:</w:t>
      </w:r>
    </w:p>
    <w:p w:rsidR="00375361" w:rsidRDefault="00375361" w:rsidP="00375361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„2.  Za § 493f sa vkladá nový § 493g, ktorý vrátane nadpisu znie:</w:t>
      </w:r>
    </w:p>
    <w:p w:rsidR="00375361" w:rsidRPr="000735A4" w:rsidRDefault="00375361" w:rsidP="00375361">
      <w:pPr>
        <w:spacing w:after="24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5A4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0735A4">
        <w:rPr>
          <w:rFonts w:ascii="Times New Roman" w:hAnsi="Times New Roman" w:cs="Times New Roman"/>
          <w:b/>
          <w:sz w:val="24"/>
          <w:szCs w:val="24"/>
        </w:rPr>
        <w:t>493g</w:t>
      </w:r>
    </w:p>
    <w:p w:rsidR="00375361" w:rsidRPr="000735A4" w:rsidRDefault="00375361" w:rsidP="00375361">
      <w:pPr>
        <w:spacing w:after="24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Prechodné ustanovenie</w:t>
      </w:r>
      <w:r w:rsidRPr="000735A4">
        <w:rPr>
          <w:rFonts w:ascii="Times New Roman" w:hAnsi="Times New Roman" w:cs="Times New Roman"/>
          <w:b/>
          <w:sz w:val="24"/>
          <w:szCs w:val="24"/>
        </w:rPr>
        <w:t xml:space="preserve"> k úpravám účinným od 1. septembra 2025</w:t>
      </w:r>
    </w:p>
    <w:p w:rsidR="00375361" w:rsidRDefault="00375361" w:rsidP="00375361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2631">
        <w:rPr>
          <w:rFonts w:ascii="Times New Roman" w:hAnsi="Times New Roman" w:cs="Times New Roman"/>
          <w:sz w:val="24"/>
          <w:szCs w:val="24"/>
        </w:rPr>
        <w:t>Na konania, v ktorých sa žalobca domáha preskúmania rozhodnutí ministerstva vnútra podľa § 391, sa použijú ustanovenia tohto zákona v znení účinnom do 31. augusta 2025.“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:rsidR="00375361" w:rsidRDefault="00375361" w:rsidP="00375361">
      <w:pPr>
        <w:spacing w:after="0" w:line="240" w:lineRule="auto"/>
        <w:ind w:left="2268"/>
        <w:jc w:val="both"/>
        <w:rPr>
          <w:rStyle w:val="Zstupntext"/>
          <w:color w:val="000000"/>
          <w:sz w:val="24"/>
          <w:szCs w:val="24"/>
        </w:rPr>
      </w:pPr>
      <w:r w:rsidRPr="006D3E5E">
        <w:rPr>
          <w:rStyle w:val="Zstupntext"/>
          <w:color w:val="000000"/>
          <w:sz w:val="24"/>
          <w:szCs w:val="24"/>
        </w:rPr>
        <w:t xml:space="preserve">V prechodnom období sa v 2-mesačnej lehote na podanie správnej žaloby (§ 395 SSP) budú objavovať správne žaloby voči rozhodnutiam, ktoré ešte vydalo ministerstvo vnútra a správne žaloby, kde bude žalovaným okresný úrad v sídle kraja. Taktiež, ak súd zistí dôvodnosť žaloby a vec vráti žalovanému na konanie, je potrebné, aby správny súd </w:t>
      </w:r>
      <w:r w:rsidRPr="006D3E5E">
        <w:rPr>
          <w:rStyle w:val="Zstupntext"/>
          <w:color w:val="000000"/>
          <w:sz w:val="24"/>
          <w:szCs w:val="24"/>
        </w:rPr>
        <w:lastRenderedPageBreak/>
        <w:t>mohol vrátiť vec tomu, kto rozhodnutie vydal, t. j. ministerstvu vnútra alebo okresnému úradu v sídle kraja.</w:t>
      </w:r>
    </w:p>
    <w:p w:rsidR="00375361" w:rsidRDefault="00375361" w:rsidP="00375361">
      <w:pPr>
        <w:spacing w:after="0" w:line="240" w:lineRule="auto"/>
        <w:jc w:val="both"/>
        <w:rPr>
          <w:rStyle w:val="Zstupntext"/>
          <w:color w:val="000000"/>
          <w:sz w:val="24"/>
          <w:szCs w:val="24"/>
        </w:rPr>
      </w:pPr>
    </w:p>
    <w:p w:rsidR="00375361" w:rsidRPr="00375361" w:rsidRDefault="00375361" w:rsidP="00B51114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5361">
        <w:rPr>
          <w:rFonts w:ascii="Times New Roman" w:eastAsia="Calibri" w:hAnsi="Times New Roman" w:cs="Times New Roman"/>
          <w:bCs/>
          <w:sz w:val="24"/>
          <w:szCs w:val="24"/>
        </w:rPr>
        <w:t>Za čl. III sa vkladajú nové čl. IV a V, ktoré znejú:</w:t>
      </w:r>
    </w:p>
    <w:p w:rsidR="00375361" w:rsidRDefault="00375361" w:rsidP="00375361">
      <w:pPr>
        <w:pStyle w:val="Odsekzoznamu"/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75361" w:rsidRDefault="00375361" w:rsidP="00375361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Čl. IV</w:t>
      </w:r>
    </w:p>
    <w:p w:rsidR="00375361" w:rsidRDefault="00375361" w:rsidP="00375361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75361" w:rsidRDefault="00375361" w:rsidP="00375361">
      <w:pPr>
        <w:pStyle w:val="Odsekzoznamu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Zákon č. 8/2009 Z. z.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83/2019 Z. z., zákona č. 393/2019 Z. z., zákona č. 73/2020 Z. z., zákona č. 423/2020 Z. z., zákona č. 128/2021 Z. z., zákona č. 145/2021 Z. z., zákona č. 146/2021 Z. z., zákona č. 148/2021 Z. z., zákona č. 310/2021 Z. z., zákona č. 404/2021 Z. z., zákona č. 406/2021 Z. z., zákona č. 455/2021 Z. z., zákona č. 508/2021 Z. z., zákona č. 98/2022 Z. z., zákona č. 179/2022 Z. z., zákona č. 181/2022 Z. z., zákona č. 246/2022 Z. z., zákona č. 366/2022 Z. z., zákona č. 429/2022 Z. z., zákona č. 48/2023 Z. z., zákona č. 42/2024 Z. z., zákona č. 160/2024 Z. z., zákona č. 177/2024 Z. z., zákona č. 307/2024 Z. z., zákona č. 357/2024 Z. z. a zákona č. 364/2024 Z. z. sa mení a dopĺňa takto:</w:t>
      </w:r>
    </w:p>
    <w:p w:rsidR="00375361" w:rsidRDefault="00375361" w:rsidP="003753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361" w:rsidRDefault="00375361" w:rsidP="00375361">
      <w:pPr>
        <w:pStyle w:val="Odsekzoznamu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§ 95a ods. 2 sa na konci pripájajú tieto slová: „alebo inej informačnej technológie overovania schválenej ministerstvom vnútra“.</w:t>
      </w:r>
    </w:p>
    <w:p w:rsidR="00375361" w:rsidRDefault="00375361" w:rsidP="00375361">
      <w:pPr>
        <w:pStyle w:val="Odsekzoznamu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361" w:rsidRDefault="00375361" w:rsidP="00375361">
      <w:pPr>
        <w:pStyle w:val="Odsekzoznamu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§ 95a ods. 3 sa za slovo „aplikáciu“ vkladajú slová „alebo inú informačnú technológiu overovania“, slovo „nej“ sa nahrádza slovom „nich“ a slovo „jej“ sa nahrádza slovom „ich“.</w:t>
      </w:r>
    </w:p>
    <w:p w:rsidR="00375361" w:rsidRDefault="00375361" w:rsidP="00375361">
      <w:pPr>
        <w:pStyle w:val="Odsekzoznamu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361" w:rsidRDefault="00375361" w:rsidP="00375361">
      <w:pPr>
        <w:pStyle w:val="Odsekzoznamu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§ 95a sa dopĺňa odsekom 4, ktorý znie: </w:t>
      </w:r>
    </w:p>
    <w:p w:rsidR="00375361" w:rsidRDefault="00375361" w:rsidP="00375361">
      <w:pPr>
        <w:pStyle w:val="Odsekzoznamu"/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„(4) Údaje uvedené v digitálnom vodičskom preukaze môže overovať len ten, komu z tohto zákona alebo osobitného predpisu vyplýva povinnosť alebo oprávnenie vyžadovať predloženie vodičského preukazu alebo zisťovať či overovať skutočnosti uvedené vo vodičskom preukaze alebo skutočnosti z neho vyplývajúce.“.</w:t>
      </w:r>
    </w:p>
    <w:p w:rsidR="00375361" w:rsidRDefault="00375361" w:rsidP="003753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361" w:rsidRDefault="00375361" w:rsidP="00375361">
      <w:pPr>
        <w:pStyle w:val="Odsekzoznamu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143l vrátane nadpisu sa vypúšťa.</w:t>
      </w:r>
    </w:p>
    <w:p w:rsidR="00375361" w:rsidRDefault="00375361" w:rsidP="00375361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75361" w:rsidRDefault="00375361" w:rsidP="00375361">
      <w:pPr>
        <w:pStyle w:val="Odsekzoznamu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Čl. V</w:t>
      </w:r>
    </w:p>
    <w:p w:rsidR="00375361" w:rsidRDefault="00375361" w:rsidP="00375361">
      <w:pPr>
        <w:pStyle w:val="Odsekzoznamu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361" w:rsidRDefault="00375361" w:rsidP="00375361">
      <w:pPr>
        <w:pStyle w:val="Odsekzoznamu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Zákon č. 395/2019 Z. z. o občianskych preukazoch a o zmene a doplnení niektorých zákonov v znení zákona č. 73/2020 Z. z., zákona č. 532/2021 Z. z., zákona č. 180/2022 Z. z., zákona č. 390/2022 Z. z., zákona č. 529/2023 Z. z. a zákona č.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364/2024 Z. z. </w:t>
      </w:r>
      <w:r>
        <w:rPr>
          <w:rFonts w:ascii="Times New Roman" w:eastAsia="Calibri" w:hAnsi="Times New Roman" w:cs="Times New Roman"/>
          <w:sz w:val="24"/>
          <w:szCs w:val="24"/>
        </w:rPr>
        <w:t>sa mení a dopĺňa takto:</w:t>
      </w:r>
    </w:p>
    <w:p w:rsidR="00375361" w:rsidRDefault="00375361" w:rsidP="00375361">
      <w:pPr>
        <w:pStyle w:val="Odsekzoznamu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361" w:rsidRDefault="00375361" w:rsidP="00375361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§ 3a ods. 2 sa na konci pripájajú tieto slová: „alebo inej informačnej technológie overovania schválenej ministerstvom vnútra“.</w:t>
      </w:r>
    </w:p>
    <w:p w:rsidR="00375361" w:rsidRDefault="00375361" w:rsidP="00375361">
      <w:pPr>
        <w:pStyle w:val="Odsekzoznamu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361" w:rsidRDefault="00375361" w:rsidP="00375361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 § 3a ods. 3 sa za slovo „aplikáciu“ vkladajú slová „alebo inú informačnú technológiu overovania“, slovo „nej“ sa nahrádza slovom „nich“, slovo „jej“ sa nahrádza slovom „ich“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a na konci sa pripája táto veta: „Digitálny občiansky preukaz nemožno predložiť na účely hraničnej kontroly.“.</w:t>
      </w:r>
    </w:p>
    <w:p w:rsidR="00375361" w:rsidRDefault="00375361" w:rsidP="00375361">
      <w:pPr>
        <w:pStyle w:val="Odsekzoznamu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361" w:rsidRDefault="00375361" w:rsidP="00375361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3a sa dopĺňa odsekom 4, ktorý znie:</w:t>
      </w:r>
    </w:p>
    <w:p w:rsidR="00375361" w:rsidRDefault="00375361" w:rsidP="00375361">
      <w:pPr>
        <w:pStyle w:val="Odsekzoznamu"/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„(4) Údaje uvedené v digitálnom občianskom preukaze môže overovať len ten, komu z tohto zákona alebo osobitného predpisu vyplýva povinnosť alebo oprávnenie vyžadovať predloženie občianskeho preukazu alebo zisťovať či overovať skutočnosti uvedené v občianskom preukaze alebo skutočnosti z neho vyplývajúce.“.</w:t>
      </w:r>
    </w:p>
    <w:p w:rsidR="00375361" w:rsidRDefault="00375361" w:rsidP="003753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361" w:rsidRDefault="00375361" w:rsidP="00375361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19b vrátane nadpisu sa vypúšťa.“.</w:t>
      </w:r>
    </w:p>
    <w:p w:rsidR="00375361" w:rsidRDefault="00375361" w:rsidP="003753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361" w:rsidRDefault="00375361" w:rsidP="003753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Doterajší čl. IV sa primerane prečísluje.</w:t>
      </w:r>
    </w:p>
    <w:p w:rsidR="00375361" w:rsidRDefault="00375361" w:rsidP="003753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361" w:rsidRDefault="00375361" w:rsidP="003753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Navrhované čl. IV a V nadobudnú účinnosť 1. júla 2025, čo sa premietne do ustanovenia o účinnosti (doterajší čl. IV).</w:t>
      </w:r>
    </w:p>
    <w:p w:rsidR="00375361" w:rsidRDefault="00375361" w:rsidP="003753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361" w:rsidRDefault="00375361" w:rsidP="00375361">
      <w:pPr>
        <w:pStyle w:val="Odsekzoznamu"/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 bodoch 1 a 2 sa do zákona dopĺňa možnosť overovania digitálneho vodičského preukazu aj iným technickým spôsobom ako len prostredníctvom samotnej overovacej aplikácie. Ide o informačné systémy rôznych subjektov, do ktorých bude postupom schváleným ministerstvom vnútra možné priamo integrovať overovacie mechanizmy, bez potreby používať overovaciu aplikáciu.</w:t>
      </w:r>
    </w:p>
    <w:p w:rsidR="00375361" w:rsidRDefault="00375361" w:rsidP="00375361">
      <w:pPr>
        <w:pStyle w:val="Odsekzoznamu"/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 bode 3 sa do ustanovenia o digitálnom vodičskom preukaze dopĺňa odsek, ktorý kvôli ochrane osobných údajov výslovne vyjadruje možnosť využívať overovanie digitálneho vodičského preukazu len pre tie subjekty, ktoré sú oprávnené zisťovať údaje v ňom uvedené. Okrem príslušníkov kontrolných a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dohľadových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orgánov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 cestnej premávke </w:t>
      </w:r>
      <w:r>
        <w:rPr>
          <w:rFonts w:ascii="Times New Roman" w:eastAsia="Calibri" w:hAnsi="Times New Roman" w:cs="Times New Roman"/>
          <w:sz w:val="24"/>
          <w:szCs w:val="24"/>
        </w:rPr>
        <w:t xml:space="preserve">to môžu byť napr.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autopožičovne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dopravcovia alebo iní zamestnávatelia, ktorí zamestnancom zverujú svoje motorové vozidlá a potrebujú si overiť ich vodičské oprávnenie. </w:t>
      </w:r>
    </w:p>
    <w:p w:rsidR="00375361" w:rsidRDefault="00375361" w:rsidP="00375361">
      <w:pPr>
        <w:pStyle w:val="Odsekzoznamu"/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 bode 4 sa ruší súčasné prechodné ustanovenie, ktoré obmedzuje možnosť používania digitálneho vodičského preukazu len voči príslušníkom Policajného zboru, resp. na orgáne Policajného zboru. V nadväznosti na zmeny navrhované v predchádzajúcich bodoch sa integrovanie overovacích mechanizmov digitálneho vodičského preukazu bude rozširovať postupne, po schválení ministerstvom vnútra na základe technických a funkčných možností.</w:t>
      </w:r>
    </w:p>
    <w:p w:rsidR="00375361" w:rsidRDefault="00375361" w:rsidP="00375361">
      <w:pPr>
        <w:spacing w:after="0" w:line="240" w:lineRule="auto"/>
        <w:ind w:left="3119" w:firstLine="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75361" w:rsidRDefault="00375361" w:rsidP="00375361">
      <w:pPr>
        <w:pStyle w:val="Odsekzoznamu"/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 bodoch 1 a 2 sa do zákona dopĺňa možnosť overovania digitálneho občianskeho preukazu aj iným technickým spôsobom ako len prostredníctvom samotnej overovacej aplikácie. Ide o informačné systémy rôznych subjektov, do ktorých bude postupom schváleným ministerstvom vnútra možné priamo integrovať overovacie mechanizmy, bez potreby používať overovaciu aplikáciu.</w:t>
      </w:r>
    </w:p>
    <w:p w:rsidR="00375361" w:rsidRDefault="00375361" w:rsidP="00375361">
      <w:pPr>
        <w:pStyle w:val="Odsekzoznamu"/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 bode 3 sa do ustanovenia o digitálnom občianskom preukaze dopĺňa odsek, ktorý kvôli ochrane osobných údajov výslovne vyjadruje možnosť používať overovaciu aplikáciu len pre tie subjekty, ktoré sú oprávnené zisťovať údaje v ňom uvedené. Okrem príslušníkov Policajného zboru pri plnení ich úloh to môžu byť najmä povinné osoby pri identifikácii klientov podľa zákona č. 297/2008 Z. z. o ochrane pred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legalizáciou príjmov z trestnej činnosti a o ochrane pred financovaním terorizmu, predajcovia pri overovaní veku pri predaji špecifického druhu tovaru, kontrolné orgány pri vstupe do budov a pod. </w:t>
      </w:r>
    </w:p>
    <w:p w:rsidR="00375361" w:rsidRDefault="00375361" w:rsidP="00375361">
      <w:pPr>
        <w:spacing w:after="0" w:line="240" w:lineRule="auto"/>
        <w:ind w:left="22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 bode 4 sa ruší súčasné prechodné ustanovenie, ktoré obmedzuje možnosť používania digitálneho občianskeho preukazu len voči príslušníkom Policajného zboru, resp. na orgáne Policajného zboru. V nadväznosti na zmeny navrhované v predchádzajúcich bodoch sa integrovanie overovacích mechanizmov digitálneho občianskeho preukazu bude rozširovať postupne, po schválení ministerstvom vnútra na základe technických a funkčných možností.</w:t>
      </w:r>
    </w:p>
    <w:p w:rsidR="00375361" w:rsidRDefault="00375361" w:rsidP="00375361">
      <w:pPr>
        <w:spacing w:after="0" w:line="240" w:lineRule="auto"/>
        <w:ind w:left="2268"/>
        <w:jc w:val="both"/>
      </w:pPr>
    </w:p>
    <w:sectPr w:rsidR="00375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2B11"/>
    <w:multiLevelType w:val="hybridMultilevel"/>
    <w:tmpl w:val="5394DB3E"/>
    <w:lvl w:ilvl="0" w:tplc="5DEE0496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6B8B"/>
    <w:multiLevelType w:val="hybridMultilevel"/>
    <w:tmpl w:val="1F8CA39C"/>
    <w:lvl w:ilvl="0" w:tplc="A770F0E4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7D0D14"/>
    <w:multiLevelType w:val="hybridMultilevel"/>
    <w:tmpl w:val="59F6AD4C"/>
    <w:lvl w:ilvl="0" w:tplc="5226D54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2A7E07"/>
    <w:multiLevelType w:val="hybridMultilevel"/>
    <w:tmpl w:val="A2E4910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06F46"/>
    <w:multiLevelType w:val="hybridMultilevel"/>
    <w:tmpl w:val="50FE9352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D8A67AC"/>
    <w:multiLevelType w:val="hybridMultilevel"/>
    <w:tmpl w:val="3F7859F8"/>
    <w:lvl w:ilvl="0" w:tplc="3CE0E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83222"/>
    <w:multiLevelType w:val="hybridMultilevel"/>
    <w:tmpl w:val="6980AE92"/>
    <w:lvl w:ilvl="0" w:tplc="AE4C15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F9E8056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741C5"/>
    <w:multiLevelType w:val="hybridMultilevel"/>
    <w:tmpl w:val="332471D2"/>
    <w:lvl w:ilvl="0" w:tplc="5DEE0496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2A"/>
    <w:rsid w:val="0002252A"/>
    <w:rsid w:val="000C74A1"/>
    <w:rsid w:val="003308C8"/>
    <w:rsid w:val="0034173F"/>
    <w:rsid w:val="00375361"/>
    <w:rsid w:val="00587882"/>
    <w:rsid w:val="00642407"/>
    <w:rsid w:val="006664F6"/>
    <w:rsid w:val="006835F8"/>
    <w:rsid w:val="006B401E"/>
    <w:rsid w:val="00714670"/>
    <w:rsid w:val="00752436"/>
    <w:rsid w:val="00775837"/>
    <w:rsid w:val="007C6E2A"/>
    <w:rsid w:val="00846053"/>
    <w:rsid w:val="008A391B"/>
    <w:rsid w:val="008E7D25"/>
    <w:rsid w:val="009D5ADD"/>
    <w:rsid w:val="00B51114"/>
    <w:rsid w:val="00B83B61"/>
    <w:rsid w:val="00B903C4"/>
    <w:rsid w:val="00C82E07"/>
    <w:rsid w:val="00E10BE5"/>
    <w:rsid w:val="00FC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9414"/>
  <w15:chartTrackingRefBased/>
  <w15:docId w15:val="{9A467A33-6BFA-4DDB-9F38-9088F3FB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240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,Odsek"/>
    <w:basedOn w:val="Normlny"/>
    <w:link w:val="OdsekzoznamuChar"/>
    <w:uiPriority w:val="34"/>
    <w:qFormat/>
    <w:rsid w:val="0064240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2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2407"/>
    <w:rPr>
      <w:rFonts w:ascii="Segoe UI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8E7D25"/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"/>
    <w:link w:val="Odsekzoznamu"/>
    <w:uiPriority w:val="34"/>
    <w:qFormat/>
    <w:locked/>
    <w:rsid w:val="00375361"/>
  </w:style>
  <w:style w:type="character" w:styleId="Zstupntext">
    <w:name w:val="Placeholder Text"/>
    <w:basedOn w:val="Predvolenpsmoodseku"/>
    <w:uiPriority w:val="99"/>
    <w:semiHidden/>
    <w:rsid w:val="00375361"/>
    <w:rPr>
      <w:rFonts w:ascii="Times New Roman" w:hAnsi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827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472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70837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39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7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12</cp:revision>
  <cp:lastPrinted>2024-12-11T08:25:00Z</cp:lastPrinted>
  <dcterms:created xsi:type="dcterms:W3CDTF">2025-05-22T09:45:00Z</dcterms:created>
  <dcterms:modified xsi:type="dcterms:W3CDTF">2025-05-27T09:40:00Z</dcterms:modified>
</cp:coreProperties>
</file>