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6223A7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6223A7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6223A7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6223A7" w:rsidR="007B199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IX</w:t>
      </w:r>
      <w:r w:rsidRPr="006223A7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</w:t>
      </w:r>
      <w:r w:rsidRPr="006223A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D665F" w:rsidR="007D66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Č: KNR-VHZ-4691/2025-</w:t>
      </w:r>
      <w:r w:rsidR="007D66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</w:p>
    <w:p w:rsidR="00F025DE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D7F20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</w:p>
    <w:p w:rsidR="000C3652" w:rsidRPr="006223A7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="001C6557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736</w:t>
      </w:r>
      <w:r w:rsidRPr="006223A7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6223A7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6223A7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6223A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6223A7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6223A7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6223A7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6223A7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6223A7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6223A7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6223A7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6073CA" w:rsidR="006073C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ktorým sa mení a dopĺňa zákon č. 150/2013 Z. z. o Štátnom fonde rozvoja bývania v znení neskorších predpisov a ktorým sa mení zákon č. 443/2010 Z. z. o dotáciách na rozvoj bývania a o sociálnom bývaní v znení neskorších predpisov</w:t>
      </w:r>
      <w:r w:rsidR="006073C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736</w:t>
      </w:r>
      <w:r w:rsidRPr="006223A7" w:rsidR="00C618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6223A7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6223A7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6223A7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6223A7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6223A7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6223A7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6223A7" w:rsidR="00C80C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6223A7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6223A7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6223A7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CE3F54" w:rsidR="00CE3F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ktorým sa mení a dopĺňa zákon č. 150/2013 Z. z. o Štátnom fonde rozvoja bývania v znení neskorších predpisov a ktorým sa mení zákon č. 443/2010 Z. z. o dotáciách na rozvoj bývania a o sociálnom bývaní v znení neskorších predpisov</w:t>
      </w:r>
      <w:r w:rsidRPr="00CE3F54" w:rsidR="00CE3F5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736)</w:t>
      </w:r>
      <w:r w:rsidRPr="00CE3F54" w:rsidR="00CE3F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6223A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6223A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6223A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6223A7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D78ED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6223A7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6223A7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847D02" w:rsidR="003D7F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864</w:t>
      </w:r>
      <w:r w:rsidRPr="00847D02" w:rsidR="003054D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7D02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847D02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7D02" w:rsidR="003D7F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847D02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847D02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7D02" w:rsidR="00292F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847D02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7D02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847D02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B763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6223A7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6223A7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6223A7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6223A7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054908" w:rsidRPr="006223A7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6223A7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9B36E7" w:rsidRPr="006223A7" w:rsidP="00E62D3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6223A7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6223A7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6223A7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B1512" w:rsidRPr="006223A7" w:rsidP="0059324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108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65871" w:rsidRPr="006223A7" w:rsidP="00D54775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980F1B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E5DAA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 w:rsidR="005D4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3D7F20" w:rsidRPr="006223A7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847D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20"/>
          <w:rtl w:val="0"/>
          <w:cs w:val="0"/>
          <w:lang w:val="sk-SK" w:eastAsia="sk-SK" w:bidi="ar-SA"/>
        </w:rPr>
      </w:pPr>
    </w:p>
    <w:p w:rsidR="00D14D36" w:rsidRPr="006223A7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6223A7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15148" w:rsidRPr="00847D02" w:rsidP="00A53C20">
      <w:pPr>
        <w:framePr w:wrap="auto"/>
        <w:widowControl w:val="0"/>
        <w:numPr>
          <w:numId w:val="2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6223A7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6223A7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6223A7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847D0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295</w:t>
      </w:r>
      <w:r w:rsidRPr="006223A7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  <w:r w:rsidRPr="006223A7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6223A7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847D02" w:rsidR="00847D0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22</w:t>
      </w:r>
      <w:r w:rsidRPr="00847D02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847D02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7D02" w:rsidR="00CE3F5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mája</w:t>
      </w:r>
      <w:r w:rsidRPr="00847D02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7D02" w:rsidR="00D85C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847D02" w:rsidR="00CE3F5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</w:p>
    <w:p w:rsidR="00E25B86" w:rsidRPr="00847D02" w:rsidP="00A53C20">
      <w:pPr>
        <w:framePr w:wrap="auto"/>
        <w:widowControl w:val="0"/>
        <w:numPr>
          <w:numId w:val="2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 w:rsidR="009723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 w:rsidRPr="006223A7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847D02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847D02" w:rsidR="007D665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165</w:t>
      </w:r>
      <w:r w:rsidRPr="00847D02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847D02" w:rsidR="00457C8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847D02" w:rsidR="007D665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22</w:t>
      </w:r>
      <w:r w:rsidRPr="00847D0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847D02" w:rsidR="00CE3F5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mája 2025</w:t>
      </w:r>
      <w:r w:rsidRPr="00847D02" w:rsidR="00187A5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BB1361" w:rsidRPr="00847D02" w:rsidP="00BB1361">
      <w:pPr>
        <w:framePr w:wrap="auto"/>
        <w:widowControl w:val="0"/>
        <w:autoSpaceDE w:val="0"/>
        <w:autoSpaceDN w:val="0"/>
        <w:bidi w:val="0"/>
        <w:adjustRightInd w:val="0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sz w:val="20"/>
          <w:rtl w:val="0"/>
          <w:cs w:val="0"/>
          <w:lang w:val="sk-SK" w:eastAsia="sk-SK" w:bidi="ar-SA"/>
        </w:rPr>
      </w:pPr>
    </w:p>
    <w:p w:rsidR="000C3652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6223A7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6223A7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6223A7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vyplývajú</w:t>
      </w:r>
      <w:r w:rsidRPr="006223A7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nasledujúce 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6223A7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6223A7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6223A7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6223A7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5934D5" w:rsidRPr="00847D02" w:rsidP="00A65102">
      <w:pPr>
        <w:framePr w:wrap="auto"/>
        <w:widowControl/>
        <w:autoSpaceDE/>
        <w:autoSpaceDN/>
        <w:bidi w:val="0"/>
        <w:adjustRightInd/>
        <w:spacing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noProof/>
          <w:sz w:val="20"/>
          <w:rtl w:val="0"/>
          <w:cs w:val="0"/>
          <w:lang w:val="sk-SK" w:eastAsia="sk-SK" w:bidi="ar-SA"/>
        </w:rPr>
      </w:pPr>
    </w:p>
    <w:p w:rsidR="00A65102" w:rsidRPr="005911F9" w:rsidP="00A53C20">
      <w:pPr>
        <w:framePr w:wrap="auto"/>
        <w:widowControl/>
        <w:numPr>
          <w:numId w:val="5"/>
        </w:numPr>
        <w:autoSpaceDE/>
        <w:autoSpaceDN/>
        <w:bidi w:val="0"/>
        <w:adjustRightInd/>
        <w:ind w:left="357" w:right="0" w:hanging="357"/>
        <w:contextualSpacing/>
        <w:jc w:val="both"/>
        <w:textAlignment w:val="auto"/>
        <w:rPr>
          <w:rFonts w:ascii="Times New Roman" w:eastAsia="Times New Roman" w:hAnsi="Times New Roman" w:cs="Times New Roman" w:hint="cs"/>
          <w:iCs/>
          <w:noProof/>
          <w:rtl w:val="0"/>
          <w:cs w:val="0"/>
          <w:lang w:val="sk-SK" w:eastAsia="sk-SK" w:bidi="ar-SA"/>
        </w:rPr>
      </w:pPr>
      <w:r w:rsidRPr="005911F9">
        <w:rPr>
          <w:rFonts w:ascii="Times New Roman" w:eastAsia="Times New Roman" w:hAnsi="Times New Roman" w:cs="Times New Roman" w:hint="cs"/>
          <w:iCs/>
          <w:noProof/>
          <w:sz w:val="24"/>
          <w:szCs w:val="24"/>
          <w:rtl w:val="0"/>
          <w:cs w:val="0"/>
          <w:lang w:val="sk-SK" w:eastAsia="sk-SK" w:bidi="ar-SA"/>
        </w:rPr>
        <w:t>V čl. I sa za bod 1 vkladá nový bod 2, ktorý znie: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 w:firstLine="357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</w:p>
    <w:p w:rsidR="00A65102" w:rsidRPr="005911F9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 w:firstLine="357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5911F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„2.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ab/>
      </w:r>
      <w:r w:rsidRPr="005911F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V § 6  ods. 1 písm. c) druhý bod znie: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851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</w:p>
    <w:p w:rsidR="00A65102" w:rsidRPr="005911F9" w:rsidP="00A65102">
      <w:pPr>
        <w:framePr w:wrap="auto"/>
        <w:widowControl w:val="0"/>
        <w:autoSpaceDE w:val="0"/>
        <w:autoSpaceDN w:val="0"/>
        <w:bidi w:val="0"/>
        <w:adjustRightInd w:val="0"/>
        <w:ind w:left="1416" w:right="0" w:hanging="565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5911F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„2.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ab/>
      </w:r>
      <w:r w:rsidRPr="005911F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odstránením systémovej poruchy bytového domu, ktorú nezavinili užívatelia bytov, ale má pôvod v nesprávne navrhnutých materiáloch a detailoch, nesprávne použitej technológii výstavby alebo v nedodržaní navrhnutého postupu realizácie stavby (ďalej len „odstránenie systémovej poruchy“),“. 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</w:p>
    <w:p w:rsidR="00A65102" w:rsidRPr="005911F9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5911F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Poznámka pod čiarou k odkazu 8 sa vypúšťa.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“.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5911F9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 w:firstLine="284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11F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A65102" w:rsidRPr="005911F9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5911F9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i/>
          <w:rtl w:val="0"/>
          <w:cs w:val="0"/>
          <w:lang w:val="sk-SK" w:eastAsia="sk-SK" w:bidi="ar-SA"/>
        </w:rPr>
      </w:pPr>
      <w:r w:rsidRPr="005911F9"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 xml:space="preserve">Dopĺňa sa </w:t>
      </w:r>
      <w:r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 xml:space="preserve">legálna </w:t>
      </w:r>
      <w:r w:rsidRPr="005911F9"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 xml:space="preserve">definícia systémovej poruchy bytového domu v nadväznosti na zrušenie tohto účelu v zákone </w:t>
      </w:r>
      <w:r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br/>
      </w:r>
      <w:r w:rsidRPr="005911F9"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 xml:space="preserve">č. 443/2010 Z. z. o dotáciách na rozvoj bývania a o sociálnom bývaní v znení neskorších predpisov. 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311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A65102" w:rsidRPr="006223A7" w:rsidP="00A65102">
      <w:pPr>
        <w:framePr w:wrap="auto"/>
        <w:widowControl/>
        <w:autoSpaceDE/>
        <w:autoSpaceDN/>
        <w:bidi w:val="0"/>
        <w:adjustRightInd/>
        <w:spacing w:after="12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A65102" w:rsidRPr="00F925BB" w:rsidP="00A65102">
      <w:pPr>
        <w:framePr w:wrap="auto"/>
        <w:widowControl/>
        <w:autoSpaceDE/>
        <w:autoSpaceDN/>
        <w:bidi w:val="0"/>
        <w:adjustRightInd/>
        <w:spacing w:after="120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65102" w:rsidRPr="00847D02" w:rsidP="00A65102">
      <w:pPr>
        <w:framePr w:wrap="auto"/>
        <w:widowControl w:val="0"/>
        <w:autoSpaceDE w:val="0"/>
        <w:autoSpaceDN w:val="0"/>
        <w:bidi w:val="0"/>
        <w:adjustRightInd w:val="0"/>
        <w:ind w:left="311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i/>
          <w:sz w:val="20"/>
          <w:rtl w:val="0"/>
          <w:cs w:val="0"/>
          <w:lang w:val="sk-SK" w:eastAsia="sk-SK" w:bidi="ar-SA"/>
        </w:rPr>
      </w:pPr>
    </w:p>
    <w:p w:rsidR="00A65102" w:rsidRPr="000C78BA" w:rsidP="00A53C20">
      <w:pPr>
        <w:framePr w:wrap="auto"/>
        <w:widowControl/>
        <w:numPr>
          <w:numId w:val="5"/>
        </w:numPr>
        <w:autoSpaceDE/>
        <w:autoSpaceDN/>
        <w:bidi w:val="0"/>
        <w:adjustRightInd/>
        <w:ind w:left="357" w:right="0" w:hanging="357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sa za bod 7 vkladá nový bod 8, ktorý znie: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708" w:right="0" w:hanging="351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„8.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§ 6 ods. 4 písm. d) sa za slová „zdrojov energie</w:t>
      </w:r>
      <w:r w:rsidRPr="00B4411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 vklad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ajú slová</w:t>
      </w:r>
      <w:r w:rsidRPr="00B4411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„(ďalej len „realizácia obnoviteľného zdroja energie“)“ a za slov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B4411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 „budovy“ sa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vypúšťajú slová „(ďalej len „realizácia obnoviteľného zdroja energie“)“.“.</w:t>
      </w:r>
    </w:p>
    <w:p w:rsidR="00A65102" w:rsidRPr="00847D02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0"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 w:firstLine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A65102" w:rsidRPr="00847D02" w:rsidP="00A65102">
      <w:pPr>
        <w:framePr w:wrap="auto"/>
        <w:widowControl w:val="0"/>
        <w:autoSpaceDE w:val="0"/>
        <w:autoSpaceDN w:val="0"/>
        <w:bidi w:val="0"/>
        <w:adjustRightInd w:val="0"/>
        <w:ind w:left="311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i/>
          <w:sz w:val="20"/>
          <w:u w:val="single"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>Legislatívnotechnická úprava súvisiaca s precizovaním ustanovenia a zabezpečenia jednoznačného výkladu, čo sa rozumie technickým zariadením na využívanie obnoviteľných zdrojov energie.</w:t>
      </w:r>
    </w:p>
    <w:p w:rsidR="00A65102" w:rsidRPr="006223A7" w:rsidP="00A65102">
      <w:pPr>
        <w:framePr w:wrap="auto"/>
        <w:widowControl/>
        <w:autoSpaceDE/>
        <w:autoSpaceDN/>
        <w:bidi w:val="0"/>
        <w:adjustRightInd/>
        <w:spacing w:after="12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A65102" w:rsidRPr="00F925BB" w:rsidP="00A65102">
      <w:pPr>
        <w:framePr w:wrap="auto"/>
        <w:widowControl/>
        <w:autoSpaceDE/>
        <w:autoSpaceDN/>
        <w:bidi w:val="0"/>
        <w:adjustRightInd/>
        <w:spacing w:after="120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0C78BA" w:rsidP="00A53C20">
      <w:pPr>
        <w:framePr w:wrap="auto"/>
        <w:widowControl/>
        <w:numPr>
          <w:numId w:val="5"/>
        </w:numPr>
        <w:autoSpaceDE/>
        <w:autoSpaceDN/>
        <w:bidi w:val="0"/>
        <w:adjustRightInd/>
        <w:ind w:left="357" w:right="0" w:hanging="357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sa za bod 38 vkladá nový bod 39, ktorý znie: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851" w:right="0" w:hanging="494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„39.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§ 12 ods. 3 písm. c) sa slová „ustanovený osobitným predpisom,</w:t>
      </w:r>
      <w:r w:rsidRPr="000C78BA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29</w:t>
      </w: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)“ nahrádzajú slovami „</w:t>
      </w:r>
      <w:r w:rsidRPr="000C78BA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uvedený v prílohe č. 2a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,</w:t>
      </w:r>
      <w:r w:rsidRPr="000C78BA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“.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 w:firstLine="851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Poznámka pod čiarou k odkazu 29 sa vypúšťa.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“.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 w:firstLine="426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311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i/>
          <w:u w:val="single"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L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egislatívnotechnick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á úprava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súvisiac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a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so zmenou zákona č. </w:t>
      </w:r>
      <w:r w:rsidRPr="000C78BA"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>443/2010 Z. z. o dotáciách na rozvoj bývania a o sociálnom bývaní v znení neskorších predpisov.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3119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6223A7" w:rsidP="00A65102">
      <w:pPr>
        <w:framePr w:wrap="auto"/>
        <w:widowControl/>
        <w:autoSpaceDE/>
        <w:autoSpaceDN/>
        <w:bidi w:val="0"/>
        <w:adjustRightInd/>
        <w:spacing w:after="12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A65102" w:rsidRPr="00F925BB" w:rsidP="00A65102">
      <w:pPr>
        <w:framePr w:wrap="auto"/>
        <w:widowControl/>
        <w:autoSpaceDE/>
        <w:autoSpaceDN/>
        <w:bidi w:val="0"/>
        <w:adjustRightInd/>
        <w:spacing w:after="120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3119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0C78BA" w:rsidP="00A53C20">
      <w:pPr>
        <w:framePr w:wrap="auto"/>
        <w:widowControl/>
        <w:numPr>
          <w:numId w:val="5"/>
        </w:numPr>
        <w:autoSpaceDE/>
        <w:autoSpaceDN/>
        <w:bidi w:val="0"/>
        <w:adjustRightInd/>
        <w:ind w:left="357" w:right="0" w:hanging="357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sa za bod 51 vkladajú nové body 52 až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55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 ktoré znejú: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851" w:right="0" w:hanging="425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„52.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§ 15 ods. 18 sa vypúšťajú slová „žiados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ť</w:t>
      </w: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posúdi a“</w:t>
      </w:r>
      <w:r w:rsidRPr="000C78BA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.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851" w:right="0" w:hanging="425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851" w:right="0" w:hanging="425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53.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V § 15 ods. 22 sa za slová „odseku 4 písm. b)“ vkladajú slová „vrátane rozhodnutia o neposkytnutí podpory“.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851" w:right="0" w:hanging="425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851" w:right="0" w:hanging="425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54.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V § 15 ods. 24 sa za slová „odseku 22“ vkladajú slová „písm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.</w:t>
      </w:r>
      <w:r w:rsidRPr="000C78BA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a)“.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851" w:right="0" w:hanging="425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851" w:right="0" w:hanging="425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55.</w:t>
        <w:tab/>
        <w:t>V § 15 ods. 25 sa na konci bodka nahrádza čiarkou a pripájajú sa tieto slová „ak odsek 26 neustanovuje inak.“.</w:t>
      </w:r>
      <w:r w:rsidRPr="000C78BA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“.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 w:firstLine="426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311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i/>
          <w:u w:val="single"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Cieľom navrhovaných zmien je zefektívniť rozhodovací proces o poskytnutí podpory z finančných prostriedkov Štátneho fondu rozvoja bývania tým, že v prípade nedostatku finančných prostriedkov na daný účel nebude musieť Štátny fond rozvoja bývania žiadosť posudzovať a tým skôr oznámiť žiadateľovi, že mu nie je možné poskytnúť podporu. 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Dopĺňa sa podmienka, že Štátny fond rozvoja bývania, po rozhodnutí o neposkytnutí podpory zasiela späť žiadateľovi predloženú žiadosť spolu s rozhodnutím o neposkytnutí podpory tak, aby nedochádzalo k situácii, že rozhodnutie o neposkytnutí podpory už bolo žiadateľovi doručené a žiadosť nemal k dispozícii a nemohol tak podať podnet na preskúmanie rozhodnutia fondu.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Vypúšťa sa možnosť podať podnet na preskúmanie rozhodnutia fondu o neposkytnutí podpory z dôvodu nedostatku finančných prostriedkov,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keďže 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táto žiadosť nebude posudzovaná, či spĺňa podmienky poskytnutia podpory a Ministerstvo dopravy SR nemá možnosť preskúmať postup pri posudzovaní žiadosti,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keďže 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Štátny fond rozvoja bývania rozhodne o neposkytnutí podpory z dôvodu, nedostatku disponibilných finančných prostriedkov bez posúdenia žiadosti.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3119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6223A7" w:rsidP="00A65102">
      <w:pPr>
        <w:framePr w:wrap="auto"/>
        <w:widowControl/>
        <w:autoSpaceDE/>
        <w:autoSpaceDN/>
        <w:bidi w:val="0"/>
        <w:adjustRightInd/>
        <w:spacing w:after="12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A65102" w:rsidRPr="00F925BB" w:rsidP="00A65102">
      <w:pPr>
        <w:framePr w:wrap="auto"/>
        <w:widowControl/>
        <w:autoSpaceDE/>
        <w:autoSpaceDN/>
        <w:bidi w:val="0"/>
        <w:adjustRightInd/>
        <w:spacing w:after="120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3119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0C78BA" w:rsidP="00A53C20">
      <w:pPr>
        <w:framePr w:wrap="auto"/>
        <w:widowControl/>
        <w:numPr>
          <w:numId w:val="5"/>
        </w:numPr>
        <w:autoSpaceDE/>
        <w:autoSpaceDN/>
        <w:bidi w:val="0"/>
        <w:adjustRightInd/>
        <w:ind w:left="357" w:right="0" w:hanging="357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sa za bod 62 vkladajú nové body 63 a 64, ktoré znejú: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 w:firstLine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„63. Príloha č. 1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vrátane nadpisu </w:t>
      </w: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znie: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19116F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 w:firstLine="357"/>
        <w:jc w:val="righ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19116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Príloha č. 1 </w:t>
      </w:r>
    </w:p>
    <w:p w:rsidR="00A65102" w:rsidRPr="0019116F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 w:firstLine="357"/>
        <w:jc w:val="righ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9116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k zákonu č. 150/2013 Z. z. 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8631A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Zoznam zdravotných postihnutí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827"/>
        <w:gridCol w:w="4814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sz w:val="20"/>
                <w:szCs w:val="20"/>
                <w:rtl w:val="0"/>
                <w:cs w:val="0"/>
                <w:lang w:val="sk-SK" w:eastAsia="en-US" w:bidi="ar-SA"/>
              </w:rPr>
              <w:t>Zdravotné postihnutie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sz w:val="20"/>
                <w:szCs w:val="20"/>
                <w:rtl w:val="0"/>
                <w:cs w:val="0"/>
                <w:lang w:val="sk-SK" w:eastAsia="en-US" w:bidi="ar-SA"/>
              </w:rPr>
              <w:t>Diagnóza - príklady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0"/>
                <w:szCs w:val="20"/>
                <w:rtl w:val="0"/>
                <w:cs w:val="0"/>
                <w:lang w:val="sk-SK" w:eastAsia="en-US" w:bidi="ar-SA"/>
              </w:rPr>
              <w:t>Postihnutie centrálneho alebo periférneho nervového systému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7B5589" w:rsidP="00A53C20">
            <w:pPr>
              <w:framePr w:wrap="auto"/>
              <w:widowControl/>
              <w:numPr>
                <w:numId w:val="6"/>
              </w:numPr>
              <w:autoSpaceDE/>
              <w:autoSpaceDN/>
              <w:bidi w:val="0"/>
              <w:adjustRightInd/>
              <w:ind w:right="0" w:hanging="720"/>
              <w:contextualSpacing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noProof/>
                <w:sz w:val="22"/>
                <w:szCs w:val="22"/>
                <w:rtl w:val="0"/>
                <w:cs w:val="0"/>
                <w:lang w:val="sk-SK"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 w:rsidRPr="00A65102">
              <w:rPr>
                <w:rStyle w:val="DefaultParagraphFont"/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Neurodegeneratívne postihnutie so stredne ťažkým obmedzením pohyblivosti s poruchou posturálnej stability, so slabosťou dvoch končatín, s mnohopočetnými pohybovými komplikáciami typu rigidity, hypokinézy, tremoru, ataxie, mimovoľných pohybov alebo s komplexnou poruchou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r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oztrúsená mozgovomiechová skleróza (stredne ťažká forma, ťažká forma – triparéza a kvadruparéza)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,</w:t>
            </w:r>
          </w:p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k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oordinačné poruchy a poruchy rovnováhy - ťažká forma s nemožnosťou samostatného pohybu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7B5589" w:rsidP="00A53C20">
            <w:pPr>
              <w:framePr w:wrap="auto"/>
              <w:widowControl/>
              <w:numPr>
                <w:numId w:val="6"/>
              </w:numPr>
              <w:autoSpaceDE/>
              <w:autoSpaceDN/>
              <w:bidi w:val="0"/>
              <w:adjustRightInd/>
              <w:ind w:right="0" w:hanging="720"/>
              <w:contextualSpacing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noProof/>
                <w:sz w:val="22"/>
                <w:szCs w:val="22"/>
                <w:rtl w:val="0"/>
                <w:cs w:val="0"/>
                <w:lang w:val="sk-SK"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 w:rsidRPr="00A65102">
              <w:rPr>
                <w:rStyle w:val="DefaultParagraphFont"/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Viacpočetné postihnutie nervov a miešnych koreňov s ťažkou poruchou funkcie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č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iastočné a úplné mozgové obrny (pyramídového a extrapyramídového pôvodu) - hemiplégia, paraplégia, kvadruplégia, hemiparéza ťažkého stupňa, paraparéza ťažkého stupňa, kvadruparéza ťažkého stupňa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,</w:t>
            </w:r>
          </w:p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p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 xml:space="preserve">oškodenie miechy - hemiplégia, paraplégia,  kvadruplégia, hemiparéza ťažkého stupňa, paraparéza ťažkého stupňa, kvadruparéza ťažkého stupňa 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7B5589" w:rsidP="00A53C20">
            <w:pPr>
              <w:framePr w:wrap="auto"/>
              <w:widowControl/>
              <w:numPr>
                <w:numId w:val="6"/>
              </w:numPr>
              <w:autoSpaceDE/>
              <w:autoSpaceDN/>
              <w:bidi w:val="0"/>
              <w:adjustRightInd/>
              <w:ind w:right="0" w:hanging="720"/>
              <w:contextualSpacing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noProof/>
                <w:sz w:val="22"/>
                <w:szCs w:val="22"/>
                <w:rtl w:val="0"/>
                <w:cs w:val="0"/>
                <w:lang w:val="sk-SK"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 w:rsidRPr="00A65102">
              <w:rPr>
                <w:rStyle w:val="DefaultParagraphFont"/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Stredne ťažké obmedzenie aspoň jednej hornej končatiny a aspoň jednej dolnej končatiny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ú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plná strata jednej hornej končatiny a jednej dolnej končatiny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,</w:t>
            </w: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s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trata oboch dolných končatín v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 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stehne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,</w:t>
            </w: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s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trata jednej dolnej končatiny v stehne a jednej dolnej končatiny v predkolení s krátkymi amputačnými kýpťami s výrazne zníženou funkciou amputovaného kýpťa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,</w:t>
            </w: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s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trata jednej dolnej končatiny v bedrovom kĺbe alebo s veľmi krátkym amputačným kýpťom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,</w:t>
            </w: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s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trata jednej dolnej končatiny v stehne po kolenný kĺb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,</w:t>
            </w:r>
          </w:p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s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trata oboch dolných končatín v predkolení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 w:rsidRPr="00A65102">
              <w:rPr>
                <w:rStyle w:val="DefaultParagraphFont"/>
                <w:rFonts w:ascii="Times New Roman" w:eastAsia="Times New Roman" w:hAnsi="Times New Roman" w:cs="Times New Roman" w:hint="cs"/>
                <w:b/>
                <w:sz w:val="20"/>
                <w:szCs w:val="20"/>
                <w:rtl w:val="0"/>
                <w:cs w:val="0"/>
                <w:lang w:val="sk-SK" w:eastAsia="en-US" w:bidi="ar-SA"/>
              </w:rPr>
              <w:t>Postihnutie kĺbov, kostí, svalov a šliach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CC317E" w:rsidP="00A53C20">
            <w:pPr>
              <w:framePr w:wrap="auto"/>
              <w:widowControl/>
              <w:numPr>
                <w:numId w:val="6"/>
              </w:numPr>
              <w:autoSpaceDE/>
              <w:autoSpaceDN/>
              <w:bidi w:val="0"/>
              <w:adjustRightInd/>
              <w:ind w:right="0" w:hanging="720"/>
              <w:contextualSpacing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noProof/>
                <w:sz w:val="22"/>
                <w:szCs w:val="22"/>
                <w:rtl w:val="0"/>
                <w:cs w:val="0"/>
                <w:lang w:val="sk-SK"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 w:rsidRPr="00A65102">
              <w:rPr>
                <w:rStyle w:val="DefaultParagraphFont"/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Rozsiahle degeneratívne a poúrazové zmeny na chrbtici a medzistavcových platničkách s trvalým chronickým motorickým deficitom na periférii, insuficiencia svalového korzetu, ťažké deformity chrbtice s obmedzením exkurzií hrudníka alebo ankylózy jednotlivých segmentov chrbtice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s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pondylartritída ankylozujúca - Bechterevova choroba - ťažký stupeň postihnutia chrbtice s ankylózou bedrových kĺbov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CC317E" w:rsidP="00A53C20">
            <w:pPr>
              <w:framePr w:wrap="auto"/>
              <w:widowControl/>
              <w:numPr>
                <w:numId w:val="6"/>
              </w:numPr>
              <w:autoSpaceDE/>
              <w:autoSpaceDN/>
              <w:bidi w:val="0"/>
              <w:adjustRightInd/>
              <w:ind w:right="0" w:hanging="720"/>
              <w:contextualSpacing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noProof/>
                <w:sz w:val="22"/>
                <w:szCs w:val="22"/>
                <w:rtl w:val="0"/>
                <w:cs w:val="0"/>
                <w:lang w:val="sk-SK"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 w:rsidRPr="00A65102">
              <w:rPr>
                <w:rStyle w:val="DefaultParagraphFont"/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Svalové ochorenia – myopatie, zápalové, metabolické, endokrinné, kongenitálne svalové dystrofie, progresívne svalové dystrofie alebo poúrazové svalové poškodenia s aspoň stredne ťažkým obmedzením pohyblivosti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m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yopatie, kongenitálne, progresívne svalové dystrofie (Duchenneov, Beckerov typ a pod.), zápalové myozitídy, polyomyozitídy a pod., metabolické a endokrinologické (stredná forma s výrazným obmedzením hýbavosti, ťažká forma –imobilita)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,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 xml:space="preserve">  </w:t>
            </w:r>
          </w:p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m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yasténia gravis, myastenický syndróm - ťažké formy s výrazným obmedzením hýbavosti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CC317E" w:rsidP="00A53C20">
            <w:pPr>
              <w:framePr w:wrap="auto"/>
              <w:widowControl/>
              <w:numPr>
                <w:numId w:val="6"/>
              </w:numPr>
              <w:autoSpaceDE/>
              <w:autoSpaceDN/>
              <w:bidi w:val="0"/>
              <w:adjustRightInd/>
              <w:ind w:right="0" w:hanging="720"/>
              <w:contextualSpacing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noProof/>
                <w:sz w:val="22"/>
                <w:szCs w:val="22"/>
                <w:rtl w:val="0"/>
                <w:cs w:val="0"/>
                <w:lang w:val="sk-SK"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 w:rsidRPr="00A65102">
              <w:rPr>
                <w:rStyle w:val="DefaultParagraphFont"/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Ťažké obmedzenie funkcie aspoň jednej dolnej končatiny, ťažké obmedzenie pohyblivosti v oblasti aspoň jedného bedrového kĺbu alebo ťažké obmedzenie pohyblivosti v oblasti aspoň  kolenného kĺbu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s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tuhnutie oboch bedrových kĺbov po vyčerpaní možností konzervatívnej a radikálnej liečby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,</w:t>
            </w: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s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tuhnutie jedného bedrového kĺbu v nepriaznivom postavení bez možnosti ďalšej liečby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,</w:t>
            </w:r>
          </w:p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s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tuhnutie oboch kolenných kĺbov po vyčerpaní možností konzervatívnej a radikálnej liečby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 w:rsidRPr="00A65102">
              <w:rPr>
                <w:rStyle w:val="DefaultParagraphFont"/>
                <w:rFonts w:ascii="Times New Roman" w:eastAsia="Times New Roman" w:hAnsi="Times New Roman" w:cs="Times New Roman" w:hint="cs"/>
                <w:b/>
                <w:sz w:val="20"/>
                <w:szCs w:val="20"/>
                <w:rtl w:val="0"/>
                <w:cs w:val="0"/>
                <w:lang w:val="sk-SK" w:eastAsia="en-US" w:bidi="ar-SA"/>
              </w:rPr>
              <w:t>Postihnutie vnútorných orgánov, následky iných ochorení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CC317E" w:rsidP="00A53C20">
            <w:pPr>
              <w:framePr w:wrap="auto"/>
              <w:widowControl/>
              <w:numPr>
                <w:numId w:val="6"/>
              </w:numPr>
              <w:autoSpaceDE/>
              <w:autoSpaceDN/>
              <w:bidi w:val="0"/>
              <w:adjustRightInd/>
              <w:ind w:right="0" w:hanging="720"/>
              <w:contextualSpacing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noProof/>
                <w:sz w:val="22"/>
                <w:szCs w:val="22"/>
                <w:rtl w:val="0"/>
                <w:cs w:val="0"/>
                <w:lang w:val="sk-SK"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 w:rsidRPr="00A65102">
              <w:rPr>
                <w:rStyle w:val="DefaultParagraphFont"/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Stav pri onkologickom ochorení počas akútnej liečby alebo pri obmedzení pohyblivosti a výkonnosti pri bežnom a ľahkom zaťažení, s  kachexiou alebo s inými komplikáciami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o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nkologické ochorenia v terminálnom štádiu s poruchami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7B5589" w:rsidP="00A53C20">
            <w:pPr>
              <w:framePr w:wrap="auto"/>
              <w:widowControl/>
              <w:numPr>
                <w:numId w:val="6"/>
              </w:numPr>
              <w:autoSpaceDE/>
              <w:autoSpaceDN/>
              <w:bidi w:val="0"/>
              <w:adjustRightInd/>
              <w:ind w:right="0" w:hanging="720"/>
              <w:contextualSpacing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noProof/>
                <w:sz w:val="22"/>
                <w:szCs w:val="22"/>
                <w:rtl w:val="0"/>
                <w:cs w:val="0"/>
                <w:lang w:val="sk-SK"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 w:val="0"/>
                <w:cs w:val="0"/>
                <w:lang w:val="sk-SK" w:eastAsia="en-US" w:bidi="ar-SA"/>
              </w:rPr>
              <w:t xml:space="preserve">Postihnutie obličiek s obmedzením funkcie stredného stupňa 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 xml:space="preserve">(obličkové funkcie sú značne znížené so </w:t>
            </w:r>
            <w:r w:rsidRPr="00A65102">
              <w:rPr>
                <w:rStyle w:val="DefaultParagraphFont"/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značným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 xml:space="preserve"> obmedzením výkonnosti – kreatinín pod 150 umol/l) alebo ťažkého stupňa (sú prítomné laboratórne známky chronickej obličkovej insuficiencie s podstatným obmedzením výkonnosti – kreatinín nad 150 umol/l)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t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erminálne štádium chronickej obličkovej nedostatočnosti liečenej hemodialýzou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7B5589" w:rsidP="00A53C20">
            <w:pPr>
              <w:framePr w:wrap="auto"/>
              <w:widowControl/>
              <w:numPr>
                <w:numId w:val="6"/>
              </w:numPr>
              <w:autoSpaceDE/>
              <w:autoSpaceDN/>
              <w:bidi w:val="0"/>
              <w:adjustRightInd/>
              <w:ind w:right="0" w:hanging="720"/>
              <w:contextualSpacing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noProof/>
                <w:sz w:val="22"/>
                <w:szCs w:val="22"/>
                <w:rtl w:val="0"/>
                <w:cs w:val="0"/>
                <w:lang w:val="sk-SK"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 w:rsidRPr="00A65102">
              <w:rPr>
                <w:rStyle w:val="DefaultParagraphFont"/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Imobilita z akýchkoľvek príčin alebo komplexná porucha z rôznych príčin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o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nkologické ochorenia v terminálnom štádiu s poruchami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 w:rsidRPr="00A65102">
              <w:rPr>
                <w:rStyle w:val="DefaultParagraphFont"/>
                <w:rFonts w:ascii="Times New Roman" w:eastAsia="Times New Roman" w:hAnsi="Times New Roman" w:cs="Times New Roman" w:hint="cs"/>
                <w:b/>
                <w:sz w:val="20"/>
                <w:szCs w:val="20"/>
                <w:rtl w:val="0"/>
                <w:cs w:val="0"/>
                <w:lang w:val="sk-SK" w:eastAsia="en-US" w:bidi="ar-SA"/>
              </w:rPr>
              <w:t>Postihnutie zraku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CC317E" w:rsidP="00A53C20">
            <w:pPr>
              <w:framePr w:wrap="auto"/>
              <w:widowControl/>
              <w:numPr>
                <w:numId w:val="6"/>
              </w:numPr>
              <w:autoSpaceDE/>
              <w:autoSpaceDN/>
              <w:bidi w:val="0"/>
              <w:adjustRightInd/>
              <w:ind w:right="0" w:hanging="720"/>
              <w:contextualSpacing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noProof/>
                <w:sz w:val="22"/>
                <w:szCs w:val="22"/>
                <w:rtl w:val="0"/>
                <w:cs w:val="0"/>
                <w:lang w:val="sk-SK"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RP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Style w:val="DefaultParagraphFont"/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 w:rsidRPr="00A65102">
              <w:rPr>
                <w:rStyle w:val="DefaultParagraphFont"/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Obojstranná ťažká strata zraku od vízu 6/18 (0,3) do nuly, ktorou sa rozumie zraková ostrosť s korekciou u oboch očí, v kategórii oslabenia zraku v štádiu slabozrakosti a viac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ú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plná slepota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CC317E" w:rsidP="00A53C20">
            <w:pPr>
              <w:framePr w:wrap="auto"/>
              <w:widowControl/>
              <w:numPr>
                <w:numId w:val="6"/>
              </w:numPr>
              <w:autoSpaceDE/>
              <w:autoSpaceDN/>
              <w:bidi w:val="0"/>
              <w:adjustRightInd/>
              <w:ind w:right="0" w:hanging="720"/>
              <w:contextualSpacing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noProof/>
                <w:sz w:val="22"/>
                <w:szCs w:val="22"/>
                <w:rtl w:val="0"/>
                <w:cs w:val="0"/>
                <w:lang w:val="sk-SK"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RP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Style w:val="DefaultParagraphFont"/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 w:rsidRPr="00A65102">
              <w:rPr>
                <w:rStyle w:val="DefaultParagraphFont"/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Úplná slepota alebo praktická slepota oboch očí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ú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plná slepota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CC317E" w:rsidP="00A53C20">
            <w:pPr>
              <w:framePr w:wrap="auto"/>
              <w:widowControl/>
              <w:numPr>
                <w:numId w:val="6"/>
              </w:numPr>
              <w:autoSpaceDE/>
              <w:autoSpaceDN/>
              <w:bidi w:val="0"/>
              <w:adjustRightInd/>
              <w:ind w:right="0" w:hanging="720"/>
              <w:contextualSpacing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noProof/>
                <w:sz w:val="22"/>
                <w:szCs w:val="22"/>
                <w:rtl w:val="0"/>
                <w:cs w:val="0"/>
                <w:lang w:val="sk-SK"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RP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Style w:val="DefaultParagraphFont"/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 w:rsidRPr="00A65102">
              <w:rPr>
                <w:rStyle w:val="DefaultParagraphFont"/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Obojstranné výpadky zorného poľa (úplné, polovičné alebo kvadrantové) alebo koncentrické zúženie zorného poľa od 29 stupňov do nuly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ú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0"/>
                <w:rtl w:val="0"/>
                <w:cs w:val="0"/>
                <w:lang w:val="sk-SK" w:eastAsia="en-US" w:bidi="ar-SA"/>
              </w:rPr>
              <w:t>plná slepota</w:t>
            </w:r>
          </w:p>
        </w:tc>
      </w:tr>
    </w:tbl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spacing w:after="120" w:line="276" w:lineRule="auto"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spacing w:after="120"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64.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Za prílohu č. 2 sa vkladá príloha</w:t>
      </w:r>
      <w:r w:rsidRPr="000C78BA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č. 2a, ktorá vrátane nadpisu znie:</w:t>
      </w:r>
    </w:p>
    <w:p w:rsidR="00847D02" w:rsidP="00A65102">
      <w:pPr>
        <w:framePr w:wrap="auto"/>
        <w:widowControl w:val="0"/>
        <w:autoSpaceDE w:val="0"/>
        <w:autoSpaceDN w:val="0"/>
        <w:bidi w:val="0"/>
        <w:adjustRightInd w:val="0"/>
        <w:spacing w:line="276" w:lineRule="auto"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</w:p>
    <w:p w:rsidR="00847D02" w:rsidP="00A65102">
      <w:pPr>
        <w:framePr w:wrap="auto"/>
        <w:widowControl w:val="0"/>
        <w:autoSpaceDE w:val="0"/>
        <w:autoSpaceDN w:val="0"/>
        <w:bidi w:val="0"/>
        <w:adjustRightInd w:val="0"/>
        <w:spacing w:line="276" w:lineRule="auto"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</w:p>
    <w:p w:rsidR="00A65102" w:rsidRPr="0019116F" w:rsidP="00A65102">
      <w:pPr>
        <w:framePr w:wrap="auto"/>
        <w:widowControl w:val="0"/>
        <w:autoSpaceDE w:val="0"/>
        <w:autoSpaceDN w:val="0"/>
        <w:bidi w:val="0"/>
        <w:adjustRightInd w:val="0"/>
        <w:spacing w:line="276" w:lineRule="auto"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„</w:t>
      </w:r>
      <w:r w:rsidRPr="0019116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Príloha č. 2a</w:t>
      </w:r>
    </w:p>
    <w:p w:rsidR="00A65102" w:rsidRPr="0019116F" w:rsidP="00A65102">
      <w:pPr>
        <w:framePr w:wrap="auto"/>
        <w:widowControl w:val="0"/>
        <w:autoSpaceDE w:val="0"/>
        <w:autoSpaceDN w:val="0"/>
        <w:bidi w:val="0"/>
        <w:adjustRightInd w:val="0"/>
        <w:spacing w:line="276" w:lineRule="auto"/>
        <w:ind w:left="142" w:right="0"/>
        <w:jc w:val="right"/>
        <w:textAlignment w:val="auto"/>
        <w:rPr>
          <w:rFonts w:ascii="Times New Roman" w:eastAsia="Times New Roman" w:hAnsi="Times New Roman" w:cs="Times New Roman" w:hint="cs"/>
          <w:b/>
          <w:iCs/>
          <w:rtl w:val="0"/>
          <w:cs w:val="0"/>
          <w:lang w:val="sk-SK" w:eastAsia="sk-SK" w:bidi="ar-SA"/>
        </w:rPr>
      </w:pPr>
      <w:r w:rsidRPr="0019116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k zákonu č. 150/2013 Z. z. 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spacing w:line="276" w:lineRule="auto"/>
        <w:ind w:left="120" w:right="0"/>
        <w:jc w:val="center"/>
        <w:textAlignment w:val="auto"/>
        <w:rPr>
          <w:rFonts w:ascii="Times New Roman" w:eastAsia="Times New Roman" w:hAnsi="Times New Roman" w:cs="Arial" w:hint="cs"/>
          <w:caps/>
          <w:rtl w:val="0"/>
          <w:cs w:val="0"/>
          <w:lang w:val="sk-SK" w:eastAsia="sk-SK" w:bidi="ar-SA"/>
        </w:rPr>
      </w:pPr>
    </w:p>
    <w:tbl>
      <w:tblPr>
        <w:tblW w:w="9993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58"/>
        <w:gridCol w:w="2835"/>
      </w:tblGrid>
      <w:tr>
        <w:tblPrEx>
          <w:tblW w:w="9993" w:type="dxa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348"/>
        </w:trPr>
        <w:tc>
          <w:tcPr>
            <w:tcW w:w="7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65102" w:rsidRPr="00B028B9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caps/>
                <w:spacing w:val="40"/>
                <w:rtl w:val="0"/>
                <w:cs w:val="0"/>
                <w:lang w:val="sk-SK" w:eastAsia="sk-SK" w:bidi="ar-SA"/>
              </w:rPr>
            </w:pPr>
            <w:r w:rsidRPr="00B028B9">
              <w:rPr>
                <w:rFonts w:ascii="Times New Roman" w:eastAsia="Times New Roman" w:hAnsi="Times New Roman" w:cs="Times New Roman" w:hint="cs"/>
                <w:b/>
                <w:bCs/>
                <w:caps/>
                <w:spacing w:val="40"/>
                <w:sz w:val="24"/>
                <w:szCs w:val="24"/>
                <w:rtl w:val="0"/>
                <w:cs w:val="0"/>
                <w:lang w:val="sk-SK" w:eastAsia="sk-SK" w:bidi="ar-SA"/>
              </w:rPr>
              <w:t>EVIDENČNÝ LIST SYSTÉMOVÝCH PORÚCH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5102" w:rsidRPr="007B5589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firstLine="1631"/>
              <w:jc w:val="both"/>
              <w:textAlignment w:val="auto"/>
              <w:rPr>
                <w:rFonts w:ascii="Times New Roman" w:eastAsia="Times New Roman" w:hAnsi="Times New Roman" w:cs="Times New Roman" w:hint="cs"/>
                <w:caps/>
                <w:strike/>
                <w:rtl w:val="0"/>
                <w:cs w:val="0"/>
                <w:lang w:val="sk-SK" w:eastAsia="sk-SK" w:bidi="ar-SA"/>
              </w:rPr>
            </w:pPr>
          </w:p>
        </w:tc>
      </w:tr>
    </w:tbl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10"/>
          <w:szCs w:val="10"/>
          <w:rtl w:val="0"/>
          <w:cs w:val="0"/>
          <w:lang w:val="sk-SK" w:eastAsia="sk-SK" w:bidi="ar-SA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638"/>
        <w:gridCol w:w="2268"/>
        <w:gridCol w:w="1843"/>
        <w:gridCol w:w="1701"/>
        <w:gridCol w:w="1843"/>
        <w:gridCol w:w="1701"/>
      </w:tblGrid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395"/>
        </w:trPr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firstLine="142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1.</w:t>
            </w:r>
          </w:p>
        </w:tc>
        <w:tc>
          <w:tcPr>
            <w:tcW w:w="9356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firstLine="71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IDENTIFIKAČNÉ ÚDAJE 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 w:val="0"/>
                <w:cs w:val="0"/>
                <w:lang w:val="sk-SK" w:eastAsia="sk-SK" w:bidi="ar-SA"/>
              </w:rPr>
              <w:t>bytového domu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447"/>
        </w:trPr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firstLine="142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1.1.</w:t>
            </w:r>
          </w:p>
        </w:tc>
        <w:tc>
          <w:tcPr>
            <w:tcW w:w="9356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firstLine="71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IDENTIFIKÁCIA 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 w:val="0"/>
                <w:cs w:val="0"/>
                <w:lang w:val="sk-SK" w:eastAsia="sk-SK" w:bidi="ar-SA"/>
              </w:rPr>
              <w:t>bytového domu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 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283"/>
        </w:trPr>
        <w:tc>
          <w:tcPr>
            <w:tcW w:w="638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Mesto (obec, časť)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outlineLvl w:val="7"/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283"/>
        </w:trPr>
        <w:tc>
          <w:tcPr>
            <w:tcW w:w="6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Ulica, č. domu 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65102" w:rsidRPr="000C78BA" w:rsidP="00A65102">
            <w:pPr>
              <w:keepNext/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firstLine="567"/>
              <w:jc w:val="center"/>
              <w:textAlignment w:val="auto"/>
              <w:outlineLvl w:val="1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Súpisné č.:</w:t>
            </w:r>
            <w:r w:rsidRPr="000C78BA">
              <w:rPr>
                <w:rFonts w:ascii="Times New Roman" w:eastAsia="Times New Roman" w:hAnsi="Times New Roman" w:cs="Times New Roman" w:hint="cs"/>
                <w:i/>
                <w:i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Počet bytov : 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283"/>
        </w:trPr>
        <w:tc>
          <w:tcPr>
            <w:tcW w:w="6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Sekcia (vchod) číslo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keepNext/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outlineLvl w:val="3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 Kolaudácia (rok) : 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283"/>
        </w:trPr>
        <w:tc>
          <w:tcPr>
            <w:tcW w:w="6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Vlastník/od roku</w:t>
            </w:r>
            <w:r w:rsidRPr="000C78BA">
              <w:rPr>
                <w:rFonts w:ascii="Times New Roman" w:eastAsia="Times New Roman" w:hAnsi="Times New Roman" w:cs="Times New Roman" w:hint="cs"/>
                <w:i/>
                <w:i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outlineLvl w:val="6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Zmena : 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283"/>
        </w:trPr>
        <w:tc>
          <w:tcPr>
            <w:tcW w:w="6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Správca/od roku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outlineLvl w:val="6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Zmena :</w:t>
            </w:r>
            <w:r w:rsidRPr="000C78BA">
              <w:rPr>
                <w:rFonts w:ascii="Times New Roman" w:eastAsia="Times New Roman" w:hAnsi="Times New Roman" w:cs="Times New Roman" w:hint="cs"/>
                <w:i/>
                <w:i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 </w:t>
            </w:r>
          </w:p>
        </w:tc>
      </w:tr>
    </w:tbl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6"/>
          <w:szCs w:val="6"/>
          <w:rtl w:val="0"/>
          <w:cs w:val="0"/>
          <w:lang w:val="sk-SK" w:eastAsia="sk-SK" w:bidi="ar-SA"/>
        </w:rPr>
      </w:pPr>
    </w:p>
    <w:tbl>
      <w:tblPr>
        <w:tblW w:w="9996" w:type="dxa"/>
        <w:tblInd w:w="-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40"/>
        <w:gridCol w:w="7371"/>
        <w:gridCol w:w="851"/>
        <w:gridCol w:w="1134"/>
      </w:tblGrid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6"/>
        </w:trPr>
        <w:tc>
          <w:tcPr>
            <w:tcW w:w="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10" w:color="000000" w:fill="FFFFFF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firstLine="142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1.2 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outlineLvl w:val="8"/>
              <w:rPr>
                <w:rFonts w:ascii="Times New Roman" w:eastAsia="Times New Roman" w:hAnsi="Times New Roman" w:cs="Times New Roman" w:hint="cs"/>
                <w:b/>
                <w:bCs/>
                <w:cap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Technické ÚDAJE O bytovom dome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firstLine="72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4"/>
                <w:rtl w:val="0"/>
                <w:cs w:val="0"/>
                <w:lang w:val="sk-SK" w:eastAsia="sk-SK" w:bidi="ar-SA"/>
              </w:rPr>
              <w:t>Znak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firstLine="72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4"/>
                <w:rtl w:val="0"/>
                <w:cs w:val="0"/>
                <w:lang w:val="sk-SK" w:eastAsia="sk-SK" w:bidi="ar-SA"/>
              </w:rPr>
              <w:t>Poznámka</w:t>
            </w: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2"/>
        </w:trPr>
        <w:tc>
          <w:tcPr>
            <w:tcW w:w="640" w:type="dxa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Typ, konštrukčný systém, stavebná sústava Popis: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outlineLvl w:val="5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2"/>
        </w:trPr>
        <w:tc>
          <w:tcPr>
            <w:tcW w:w="6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2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Typ objektu: bodový - 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B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, vežový – 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V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, radový – 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R, 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doskový – 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D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2"/>
        </w:trPr>
        <w:tc>
          <w:tcPr>
            <w:tcW w:w="64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3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Typ strechy : plochá - 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P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, šikmá – 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2"/>
        </w:trPr>
        <w:tc>
          <w:tcPr>
            <w:tcW w:w="6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4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Počet sekcií (vchodov) :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2"/>
        </w:trPr>
        <w:tc>
          <w:tcPr>
            <w:tcW w:w="6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5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Celkový počet podlaží / Počet obytných podlaží: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keepNext/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outlineLvl w:val="2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keepNext/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outlineLvl w:val="2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2"/>
        </w:trPr>
        <w:tc>
          <w:tcPr>
            <w:tcW w:w="6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6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Konštrukčná / svetlá výška obytného podlažia [m] :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2"/>
        </w:trPr>
        <w:tc>
          <w:tcPr>
            <w:tcW w:w="6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7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Konštrukčná / svetlá výška technického podlažia [m] :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2"/>
        </w:trPr>
        <w:tc>
          <w:tcPr>
            <w:tcW w:w="6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8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Nadstavba budovy/počet podlaží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2"/>
        </w:trPr>
        <w:tc>
          <w:tcPr>
            <w:tcW w:w="6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9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Dodatočné zateplenie: celého obvodového plášťa – Z, štítu - ZŠ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2"/>
        </w:trPr>
        <w:tc>
          <w:tcPr>
            <w:tcW w:w="6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10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Dodatočné zateplenie strechy – ZS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2"/>
        </w:trPr>
        <w:tc>
          <w:tcPr>
            <w:tcW w:w="6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11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Osadenie objektu na teréne - 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OT, 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zapustený na celé podlažie - 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ZC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, zapustený čiastočne - 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ZČ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, iné - 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OI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 ....................................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2"/>
        </w:trPr>
        <w:tc>
          <w:tcPr>
            <w:tcW w:w="6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12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Vzdialenosť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 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(minimálna)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 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plochy prístupnej vozidlám od objektu [ m ]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6" w:type="dxa"/>
          <w:tblInd w:w="-3" w:type="dxa"/>
          <w:tblBorders>
            <w:left w:val="single" w:sz="18" w:space="0" w:color="auto"/>
            <w:bottom w:val="single" w:sz="6" w:space="0" w:color="auto"/>
            <w:right w:val="single" w:sz="18" w:space="0" w:color="auto"/>
            <w:insideV w:val="single" w:sz="6" w:space="0" w:color="auto"/>
          </w:tblBorders>
          <w:tblLayout w:type="fixed"/>
          <w:tblCellMar>
            <w:top w:w="0" w:type="dxa"/>
            <w:left w:w="73" w:type="dxa"/>
            <w:bottom w:w="0" w:type="dxa"/>
            <w:right w:w="73" w:type="dxa"/>
          </w:tblCellMar>
        </w:tblPrEx>
        <w:trPr>
          <w:trHeight w:val="312"/>
        </w:trPr>
        <w:tc>
          <w:tcPr>
            <w:tcW w:w="6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13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Topografia okolia objektu: rovinaté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 - R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, zvlnené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 - Z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, svahovité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 - S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, iné - 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I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..........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</w:tbl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6"/>
          <w:szCs w:val="6"/>
          <w:rtl w:val="0"/>
          <w:cs w:val="0"/>
          <w:lang w:val="sk-SK" w:eastAsia="sk-SK" w:bidi="ar-SA"/>
        </w:rPr>
      </w:pPr>
    </w:p>
    <w:tbl>
      <w:tblPr>
        <w:tblW w:w="9993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"/>
        <w:gridCol w:w="992"/>
        <w:gridCol w:w="1559"/>
        <w:gridCol w:w="993"/>
        <w:gridCol w:w="1701"/>
        <w:gridCol w:w="3827"/>
      </w:tblGrid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38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1.3</w:t>
            </w:r>
          </w:p>
        </w:tc>
        <w:tc>
          <w:tcPr>
            <w:tcW w:w="907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cap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 w:val="0"/>
                <w:cs w:val="0"/>
                <w:lang w:val="sk-SK" w:eastAsia="sk-SK" w:bidi="ar-SA"/>
              </w:rPr>
              <w:t>prehľad bytov v bytovom dome ( v sekcii, vo VCHODE)</w:t>
            </w: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10"/>
        </w:trPr>
        <w:tc>
          <w:tcPr>
            <w:tcW w:w="921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 w:val="0"/>
                <w:cs w:val="0"/>
                <w:lang w:val="sk-SK" w:eastAsia="sk-SK" w:bidi="ar-SA"/>
              </w:rPr>
              <w:t>Veľkostná</w:t>
            </w: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z w:val="20"/>
                <w:rtl w:val="0"/>
                <w:cs w:val="0"/>
                <w:lang w:val="sk-SK" w:eastAsia="sk-SK" w:bidi="ar-SA"/>
              </w:rPr>
            </w:pPr>
            <w:r w:rsidRPr="000C78BA" w:rsidR="007D665F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 w:val="0"/>
                <w:cs w:val="0"/>
                <w:lang w:val="sk-SK" w:eastAsia="sk-SK" w:bidi="ar-SA"/>
              </w:rPr>
              <w:t>K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 w:val="0"/>
                <w:cs w:val="0"/>
                <w:lang w:val="sk-SK" w:eastAsia="sk-SK" w:bidi="ar-SA"/>
              </w:rPr>
              <w:t>ategória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4"/>
                <w:rtl w:val="0"/>
                <w:cs w:val="0"/>
                <w:lang w:val="sk-SK" w:eastAsia="sk-SK" w:bidi="ar-SA"/>
              </w:rPr>
              <w:t xml:space="preserve">Počet </w:t>
            </w: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4"/>
                <w:rtl w:val="0"/>
                <w:cs w:val="0"/>
                <w:lang w:val="sk-SK" w:eastAsia="sk-SK" w:bidi="ar-SA"/>
              </w:rPr>
              <w:t>izieb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z w:val="20"/>
                <w:vertAlign w:val="superscript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4"/>
                <w:rtl w:val="0"/>
                <w:cs w:val="0"/>
                <w:lang w:val="sk-SK" w:eastAsia="sk-SK" w:bidi="ar-SA"/>
              </w:rPr>
              <w:t>Podlahová plocha bytu</w:t>
            </w: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[ m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vertAlign w:val="superscript"/>
                <w:rtl w:val="0"/>
                <w:cs w:val="0"/>
                <w:lang w:val="sk-SK" w:eastAsia="sk-SK" w:bidi="ar-SA"/>
              </w:rPr>
              <w:t xml:space="preserve">2 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/ b.j.]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4"/>
                <w:rtl w:val="0"/>
                <w:cs w:val="0"/>
                <w:lang w:val="sk-SK" w:eastAsia="sk-SK" w:bidi="ar-SA"/>
              </w:rPr>
              <w:t xml:space="preserve">Počet bytov </w:t>
            </w: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[ b.j.]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4"/>
                <w:rtl w:val="0"/>
                <w:cs w:val="0"/>
                <w:lang w:val="sk-SK" w:eastAsia="sk-SK" w:bidi="ar-SA"/>
              </w:rPr>
              <w:t xml:space="preserve">Podlahová </w:t>
            </w: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4"/>
                <w:rtl w:val="0"/>
                <w:cs w:val="0"/>
                <w:lang w:val="sk-SK" w:eastAsia="sk-SK" w:bidi="ar-SA"/>
              </w:rPr>
              <w:t>plocha spolu</w:t>
            </w: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[ m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vertAlign w:val="superscript"/>
                <w:rtl w:val="0"/>
                <w:cs w:val="0"/>
                <w:lang w:val="sk-SK" w:eastAsia="sk-SK" w:bidi="ar-SA"/>
              </w:rPr>
              <w:t xml:space="preserve">2 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]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4"/>
                <w:rtl w:val="0"/>
                <w:cs w:val="0"/>
                <w:lang w:val="sk-SK" w:eastAsia="sk-SK" w:bidi="ar-SA"/>
              </w:rPr>
              <w:t xml:space="preserve">Poznámka </w:t>
            </w: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(byty v nadstavbe, zlúčené byty)</w:t>
            </w: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3"/>
        </w:trPr>
        <w:tc>
          <w:tcPr>
            <w:tcW w:w="921" w:type="dxa"/>
            <w:tcBorders>
              <w:top w:val="nil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tabs>
                <w:tab w:val="left" w:pos="639"/>
              </w:tabs>
              <w:autoSpaceDE w:val="0"/>
              <w:autoSpaceDN w:val="0"/>
              <w:bidi w:val="0"/>
              <w:adjustRightInd w:val="0"/>
              <w:ind w:left="0" w:right="72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213"/>
              <w:jc w:val="right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3"/>
        </w:trPr>
        <w:tc>
          <w:tcPr>
            <w:tcW w:w="921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tabs>
                <w:tab w:val="left" w:pos="639"/>
              </w:tabs>
              <w:autoSpaceDE w:val="0"/>
              <w:autoSpaceDN w:val="0"/>
              <w:bidi w:val="0"/>
              <w:adjustRightInd w:val="0"/>
              <w:ind w:left="0" w:right="72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213"/>
              <w:jc w:val="right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3"/>
        </w:trPr>
        <w:tc>
          <w:tcPr>
            <w:tcW w:w="9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tabs>
                <w:tab w:val="left" w:pos="639"/>
              </w:tabs>
              <w:autoSpaceDE w:val="0"/>
              <w:autoSpaceDN w:val="0"/>
              <w:bidi w:val="0"/>
              <w:adjustRightInd w:val="0"/>
              <w:ind w:left="0" w:right="72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213"/>
              <w:jc w:val="right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3"/>
        </w:trPr>
        <w:tc>
          <w:tcPr>
            <w:tcW w:w="921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tabs>
                <w:tab w:val="left" w:pos="639"/>
              </w:tabs>
              <w:autoSpaceDE w:val="0"/>
              <w:autoSpaceDN w:val="0"/>
              <w:bidi w:val="0"/>
              <w:adjustRightInd w:val="0"/>
              <w:ind w:left="0" w:right="72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213"/>
              <w:jc w:val="right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3"/>
        </w:trPr>
        <w:tc>
          <w:tcPr>
            <w:tcW w:w="9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tabs>
                <w:tab w:val="left" w:pos="639"/>
              </w:tabs>
              <w:autoSpaceDE w:val="0"/>
              <w:autoSpaceDN w:val="0"/>
              <w:bidi w:val="0"/>
              <w:adjustRightInd w:val="0"/>
              <w:ind w:left="0" w:right="72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213"/>
              <w:jc w:val="right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3"/>
        </w:trPr>
        <w:tc>
          <w:tcPr>
            <w:tcW w:w="92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tabs>
                <w:tab w:val="left" w:pos="639"/>
              </w:tabs>
              <w:autoSpaceDE w:val="0"/>
              <w:autoSpaceDN w:val="0"/>
              <w:bidi w:val="0"/>
              <w:adjustRightInd w:val="0"/>
              <w:ind w:left="0" w:right="72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213"/>
              <w:jc w:val="right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3"/>
        </w:trPr>
        <w:tc>
          <w:tcPr>
            <w:tcW w:w="9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tabs>
                <w:tab w:val="left" w:pos="639"/>
              </w:tabs>
              <w:autoSpaceDE w:val="0"/>
              <w:autoSpaceDN w:val="0"/>
              <w:bidi w:val="0"/>
              <w:adjustRightInd w:val="0"/>
              <w:ind w:left="0" w:right="72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213"/>
              <w:jc w:val="right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3"/>
        </w:trPr>
        <w:tc>
          <w:tcPr>
            <w:tcW w:w="92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tabs>
                <w:tab w:val="left" w:pos="639"/>
              </w:tabs>
              <w:autoSpaceDE w:val="0"/>
              <w:autoSpaceDN w:val="0"/>
              <w:bidi w:val="0"/>
              <w:adjustRightInd w:val="0"/>
              <w:ind w:left="0" w:right="72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213"/>
              <w:jc w:val="right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3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Celkom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</w:tbl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6"/>
          <w:szCs w:val="6"/>
          <w:rtl w:val="0"/>
          <w:cs w:val="0"/>
          <w:lang w:val="sk-SK" w:eastAsia="sk-SK" w:bidi="ar-SA"/>
        </w:rPr>
      </w:pPr>
    </w:p>
    <w:tbl>
      <w:tblPr>
        <w:tblW w:w="9994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7"/>
        <w:gridCol w:w="2691"/>
        <w:gridCol w:w="1134"/>
        <w:gridCol w:w="709"/>
        <w:gridCol w:w="850"/>
        <w:gridCol w:w="287"/>
        <w:gridCol w:w="991"/>
        <w:gridCol w:w="285"/>
        <w:gridCol w:w="2270"/>
      </w:tblGrid>
      <w:tr>
        <w:tblPrEx>
          <w:tblW w:w="999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5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1.4</w:t>
            </w:r>
          </w:p>
        </w:tc>
        <w:tc>
          <w:tcPr>
            <w:tcW w:w="9217" w:type="dxa"/>
            <w:gridSpan w:val="8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Prehľad nebytových prieStorov </w:t>
            </w: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02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4"/>
                <w:rtl w:val="0"/>
                <w:cs w:val="0"/>
                <w:lang w:val="sk-SK" w:eastAsia="sk-SK" w:bidi="ar-SA"/>
              </w:rPr>
              <w:t>Číslo</w:t>
            </w: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 w:val="0"/>
                <w:cs w:val="0"/>
                <w:lang w:val="sk-SK" w:eastAsia="sk-SK" w:bidi="ar-SA"/>
              </w:rPr>
              <w:t>nadzemného podlažia</w:t>
            </w:r>
          </w:p>
        </w:tc>
        <w:tc>
          <w:tcPr>
            <w:tcW w:w="26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5102" w:rsidRPr="000C78BA" w:rsidP="00A65102">
            <w:pPr>
              <w:keepNext/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outlineLvl w:val="4"/>
              <w:rPr>
                <w:rFonts w:ascii="Times New Roman" w:eastAsia="Times New Roman" w:hAnsi="Times New Roman" w:cs="Times New Roman" w:hint="cs"/>
                <w:b/>
                <w:i/>
                <w:spacing w:val="60"/>
                <w:sz w:val="20"/>
                <w:szCs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i/>
                <w:spacing w:val="60"/>
                <w:sz w:val="20"/>
                <w:szCs w:val="20"/>
                <w:rtl w:val="0"/>
                <w:cs w:val="0"/>
                <w:lang w:val="sk-SK" w:eastAsia="sk-SK" w:bidi="ar-SA"/>
              </w:rPr>
              <w:t>Lokalizácia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4"/>
                <w:rtl w:val="0"/>
                <w:cs w:val="0"/>
                <w:lang w:val="sk-SK" w:eastAsia="sk-SK" w:bidi="ar-SA"/>
              </w:rPr>
              <w:t>Počet miestností</w:t>
            </w: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4"/>
                <w:rtl w:val="0"/>
                <w:cs w:val="0"/>
                <w:lang w:val="sk-SK" w:eastAsia="sk-SK" w:bidi="ar-SA"/>
              </w:rPr>
              <w:t xml:space="preserve">Podlahová plocha nebytového priestoru 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[m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vertAlign w:val="superscript"/>
                <w:rtl w:val="0"/>
                <w:cs w:val="0"/>
                <w:lang w:val="sk-SK" w:eastAsia="sk-SK" w:bidi="ar-SA"/>
              </w:rPr>
              <w:t xml:space="preserve">2 </w:t>
            </w: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]</w:t>
            </w:r>
          </w:p>
        </w:tc>
        <w:tc>
          <w:tcPr>
            <w:tcW w:w="3546" w:type="dxa"/>
            <w:gridSpan w:val="3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4"/>
                <w:rtl w:val="0"/>
                <w:cs w:val="0"/>
                <w:lang w:val="sk-SK" w:eastAsia="sk-SK" w:bidi="ar-SA"/>
              </w:rPr>
              <w:t>Účel využitia</w:t>
            </w: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0"/>
        </w:trPr>
        <w:tc>
          <w:tcPr>
            <w:tcW w:w="77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1</w:t>
            </w:r>
          </w:p>
        </w:tc>
        <w:tc>
          <w:tcPr>
            <w:tcW w:w="26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en-US" w:eastAsia="sk-SK" w:bidi="ar-SA"/>
              </w:rPr>
            </w:pP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5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0"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2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en-US" w:eastAsia="sk-SK" w:bidi="ar-SA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0"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sz w:val="2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0"/>
                <w:szCs w:val="24"/>
                <w:rtl w:val="0"/>
                <w:cs w:val="0"/>
                <w:lang w:val="sk-SK" w:eastAsia="sk-SK" w:bidi="ar-SA"/>
              </w:rPr>
              <w:t>3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en-US" w:eastAsia="sk-SK" w:bidi="ar-SA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sz w:val="20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0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4</w:t>
            </w:r>
          </w:p>
        </w:tc>
        <w:tc>
          <w:tcPr>
            <w:tcW w:w="382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Celkove pre budovu (sekciu, vchod)</w:t>
            </w: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546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65102" w:rsidRPr="00BA4D51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7"/>
        </w:trPr>
        <w:tc>
          <w:tcPr>
            <w:tcW w:w="77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65102" w:rsidRPr="00BA4D51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b/>
                <w:sz w:val="6"/>
                <w:szCs w:val="6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65102" w:rsidRPr="00BA4D51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b/>
                <w:sz w:val="6"/>
                <w:szCs w:val="6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65102" w:rsidRPr="00BA4D51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b/>
                <w:sz w:val="6"/>
                <w:szCs w:val="6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54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65102" w:rsidRPr="00BA4D51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b/>
                <w:sz w:val="6"/>
                <w:szCs w:val="6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2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1.5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firstLine="74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 w:val="0"/>
                <w:cs w:val="0"/>
                <w:lang w:val="sk-SK" w:eastAsia="sk-SK" w:bidi="ar-SA"/>
              </w:rPr>
              <w:t>Byty a nebytové priestory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 – Podlahová plocha spolu 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[m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vertAlign w:val="superscript"/>
                <w:rtl w:val="0"/>
                <w:cs w:val="0"/>
                <w:lang w:val="sk-SK" w:eastAsia="sk-SK" w:bidi="ar-SA"/>
              </w:rPr>
              <w:t>2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]</w:t>
            </w:r>
          </w:p>
        </w:tc>
        <w:tc>
          <w:tcPr>
            <w:tcW w:w="255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Arial" w:eastAsia="Times New Roman" w:hAnsi="Arial" w:cs="Arial" w:hint="cs"/>
                <w:b/>
                <w:bCs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93"/>
        </w:trPr>
        <w:tc>
          <w:tcPr>
            <w:tcW w:w="77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65102" w:rsidRPr="002736AF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b/>
                <w:sz w:val="6"/>
                <w:szCs w:val="6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6662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65102" w:rsidRPr="002736AF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b/>
                <w:sz w:val="6"/>
                <w:szCs w:val="6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255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65102" w:rsidRPr="002736AF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b/>
                <w:sz w:val="6"/>
                <w:szCs w:val="6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409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10"/>
                <w:szCs w:val="10"/>
                <w:rtl w:val="0"/>
                <w:cs w:val="0"/>
                <w:lang w:val="sk-SK" w:eastAsia="sk-SK" w:bidi="ar-SA"/>
              </w:rPr>
              <w:tab/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2. 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cap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 w:val="0"/>
                <w:cs w:val="0"/>
                <w:lang w:val="sk-SK" w:eastAsia="sk-SK" w:bidi="ar-SA"/>
              </w:rPr>
              <w:t>Popis SyStémových porúch a návrh odstránenia</w:t>
            </w:r>
          </w:p>
        </w:tc>
        <w:tc>
          <w:tcPr>
            <w:tcW w:w="2555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strike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90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5384" w:type="dxa"/>
            <w:gridSpan w:val="4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Skupina</w:t>
            </w:r>
          </w:p>
        </w:tc>
        <w:tc>
          <w:tcPr>
            <w:tcW w:w="2555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Rozsah</w:t>
            </w: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322"/>
        </w:trPr>
        <w:tc>
          <w:tcPr>
            <w:tcW w:w="7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5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2.1</w:t>
            </w:r>
          </w:p>
        </w:tc>
        <w:tc>
          <w:tcPr>
            <w:tcW w:w="538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Popis poruchy I.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vertAlign w:val="superscript"/>
                <w:rtl w:val="0"/>
                <w:cs w:val="0"/>
                <w:lang w:val="sk-SK" w:eastAsia="sk-SK" w:bidi="ar-SA"/>
              </w:rPr>
              <w:t>x</w:t>
            </w:r>
            <w:r w:rsidRPr="004F7072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)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:</w:t>
            </w: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5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165"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5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2.2</w:t>
            </w:r>
          </w:p>
        </w:tc>
        <w:tc>
          <w:tcPr>
            <w:tcW w:w="538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Popis poruchy II.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vertAlign w:val="superscript"/>
                <w:rtl w:val="0"/>
                <w:cs w:val="0"/>
                <w:lang w:val="sk-SK" w:eastAsia="sk-SK" w:bidi="ar-SA"/>
              </w:rPr>
              <w:t>x</w:t>
            </w:r>
            <w:r w:rsidRPr="004F7072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)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: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5"/>
              <w:jc w:val="left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5"/>
              <w:jc w:val="left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99"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5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2.3</w:t>
            </w:r>
          </w:p>
        </w:tc>
        <w:tc>
          <w:tcPr>
            <w:tcW w:w="538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Popis poruchy III.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vertAlign w:val="superscript"/>
                <w:rtl w:val="0"/>
                <w:cs w:val="0"/>
                <w:lang w:val="sk-SK" w:eastAsia="sk-SK" w:bidi="ar-SA"/>
              </w:rPr>
              <w:t>x</w:t>
            </w:r>
            <w:r w:rsidRPr="004F7072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)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: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5"/>
              <w:jc w:val="left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5"/>
              <w:jc w:val="left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77"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2.4</w:t>
            </w:r>
          </w:p>
        </w:tc>
        <w:tc>
          <w:tcPr>
            <w:tcW w:w="9217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6"/>
              <w:jc w:val="left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Návrh riešenia odstránenia poruchy I.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vertAlign w:val="superscript"/>
                <w:rtl w:val="0"/>
                <w:cs w:val="0"/>
                <w:lang w:val="sk-SK" w:eastAsia="sk-SK" w:bidi="ar-SA"/>
              </w:rPr>
              <w:t>x</w:t>
            </w:r>
            <w:r w:rsidRPr="004F7072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)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:</w:t>
            </w:r>
            <w:r w:rsidRPr="000C78BA">
              <w:rPr>
                <w:rFonts w:ascii="Times New Roman" w:eastAsia="Times New Roman" w:hAnsi="Times New Roman" w:cs="Times New Roman" w:hint="cs"/>
                <w:i/>
                <w:i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 </w:t>
            </w: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83"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2.5</w:t>
            </w:r>
          </w:p>
        </w:tc>
        <w:tc>
          <w:tcPr>
            <w:tcW w:w="9217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Návrh riešenia odstránenia poruchy II.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vertAlign w:val="superscript"/>
                <w:rtl w:val="0"/>
                <w:cs w:val="0"/>
                <w:lang w:val="sk-SK" w:eastAsia="sk-SK" w:bidi="ar-SA"/>
              </w:rPr>
              <w:t>x</w:t>
            </w:r>
            <w:r w:rsidRPr="004F7072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)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:</w:t>
            </w: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275"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2.6</w:t>
            </w:r>
          </w:p>
        </w:tc>
        <w:tc>
          <w:tcPr>
            <w:tcW w:w="9217" w:type="dxa"/>
            <w:gridSpan w:val="8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spacing w:line="240" w:lineRule="atLeast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Návrh riešenia odstránenia poruchy III.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vertAlign w:val="superscript"/>
                <w:rtl w:val="0"/>
                <w:cs w:val="0"/>
                <w:lang w:val="sk-SK" w:eastAsia="sk-SK" w:bidi="ar-SA"/>
              </w:rPr>
              <w:t>x</w:t>
            </w:r>
            <w:r w:rsidRPr="004F7072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)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:</w:t>
            </w: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94" w:type="dxa"/>
            <w:gridSpan w:val="9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FFFFFF"/>
            </w:tcBorders>
            <w:shd w:val="clear" w:color="auto" w:fill="FFFFFF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 w:hanging="1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caps/>
                <w:sz w:val="6"/>
                <w:szCs w:val="6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98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3.</w:t>
            </w:r>
          </w:p>
        </w:tc>
        <w:tc>
          <w:tcPr>
            <w:tcW w:w="9217" w:type="dxa"/>
            <w:gridSpan w:val="8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 w:hanging="1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cap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Výmery       </w:t>
            </w: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4534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Popis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Jednotky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Porucha 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vertAlign w:val="superscript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Počet jednotiek</w:t>
            </w: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40"/>
        </w:trPr>
        <w:tc>
          <w:tcPr>
            <w:tcW w:w="7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3.1</w:t>
            </w:r>
          </w:p>
        </w:tc>
        <w:tc>
          <w:tcPr>
            <w:tcW w:w="45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6" w:hanging="1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Podlahová plocha bytov v dome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6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m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vertAlign w:val="superscript"/>
                <w:rtl w:val="0"/>
                <w:cs w:val="0"/>
                <w:lang w:val="sk-SK" w:eastAsia="sk-SK" w:bidi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6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6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40"/>
        </w:trPr>
        <w:tc>
          <w:tcPr>
            <w:tcW w:w="7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3.2</w:t>
            </w:r>
          </w:p>
        </w:tc>
        <w:tc>
          <w:tcPr>
            <w:tcW w:w="45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6" w:hanging="1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Počet bytov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6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ks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6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6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40"/>
        </w:trPr>
        <w:tc>
          <w:tcPr>
            <w:tcW w:w="7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3.3</w:t>
            </w:r>
          </w:p>
        </w:tc>
        <w:tc>
          <w:tcPr>
            <w:tcW w:w="45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6" w:hanging="1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Počet lodžií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6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ks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6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6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21"/>
        </w:trPr>
        <w:tc>
          <w:tcPr>
            <w:tcW w:w="7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3.4</w:t>
            </w:r>
          </w:p>
        </w:tc>
        <w:tc>
          <w:tcPr>
            <w:tcW w:w="4534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6" w:hanging="1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Počet balkónov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6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ks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6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6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</w:tbl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sz w:val="6"/>
          <w:szCs w:val="6"/>
          <w:rtl w:val="0"/>
          <w:cs w:val="0"/>
          <w:lang w:val="sk-SK" w:eastAsia="sk-SK" w:bidi="ar-SA"/>
        </w:rPr>
      </w:pPr>
    </w:p>
    <w:tbl>
      <w:tblPr>
        <w:tblW w:w="9994" w:type="dxa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777"/>
        <w:gridCol w:w="2270"/>
        <w:gridCol w:w="1696"/>
        <w:gridCol w:w="851"/>
        <w:gridCol w:w="1423"/>
        <w:gridCol w:w="1270"/>
        <w:gridCol w:w="1707"/>
      </w:tblGrid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416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4.</w:t>
            </w:r>
          </w:p>
        </w:tc>
        <w:tc>
          <w:tcPr>
            <w:tcW w:w="9217" w:type="dxa"/>
            <w:gridSpan w:val="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caps/>
                <w:sz w:val="36"/>
                <w:szCs w:val="36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PredpoklAdaný rozpočtový náklad  </w:t>
            </w: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40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4.1</w:t>
            </w:r>
          </w:p>
        </w:tc>
        <w:tc>
          <w:tcPr>
            <w:tcW w:w="624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 w:hanging="1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Rozpočtový náklad I. (v eurách):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tabs>
                <w:tab w:val="decimal" w:pos="1572"/>
              </w:tabs>
              <w:autoSpaceDE w:val="0"/>
              <w:autoSpaceDN w:val="0"/>
              <w:bidi w:val="0"/>
              <w:adjustRightInd w:val="0"/>
              <w:ind w:left="0" w:right="5" w:hanging="1"/>
              <w:jc w:val="both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73"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4.2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 w:hanging="1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Rozpočtový náklad II. (v eurách):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tabs>
                <w:tab w:val="decimal" w:pos="1572"/>
              </w:tabs>
              <w:autoSpaceDE w:val="0"/>
              <w:autoSpaceDN w:val="0"/>
              <w:bidi w:val="0"/>
              <w:adjustRightInd w:val="0"/>
              <w:ind w:left="0" w:right="5" w:hanging="1"/>
              <w:jc w:val="both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40"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4.3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 w:hanging="1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Rozpočtový náklad III. (v eurách):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tabs>
                <w:tab w:val="decimal" w:pos="1572"/>
              </w:tabs>
              <w:autoSpaceDE w:val="0"/>
              <w:autoSpaceDN w:val="0"/>
              <w:bidi w:val="0"/>
              <w:adjustRightInd w:val="0"/>
              <w:ind w:left="0" w:right="5" w:hanging="1"/>
              <w:jc w:val="both"/>
              <w:textAlignment w:val="auto"/>
              <w:rPr>
                <w:rFonts w:ascii="Times New Roman" w:eastAsia="Times New Roman" w:hAnsi="Times New Roman" w:cs="Times New Roman" w:hint="cs"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80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4.3</w:t>
            </w:r>
          </w:p>
        </w:tc>
        <w:tc>
          <w:tcPr>
            <w:tcW w:w="6240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 w:hanging="1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Predpokladaný rozpočtový náklad spolu (v </w:t>
            </w: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eurách)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tabs>
                <w:tab w:val="decimal" w:pos="1572"/>
              </w:tabs>
              <w:autoSpaceDE w:val="0"/>
              <w:autoSpaceDN w:val="0"/>
              <w:bidi w:val="0"/>
              <w:adjustRightInd w:val="0"/>
              <w:ind w:left="0" w:right="5" w:hanging="1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 w:val="0"/>
                <w:cs w:val="0"/>
                <w:lang w:val="sk-SK" w:eastAsia="sk-SK" w:bidi="ar-SA"/>
              </w:rPr>
              <w:tab/>
            </w: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9994" w:type="dxa"/>
            <w:gridSpan w:val="7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FFFFFF"/>
            </w:tcBorders>
            <w:shd w:val="clear" w:color="auto" w:fill="FFFFFF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 w:hanging="1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caps/>
                <w:sz w:val="6"/>
                <w:szCs w:val="6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48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5.</w:t>
            </w:r>
          </w:p>
        </w:tc>
        <w:tc>
          <w:tcPr>
            <w:tcW w:w="9217" w:type="dxa"/>
            <w:gridSpan w:val="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caps/>
                <w:sz w:val="40"/>
                <w:szCs w:val="40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termíny realizácie           </w:t>
            </w: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40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5.1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 w:hanging="1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Termín začatia stavby: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5.2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 w:hanging="1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Termín dokončenia stavby: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 w:hanging="1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rtl w:val="0"/>
                <w:cs w:val="0"/>
                <w:lang w:val="sk-SK" w:eastAsia="sk-SK" w:bidi="ar-SA"/>
              </w:rPr>
            </w:pPr>
          </w:p>
        </w:tc>
      </w:tr>
    </w:tbl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6"/>
          <w:szCs w:val="6"/>
          <w:rtl w:val="0"/>
          <w:cs w:val="0"/>
          <w:lang w:val="sk-SK" w:eastAsia="sk-SK" w:bidi="ar-SA"/>
        </w:rPr>
      </w:pPr>
    </w:p>
    <w:tbl>
      <w:tblPr>
        <w:tblW w:w="9994" w:type="dxa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779"/>
        <w:gridCol w:w="6238"/>
        <w:gridCol w:w="2977"/>
      </w:tblGrid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8"/>
        </w:trPr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6.</w:t>
            </w:r>
          </w:p>
        </w:tc>
        <w:tc>
          <w:tcPr>
            <w:tcW w:w="6238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Fotodokumentácia poruchy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vertAlign w:val="superscript"/>
                <w:rtl w:val="0"/>
                <w:cs w:val="0"/>
                <w:lang w:val="sk-SK" w:eastAsia="sk-SK" w:bidi="ar-SA"/>
              </w:rPr>
              <w:t>x</w:t>
            </w:r>
            <w:r w:rsidRPr="004F70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)</w:t>
            </w:r>
            <w:r w:rsidRPr="000C78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 w:val="0"/>
                <w:cs w:val="0"/>
                <w:lang w:val="sk-SK" w:eastAsia="sk-SK" w:bidi="ar-SA"/>
              </w:rPr>
              <w:t>: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 w:firstLine="1772"/>
              <w:jc w:val="both"/>
              <w:textAlignment w:val="auto"/>
              <w:rPr>
                <w:rFonts w:ascii="Times New Roman" w:eastAsia="Times New Roman" w:hAnsi="Times New Roman" w:cs="Times New Roman" w:hint="cs"/>
                <w:b/>
                <w:bCs/>
                <w:strike/>
                <w:sz w:val="36"/>
                <w:szCs w:val="36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6106"/>
        </w:trPr>
        <w:tc>
          <w:tcPr>
            <w:tcW w:w="99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422"/>
        </w:trPr>
        <w:tc>
          <w:tcPr>
            <w:tcW w:w="99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Arial" w:eastAsia="Times New Roman" w:hAnsi="Arial" w:cs="Arial" w:hint="cs"/>
                <w:sz w:val="6"/>
                <w:szCs w:val="6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  V ………………………...</w:t>
              <w:tab/>
              <w:tab/>
            </w:r>
          </w:p>
          <w:p w:rsidR="00A65102" w:rsidRPr="000C78BA" w:rsidP="00A65102">
            <w:pPr>
              <w:framePr w:wrap="auto"/>
              <w:widowControl w:val="0"/>
              <w:tabs>
                <w:tab w:val="left" w:pos="6197"/>
              </w:tabs>
              <w:autoSpaceDE w:val="0"/>
              <w:autoSpaceDN w:val="0"/>
              <w:bidi w:val="0"/>
              <w:adjustRightInd w:val="0"/>
              <w:ind w:left="0" w:right="6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tabs>
                <w:tab w:val="left" w:pos="6197"/>
              </w:tabs>
              <w:autoSpaceDE w:val="0"/>
              <w:autoSpaceDN w:val="0"/>
              <w:bidi w:val="0"/>
              <w:adjustRightInd w:val="0"/>
              <w:ind w:left="0" w:right="6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tabs>
                <w:tab w:val="left" w:pos="6197"/>
              </w:tabs>
              <w:autoSpaceDE w:val="0"/>
              <w:autoSpaceDN w:val="0"/>
              <w:bidi w:val="0"/>
              <w:adjustRightInd w:val="0"/>
              <w:ind w:left="0" w:right="6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tabs>
                <w:tab w:val="left" w:pos="6197"/>
              </w:tabs>
              <w:autoSpaceDE w:val="0"/>
              <w:autoSpaceDN w:val="0"/>
              <w:bidi w:val="0"/>
              <w:adjustRightInd w:val="0"/>
              <w:ind w:left="0" w:right="6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tabs>
                <w:tab w:val="left" w:pos="6197"/>
              </w:tabs>
              <w:autoSpaceDE w:val="0"/>
              <w:autoSpaceDN w:val="0"/>
              <w:bidi w:val="0"/>
              <w:adjustRightInd w:val="0"/>
              <w:ind w:left="0" w:right="6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  <w:p w:rsidR="00A65102" w:rsidRPr="000C78BA" w:rsidP="00A65102">
            <w:pPr>
              <w:framePr w:wrap="auto"/>
              <w:widowControl w:val="0"/>
              <w:tabs>
                <w:tab w:val="left" w:pos="6197"/>
              </w:tabs>
              <w:autoSpaceDE w:val="0"/>
              <w:autoSpaceDN w:val="0"/>
              <w:bidi w:val="0"/>
              <w:adjustRightInd w:val="0"/>
              <w:ind w:left="0" w:right="6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  Dňa :  ..............................</w:t>
              <w:tab/>
              <w:tab/>
              <w:t>Podpis a odtlačok pečiatky</w:t>
            </w:r>
          </w:p>
          <w:p w:rsidR="00A65102" w:rsidRPr="000C78BA" w:rsidP="00A65102">
            <w:pPr>
              <w:framePr w:wrap="auto"/>
              <w:widowControl w:val="0"/>
              <w:tabs>
                <w:tab w:val="left" w:pos="7088"/>
              </w:tabs>
              <w:autoSpaceDE w:val="0"/>
              <w:autoSpaceDN w:val="0"/>
              <w:bidi w:val="0"/>
              <w:adjustRightInd w:val="0"/>
              <w:ind w:left="0" w:right="6" w:firstLine="6663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C78BA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autorizovanej osoby</w:t>
            </w:r>
          </w:p>
          <w:p w:rsidR="00A65102" w:rsidRPr="000C78BA" w:rsidP="00A65102">
            <w:pPr>
              <w:framePr w:wrap="auto"/>
              <w:widowControl w:val="0"/>
              <w:autoSpaceDE w:val="0"/>
              <w:autoSpaceDN w:val="0"/>
              <w:bidi w:val="0"/>
              <w:adjustRightInd w:val="0"/>
              <w:ind w:left="0" w:right="5"/>
              <w:jc w:val="both"/>
              <w:textAlignment w:val="auto"/>
              <w:rPr>
                <w:rFonts w:ascii="Arial" w:eastAsia="Times New Roman" w:hAnsi="Arial" w:cs="Arial" w:hint="cs"/>
                <w:rtl w:val="0"/>
                <w:cs w:val="0"/>
                <w:lang w:val="sk-SK" w:eastAsia="sk-SK" w:bidi="ar-SA"/>
              </w:rPr>
            </w:pPr>
          </w:p>
        </w:tc>
      </w:tr>
    </w:tbl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Vysvetlivk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: 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sz w:val="20"/>
          <w:szCs w:val="24"/>
          <w:vertAlign w:val="superscript"/>
          <w:rtl w:val="0"/>
          <w:cs w:val="0"/>
          <w:lang w:val="sk-SK" w:eastAsia="sk-SK" w:bidi="ar-SA"/>
        </w:rPr>
        <w:t>x</w:t>
      </w:r>
      <w:r w:rsidRPr="000C78BA">
        <w:rPr>
          <w:rFonts w:ascii="Times New Roman" w:eastAsia="Times New Roman" w:hAnsi="Times New Roman" w:cs="Times New Roman" w:hint="cs"/>
          <w:sz w:val="20"/>
          <w:szCs w:val="24"/>
          <w:rtl w:val="0"/>
          <w:cs w:val="0"/>
          <w:lang w:val="sk-SK" w:eastAsia="sk-SK" w:bidi="ar-SA"/>
        </w:rPr>
        <w:t xml:space="preserve">) </w:t>
      </w:r>
      <w:r>
        <w:rPr>
          <w:rFonts w:ascii="Times New Roman" w:eastAsia="Times New Roman" w:hAnsi="Times New Roman" w:cs="Times New Roman" w:hint="cs"/>
          <w:sz w:val="20"/>
          <w:szCs w:val="24"/>
          <w:rtl w:val="0"/>
          <w:cs w:val="0"/>
          <w:lang w:val="sk-SK" w:eastAsia="sk-SK" w:bidi="ar-SA"/>
        </w:rPr>
        <w:t>Pri</w:t>
      </w:r>
      <w:r w:rsidRPr="000C78BA">
        <w:rPr>
          <w:rFonts w:ascii="Times New Roman" w:eastAsia="Times New Roman" w:hAnsi="Times New Roman" w:cs="Times New Roman" w:hint="cs"/>
          <w:sz w:val="20"/>
          <w:szCs w:val="24"/>
          <w:rtl w:val="0"/>
          <w:cs w:val="0"/>
          <w:lang w:val="sk-SK" w:eastAsia="sk-SK" w:bidi="ar-SA"/>
        </w:rPr>
        <w:t xml:space="preserve"> nedostatku miesta sa údaje a fotodokumentácia uvedú na osobitnom liste.</w:t>
      </w:r>
      <w:r w:rsidRPr="000C78BA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“.“.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spacing w:line="276" w:lineRule="auto"/>
        <w:ind w:left="311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i/>
          <w:u w:val="single"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Vzhľadom na pokrok v medicíne za uplynulých 25 rokov a schválený zákon č. 376/2024 Z. z. o integrovanej posudkovej činnosti a o zmene a doplnení niektorých zákonov, ktorým sa menia jednotlivé prílohy so zoznamom zdravotných postihnutí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,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navrhuje sa v bode 63 doplnenie zdravotných postihnutí, kvôli ktorým je potrebná väčšia podlahová plocha bytu pri pohybe osoby s ťažkým zdravotným postihnutím.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V navrhovanom novelizačnom bode 64 ide o legislatívnotechnickú úpravu súvisiacu so zmenou zákona č. </w:t>
      </w:r>
      <w:r w:rsidRPr="000C78BA"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>443/2010 Z. z. o dotáciách na rozvoj bývania a o sociálnom bývaní v znení neskorších predpisov, t.</w:t>
      </w:r>
      <w:r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C78BA"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 xml:space="preserve">j. prebratie prílohy „Evidenčný list systémových porúch“ v plnom znení do zákona č. 150/2013 Z. z., </w:t>
      </w:r>
      <w:r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 xml:space="preserve">keďže </w:t>
      </w:r>
      <w:r w:rsidRPr="000C78BA"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 xml:space="preserve"> v zákone č. 443/2010 Z. z. </w:t>
      </w:r>
      <w:r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>sa</w:t>
      </w:r>
      <w:r w:rsidRPr="000C78BA"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 xml:space="preserve"> navrh</w:t>
      </w:r>
      <w:r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 xml:space="preserve">uje </w:t>
      </w:r>
      <w:r w:rsidRPr="000C78BA"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>jeho vypustenie.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 w:firstLine="708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6223A7" w:rsidP="00A65102">
      <w:pPr>
        <w:framePr w:wrap="auto"/>
        <w:widowControl/>
        <w:autoSpaceDE/>
        <w:autoSpaceDN/>
        <w:bidi w:val="0"/>
        <w:adjustRightInd/>
        <w:spacing w:after="12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A65102" w:rsidRPr="00F925BB" w:rsidP="00A65102">
      <w:pPr>
        <w:framePr w:wrap="auto"/>
        <w:widowControl/>
        <w:autoSpaceDE/>
        <w:autoSpaceDN/>
        <w:bidi w:val="0"/>
        <w:adjustRightInd/>
        <w:spacing w:after="120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65102" w:rsidRPr="00A65102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 w:firstLine="708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65102" w:rsidRPr="000C78BA" w:rsidP="00A53C20">
      <w:pPr>
        <w:framePr w:wrap="auto"/>
        <w:widowControl/>
        <w:numPr>
          <w:numId w:val="5"/>
        </w:numPr>
        <w:autoSpaceDE/>
        <w:autoSpaceDN/>
        <w:bidi w:val="0"/>
        <w:adjustRightInd/>
        <w:ind w:left="357" w:right="0" w:hanging="357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II sa pred bod 1 vkladajú nové body 1 až 2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, ktoré znejú: 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708" w:right="0" w:hanging="351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„1.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§ 2 ods. 1 písm. e) sa slová „byt bežného štandardu“ nahrádzajú slovami „nájomný byt“. 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0" w:right="0" w:firstLine="360"/>
        <w:jc w:val="left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2.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2 ods. 1 sa vypúšťa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jú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písmen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á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f)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a m)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 w:firstLine="351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Doterajšie písmená g) až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l) a n) až 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p) sa označujú ako písmená f) až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3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2 ods. 1 písmeno n) znie: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1416" w:right="0" w:hanging="708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</w:t>
      </w:r>
      <w:bookmarkStart w:id="0" w:name="paragraf-2.odsek-1.pismeno-p"/>
      <w:bookmarkEnd w:id="0"/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</w:t>
      </w:r>
      <w:bookmarkStart w:id="1" w:name="paragraf-2.odsek-1.pismeno-p.oznacenie"/>
      <w:bookmarkEnd w:id="1"/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dostupný byt je nájomný byt, ktorého podlahová plocha neprevyšuje 50 m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2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a je poskytnutý fyzickej osobe v nepriaznivej životnej situácii podľa osobitného predpisu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6a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 pri dodržaní podmienok ustanovených týmto zákonom.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 w:firstLine="351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Poznámka pod čiarou k odkazu 6a znie: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1416" w:right="0" w:hanging="708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6a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§ 2 ods. 2 písm. a), b), g) až i) zákona č. 448/2008 Z. z. o sociálnych službách a o zmene a doplnení zákona č. 455/1991 Zb. o živnostenskom podnikaní (živnostenský zákon) v znení neskorších predpisov.“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4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2 ods. 2 sa vypúšťajú slová „podľa odseku 1 písm. h)“.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5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3 sa vypúšťa písmeno c).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6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5 sa vypúšťa písmeno b).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 w:firstLine="351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Doterajšie písmeno c) sa označuje ako písmeno b).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7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§ 6 vrátane nadpisu sa vypúšťa.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8.</w:t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7 sa vypúšťajú písmená c) až e).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 w:firstLine="351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Doterajšie písmeno f) sa označuje ako písmeno c).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 w:firstLine="351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Poznámky pod čiarou k odkazom 14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až 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16 sa vypúšťajú.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9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8 ods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ek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1 znie: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708" w:right="0" w:firstLine="285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„(1) Na obstaranie nájomného bytu podľa § 4 ods. 1 písm. a) až d) a f) možno poskytnúť dotáciu </w:t>
      </w:r>
      <w:r w:rsidRPr="009943F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vo výške 40 % obstarávacích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nákladov, ak priemerná podlahová plocha nájomných bytov neprevyšuje 60 m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2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0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8 sa vypúšťa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jú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odsek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y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2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a 7 až 9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 w:firstLine="351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Doterajšie odseky 3 až 6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a 10 až 16 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sa označujú ako odseky 2 až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12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8 odsek 3 znie: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tabs>
          <w:tab w:val="left" w:pos="1134"/>
        </w:tabs>
        <w:autoSpaceDE/>
        <w:autoSpaceDN/>
        <w:bidi w:val="0"/>
        <w:adjustRightInd/>
        <w:ind w:left="708" w:right="0" w:firstLine="426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„(3) Ak sa v rámci obstarávania nájomných bytov súčasne obstarávajú nájomné byty a dostupné byty, dotácia sa určí osobitne pre nájomné byty a dostupné byty.“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2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§ 8 ods. 4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úvodnej vete 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sa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slová „odsekov 1 a 2“ nahrádzajú slovami „odseku 1“. 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702" w:right="0" w:hanging="345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3.</w:t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8 ods. 4 písm. c) sa slovo „štartovací“ nahrádza slovom „dostupný“ a vypúšťajú sa slová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a 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neuplatňuje sa zvýšenie podľa písmena b)“.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4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8 ods. 5 sa vypúšťajú slová „podľa § 5 písm. a) a c)“.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5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§ 8 ods. 6 sa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číslo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„8“ nahrádza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číslom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„5“.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6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8 ods. 8  sa vypúšťajú slová „a b) a § 6 ods. 1“.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7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8 ods. 9 sa slová „písm. c)“ nahrádzajú slovami „písm. b)“.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702" w:right="0" w:hanging="345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18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8 ods. 10 sa slová „11 až 13“ nahrádzajú slovami „7 až 9“ a 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číslo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„16“ sa nahrádza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číslom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„12“.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702" w:right="0" w:hanging="345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19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8 ods. 11 sa slová „12 a 13“ nahrádzajú slovami „8 a 9“ a slovo „c)“ sa nahrádza slovom „b)“.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702" w:right="0" w:hanging="345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2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0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8 ods. 12 sa slová „11 a 13“ nahrádzajú slovami „7 až 9“ a vypúšťajú sa slová „nižšieho štandardu“.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2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10 ods. 1 sa vypúšťa písmeno d).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 w:firstLine="351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Poznámka pod čiarou k odkazu 21 sa vypúšťa.“.“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0" w:right="0" w:firstLine="36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0" w:right="0" w:firstLine="360"/>
        <w:jc w:val="left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16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K bod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om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1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2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, 5, 7 a 8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: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216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Zosúladenie s technickou normou STN 734301 Bytové budovy.</w:t>
      </w:r>
      <w:r w:rsidRPr="000443E5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16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Navrhuje sa vypustiť možnosť poskytnutia dotácie na účel odstránenie systémovej poruchy bytového domu z dôvodu zvýšenia efektivity využitia verejných zdrojov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,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a to prioritne na obstaranie nájomných bytov s prislúchajúcou technickou vybavenosťou. Na účel odstránenie systémovej poruchy je možné poskytnúť výhodný úver zo Štátneho fondu rozvoja bývania.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16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16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K bod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om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3, 11 a 13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: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16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Inštitút štartovacieho bytu, ktorý nebol v aplikačnej praxi využívaný, sa navrhuje nahradiť dostupným bytom, t. j. nájomným bytom s podlahovou plochou do 50 m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vertAlign w:val="superscript"/>
          <w:rtl w:val="0"/>
          <w:cs w:val="0"/>
          <w:lang w:val="sk-SK" w:eastAsia="sk-SK" w:bidi="ar-SA"/>
        </w:rPr>
        <w:t>2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, ktorý je určený pre fyzické osoby v nepriaznivej sociálnej situácii, ohrozené sociálnym vylúčením alebo obmedzením ich schopnosti sa spoločensky začleniť a samostatne riešiť svoje problémy.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216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16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K bod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om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4, 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1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0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1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2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, 1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4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až 2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1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: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16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Legislatívnotechnická úprava.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216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16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K bodu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6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: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16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Navrhuje sa vypustiť možnosť poskytnúť dotáciu na výstavbu technickej vybavenosti pre zvýšenie sociálno-kultúrnej úrovne rómskej osady z dôvodu nevyžívania tohto účelu v aplikačnej praxi a zároveň existencie iných nástrojov podpory v tejto oblasti.</w:t>
      </w:r>
    </w:p>
    <w:p w:rsidR="00847D02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K bodu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9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: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Zjednodušenie poskytovania dotácie na obstaranie nájomného bytu stanovením jedného pásma výšky dotácie pre nájomné byty s priemernou podlahovou plochou do veľkosti 60 m</w:t>
      </w:r>
      <w:r w:rsidRPr="002D4F86">
        <w:rPr>
          <w:rFonts w:ascii="Times New Roman" w:eastAsia="Times New Roman" w:hAnsi="Times New Roman" w:cs="Times New Roman" w:hint="cs"/>
          <w:i/>
          <w:sz w:val="24"/>
          <w:szCs w:val="24"/>
          <w:vertAlign w:val="superscript"/>
          <w:rtl w:val="0"/>
          <w:cs w:val="0"/>
          <w:lang w:val="sk-SK" w:eastAsia="sk-SK" w:bidi="ar-SA"/>
        </w:rPr>
        <w:t>2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namiesto dvoch pásiem výšky dotácie podľa veľkosti priemernej podlahovej plochy obstarávaných nájomných bytov. 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2835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6223A7" w:rsidP="00A65102">
      <w:pPr>
        <w:framePr w:wrap="auto"/>
        <w:widowControl/>
        <w:autoSpaceDE/>
        <w:autoSpaceDN/>
        <w:bidi w:val="0"/>
        <w:adjustRightInd/>
        <w:spacing w:after="12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A65102" w:rsidRPr="00F925BB" w:rsidP="00A65102">
      <w:pPr>
        <w:framePr w:wrap="auto"/>
        <w:widowControl/>
        <w:autoSpaceDE/>
        <w:autoSpaceDN/>
        <w:bidi w:val="0"/>
        <w:adjustRightInd/>
        <w:spacing w:after="120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65102" w:rsidRPr="000C78BA" w:rsidP="00A53C20">
      <w:pPr>
        <w:framePr w:wrap="auto"/>
        <w:widowControl/>
        <w:numPr>
          <w:numId w:val="5"/>
        </w:numPr>
        <w:autoSpaceDE/>
        <w:autoSpaceDN/>
        <w:bidi w:val="0"/>
        <w:adjustRightInd/>
        <w:ind w:left="357" w:right="0" w:hanging="357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čl. II bod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3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znie: 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702" w:right="0" w:hanging="345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„3.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10 ods. 6 sa slov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á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písm. 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c)“ nahrádza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jú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slov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ami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písm. 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b)“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a slovo „zhotoviteľom“ sa nahrádza slovom „stavebníkom“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.“. 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32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Legislatívnotechnická úprava.</w:t>
      </w:r>
    </w:p>
    <w:p w:rsidR="00A65102" w:rsidP="00A65102">
      <w:pPr>
        <w:framePr w:wrap="auto"/>
        <w:widowControl/>
        <w:autoSpaceDE/>
        <w:autoSpaceDN/>
        <w:bidi w:val="0"/>
        <w:adjustRightInd/>
        <w:spacing w:after="12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65102" w:rsidRPr="006223A7" w:rsidP="00A65102">
      <w:pPr>
        <w:framePr w:wrap="auto"/>
        <w:widowControl/>
        <w:autoSpaceDE/>
        <w:autoSpaceDN/>
        <w:bidi w:val="0"/>
        <w:adjustRightInd/>
        <w:spacing w:after="12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A65102" w:rsidRPr="00F925BB" w:rsidP="00A65102">
      <w:pPr>
        <w:framePr w:wrap="auto"/>
        <w:widowControl/>
        <w:autoSpaceDE/>
        <w:autoSpaceDN/>
        <w:bidi w:val="0"/>
        <w:adjustRightInd/>
        <w:spacing w:after="120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0" w:right="0" w:firstLine="360"/>
        <w:jc w:val="left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</w:p>
    <w:p w:rsidR="00A65102" w:rsidRPr="000C78BA" w:rsidP="00A53C20">
      <w:pPr>
        <w:framePr w:wrap="auto"/>
        <w:widowControl/>
        <w:numPr>
          <w:numId w:val="5"/>
        </w:numPr>
        <w:autoSpaceDE/>
        <w:autoSpaceDN/>
        <w:bidi w:val="0"/>
        <w:adjustRightInd/>
        <w:ind w:left="357" w:right="0" w:hanging="357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čl. II sa za bod 3 vkladajú nové body 4 a 5, ktoré znejú: 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„4.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§ 11 ods. 1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 § 13 ods. 1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sa vypúšťajú slová „písm. a), b) a f)“. 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5.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11 ods. 1 písmeno b) znie: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1416" w:right="0" w:hanging="708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„b)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priemerná podlahová plocha nájomných bytov vypočítaná z nájomných bytov obstarávaných podľa § 4 ods. 1 písm. a) až d) a f) nepresiahne 60 m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2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,“.“.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0" w:right="0" w:firstLine="360"/>
        <w:jc w:val="left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0" w:right="0" w:firstLine="36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32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Legislatívnotechnická úprava.</w:t>
      </w:r>
    </w:p>
    <w:p w:rsidR="00A65102" w:rsidRPr="00713B7B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713B7B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Navrhuje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sa</w:t>
      </w:r>
      <w:r w:rsidRPr="00713B7B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upresnenie povinnosti žiadateľa uzavrieť zmluvu o budúcej kúpnej zmluve so stavebníkom, teda s tým, kto má v úmysle uskutočňovať stavebné práce, a to odo dňa začatia zabezpečovania podkladov pre konanie až do dňa vydania kolaudačného osvedčenia a je vlastníkom pozemku alebo stavby, na ktorých sa majú uskutočniť stavebné práce alebo má iné práva k pozemkom a stavbám, na ktorých sa majú uskutočniť stavebné práce. Cieľom tejto legislatívnej úpravy je zjednodušenie prístupu žiadateľa (obce, VÚC, neziskovej organizácie) k obstaraniu bytu, nakoľko vlastníkom obstarávaného bytu nie je zhotoviteľ, ale vo väčšine prípadov stavebník (developer), ktorý tieto byty predáva.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6223A7" w:rsidP="00A65102">
      <w:pPr>
        <w:framePr w:wrap="auto"/>
        <w:widowControl/>
        <w:autoSpaceDE/>
        <w:autoSpaceDN/>
        <w:bidi w:val="0"/>
        <w:adjustRightInd/>
        <w:spacing w:after="12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A65102" w:rsidRPr="00F925BB" w:rsidP="00A65102">
      <w:pPr>
        <w:framePr w:wrap="auto"/>
        <w:widowControl/>
        <w:autoSpaceDE/>
        <w:autoSpaceDN/>
        <w:bidi w:val="0"/>
        <w:adjustRightInd/>
        <w:spacing w:after="120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65102" w:rsidRPr="000C78BA" w:rsidP="00A53C20">
      <w:pPr>
        <w:framePr w:wrap="auto"/>
        <w:widowControl/>
        <w:numPr>
          <w:numId w:val="5"/>
        </w:numPr>
        <w:autoSpaceDE/>
        <w:autoSpaceDN/>
        <w:bidi w:val="0"/>
        <w:adjustRightInd/>
        <w:ind w:left="357" w:right="0" w:hanging="357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II sa za bod 4 vklad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ajú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é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bod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y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5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a 6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 ktor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é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zne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jú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: 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„5.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11 odsek 2 znie: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708" w:right="0" w:firstLine="426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„(2) Ak sa pri obstarávaní nájomných bytov súčasne obstarávajú nájomné byty a dostupné byty, splnenie podmien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 podľa odseku 1 písm. b) a c) sa posudzuje osobitne pre nájomné byt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y a osobitne pre dostupné byty.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6.</w:t>
        <w:tab/>
        <w:t xml:space="preserve">V § 11 ods. 3 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sa vypúšťajú slová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podľa § 4 ods. 1 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písm. a), b)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 c), e)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a f)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0" w:right="0" w:firstLine="36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847D02" w:rsidP="00A65102">
      <w:pPr>
        <w:framePr w:wrap="auto"/>
        <w:widowControl w:val="0"/>
        <w:autoSpaceDE w:val="0"/>
        <w:autoSpaceDN w:val="0"/>
        <w:bidi w:val="0"/>
        <w:adjustRightInd w:val="0"/>
        <w:ind w:left="2835" w:right="0" w:firstLine="142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2835" w:right="0" w:firstLine="142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K bodu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5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: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2835" w:right="0" w:firstLine="142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Legislatívnotechnická úprava.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2835" w:right="0" w:firstLine="142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2835" w:right="0" w:firstLine="142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K bodu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6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: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35" w:right="0" w:firstLine="142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Vypustenie špecifikácie spôsobov obstarania nájomného bytu tak, aby zmena sadzby dane pri všetkých spôsoboch obstarania nájomného bytu mohla viesť k úprave obstarávacieho nákladu </w:t>
      </w:r>
      <w:r w:rsidRPr="00765E1C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nájomného bytu</w:t>
      </w:r>
      <w:r w:rsidRPr="00765E1C">
        <w:rPr>
          <w:rFonts w:ascii="Arial" w:eastAsia="Times New Roman" w:hAnsi="Arial" w:cs="Arial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65E1C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o hodnotu vyvolanú zmenou sadzby dane pri dodržaní podmienky podľa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§ 11 </w:t>
      </w:r>
      <w:r w:rsidRPr="00765E1C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ods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.</w:t>
      </w:r>
      <w:r w:rsidRPr="00765E1C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1 písm. c) zákona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.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6223A7" w:rsidP="00A65102">
      <w:pPr>
        <w:framePr w:wrap="auto"/>
        <w:widowControl/>
        <w:autoSpaceDE/>
        <w:autoSpaceDN/>
        <w:bidi w:val="0"/>
        <w:adjustRightInd/>
        <w:spacing w:after="12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A65102" w:rsidRPr="00F925BB" w:rsidP="00A65102">
      <w:pPr>
        <w:framePr w:wrap="auto"/>
        <w:widowControl/>
        <w:autoSpaceDE/>
        <w:autoSpaceDN/>
        <w:bidi w:val="0"/>
        <w:adjustRightInd/>
        <w:spacing w:after="120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53C20">
      <w:pPr>
        <w:framePr w:wrap="auto"/>
        <w:widowControl/>
        <w:numPr>
          <w:numId w:val="5"/>
        </w:numPr>
        <w:autoSpaceDE/>
        <w:autoSpaceDN/>
        <w:bidi w:val="0"/>
        <w:adjustRightInd/>
        <w:ind w:left="357" w:right="0" w:hanging="357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II sa za bod 5 vkladajú nové body 6 až 1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4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 ktoré znejú: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702" w:right="0" w:hanging="345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„6.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§ 12 ods. 2 písm. a)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a ods. 5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sa slová „uvedeným v prílohe č. 2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nahrádzajú  slovami „ustanoveným osobitným predpisom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24c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 w:firstLine="345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Poznámka pod čiarou k odkazu 24c znie: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 w:firstLine="345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24c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 Príloha č. 1 k zákonu č. 150/2013 Z. z. v znení zákona č. .../2025 Z. z.“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708" w:right="0" w:hanging="351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7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13 ods. 2 sa vypúšťajú slová „alebo so zvýšením sociálno-kultúrnej úrovne rómskej osady“.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702" w:right="0" w:hanging="345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8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§ 13 ods. 3 sa vypúšťajú slová „písm. a) a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begin"/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instrText xml:space="preserve"> HYPERLINK \l "paragraf-5.pismeno-c" \h </w:instrTex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separate"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c)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end"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, ktorá podmieňuje obstarávanie nájomných bytov podľa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begin"/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instrText xml:space="preserve"> HYPERLINK \l "paragraf-4.odsek-1" \h </w:instrTex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separate"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§ 4 ods. 1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end"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9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13 ods. 5 sa slov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á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písm. 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o)“ nahrádza slov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m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i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písm. 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m)“.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0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§ 14 vrátane nadpisu sa vypúšťa.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 w:firstLine="351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Poznámky pod čiarou k odkazom 27 až 30 sa vypúšťajú.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4F7072" w:rsidP="00A65102">
      <w:pPr>
        <w:framePr w:wrap="auto"/>
        <w:widowControl/>
        <w:autoSpaceDE/>
        <w:autoSpaceDN/>
        <w:bidi w:val="0"/>
        <w:adjustRightInd/>
        <w:ind w:left="702" w:right="0" w:hanging="345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F707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11. V § 15 ods. 2 sa slová „ministerstvo opatrením vydaným v Zbierke zákonov Slovenskej republiky“ nahrádzajú slovami „všeobecne záväzný právny predpis, ktorý vydá ministerstvo“.</w:t>
      </w:r>
    </w:p>
    <w:p w:rsidR="00A65102" w:rsidRPr="004F707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702" w:right="0" w:hanging="345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F707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12.</w:t>
        <w:tab/>
        <w:t xml:space="preserve">V § 15 ods. 11  sa za slovo „výšky“ vkladajú slová „limitu ustanoveného ministerstvom 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 jednotlivé spôsoby obstarania nájomného bytu podľa § 4 ods. 1 a technickej vybavenosti podľa § 5 v rámci schváleného“.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B44077" w:rsidP="00A65102">
      <w:pPr>
        <w:framePr w:wrap="auto"/>
        <w:widowControl/>
        <w:autoSpaceDE/>
        <w:autoSpaceDN/>
        <w:bidi w:val="0"/>
        <w:adjustRightInd/>
        <w:ind w:left="702" w:right="0" w:hanging="345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4407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3</w:t>
      </w:r>
      <w:r w:rsidRPr="00B4407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 V § 17 sa pred doterajší text vkladajú odseky 1 a 2, ktoré znejú:</w:t>
      </w:r>
    </w:p>
    <w:p w:rsidR="00A65102" w:rsidRPr="00B44077" w:rsidP="00A65102">
      <w:pPr>
        <w:framePr w:wrap="auto"/>
        <w:widowControl/>
        <w:autoSpaceDE/>
        <w:autoSpaceDN/>
        <w:bidi w:val="0"/>
        <w:adjustRightInd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B44077" w:rsidP="00A65102">
      <w:pPr>
        <w:framePr w:wrap="auto"/>
        <w:widowControl/>
        <w:autoSpaceDE/>
        <w:autoSpaceDN/>
        <w:bidi w:val="0"/>
        <w:adjustRightInd/>
        <w:ind w:left="708" w:right="0" w:firstLine="426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4407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„(1) Ministerstvo vykonáva finančnú kontrolu poskytnutia a použitia prostriedkov podľa tohto zákona.</w:t>
      </w:r>
      <w:r w:rsidRPr="00B44077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34a</w:t>
      </w:r>
      <w:r w:rsidRPr="00B4407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</w:t>
      </w:r>
    </w:p>
    <w:p w:rsidR="00A65102" w:rsidRPr="00B44077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B44077" w:rsidP="00A65102">
      <w:pPr>
        <w:framePr w:wrap="auto"/>
        <w:widowControl/>
        <w:autoSpaceDE/>
        <w:autoSpaceDN/>
        <w:bidi w:val="0"/>
        <w:adjustRightInd/>
        <w:ind w:left="708" w:right="0" w:firstLine="426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4407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(2) Ministerstvo je pri poskytnutí prostriedkov podľa § 3 oprávnené poveriť v časti alebo v celom rozsahu úrad výkonom finančnej kontroly poskytnutia prostriedkov z rozpočtu ministerstva.“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A65102" w:rsidRPr="00B44077" w:rsidP="00A65102">
      <w:pPr>
        <w:framePr w:wrap="auto"/>
        <w:widowControl/>
        <w:autoSpaceDE/>
        <w:autoSpaceDN/>
        <w:bidi w:val="0"/>
        <w:adjustRightInd/>
        <w:ind w:left="708" w:right="0" w:firstLine="426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/>
        <w:autoSpaceDE/>
        <w:autoSpaceDN/>
        <w:bidi w:val="0"/>
        <w:adjustRightInd/>
        <w:ind w:left="1416" w:right="0" w:hanging="708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4407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Doterajší text sa označuje ako odsek 3.</w:t>
      </w:r>
    </w:p>
    <w:p w:rsidR="00A65102" w:rsidRPr="00B44077" w:rsidP="00A65102">
      <w:pPr>
        <w:framePr w:wrap="auto"/>
        <w:widowControl/>
        <w:autoSpaceDE/>
        <w:autoSpaceDN/>
        <w:bidi w:val="0"/>
        <w:adjustRightInd/>
        <w:ind w:left="1416" w:right="0" w:hanging="708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B44077" w:rsidP="00A65102">
      <w:pPr>
        <w:framePr w:wrap="auto"/>
        <w:widowControl/>
        <w:autoSpaceDE/>
        <w:autoSpaceDN/>
        <w:bidi w:val="0"/>
        <w:adjustRightInd/>
        <w:ind w:left="357" w:right="0" w:firstLine="351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4407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Poznámka pod čiarou k odkazu 34a znie:</w:t>
      </w:r>
    </w:p>
    <w:p w:rsidR="00A65102" w:rsidRPr="00B44077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B44077" w:rsidP="00A65102">
      <w:pPr>
        <w:framePr w:wrap="auto"/>
        <w:widowControl/>
        <w:autoSpaceDE/>
        <w:autoSpaceDN/>
        <w:bidi w:val="0"/>
        <w:adjustRightInd/>
        <w:ind w:left="1416" w:right="0" w:hanging="708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4407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</w:t>
      </w:r>
      <w:r w:rsidRPr="00B44077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34a</w:t>
      </w:r>
      <w:r w:rsidRPr="00B4407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B4407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Zákon č. 357/2015 Z. z. o finančnej kontrole a audite a o zmene a doplnení niektorých zákonov v znení neskorších predpisov.“.</w:t>
      </w:r>
    </w:p>
    <w:p w:rsidR="00A65102" w:rsidRPr="00B44077" w:rsidP="00A65102">
      <w:pPr>
        <w:framePr w:wrap="auto"/>
        <w:widowControl/>
        <w:autoSpaceDE/>
        <w:autoSpaceDN/>
        <w:bidi w:val="0"/>
        <w:adjustRightInd/>
        <w:ind w:left="1416" w:right="0" w:hanging="708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702" w:right="0" w:hanging="345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4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18 ods. 2 sa slov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lastník“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nahrádza 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slov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ami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„Ak sú byty a nebytové priestory v bytovom dome alebo polyfunkčnom dome vo vlastníctve alebo spoluvlastníctve jednotlivých vlastníkov,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vlastník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“.“.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0" w:right="0" w:firstLine="36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7E1133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E11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súvislosti s uvedenou zmenou sa primerane upraví aj názov zákona.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K bodu 6 až 1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0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: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Legislatívnotechnická úprava.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A65102" w:rsidRPr="004F7072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4F707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K bodu 11:</w:t>
      </w:r>
    </w:p>
    <w:p w:rsidR="00A65102" w:rsidRPr="004F7072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4F707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Navrhuje sa úprava splnomocňovacieho ustanovenia, ktorým ministerstvo ustanoví vzory žiadostí o poskytnutie dotácie.  </w:t>
      </w:r>
    </w:p>
    <w:p w:rsidR="00A65102" w:rsidRPr="004F7072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K bodu 1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2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: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Navrhuje sa umožniť ministerstvu ako poskytovateľovi dotácie stanoviť si rozpočet pre rozhodovanie k žiadostiam o poskytnutie dotácie pre daný rok aj podľa spôsobu obstarania nájomného bytu a technickej vybavenosti.</w:t>
      </w:r>
    </w:p>
    <w:p w:rsidR="00847D02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K bodu 1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3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: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Upresňujú sa podmienky výkonu kontroly vykonávanej ministerstvom a okresným úradom v sídle kraja príslušným podľa miesta stavby.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K bodu 1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4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:</w:t>
      </w:r>
    </w:p>
    <w:p w:rsidR="00A65102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288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Špecifikácia podmienok, kedy je vlastník nájomného bytu povinný tvoriť z dohodnutého nájomného osobitný rezervný fond.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6223A7" w:rsidP="00A65102">
      <w:pPr>
        <w:framePr w:wrap="auto"/>
        <w:widowControl/>
        <w:autoSpaceDE/>
        <w:autoSpaceDN/>
        <w:bidi w:val="0"/>
        <w:adjustRightInd/>
        <w:spacing w:after="12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A65102" w:rsidRPr="00F925BB" w:rsidP="00A65102">
      <w:pPr>
        <w:framePr w:wrap="auto"/>
        <w:widowControl/>
        <w:autoSpaceDE/>
        <w:autoSpaceDN/>
        <w:bidi w:val="0"/>
        <w:adjustRightInd/>
        <w:spacing w:after="120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65102" w:rsidRPr="000C78BA" w:rsidP="00A53C20">
      <w:pPr>
        <w:framePr w:wrap="auto"/>
        <w:widowControl/>
        <w:numPr>
          <w:numId w:val="5"/>
        </w:numPr>
        <w:autoSpaceDE/>
        <w:autoSpaceDN/>
        <w:bidi w:val="0"/>
        <w:adjustRightInd/>
        <w:ind w:left="357" w:right="0" w:hanging="357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 II bod 6 znie: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6.</w:t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20 ods. 1 sa vypúšťajú písmená c) a f).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Doterajšie písmená d)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e)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g) a h) sa označujú ako písmená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c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 a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ž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f).“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2880" w:right="0" w:firstLine="421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Úprava podmienok zverejňovania informácií.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53C20">
      <w:pPr>
        <w:framePr w:wrap="auto"/>
        <w:widowControl/>
        <w:numPr>
          <w:numId w:val="5"/>
        </w:numPr>
        <w:autoSpaceDE/>
        <w:autoSpaceDN/>
        <w:bidi w:val="0"/>
        <w:adjustRightInd/>
        <w:ind w:left="357" w:right="0" w:hanging="357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II sa vypúšťa bod 7. 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0" w:right="0" w:firstLine="36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0" w:right="0" w:firstLine="36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2160" w:right="0" w:firstLine="708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Legislatívnotechnická úprava.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53C20">
      <w:pPr>
        <w:framePr w:wrap="auto"/>
        <w:widowControl/>
        <w:numPr>
          <w:numId w:val="5"/>
        </w:numPr>
        <w:autoSpaceDE/>
        <w:autoSpaceDN/>
        <w:bidi w:val="0"/>
        <w:adjustRightInd/>
        <w:ind w:left="357" w:right="0" w:hanging="357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II sa za bod 7 vkladajú nové body 8 až 14, ktoré znejú: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„8.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21 ods. 1 sa vypúšťa druhá veta.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 w:firstLine="351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Poznámka pod čiarou k odkazu 3</w:t>
      </w:r>
      <w:r w:rsidR="007E6D4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8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sa vypúšťa.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9.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21 ods. 4 písm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eno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b)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znie: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1416" w:right="0" w:hanging="708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„b)</w:t>
        <w:tab/>
        <w:t>inej budove na bývanie.</w:t>
      </w:r>
      <w:r w:rsidRPr="003734EE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3</w:t>
      </w:r>
      <w:r w:rsidR="007E69BD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8</w:t>
      </w:r>
      <w:r w:rsidRPr="003734EE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a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)“. 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 w:firstLine="351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Poznámka pod čiarou k odkazu 3</w:t>
      </w:r>
      <w:r w:rsidR="007E69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8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 znie: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 w:firstLine="351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3</w:t>
      </w:r>
      <w:r w:rsidR="007E69BD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8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a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) Napríklad § 6 ods. 1 písm. h) zákona č. 150/2013 Z. z.“ 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10.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22 ods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ek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1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znie: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708" w:right="0" w:firstLine="426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„(1) Sociálne bývanie v byte je bývanie poskytované oprávnenej fyzickej osobe v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nájomnom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byte, ktorého podlahová plocha neprevyšuje 80 m</w:t>
      </w:r>
      <w:r w:rsidRPr="0039443E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2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.“. 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/>
        <w:autoSpaceDE/>
        <w:autoSpaceDN/>
        <w:bidi w:val="0"/>
        <w:adjustRightInd/>
        <w:ind w:left="702" w:right="0" w:hanging="345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11.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§ 22 ods. 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2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sa slová „uvedeným v prílohe č. 2“ nahrádzajú  slovami „ustanoveným osobitným predpisom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24c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12. V § 22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sa 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ods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ek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3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dopĺňa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písmeno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m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g), ktoré znie: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„g)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 xml:space="preserve">osoba 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nepriaznivej životnej situácii podľa osobitného predpisu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6a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)“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13.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22 ods. 7 sa vypúšťajú slová „písm. a) a b)“.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14.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23 sa vypúšťajú slová „a 6“.“.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0" w:right="0" w:firstLine="36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0C78BA" w:rsidP="00DE028F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K bod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om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8 až 10:</w:t>
      </w:r>
    </w:p>
    <w:p w:rsidR="00A65102" w:rsidRPr="000C78BA" w:rsidP="00DE028F">
      <w:pPr>
        <w:framePr w:wrap="auto"/>
        <w:widowControl w:val="0"/>
        <w:autoSpaceDE w:val="0"/>
        <w:autoSpaceDN w:val="0"/>
        <w:bidi w:val="0"/>
        <w:adjustRightInd w:val="0"/>
        <w:ind w:left="288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Za sociálne bývanie je možné považovať len bývanie v nájomnom byte, príp. ubytovacom dome podporeného zo ŠFRB, nie je ním ubytovanie v inej budove, ktorá nie je určená na trvalé bývanie v rámci poskytovania sociálnych služieb podľa zákona č. 448/2008 Z. z. o sociálnych službách a o zmene 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a 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doplnení zákona č. 455/1991 Zb. o živnostenskom podnikaní (živnostenský zákon) v znení neskorších predpisov.  </w:t>
      </w:r>
    </w:p>
    <w:p w:rsidR="00A65102" w:rsidRPr="000C78BA" w:rsidP="00DE028F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A65102" w:rsidRPr="000C78BA" w:rsidP="00DE028F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K bod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om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11, 13 a 14:</w:t>
      </w:r>
    </w:p>
    <w:p w:rsidR="00A65102" w:rsidRPr="000C78BA" w:rsidP="00DE028F">
      <w:pPr>
        <w:framePr w:wrap="auto"/>
        <w:widowControl w:val="0"/>
        <w:autoSpaceDE w:val="0"/>
        <w:autoSpaceDN w:val="0"/>
        <w:bidi w:val="0"/>
        <w:adjustRightInd w:val="0"/>
        <w:ind w:left="288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Legislatívnotechnická úprava.</w:t>
      </w:r>
    </w:p>
    <w:p w:rsidR="00A65102" w:rsidRPr="000C78BA" w:rsidP="00DE028F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A65102" w:rsidRPr="000C78BA" w:rsidP="00DE028F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K bodu 12:</w:t>
      </w:r>
    </w:p>
    <w:p w:rsidR="00A65102" w:rsidRPr="000C78BA" w:rsidP="00DE028F">
      <w:pPr>
        <w:framePr w:wrap="auto"/>
        <w:widowControl w:val="0"/>
        <w:autoSpaceDE w:val="0"/>
        <w:autoSpaceDN w:val="0"/>
        <w:bidi w:val="0"/>
        <w:adjustRightInd w:val="0"/>
        <w:ind w:left="288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Navrhuje sa doplniť oprávnené 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fyzick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é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os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o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b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y pre poskytnutie sociálneho bývania o osoby 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v nepriaznivej životnej situácii oprávnen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é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na</w:t>
      </w: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poskytnutie dostupného bytu.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3119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E028F" w:rsidRPr="006223A7" w:rsidP="00DE028F">
      <w:pPr>
        <w:framePr w:wrap="auto"/>
        <w:widowControl/>
        <w:autoSpaceDE/>
        <w:autoSpaceDN/>
        <w:bidi w:val="0"/>
        <w:adjustRightInd/>
        <w:spacing w:after="12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DE028F" w:rsidRPr="00F925BB" w:rsidP="00DE028F">
      <w:pPr>
        <w:framePr w:wrap="auto"/>
        <w:widowControl/>
        <w:autoSpaceDE/>
        <w:autoSpaceDN/>
        <w:bidi w:val="0"/>
        <w:adjustRightInd/>
        <w:spacing w:after="120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DE028F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3119" w:right="0"/>
        <w:jc w:val="both"/>
        <w:textAlignment w:val="auto"/>
        <w:rPr>
          <w:rFonts w:ascii="Arial" w:eastAsia="Times New Roman" w:hAnsi="Arial" w:cs="Arial" w:hint="cs"/>
          <w:rtl w:val="0"/>
          <w:cs w:val="0"/>
          <w:lang w:val="sk-SK" w:eastAsia="sk-SK" w:bidi="ar-SA"/>
        </w:rPr>
      </w:pPr>
    </w:p>
    <w:p w:rsidR="00A65102" w:rsidRPr="000C78BA" w:rsidP="00A53C20">
      <w:pPr>
        <w:framePr w:wrap="auto"/>
        <w:widowControl/>
        <w:numPr>
          <w:numId w:val="5"/>
        </w:numPr>
        <w:autoSpaceDE/>
        <w:autoSpaceDN/>
        <w:bidi w:val="0"/>
        <w:adjustRightInd/>
        <w:ind w:left="357" w:right="0" w:hanging="357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čl. II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sa za bod 8 vkladajú nové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bod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y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9 a 10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 ktor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é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znejú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: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„9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Za § 24f sa vkladá § 24g, ktorý vrátane nadpisu znie: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9E24D7" w:rsidP="00A65102">
      <w:pPr>
        <w:framePr w:wrap="auto"/>
        <w:widowControl/>
        <w:autoSpaceDE/>
        <w:autoSpaceDN/>
        <w:bidi w:val="0"/>
        <w:adjustRightInd/>
        <w:ind w:left="357" w:right="0"/>
        <w:jc w:val="center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165D4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</w:t>
      </w:r>
      <w:r w:rsidRPr="009E24D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§24g</w:t>
      </w:r>
    </w:p>
    <w:p w:rsidR="00A65102" w:rsidRPr="009E24D7" w:rsidP="00A65102">
      <w:pPr>
        <w:framePr w:wrap="auto"/>
        <w:widowControl/>
        <w:autoSpaceDE/>
        <w:autoSpaceDN/>
        <w:bidi w:val="0"/>
        <w:adjustRightInd/>
        <w:ind w:left="357" w:right="0"/>
        <w:jc w:val="center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9E24D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Prechodné ustanovenie k úpravám účinným od 1 . januára 2026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/>
        <w:autoSpaceDE/>
        <w:autoSpaceDN/>
        <w:bidi w:val="0"/>
        <w:adjustRightInd/>
        <w:ind w:left="708" w:right="0" w:firstLine="708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Práva a povinnosti zo zodpovednosti za porušenie záväzkov zo zmlúv uzavretých pred 1. januárom 2026 sa spravujú týmto zákonom v znení účinnom do 31. decembra 2025.“.“</w:t>
      </w: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10. </w:t>
      </w:r>
      <w:r w:rsidRPr="000C78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Prílohy č. 1 až 3 sa vypúšťajú.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“. </w:t>
      </w:r>
    </w:p>
    <w:p w:rsidR="00A65102" w:rsidRPr="000C78BA" w:rsidP="00A65102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P="00DE028F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K bodu 9:</w:t>
      </w:r>
    </w:p>
    <w:p w:rsidR="00A65102" w:rsidP="00DE028F">
      <w:pPr>
        <w:framePr w:wrap="auto"/>
        <w:widowControl w:val="0"/>
        <w:autoSpaceDE w:val="0"/>
        <w:autoSpaceDN w:val="0"/>
        <w:bidi w:val="0"/>
        <w:adjustRightInd w:val="0"/>
        <w:ind w:left="288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V nadväznosti na úpravu odvodu za nedodržanie podmienky zachovania nájomného charakteru bytov sa navrhuje doplniť prechodné ustanovenia, že táto zmena sa nevzťahuje na existujúce zmluvy a v týchto prípadoch sa bude postupovať podľa predpisu účinného do 31. decembra 2025.</w:t>
      </w:r>
    </w:p>
    <w:p w:rsidR="00A65102" w:rsidP="00DE028F">
      <w:pPr>
        <w:framePr w:wrap="auto"/>
        <w:widowControl w:val="0"/>
        <w:autoSpaceDE w:val="0"/>
        <w:autoSpaceDN w:val="0"/>
        <w:bidi w:val="0"/>
        <w:adjustRightInd w:val="0"/>
        <w:ind w:left="288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A65102" w:rsidP="00DE028F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K bodu 10:</w:t>
      </w:r>
    </w:p>
    <w:p w:rsidR="00A65102" w:rsidRPr="000C78BA" w:rsidP="00DE028F">
      <w:pPr>
        <w:framePr w:wrap="auto"/>
        <w:widowControl w:val="0"/>
        <w:autoSpaceDE w:val="0"/>
        <w:autoSpaceDN w:val="0"/>
        <w:bidi w:val="0"/>
        <w:adjustRightInd w:val="0"/>
        <w:ind w:left="2880" w:right="0" w:firstLine="421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78B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Legislatívnotechnická úprava.</w:t>
      </w:r>
    </w:p>
    <w:p w:rsidR="00A65102" w:rsidP="00A65102">
      <w:pPr>
        <w:framePr w:wrap="auto"/>
        <w:widowControl w:val="0"/>
        <w:autoSpaceDE w:val="0"/>
        <w:autoSpaceDN w:val="0"/>
        <w:bidi w:val="0"/>
        <w:adjustRightInd w:val="0"/>
        <w:ind w:left="3119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DE028F" w:rsidRPr="006223A7" w:rsidP="00DE028F">
      <w:pPr>
        <w:framePr w:wrap="auto"/>
        <w:widowControl/>
        <w:autoSpaceDE/>
        <w:autoSpaceDN/>
        <w:bidi w:val="0"/>
        <w:adjustRightInd/>
        <w:spacing w:after="12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DE028F" w:rsidRPr="00F925BB" w:rsidP="00DE028F">
      <w:pPr>
        <w:framePr w:wrap="auto"/>
        <w:widowControl/>
        <w:autoSpaceDE/>
        <w:autoSpaceDN/>
        <w:bidi w:val="0"/>
        <w:adjustRightInd/>
        <w:spacing w:after="120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DE028F" w:rsidRPr="000C78BA" w:rsidP="00A65102">
      <w:pPr>
        <w:framePr w:wrap="auto"/>
        <w:widowControl w:val="0"/>
        <w:autoSpaceDE w:val="0"/>
        <w:autoSpaceDN w:val="0"/>
        <w:bidi w:val="0"/>
        <w:adjustRightInd w:val="0"/>
        <w:ind w:left="3119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A65102" w:rsidRPr="0061006F" w:rsidP="00A53C20">
      <w:pPr>
        <w:framePr w:wrap="auto"/>
        <w:widowControl/>
        <w:numPr>
          <w:numId w:val="7"/>
        </w:numPr>
        <w:autoSpaceDE/>
        <w:autoSpaceDN/>
        <w:bidi w:val="0"/>
        <w:adjustRightInd/>
        <w:ind w:left="426" w:right="0" w:hanging="426"/>
        <w:contextualSpacing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61006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Za čl. II sa vkladá nový čl. III, ktorý znie:</w:t>
      </w:r>
    </w:p>
    <w:p w:rsidR="00A65102" w:rsidRPr="0061006F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sz w:val="27"/>
          <w:szCs w:val="27"/>
          <w:rtl w:val="0"/>
          <w:cs w:val="0"/>
          <w:lang w:val="sk-SK" w:eastAsia="sk-SK" w:bidi="ar-SA"/>
        </w:rPr>
      </w:pPr>
    </w:p>
    <w:p w:rsidR="00A65102" w:rsidRPr="0061006F" w:rsidP="00A65102">
      <w:pPr>
        <w:framePr w:wrap="auto"/>
        <w:widowControl w:val="0"/>
        <w:autoSpaceDE w:val="0"/>
        <w:autoSpaceDN w:val="0"/>
        <w:bidi w:val="0"/>
        <w:adjustRightInd w:val="0"/>
        <w:ind w:left="425" w:right="0"/>
        <w:jc w:val="center"/>
        <w:textAlignment w:val="auto"/>
        <w:rPr>
          <w:rFonts w:ascii="Times New Roman" w:eastAsia="Times New Roman" w:hAnsi="Times New Roman" w:cs="Times New Roman" w:hint="cs"/>
          <w:sz w:val="27"/>
          <w:szCs w:val="27"/>
          <w:rtl w:val="0"/>
          <w:cs w:val="0"/>
          <w:lang w:val="sk-SK" w:eastAsia="sk-SK" w:bidi="ar-SA"/>
        </w:rPr>
      </w:pPr>
      <w:r w:rsidRPr="006100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„Čl. III</w:t>
      </w:r>
    </w:p>
    <w:p w:rsidR="00A65102" w:rsidRPr="0061006F" w:rsidP="00A65102">
      <w:pPr>
        <w:framePr w:wrap="auto"/>
        <w:widowControl w:val="0"/>
        <w:autoSpaceDE w:val="0"/>
        <w:autoSpaceDN w:val="0"/>
        <w:bidi w:val="0"/>
        <w:adjustRightInd w:val="0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100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</w:t>
      </w:r>
      <w:r w:rsidRPr="0061006F">
        <w:rPr>
          <w:rFonts w:ascii="Times New Roman" w:eastAsia="Times New Roman" w:hAnsi="Times New Roman" w:cs="Times New Roman" w:hint="cs"/>
          <w:spacing w:val="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</w:t>
      </w:r>
      <w:r w:rsidRPr="0061006F">
        <w:rPr>
          <w:rFonts w:ascii="Times New Roman" w:eastAsia="Times New Roman" w:hAnsi="Times New Roman" w:cs="Times New Roman" w:hint="cs"/>
          <w:spacing w:val="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261/2011</w:t>
      </w:r>
      <w:r w:rsidRPr="0061006F">
        <w:rPr>
          <w:rFonts w:ascii="Times New Roman" w:eastAsia="Times New Roman" w:hAnsi="Times New Roman" w:cs="Times New Roman" w:hint="cs"/>
          <w:spacing w:val="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Z.</w:t>
      </w:r>
      <w:r w:rsidRPr="0061006F">
        <w:rPr>
          <w:rFonts w:ascii="Times New Roman" w:eastAsia="Times New Roman" w:hAnsi="Times New Roman" w:cs="Times New Roman" w:hint="cs"/>
          <w:spacing w:val="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z.</w:t>
      </w:r>
      <w:r w:rsidRPr="0061006F">
        <w:rPr>
          <w:rFonts w:ascii="Times New Roman" w:eastAsia="Times New Roman" w:hAnsi="Times New Roman" w:cs="Times New Roman" w:hint="cs"/>
          <w:spacing w:val="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61006F">
        <w:rPr>
          <w:rFonts w:ascii="Times New Roman" w:eastAsia="Times New Roman" w:hAnsi="Times New Roman" w:cs="Times New Roman" w:hint="cs"/>
          <w:spacing w:val="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poskytovaní dotácií na obstaranie náhradných nájomných bytov</w:t>
      </w:r>
      <w:r w:rsidRPr="0061006F">
        <w:rPr>
          <w:rFonts w:ascii="Times New Roman" w:eastAsia="Times New Roman" w:hAnsi="Times New Roman" w:cs="Times New Roman" w:hint="cs"/>
          <w:spacing w:val="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61006F">
        <w:rPr>
          <w:rFonts w:ascii="Times New Roman" w:eastAsia="Times New Roman" w:hAnsi="Times New Roman" w:cs="Times New Roman" w:hint="cs"/>
          <w:spacing w:val="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znení zákona</w:t>
      </w:r>
      <w:r w:rsidRPr="0061006F">
        <w:rPr>
          <w:rFonts w:ascii="Times New Roman" w:eastAsia="Times New Roman" w:hAnsi="Times New Roman" w:cs="Times New Roman" w:hint="cs"/>
          <w:spacing w:val="4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</w:t>
      </w:r>
      <w:r w:rsidRPr="0061006F">
        <w:rPr>
          <w:rFonts w:ascii="Times New Roman" w:eastAsia="Times New Roman" w:hAnsi="Times New Roman" w:cs="Times New Roman" w:hint="cs"/>
          <w:spacing w:val="4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134/2013</w:t>
      </w:r>
      <w:r w:rsidRPr="0061006F">
        <w:rPr>
          <w:rFonts w:ascii="Times New Roman" w:eastAsia="Times New Roman" w:hAnsi="Times New Roman" w:cs="Times New Roman" w:hint="cs"/>
          <w:spacing w:val="4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Z.</w:t>
      </w:r>
      <w:r w:rsidRPr="0061006F">
        <w:rPr>
          <w:rFonts w:ascii="Times New Roman" w:eastAsia="Times New Roman" w:hAnsi="Times New Roman" w:cs="Times New Roman" w:hint="cs"/>
          <w:spacing w:val="4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z. a zákona č. 26/2025 Z. z. sa mení takto: </w:t>
      </w:r>
    </w:p>
    <w:p w:rsidR="00A65102" w:rsidRPr="0061006F" w:rsidP="00A53C20">
      <w:pPr>
        <w:framePr w:wrap="auto"/>
        <w:widowControl/>
        <w:numPr>
          <w:numId w:val="8"/>
        </w:numPr>
        <w:autoSpaceDE/>
        <w:autoSpaceDN/>
        <w:bidi w:val="0"/>
        <w:adjustRightInd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61006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6 sa vypúšťajú odseky 7 až 10.</w:t>
      </w:r>
    </w:p>
    <w:p w:rsidR="00A65102" w:rsidRPr="0061006F" w:rsidP="00A65102">
      <w:pPr>
        <w:framePr w:wrap="auto"/>
        <w:widowControl/>
        <w:autoSpaceDE/>
        <w:autoSpaceDN/>
        <w:bidi w:val="0"/>
        <w:adjustRightInd/>
        <w:ind w:left="786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61006F" w:rsidP="00A53C20">
      <w:pPr>
        <w:framePr w:wrap="auto"/>
        <w:widowControl/>
        <w:numPr>
          <w:numId w:val="8"/>
        </w:numPr>
        <w:autoSpaceDE/>
        <w:autoSpaceDN/>
        <w:bidi w:val="0"/>
        <w:adjustRightInd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61006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6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7 ods. 2 písm. e) sa slovo „ministerstvu“ nahrádza slovami „Ministerstvu dopravy Slovenskej republiky (ďalej len „ministerstvo“)“.</w:t>
      </w:r>
    </w:p>
    <w:p w:rsidR="00A65102" w:rsidRPr="0061006F" w:rsidP="00A65102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5102" w:rsidRPr="0061006F" w:rsidP="00A53C20">
      <w:pPr>
        <w:framePr w:wrap="auto"/>
        <w:widowControl/>
        <w:numPr>
          <w:numId w:val="8"/>
        </w:numPr>
        <w:autoSpaceDE/>
        <w:autoSpaceDN/>
        <w:bidi w:val="0"/>
        <w:adjustRightInd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61006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§ 13 vrátane nadpisu sa vypúšťa.“.“.</w:t>
      </w:r>
    </w:p>
    <w:p w:rsidR="00A65102" w:rsidRPr="0061006F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Arial" w:eastAsia="Times New Roman" w:hAnsi="Arial" w:cs="Arial" w:hint="cs"/>
          <w:rtl w:val="0"/>
          <w:cs w:val="0"/>
          <w:lang w:val="sk-SK" w:eastAsia="sk-SK" w:bidi="ar-SA"/>
        </w:rPr>
      </w:pPr>
    </w:p>
    <w:p w:rsidR="00A65102" w:rsidRPr="0061006F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100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Nasledujúci článok sa primerane prečísluje.</w:t>
      </w:r>
    </w:p>
    <w:p w:rsidR="00A65102" w:rsidRPr="003D7F20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sz w:val="20"/>
          <w:rtl w:val="0"/>
          <w:cs w:val="0"/>
          <w:lang w:val="sk-SK" w:eastAsia="sk-SK" w:bidi="ar-SA"/>
        </w:rPr>
      </w:pPr>
    </w:p>
    <w:p w:rsidR="00A65102" w:rsidRPr="0061006F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100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súvislosti s uvedenou zmenou sa primerane upraví aj názov zákona.</w:t>
      </w:r>
    </w:p>
    <w:p w:rsidR="00A65102" w:rsidRPr="0061006F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5102" w:rsidRPr="0061006F" w:rsidP="00DE028F">
      <w:pPr>
        <w:framePr w:wrap="auto"/>
        <w:widowControl w:val="0"/>
        <w:autoSpaceDE w:val="0"/>
        <w:autoSpaceDN w:val="0"/>
        <w:bidi w:val="0"/>
        <w:adjustRightInd w:val="0"/>
        <w:ind w:left="2880" w:right="0" w:firstLine="425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61006F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Pre nedostatok finančných prostriedkov vyčlenených zo štátneho rozpočtu na poskytovanie dotácií na rozvoj bývania v rozpočtovej kapitole ministerstva, ministerstvo navrhuje neupravovať limity dotácie podľa koeficientu, ktorý sa vypočíta z príslušného indexu rastu cien stavebných prác.</w:t>
      </w:r>
    </w:p>
    <w:p w:rsidR="00A65102" w:rsidRPr="0061006F" w:rsidP="00A65102">
      <w:pPr>
        <w:framePr w:wrap="auto"/>
        <w:widowControl w:val="0"/>
        <w:autoSpaceDE w:val="0"/>
        <w:autoSpaceDN w:val="0"/>
        <w:bidi w:val="0"/>
        <w:adjustRightInd w:val="0"/>
        <w:ind w:left="0" w:right="0"/>
        <w:contextualSpacing/>
        <w:jc w:val="both"/>
        <w:textAlignment w:val="auto"/>
        <w:rPr>
          <w:rFonts w:ascii="Arial" w:eastAsia="Times New Roman" w:hAnsi="Arial" w:cs="Arial" w:hint="cs"/>
          <w:rtl w:val="0"/>
          <w:cs w:val="0"/>
          <w:lang w:val="sk-SK" w:eastAsia="sk-SK" w:bidi="ar-SA"/>
        </w:rPr>
      </w:pPr>
    </w:p>
    <w:p w:rsidR="00DE028F" w:rsidRPr="006223A7" w:rsidP="00DE028F">
      <w:pPr>
        <w:framePr w:wrap="auto"/>
        <w:widowControl/>
        <w:autoSpaceDE/>
        <w:autoSpaceDN/>
        <w:bidi w:val="0"/>
        <w:adjustRightInd/>
        <w:spacing w:after="12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DE028F" w:rsidP="00DE028F">
      <w:pPr>
        <w:framePr w:wrap="auto"/>
        <w:widowControl/>
        <w:autoSpaceDE/>
        <w:autoSpaceDN/>
        <w:bidi w:val="0"/>
        <w:adjustRightInd/>
        <w:spacing w:after="120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D7F20" w:rsidRPr="00F925BB" w:rsidP="003D7F20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CE799F" w:rsidRPr="006223A7" w:rsidP="003D7F2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hlasovať o bodoch </w:t>
      </w:r>
      <w:r w:rsidRPr="006223A7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 až </w:t>
      </w:r>
      <w:r w:rsidR="00DE028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15</w:t>
      </w:r>
      <w:r w:rsidRPr="006223A7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6223A7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6223A7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5B0C34" w:rsidRPr="006223A7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E269DC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3F53C5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16"/>
          <w:rtl w:val="0"/>
          <w:cs w:val="0"/>
          <w:lang w:val="sk-SK" w:eastAsia="sk-SK" w:bidi="ar-SA"/>
        </w:rPr>
      </w:pPr>
    </w:p>
    <w:p w:rsidR="00E269DC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5B0C34" w:rsidRPr="003D7F20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sz w:val="20"/>
          <w:u w:val="single"/>
          <w:rtl w:val="0"/>
          <w:cs w:val="0"/>
          <w:lang w:val="sk-SK" w:eastAsia="sk-SK" w:bidi="ar-SA"/>
        </w:rPr>
      </w:pPr>
    </w:p>
    <w:p w:rsidR="00C60DB6" w:rsidRPr="00886622" w:rsidP="00C60DB6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886622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886622" w:rsidR="00DE13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886622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322F6F" w:rsidR="00322F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ktorým sa mení a dopĺňa zákon č. 150/2013 Z. z. o Štátnom fonde rozvoja bývania v znení neskorších predpisov a ktorým sa mení zákon č. 443/2010 Z. z. o dotáciách na rozvoj bývania a o sociálnom bývaní v znení neskorších predpisov</w:t>
      </w:r>
      <w:r w:rsidR="00322F6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736</w:t>
      </w:r>
      <w:r w:rsidRPr="00886622" w:rsidR="00DE136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886622" w:rsidR="00DE13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47D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886622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Pr="008866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886622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Pr="0088662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7F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3D7F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7F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pozmeňujúcich a doplňujúcich návrhov uvedených v tejto spoločnej správe, ktoré gestorský výbor odporúčal schváliť.</w:t>
      </w:r>
    </w:p>
    <w:p w:rsidR="00E269DC" w:rsidRPr="006223A7" w:rsidP="00847D02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D7F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6223A7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847D02" w:rsidR="007D66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179</w:t>
      </w:r>
      <w:r w:rsidRPr="00847D02" w:rsidR="002862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7D02" w:rsidR="004E39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847D02" w:rsidR="007D66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27</w:t>
      </w:r>
      <w:r w:rsidRPr="00847D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847D02" w:rsidR="00C33F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 2025</w:t>
      </w:r>
      <w:r w:rsidRPr="00847D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F53C5" w:rsidRPr="003D7F20" w:rsidP="001E4E7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sz w:val="20"/>
          <w:rtl w:val="0"/>
          <w:cs w:val="0"/>
          <w:lang w:val="sk-SK" w:eastAsia="sk-SK" w:bidi="ar-SA"/>
        </w:rPr>
      </w:pPr>
      <w:r w:rsidRPr="006223A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6223A7" w:rsidP="003D7F20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6223A7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C33F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Jaroslava</w:t>
      </w:r>
      <w:r w:rsidRPr="006223A7" w:rsidR="0087435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33F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Mega </w:t>
      </w:r>
      <w:r w:rsidRPr="006223A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6223A7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6223A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3D7F20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sz w:val="20"/>
          <w:rtl w:val="0"/>
          <w:cs w:val="0"/>
          <w:lang w:val="sk-SK" w:eastAsia="sk-SK" w:bidi="ar-SA"/>
        </w:rPr>
      </w:pPr>
    </w:p>
    <w:p w:rsidR="00EE7C0F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7D66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7D02" w:rsidR="007D66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27. </w:t>
      </w:r>
      <w:r w:rsidRPr="00847D02" w:rsidR="00C33F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 2025</w:t>
      </w:r>
    </w:p>
    <w:p w:rsidR="00847D0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47D0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47D02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64B90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cs-CZ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Róbert P u c i, v.r.</w:t>
      </w:r>
    </w:p>
    <w:p w:rsidR="00B62E81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6223A7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6223A7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6223A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6223A7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6223A7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6223A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02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65102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02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7E6D42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18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65102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270F1E00"/>
    <w:multiLevelType w:val="hybridMultilevel"/>
    <w:tmpl w:val="6D1429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4A7F2B56"/>
    <w:multiLevelType w:val="hybridMultilevel"/>
    <w:tmpl w:val="E70A0818"/>
    <w:lvl w:ilvl="0">
      <w:start w:val="15"/>
      <w:numFmt w:val="decimal"/>
      <w:lvlText w:val="%1."/>
      <w:lvlJc w:val="left"/>
      <w:pPr>
        <w:ind w:left="502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22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94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66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38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10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82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54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265" w:hanging="180"/>
      </w:pPr>
      <w:rPr>
        <w:rFonts w:cs="Times New Roman" w:hint="cs"/>
        <w:rtl w:val="0"/>
        <w:cs w:val="0"/>
      </w:rPr>
    </w:lvl>
  </w:abstractNum>
  <w:abstractNum w:abstractNumId="3">
    <w:nsid w:val="50AF1710"/>
    <w:multiLevelType w:val="hybridMultilevel"/>
    <w:tmpl w:val="399A4B1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4">
    <w:nsid w:val="529315F8"/>
    <w:multiLevelType w:val="hybridMultilevel"/>
    <w:tmpl w:val="6F08EF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5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6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302</TotalTime>
  <Pages>18</Pages>
  <Words>4171</Words>
  <Characters>23776</Characters>
  <Application>Microsoft Office Word</Application>
  <DocSecurity>0</DocSecurity>
  <Lines>0</Lines>
  <Paragraphs>0</Paragraphs>
  <ScaleCrop>false</ScaleCrop>
  <Company>Kancelária NR SR</Company>
  <LinksUpToDate>false</LinksUpToDate>
  <CharactersWithSpaces>27892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83</cp:revision>
  <cp:lastPrinted>2020-05-20T15:53:00Z</cp:lastPrinted>
  <dcterms:created xsi:type="dcterms:W3CDTF">2021-10-19T14:12:00Z</dcterms:created>
  <dcterms:modified xsi:type="dcterms:W3CDTF">2025-05-27T10:48:00Z</dcterms:modified>
</cp:coreProperties>
</file>