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A0" w:rsidRDefault="008F5FA0" w:rsidP="008F5FA0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bookmarkStart w:id="0" w:name="_GoBack"/>
      <w:bookmarkEnd w:id="0"/>
      <w:r>
        <w:rPr>
          <w:rFonts w:ascii="Garamond" w:hAnsi="Garamond"/>
          <w:b/>
          <w:caps/>
          <w:sz w:val="24"/>
          <w:szCs w:val="24"/>
          <w:lang w:eastAsia="sk-SK"/>
        </w:rPr>
        <w:t>Výbor Národnej rady Slovenskej republiky</w:t>
      </w: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>
        <w:rPr>
          <w:rFonts w:ascii="Garamond" w:hAnsi="Garamond"/>
          <w:b/>
          <w:caps/>
          <w:sz w:val="24"/>
          <w:szCs w:val="24"/>
          <w:lang w:eastAsia="sk-SK"/>
        </w:rPr>
        <w:t>pre ľudské práva a národnostné menšiny</w:t>
      </w: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  <w:t xml:space="preserve">33. schôdza výboru                                                                                                           </w:t>
      </w:r>
    </w:p>
    <w:p w:rsidR="008F5FA0" w:rsidRDefault="008F5FA0" w:rsidP="008F5FA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  <w:lang w:eastAsia="sk-SK"/>
        </w:rPr>
        <w:tab/>
      </w:r>
      <w:r>
        <w:rPr>
          <w:rFonts w:ascii="Garamond" w:hAnsi="Garamond"/>
          <w:sz w:val="24"/>
          <w:szCs w:val="24"/>
        </w:rPr>
        <w:t>KNR-VLPNM-4506/2025</w:t>
      </w:r>
    </w:p>
    <w:p w:rsidR="008F5FA0" w:rsidRDefault="008F5FA0" w:rsidP="008F5FA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51</w:t>
      </w:r>
    </w:p>
    <w:p w:rsidR="008F5FA0" w:rsidRDefault="008F5FA0" w:rsidP="008F5FA0">
      <w:pPr>
        <w:spacing w:after="0" w:line="240" w:lineRule="auto"/>
        <w:jc w:val="center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Uznesenie</w:t>
      </w:r>
    </w:p>
    <w:p w:rsidR="008F5FA0" w:rsidRDefault="008F5FA0" w:rsidP="008F5FA0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Výboru Národnej rady Slovenskej republiky</w:t>
      </w:r>
    </w:p>
    <w:p w:rsidR="008F5FA0" w:rsidRDefault="008F5FA0" w:rsidP="008F5FA0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pre ľudské práva a národnostné menšiny</w:t>
      </w:r>
    </w:p>
    <w:p w:rsidR="008F5FA0" w:rsidRDefault="008F5FA0" w:rsidP="008F5FA0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center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>z 26. mája 2025</w:t>
      </w:r>
    </w:p>
    <w:p w:rsidR="008F5FA0" w:rsidRDefault="008F5FA0" w:rsidP="008F5FA0">
      <w:pPr>
        <w:spacing w:after="0" w:line="240" w:lineRule="auto"/>
        <w:jc w:val="center"/>
        <w:rPr>
          <w:rFonts w:ascii="Garamond" w:hAnsi="Garamond"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sz w:val="24"/>
          <w:szCs w:val="24"/>
          <w:lang w:eastAsia="sk-SK"/>
        </w:rPr>
        <w:t>k </w:t>
      </w:r>
      <w:r>
        <w:rPr>
          <w:rFonts w:ascii="Garamond" w:hAnsi="Garamond" w:cs="Arial"/>
          <w:noProof/>
          <w:sz w:val="24"/>
          <w:szCs w:val="24"/>
        </w:rPr>
        <w:t xml:space="preserve">vládnemu návrhu zákona, ktorým sa mení a dopĺňa zákon č. 300/2005 Z. z. Trestný zákon v znení neskorších predpisov a ktorým sa menia a dopĺňajú niektoré zákony </w:t>
      </w:r>
      <w:r>
        <w:rPr>
          <w:rFonts w:ascii="Garamond" w:hAnsi="Garamond" w:cs="Arial"/>
          <w:b/>
          <w:noProof/>
          <w:sz w:val="24"/>
          <w:szCs w:val="24"/>
        </w:rPr>
        <w:t>(tlač 659)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8F5FA0" w:rsidRDefault="008F5FA0" w:rsidP="008F5FA0">
      <w:pPr>
        <w:spacing w:before="24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i/>
          <w:sz w:val="24"/>
          <w:szCs w:val="24"/>
          <w:lang w:eastAsia="sk-SK"/>
        </w:rPr>
        <w:tab/>
      </w:r>
      <w:r>
        <w:rPr>
          <w:rFonts w:ascii="Garamond" w:hAnsi="Garamond"/>
          <w:b/>
          <w:sz w:val="24"/>
          <w:szCs w:val="24"/>
          <w:lang w:eastAsia="sk-SK"/>
        </w:rPr>
        <w:t>Výbor Národnej rady Slovenskej republiky</w:t>
      </w: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ab/>
        <w:t>pre ľudské práva a národnostné menšiny</w:t>
      </w: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8F5FA0" w:rsidRDefault="008F5FA0" w:rsidP="008F5FA0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súhlasí</w:t>
      </w:r>
    </w:p>
    <w:p w:rsidR="008F5FA0" w:rsidRDefault="008F5FA0" w:rsidP="008F5FA0">
      <w:pPr>
        <w:spacing w:after="0" w:line="240" w:lineRule="auto"/>
        <w:ind w:left="1065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sz w:val="24"/>
          <w:szCs w:val="24"/>
          <w:lang w:eastAsia="sk-SK"/>
        </w:rPr>
        <w:t xml:space="preserve">                       s </w:t>
      </w:r>
      <w:r>
        <w:rPr>
          <w:rFonts w:ascii="Garamond" w:hAnsi="Garamond" w:cs="Arial"/>
          <w:noProof/>
          <w:sz w:val="24"/>
          <w:szCs w:val="24"/>
        </w:rPr>
        <w:t xml:space="preserve">vládnym návrhom zákona, ktorým sa mení a dopĺňa zákon č. 300/2005 Z. z. Trestný zákon v znení neskorších predpisov a ktorým sa menia a dopĺňajú niektoré zákony </w:t>
      </w:r>
      <w:r>
        <w:rPr>
          <w:rFonts w:ascii="Garamond" w:hAnsi="Garamond" w:cs="Arial"/>
          <w:b/>
          <w:noProof/>
          <w:sz w:val="24"/>
          <w:szCs w:val="24"/>
        </w:rPr>
        <w:t>(tlač 659)</w:t>
      </w:r>
      <w:r>
        <w:rPr>
          <w:rFonts w:ascii="Garamond" w:hAnsi="Garamond"/>
          <w:sz w:val="24"/>
          <w:szCs w:val="24"/>
          <w:lang w:eastAsia="sk-SK"/>
        </w:rPr>
        <w:t>;</w:t>
      </w: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8F5FA0" w:rsidRDefault="008F5FA0" w:rsidP="008F5FA0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odporúča</w:t>
      </w: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 xml:space="preserve">        </w:t>
      </w:r>
      <w:r>
        <w:rPr>
          <w:rFonts w:ascii="Garamond" w:hAnsi="Garamond"/>
          <w:sz w:val="24"/>
          <w:szCs w:val="24"/>
          <w:lang w:eastAsia="sk-SK"/>
        </w:rPr>
        <w:t xml:space="preserve">Národnej rade Slovenskej republiky </w:t>
      </w:r>
      <w:r>
        <w:rPr>
          <w:rFonts w:ascii="Garamond" w:hAnsi="Garamond"/>
          <w:b/>
          <w:sz w:val="24"/>
          <w:szCs w:val="24"/>
          <w:lang w:eastAsia="sk-SK"/>
        </w:rPr>
        <w:t>schváliť</w:t>
      </w:r>
      <w:r>
        <w:rPr>
          <w:rFonts w:ascii="Garamond" w:hAnsi="Garamond"/>
          <w:sz w:val="24"/>
          <w:szCs w:val="24"/>
          <w:lang w:eastAsia="sk-SK"/>
        </w:rPr>
        <w:t xml:space="preserve"> </w:t>
      </w:r>
      <w:r>
        <w:rPr>
          <w:rFonts w:ascii="Garamond" w:hAnsi="Garamond" w:cs="Arial"/>
          <w:noProof/>
          <w:sz w:val="24"/>
          <w:szCs w:val="24"/>
        </w:rPr>
        <w:t xml:space="preserve">vládny návrh zákona, ktorým sa mení a dopĺňa zákon č. 300/2005 Z. z. Trestný zákon v znení neskorších predpisov a ktorým sa menia a dopĺňajú niektoré zákony </w:t>
      </w:r>
      <w:r>
        <w:rPr>
          <w:rFonts w:ascii="Garamond" w:hAnsi="Garamond" w:cs="Arial"/>
          <w:b/>
          <w:noProof/>
          <w:sz w:val="24"/>
          <w:szCs w:val="24"/>
        </w:rPr>
        <w:t>(tlač 659)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noProof/>
          <w:sz w:val="24"/>
          <w:szCs w:val="24"/>
        </w:rPr>
        <w:t>s pripomienkami uvedenými v prílohe uznesenia;</w:t>
      </w:r>
    </w:p>
    <w:p w:rsidR="008F5FA0" w:rsidRDefault="008F5FA0" w:rsidP="008F5FA0">
      <w:pPr>
        <w:spacing w:before="240" w:line="276" w:lineRule="auto"/>
        <w:jc w:val="both"/>
        <w:rPr>
          <w:rFonts w:ascii="Garamond" w:hAnsi="Garamond"/>
          <w:b/>
          <w:sz w:val="24"/>
          <w:szCs w:val="24"/>
        </w:rPr>
      </w:pPr>
    </w:p>
    <w:p w:rsidR="008F5FA0" w:rsidRDefault="008F5FA0" w:rsidP="008F5FA0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spacing w:val="110"/>
          <w:sz w:val="24"/>
          <w:szCs w:val="24"/>
          <w:lang w:eastAsia="sk-SK"/>
        </w:rPr>
      </w:pPr>
      <w:r>
        <w:rPr>
          <w:rFonts w:ascii="Garamond" w:hAnsi="Garamond"/>
          <w:b/>
          <w:spacing w:val="110"/>
          <w:sz w:val="24"/>
          <w:szCs w:val="24"/>
          <w:lang w:eastAsia="sk-SK"/>
        </w:rPr>
        <w:t>ukladá</w:t>
      </w:r>
    </w:p>
    <w:p w:rsidR="008F5FA0" w:rsidRDefault="008F5FA0" w:rsidP="008F5FA0">
      <w:pPr>
        <w:jc w:val="both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>predsedníčke výboru Lucii Plavákovej, aby informovala gestorský Ústavnoprávny výbor Národnej rady Slovenskej republiky o prijatom uznesení.</w:t>
      </w:r>
    </w:p>
    <w:p w:rsidR="008F5FA0" w:rsidRDefault="008F5FA0" w:rsidP="008F5FA0">
      <w:pPr>
        <w:rPr>
          <w:rFonts w:ascii="Garamond" w:hAnsi="Garamond"/>
          <w:sz w:val="24"/>
          <w:szCs w:val="24"/>
          <w:lang w:eastAsia="sk-SK"/>
        </w:rPr>
      </w:pPr>
    </w:p>
    <w:p w:rsidR="008F5FA0" w:rsidRDefault="008F5FA0" w:rsidP="008F5FA0">
      <w:pPr>
        <w:rPr>
          <w:rFonts w:ascii="Garamond" w:hAnsi="Garamond"/>
          <w:sz w:val="24"/>
          <w:szCs w:val="24"/>
          <w:lang w:eastAsia="sk-SK"/>
        </w:rPr>
      </w:pP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Ondrej Prostredník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Lucia Plaváková</w:t>
      </w: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Alena Nováková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predsedníčka výboru</w:t>
      </w: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overovatelia výboru</w:t>
      </w:r>
      <w:r>
        <w:rPr>
          <w:rFonts w:ascii="Garamond" w:hAnsi="Garamond"/>
          <w:sz w:val="24"/>
          <w:szCs w:val="24"/>
        </w:rPr>
        <w:tab/>
      </w:r>
    </w:p>
    <w:p w:rsidR="008F5FA0" w:rsidRDefault="008F5FA0" w:rsidP="008F5FA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F5FA0" w:rsidRDefault="008F5FA0" w:rsidP="008F5FA0">
      <w:pPr>
        <w:spacing w:line="25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8F5FA0" w:rsidRDefault="008F5FA0" w:rsidP="008F5FA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Príloha k uzneseniu č. 51</w:t>
      </w:r>
    </w:p>
    <w:p w:rsidR="008F5FA0" w:rsidRDefault="008F5FA0" w:rsidP="008F5FA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Pripomienky</w:t>
      </w:r>
    </w:p>
    <w:p w:rsidR="008F5FA0" w:rsidRDefault="008F5FA0" w:rsidP="008F5FA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8F5FA0" w:rsidRDefault="008F5FA0" w:rsidP="008F5FA0">
      <w:pPr>
        <w:pBdr>
          <w:bottom w:val="single" w:sz="12" w:space="1" w:color="auto"/>
        </w:pBd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>
        <w:rPr>
          <w:rFonts w:ascii="Garamond" w:hAnsi="Garamond" w:cs="Arial"/>
          <w:noProof/>
          <w:sz w:val="24"/>
          <w:szCs w:val="24"/>
        </w:rPr>
        <w:t xml:space="preserve"> vládnemu návrhu zákona, ktorým sa mení a dopĺňa zákon č. 300/2005 Z. z. Trestný zákon v znení neskorších predpisov a ktorým sa menia a dopĺňajú niektoré zákony (tlač 659)</w:t>
      </w:r>
      <w:r>
        <w:rPr>
          <w:rFonts w:ascii="Garamond" w:hAnsi="Garamond" w:cs="Arial"/>
          <w:sz w:val="24"/>
          <w:szCs w:val="24"/>
        </w:rPr>
        <w:t xml:space="preserve"> – druhé čítanie</w:t>
      </w:r>
    </w:p>
    <w:p w:rsidR="008F5FA0" w:rsidRDefault="008F5FA0" w:rsidP="008F5FA0">
      <w:pPr>
        <w:spacing w:before="240" w:line="276" w:lineRule="auto"/>
        <w:jc w:val="both"/>
        <w:rPr>
          <w:rFonts w:ascii="Garamond" w:hAnsi="Garamond" w:cs="Arial"/>
          <w:b/>
          <w:noProof/>
          <w:sz w:val="24"/>
          <w:szCs w:val="24"/>
        </w:rPr>
      </w:pPr>
    </w:p>
    <w:p w:rsidR="008F5FA0" w:rsidRDefault="008F5FA0" w:rsidP="008F5FA0">
      <w:pPr>
        <w:numPr>
          <w:ilvl w:val="0"/>
          <w:numId w:val="2"/>
        </w:numPr>
        <w:spacing w:before="240" w:line="276" w:lineRule="auto"/>
        <w:jc w:val="both"/>
        <w:rPr>
          <w:rFonts w:ascii="Garamond" w:hAnsi="Garamond" w:cs="Arial"/>
          <w:noProof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w:t>V čl. I 5. bode § 417c ods. 1 sa za slová „členských štátov“ vkladajú slová „Európskej únie“ a v odseku 2 sa za slová „členského štátu“ vkladajú slová „Európskej únie“.</w:t>
      </w:r>
    </w:p>
    <w:p w:rsidR="008F5FA0" w:rsidRDefault="008F5FA0" w:rsidP="008F5FA0">
      <w:pPr>
        <w:spacing w:before="240" w:line="276" w:lineRule="auto"/>
        <w:ind w:left="4956"/>
        <w:jc w:val="both"/>
        <w:rPr>
          <w:rFonts w:ascii="Garamond" w:hAnsi="Garamond" w:cs="Arial"/>
          <w:noProof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w:t>Ide o legislatívno-technickú úpravu, ktorou sa zosúlaďuje  navrhovaná terminológia s terminológiou používanou v zákone.</w:t>
      </w:r>
    </w:p>
    <w:p w:rsidR="008F5FA0" w:rsidRDefault="008F5FA0" w:rsidP="008F5FA0">
      <w:pPr>
        <w:spacing w:before="240" w:line="276" w:lineRule="auto"/>
        <w:jc w:val="both"/>
        <w:rPr>
          <w:rFonts w:ascii="Garamond" w:hAnsi="Garamond" w:cs="Arial"/>
          <w:noProof/>
          <w:sz w:val="24"/>
          <w:szCs w:val="24"/>
        </w:rPr>
      </w:pPr>
    </w:p>
    <w:p w:rsidR="008F5FA0" w:rsidRDefault="008F5FA0" w:rsidP="008F5FA0">
      <w:pPr>
        <w:numPr>
          <w:ilvl w:val="0"/>
          <w:numId w:val="2"/>
        </w:numPr>
        <w:spacing w:before="240" w:line="276" w:lineRule="auto"/>
        <w:jc w:val="both"/>
        <w:rPr>
          <w:rFonts w:ascii="Garamond" w:hAnsi="Garamond" w:cs="Arial"/>
          <w:noProof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w:t xml:space="preserve"> V čl. V  sa slová „1. júna“ nahrádzajú slovami „1. augusta“.</w:t>
      </w:r>
    </w:p>
    <w:p w:rsidR="008F5FA0" w:rsidRDefault="008F5FA0" w:rsidP="008F5FA0">
      <w:pPr>
        <w:spacing w:before="240" w:line="276" w:lineRule="auto"/>
        <w:ind w:left="4956"/>
        <w:jc w:val="both"/>
        <w:rPr>
          <w:rFonts w:ascii="Garamond" w:hAnsi="Garamond" w:cs="Arial"/>
          <w:noProof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w:t xml:space="preserve">Zmena účinnosti sa navrhuje z dôvodu trvania legislatívneho procesu a zabezpečenia aspoň minimálnej legisvakancie. Z uvedených dôvodov je potrebné zmeniť účinnosť zákona tak, aby boli dodržané požiadavky a lehoty stanovené Ústavou Slovenskej  republiky  [čl. 87 ods. 2 až 4  a čl. 102 ods. 1 písm. o)]. </w:t>
      </w:r>
    </w:p>
    <w:p w:rsidR="008F5FA0" w:rsidRDefault="008F5FA0" w:rsidP="008F5FA0">
      <w:pPr>
        <w:spacing w:before="240" w:line="276" w:lineRule="auto"/>
        <w:jc w:val="both"/>
        <w:rPr>
          <w:rFonts w:ascii="Garamond" w:hAnsi="Garamond" w:cs="Arial"/>
          <w:b/>
          <w:noProof/>
          <w:sz w:val="24"/>
          <w:szCs w:val="24"/>
        </w:rPr>
      </w:pPr>
    </w:p>
    <w:p w:rsidR="00123FF9" w:rsidRDefault="00123FF9"/>
    <w:sectPr w:rsidR="0012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17C66374"/>
    <w:lvl w:ilvl="0" w:tplc="C0368F76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Garamond" w:hAnsi="Garamon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FA306F"/>
    <w:multiLevelType w:val="hybridMultilevel"/>
    <w:tmpl w:val="89924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A0"/>
    <w:rsid w:val="00123FF9"/>
    <w:rsid w:val="008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2331E-4030-4F04-94D1-03E6ADA1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5FA0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Char,Odsek zoznamu1 Char,Odsek zoznamu2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8F5FA0"/>
    <w:rPr>
      <w:rFonts w:ascii="Times New Roman" w:eastAsia="Times New Roman" w:hAnsi="Times New Roman" w:cs="Times New Roman"/>
    </w:rPr>
  </w:style>
  <w:style w:type="paragraph" w:styleId="Odsekzoznamu">
    <w:name w:val="List Paragraph"/>
    <w:aliases w:val="body,Odsek,Odsek zoznamu1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8F5FA0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</cp:revision>
  <dcterms:created xsi:type="dcterms:W3CDTF">2025-05-27T06:49:00Z</dcterms:created>
  <dcterms:modified xsi:type="dcterms:W3CDTF">2025-05-27T06:51:00Z</dcterms:modified>
</cp:coreProperties>
</file>