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B07C" w14:textId="77777777" w:rsidR="00E428CD" w:rsidRPr="002D6CB5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2D6CB5">
        <w:t>ÚSTAVNOPRÁVNY VÝBOR</w:t>
      </w:r>
    </w:p>
    <w:p w14:paraId="13258075" w14:textId="77777777" w:rsidR="00E428CD" w:rsidRPr="002D6CB5" w:rsidRDefault="00E428CD" w:rsidP="00E428CD">
      <w:pPr>
        <w:spacing w:line="360" w:lineRule="auto"/>
        <w:rPr>
          <w:b/>
        </w:rPr>
      </w:pPr>
      <w:r w:rsidRPr="002D6CB5">
        <w:rPr>
          <w:b/>
        </w:rPr>
        <w:t>NÁRODNEJ RADY SLOVENSKEJ REPUBLIKY</w:t>
      </w:r>
    </w:p>
    <w:p w14:paraId="20BDC247" w14:textId="77777777" w:rsidR="003D507F" w:rsidRPr="002D6CB5" w:rsidRDefault="003D507F" w:rsidP="003D507F">
      <w:pPr>
        <w:rPr>
          <w:b/>
        </w:rPr>
      </w:pPr>
    </w:p>
    <w:p w14:paraId="2AD2D2FE" w14:textId="77777777" w:rsidR="00A107BB" w:rsidRPr="002D6CB5" w:rsidRDefault="00815769" w:rsidP="00A107BB">
      <w:pPr>
        <w:ind w:left="4955" w:firstLine="709"/>
      </w:pPr>
      <w:r w:rsidRPr="002D6CB5">
        <w:t>8</w:t>
      </w:r>
      <w:r w:rsidR="00E8303D" w:rsidRPr="002D6CB5">
        <w:t>5</w:t>
      </w:r>
      <w:r w:rsidR="00A107BB" w:rsidRPr="002D6CB5">
        <w:t>. schôdza</w:t>
      </w:r>
    </w:p>
    <w:p w14:paraId="29048D40" w14:textId="1D697CA1" w:rsidR="008859F1" w:rsidRPr="002D6CB5" w:rsidRDefault="008859F1" w:rsidP="008859F1">
      <w:pPr>
        <w:ind w:left="4956" w:firstLine="708"/>
      </w:pPr>
      <w:r w:rsidRPr="002D6CB5">
        <w:t>Č.: KNR-UPV-4458/2025-</w:t>
      </w:r>
      <w:r w:rsidR="007438C8" w:rsidRPr="002D6CB5">
        <w:t>22</w:t>
      </w:r>
    </w:p>
    <w:p w14:paraId="26B92D1E" w14:textId="77777777" w:rsidR="008859F1" w:rsidRPr="002D6CB5" w:rsidRDefault="008859F1" w:rsidP="00187AFD">
      <w:pPr>
        <w:ind w:left="4956" w:firstLine="708"/>
      </w:pPr>
    </w:p>
    <w:p w14:paraId="7DA95088" w14:textId="77777777" w:rsidR="00522801" w:rsidRPr="002D6CB5" w:rsidRDefault="00522801" w:rsidP="003953AB">
      <w:pPr>
        <w:jc w:val="center"/>
        <w:rPr>
          <w:i/>
          <w:iCs/>
        </w:rPr>
      </w:pPr>
    </w:p>
    <w:p w14:paraId="63836E9C" w14:textId="57775A7E" w:rsidR="003953AB" w:rsidRPr="002D6CB5" w:rsidRDefault="007438C8" w:rsidP="003953AB">
      <w:pPr>
        <w:jc w:val="center"/>
        <w:rPr>
          <w:i/>
          <w:iCs/>
          <w:sz w:val="36"/>
          <w:szCs w:val="36"/>
        </w:rPr>
      </w:pPr>
      <w:r w:rsidRPr="002D6CB5">
        <w:rPr>
          <w:iCs/>
          <w:sz w:val="36"/>
          <w:szCs w:val="36"/>
        </w:rPr>
        <w:t>293</w:t>
      </w:r>
    </w:p>
    <w:p w14:paraId="44374497" w14:textId="77777777" w:rsidR="00A107BB" w:rsidRPr="002D6CB5" w:rsidRDefault="00A107BB" w:rsidP="00A107BB">
      <w:pPr>
        <w:jc w:val="center"/>
        <w:rPr>
          <w:b/>
        </w:rPr>
      </w:pPr>
      <w:r w:rsidRPr="002D6CB5">
        <w:rPr>
          <w:b/>
        </w:rPr>
        <w:t xml:space="preserve">U z n e s e n i e </w:t>
      </w:r>
    </w:p>
    <w:p w14:paraId="174F409B" w14:textId="77777777" w:rsidR="00A107BB" w:rsidRPr="002D6CB5" w:rsidRDefault="00A107BB" w:rsidP="00A107BB">
      <w:pPr>
        <w:jc w:val="center"/>
        <w:rPr>
          <w:b/>
        </w:rPr>
      </w:pPr>
      <w:r w:rsidRPr="002D6CB5">
        <w:rPr>
          <w:b/>
        </w:rPr>
        <w:t>Ústavnoprávneho výboru Národnej rady Slovenskej republiky</w:t>
      </w:r>
    </w:p>
    <w:p w14:paraId="566E356D" w14:textId="77777777" w:rsidR="00E428CD" w:rsidRPr="002D6CB5" w:rsidRDefault="00A107BB" w:rsidP="00CD11E1">
      <w:pPr>
        <w:jc w:val="center"/>
      </w:pPr>
      <w:r w:rsidRPr="002D6CB5">
        <w:rPr>
          <w:b/>
        </w:rPr>
        <w:t>z</w:t>
      </w:r>
      <w:r w:rsidR="00815769" w:rsidRPr="002D6CB5">
        <w:rPr>
          <w:b/>
        </w:rPr>
        <w:t> </w:t>
      </w:r>
      <w:r w:rsidR="00CD11E1" w:rsidRPr="002D6CB5">
        <w:rPr>
          <w:b/>
        </w:rPr>
        <w:t>2</w:t>
      </w:r>
      <w:r w:rsidR="00815769" w:rsidRPr="002D6CB5">
        <w:rPr>
          <w:b/>
        </w:rPr>
        <w:t>2. mája</w:t>
      </w:r>
      <w:r w:rsidR="003953AB" w:rsidRPr="002D6CB5">
        <w:rPr>
          <w:b/>
        </w:rPr>
        <w:t xml:space="preserve"> 2025</w:t>
      </w:r>
    </w:p>
    <w:p w14:paraId="5D047C80" w14:textId="77777777" w:rsidR="00CD11E1" w:rsidRPr="002D6CB5" w:rsidRDefault="00E428CD" w:rsidP="00CD11E1">
      <w:pPr>
        <w:pStyle w:val="Nadpis2"/>
        <w:keepNext w:val="0"/>
        <w:shd w:val="clear" w:color="auto" w:fill="FFFFFF"/>
        <w:spacing w:before="150" w:after="150"/>
        <w:ind w:left="0" w:firstLine="0"/>
        <w:rPr>
          <w:b w:val="0"/>
          <w:bCs w:val="0"/>
        </w:rPr>
      </w:pPr>
      <w:r w:rsidRPr="002D6CB5">
        <w:rPr>
          <w:b w:val="0"/>
        </w:rPr>
        <w:t>k</w:t>
      </w:r>
      <w:r w:rsidR="003953AB" w:rsidRPr="002D6CB5">
        <w:rPr>
          <w:b w:val="0"/>
        </w:rPr>
        <w:t> </w:t>
      </w:r>
      <w:r w:rsidR="00CD11E1" w:rsidRPr="002D6CB5">
        <w:rPr>
          <w:b w:val="0"/>
        </w:rPr>
        <w:t>v</w:t>
      </w:r>
      <w:r w:rsidR="00CD11E1" w:rsidRPr="002D6CB5">
        <w:rPr>
          <w:b w:val="0"/>
          <w:bCs w:val="0"/>
        </w:rPr>
        <w:t xml:space="preserve">ládnemu návrhu zákona, </w:t>
      </w:r>
      <w:r w:rsidR="00F62370" w:rsidRPr="002D6CB5">
        <w:rPr>
          <w:b w:val="0"/>
          <w:shd w:val="clear" w:color="auto" w:fill="FFFFFF"/>
        </w:rPr>
        <w:t>ktorým sa mení a dopĺňa</w:t>
      </w:r>
      <w:r w:rsidR="00F62370" w:rsidRPr="002D6CB5">
        <w:rPr>
          <w:shd w:val="clear" w:color="auto" w:fill="FFFFFF"/>
        </w:rPr>
        <w:t xml:space="preserve"> zákon č. 300/2005 Z. z. Trestný zákon </w:t>
      </w:r>
      <w:r w:rsidR="00F62370" w:rsidRPr="002D6CB5">
        <w:rPr>
          <w:b w:val="0"/>
          <w:shd w:val="clear" w:color="auto" w:fill="FFFFFF"/>
        </w:rPr>
        <w:t>v znení neskorších predpisov a ktorým sa menia a dopĺňajú niektoré zákony (tlač 659)</w:t>
      </w:r>
      <w:r w:rsidR="00F62370" w:rsidRPr="002D6CB5">
        <w:rPr>
          <w:shd w:val="clear" w:color="auto" w:fill="FFFFFF"/>
        </w:rPr>
        <w:t xml:space="preserve"> </w:t>
      </w:r>
    </w:p>
    <w:p w14:paraId="1029158B" w14:textId="77777777" w:rsidR="00E428CD" w:rsidRPr="002D6CB5" w:rsidRDefault="00E428CD" w:rsidP="00CD11E1">
      <w:pPr>
        <w:pStyle w:val="Bezriadkovania"/>
      </w:pPr>
    </w:p>
    <w:p w14:paraId="132C1D36" w14:textId="77777777" w:rsidR="009C1641" w:rsidRPr="002D6CB5" w:rsidRDefault="009C1641" w:rsidP="00187AFD">
      <w:pPr>
        <w:pStyle w:val="Bezriadkovania"/>
      </w:pPr>
    </w:p>
    <w:p w14:paraId="1E695E6F" w14:textId="77777777" w:rsidR="00E428CD" w:rsidRPr="002D6CB5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2D6CB5">
        <w:tab/>
      </w:r>
      <w:r w:rsidRPr="002D6CB5">
        <w:rPr>
          <w:b/>
        </w:rPr>
        <w:t>Ústavnoprávny výbor Národnej rady Slovenskej republiky</w:t>
      </w:r>
    </w:p>
    <w:p w14:paraId="4B589C8B" w14:textId="77777777" w:rsidR="00522801" w:rsidRPr="002D6CB5" w:rsidRDefault="00522801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217A60A2" w14:textId="77777777" w:rsidR="00E428CD" w:rsidRPr="002D6CB5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D6CB5">
        <w:rPr>
          <w:b/>
        </w:rPr>
        <w:tab/>
        <w:t>A.  s ú h l a s í</w:t>
      </w:r>
    </w:p>
    <w:p w14:paraId="6ED9DC0C" w14:textId="77777777" w:rsidR="00CD11E1" w:rsidRPr="002D6CB5" w:rsidRDefault="00CD11E1" w:rsidP="00CD11E1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 w:rsidRPr="002D6CB5">
        <w:tab/>
      </w:r>
      <w:r w:rsidR="00216A46" w:rsidRPr="002D6CB5">
        <w:t xml:space="preserve"> </w:t>
      </w:r>
      <w:r w:rsidR="007242F2" w:rsidRPr="002D6CB5">
        <w:t xml:space="preserve"> </w:t>
      </w:r>
      <w:r w:rsidR="00E428CD" w:rsidRPr="002D6CB5">
        <w:rPr>
          <w:b w:val="0"/>
        </w:rPr>
        <w:t>s</w:t>
      </w:r>
      <w:r w:rsidR="003953AB" w:rsidRPr="002D6CB5">
        <w:rPr>
          <w:b w:val="0"/>
        </w:rPr>
        <w:t xml:space="preserve"> vládnym </w:t>
      </w:r>
      <w:r w:rsidR="00E428CD" w:rsidRPr="002D6CB5">
        <w:rPr>
          <w:b w:val="0"/>
        </w:rPr>
        <w:t>návrhom</w:t>
      </w:r>
      <w:r w:rsidR="00F62370" w:rsidRPr="002D6CB5">
        <w:rPr>
          <w:b w:val="0"/>
        </w:rPr>
        <w:t xml:space="preserve"> </w:t>
      </w:r>
      <w:r w:rsidRPr="002D6CB5">
        <w:rPr>
          <w:b w:val="0"/>
          <w:bCs w:val="0"/>
        </w:rPr>
        <w:t xml:space="preserve">zákona, </w:t>
      </w:r>
      <w:r w:rsidR="00F62370" w:rsidRPr="002D6CB5">
        <w:rPr>
          <w:b w:val="0"/>
          <w:bCs w:val="0"/>
        </w:rPr>
        <w:t>ktorým sa mení a dopĺňa zákon č. 300/2005 Z. z. Trestný zákon v znení neskorších predpisov a ktorým sa menia a dopĺňajú niektoré zákony (tlač 659);</w:t>
      </w:r>
    </w:p>
    <w:p w14:paraId="36DBB737" w14:textId="77777777" w:rsidR="00E428CD" w:rsidRPr="002D6CB5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26108064" w14:textId="77777777" w:rsidR="00E428CD" w:rsidRPr="002D6CB5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D6CB5">
        <w:rPr>
          <w:b/>
        </w:rPr>
        <w:tab/>
        <w:t>  B.  o d p o r ú č a</w:t>
      </w:r>
    </w:p>
    <w:p w14:paraId="621A33C6" w14:textId="77777777" w:rsidR="00E428CD" w:rsidRPr="002D6CB5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2411CA8" w14:textId="77777777" w:rsidR="009C1641" w:rsidRPr="002D6CB5" w:rsidRDefault="00E428CD" w:rsidP="009C1641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 w:rsidRPr="002D6CB5">
        <w:rPr>
          <w:b/>
        </w:rPr>
        <w:tab/>
      </w:r>
      <w:r w:rsidRPr="002D6CB5">
        <w:rPr>
          <w:b/>
        </w:rPr>
        <w:tab/>
      </w:r>
      <w:r w:rsidRPr="002D6CB5">
        <w:rPr>
          <w:b/>
        </w:rPr>
        <w:tab/>
        <w:t xml:space="preserve">  </w:t>
      </w:r>
      <w:r w:rsidR="009C1641" w:rsidRPr="002D6CB5">
        <w:rPr>
          <w:b/>
        </w:rPr>
        <w:tab/>
      </w:r>
      <w:r w:rsidRPr="002D6CB5">
        <w:t>Národnej rade Slovenskej republiky</w:t>
      </w:r>
    </w:p>
    <w:p w14:paraId="36F517D2" w14:textId="77777777" w:rsidR="002B6BD5" w:rsidRPr="002D6CB5" w:rsidRDefault="009C1641" w:rsidP="00B55912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</w:rPr>
      </w:pPr>
      <w:r w:rsidRPr="002D6CB5">
        <w:tab/>
      </w:r>
      <w:r w:rsidR="00606832" w:rsidRPr="002D6CB5">
        <w:rPr>
          <w:b w:val="0"/>
        </w:rPr>
        <w:t xml:space="preserve">vládny </w:t>
      </w:r>
      <w:r w:rsidR="00B55912" w:rsidRPr="002D6CB5">
        <w:rPr>
          <w:b w:val="0"/>
          <w:bCs w:val="0"/>
        </w:rPr>
        <w:t xml:space="preserve">návrh zákona, </w:t>
      </w:r>
      <w:r w:rsidR="00F62370" w:rsidRPr="002D6CB5">
        <w:rPr>
          <w:b w:val="0"/>
          <w:bCs w:val="0"/>
        </w:rPr>
        <w:t>ktorým sa mení a dopĺňa zákon č.</w:t>
      </w:r>
      <w:r w:rsidR="00216A46" w:rsidRPr="002D6CB5">
        <w:rPr>
          <w:b w:val="0"/>
          <w:bCs w:val="0"/>
        </w:rPr>
        <w:t xml:space="preserve"> 300/2005 Z. z. Trestný zákon v </w:t>
      </w:r>
      <w:r w:rsidR="00F62370" w:rsidRPr="002D6CB5">
        <w:rPr>
          <w:b w:val="0"/>
          <w:bCs w:val="0"/>
        </w:rPr>
        <w:t xml:space="preserve">znení neskorších predpisov a ktorým sa menia a dopĺňajú niektoré zákony (tlač 659) </w:t>
      </w:r>
      <w:r w:rsidR="002B6BD5" w:rsidRPr="002D6CB5">
        <w:rPr>
          <w:rFonts w:cs="Arial"/>
        </w:rPr>
        <w:t>schváliť</w:t>
      </w:r>
      <w:r w:rsidR="00F62370" w:rsidRPr="002D6CB5">
        <w:rPr>
          <w:rFonts w:cs="Arial"/>
        </w:rPr>
        <w:t xml:space="preserve"> </w:t>
      </w:r>
      <w:r w:rsidR="002B6BD5" w:rsidRPr="002D6CB5">
        <w:rPr>
          <w:b w:val="0"/>
        </w:rPr>
        <w:t xml:space="preserve">so zmenami a doplnkami uvedenými v prílohe tohto uznesenia; </w:t>
      </w:r>
    </w:p>
    <w:p w14:paraId="739FB55E" w14:textId="77777777" w:rsidR="00E428CD" w:rsidRPr="002D6CB5" w:rsidRDefault="00E428CD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50FDCE6F" w14:textId="77777777" w:rsidR="009073F4" w:rsidRPr="002D6CB5" w:rsidRDefault="009073F4" w:rsidP="009073F4">
      <w:pPr>
        <w:tabs>
          <w:tab w:val="left" w:pos="1134"/>
        </w:tabs>
        <w:ind w:firstLine="708"/>
        <w:rPr>
          <w:b/>
        </w:rPr>
      </w:pPr>
      <w:r w:rsidRPr="002D6CB5">
        <w:rPr>
          <w:b/>
        </w:rPr>
        <w:t> C.</w:t>
      </w:r>
      <w:r w:rsidRPr="002D6CB5">
        <w:rPr>
          <w:b/>
        </w:rPr>
        <w:tab/>
        <w:t>p o v e r u j e</w:t>
      </w:r>
    </w:p>
    <w:p w14:paraId="33E558C2" w14:textId="77777777" w:rsidR="009073F4" w:rsidRPr="002D6CB5" w:rsidRDefault="009073F4" w:rsidP="009073F4">
      <w:pPr>
        <w:pStyle w:val="Zkladntext"/>
        <w:tabs>
          <w:tab w:val="left" w:pos="1134"/>
          <w:tab w:val="left" w:pos="1276"/>
        </w:tabs>
      </w:pPr>
      <w:r w:rsidRPr="002D6CB5">
        <w:tab/>
      </w:r>
    </w:p>
    <w:p w14:paraId="008ADB8E" w14:textId="77777777" w:rsidR="009073F4" w:rsidRPr="002D6CB5" w:rsidRDefault="009073F4" w:rsidP="009073F4">
      <w:pPr>
        <w:tabs>
          <w:tab w:val="left" w:pos="1134"/>
        </w:tabs>
        <w:jc w:val="both"/>
      </w:pPr>
      <w:r w:rsidRPr="002D6CB5">
        <w:tab/>
        <w:t>predsedu výboru, aby spracoval výsledky rokovania Ústavnoprávneho výboru Národnej rady Slovenskej republiky z</w:t>
      </w:r>
      <w:r w:rsidR="00815769" w:rsidRPr="002D6CB5">
        <w:t> </w:t>
      </w:r>
      <w:r w:rsidRPr="002D6CB5">
        <w:t>2</w:t>
      </w:r>
      <w:r w:rsidR="00815769" w:rsidRPr="002D6CB5">
        <w:t>2. mája</w:t>
      </w:r>
      <w:r w:rsidRPr="002D6CB5">
        <w:t xml:space="preserve"> 2025 spolu s výsledkami rokovania výborov Národnej rady Slovenskej republiky do písomnej spoločnej správy výborov Národnej rady Slovenskej republiky a predložil ju na schválenie gestorskému výboru.</w:t>
      </w:r>
    </w:p>
    <w:p w14:paraId="6A15783A" w14:textId="77777777" w:rsidR="009073F4" w:rsidRPr="002D6CB5" w:rsidRDefault="009073F4" w:rsidP="009073F4">
      <w:pPr>
        <w:tabs>
          <w:tab w:val="left" w:pos="1134"/>
        </w:tabs>
        <w:jc w:val="both"/>
      </w:pPr>
    </w:p>
    <w:p w14:paraId="54B23844" w14:textId="77777777" w:rsidR="009073F4" w:rsidRPr="002D6CB5" w:rsidRDefault="009073F4" w:rsidP="009073F4">
      <w:pPr>
        <w:tabs>
          <w:tab w:val="left" w:pos="1134"/>
        </w:tabs>
        <w:jc w:val="both"/>
      </w:pPr>
    </w:p>
    <w:p w14:paraId="54255CEC" w14:textId="77777777" w:rsidR="009073F4" w:rsidRPr="002D6CB5" w:rsidRDefault="009073F4" w:rsidP="009073F4">
      <w:pPr>
        <w:tabs>
          <w:tab w:val="left" w:pos="1134"/>
        </w:tabs>
        <w:jc w:val="both"/>
      </w:pPr>
    </w:p>
    <w:p w14:paraId="386AA9DE" w14:textId="77777777" w:rsidR="008554D3" w:rsidRPr="002D6CB5" w:rsidRDefault="008554D3" w:rsidP="009B055C">
      <w:pPr>
        <w:tabs>
          <w:tab w:val="left" w:pos="1134"/>
        </w:tabs>
        <w:jc w:val="both"/>
      </w:pPr>
    </w:p>
    <w:p w14:paraId="6F038535" w14:textId="77777777" w:rsidR="008554D3" w:rsidRPr="002D6CB5" w:rsidRDefault="008554D3" w:rsidP="009B055C">
      <w:pPr>
        <w:tabs>
          <w:tab w:val="left" w:pos="1134"/>
        </w:tabs>
        <w:jc w:val="both"/>
      </w:pPr>
    </w:p>
    <w:p w14:paraId="751A411B" w14:textId="4B5B5ADE" w:rsidR="002B6BD5" w:rsidRPr="002D6CB5" w:rsidRDefault="009B055C" w:rsidP="002B6BD5">
      <w:pPr>
        <w:jc w:val="both"/>
      </w:pPr>
      <w:r w:rsidRPr="002D6CB5">
        <w:tab/>
      </w:r>
      <w:r w:rsidR="002B6BD5" w:rsidRPr="002D6CB5">
        <w:tab/>
      </w:r>
      <w:r w:rsidR="002B6BD5" w:rsidRPr="002D6CB5">
        <w:tab/>
      </w:r>
      <w:r w:rsidR="002B6BD5" w:rsidRPr="002D6CB5">
        <w:tab/>
      </w:r>
      <w:r w:rsidR="002B6BD5" w:rsidRPr="002D6CB5">
        <w:tab/>
      </w:r>
      <w:r w:rsidR="002B6BD5" w:rsidRPr="002D6CB5">
        <w:tab/>
      </w:r>
      <w:r w:rsidR="002B6BD5" w:rsidRPr="002D6CB5">
        <w:tab/>
      </w:r>
      <w:r w:rsidR="002B6BD5" w:rsidRPr="002D6CB5">
        <w:tab/>
      </w:r>
      <w:r w:rsidR="000E27FD" w:rsidRPr="002D6CB5">
        <w:t xml:space="preserve"> </w:t>
      </w:r>
      <w:r w:rsidR="002B6BD5" w:rsidRPr="002D6CB5">
        <w:tab/>
      </w:r>
      <w:r w:rsidR="002B6BD5" w:rsidRPr="002D6CB5">
        <w:tab/>
      </w:r>
      <w:r w:rsidR="000E27FD" w:rsidRPr="002D6CB5">
        <w:t xml:space="preserve"> </w:t>
      </w:r>
      <w:r w:rsidR="002B6BD5" w:rsidRPr="002D6CB5">
        <w:t xml:space="preserve">Miroslav Čellár </w:t>
      </w:r>
    </w:p>
    <w:p w14:paraId="0B409695" w14:textId="77777777" w:rsidR="002B6BD5" w:rsidRPr="002D6CB5" w:rsidRDefault="002B6BD5" w:rsidP="002B6BD5">
      <w:pPr>
        <w:jc w:val="both"/>
        <w:rPr>
          <w:rFonts w:ascii="AT*Toronto" w:hAnsi="AT*Toronto"/>
          <w:szCs w:val="20"/>
        </w:rPr>
      </w:pPr>
      <w:r w:rsidRPr="002D6CB5">
        <w:t xml:space="preserve">                                                                                                                       predseda výboru</w:t>
      </w:r>
    </w:p>
    <w:p w14:paraId="47DD89A7" w14:textId="77777777" w:rsidR="002B6BD5" w:rsidRPr="002D6CB5" w:rsidRDefault="002B6BD5" w:rsidP="002B6BD5">
      <w:pPr>
        <w:tabs>
          <w:tab w:val="left" w:pos="1021"/>
        </w:tabs>
        <w:jc w:val="both"/>
      </w:pPr>
      <w:r w:rsidRPr="002D6CB5">
        <w:t>overovatelia výboru:</w:t>
      </w:r>
    </w:p>
    <w:p w14:paraId="18F69600" w14:textId="77777777" w:rsidR="002B6BD5" w:rsidRPr="002D6CB5" w:rsidRDefault="002B6BD5" w:rsidP="002B6BD5">
      <w:r w:rsidRPr="002D6CB5">
        <w:t>Štefan Gašparovič</w:t>
      </w:r>
    </w:p>
    <w:p w14:paraId="46E538AB" w14:textId="77777777" w:rsidR="002B6BD5" w:rsidRPr="002D6CB5" w:rsidRDefault="002B6BD5" w:rsidP="002B6BD5">
      <w:r w:rsidRPr="002D6CB5">
        <w:t xml:space="preserve">Branislav Vančo </w:t>
      </w:r>
    </w:p>
    <w:p w14:paraId="62BBDA93" w14:textId="77777777" w:rsidR="004E641D" w:rsidRPr="002D6CB5" w:rsidRDefault="004E641D" w:rsidP="004E641D">
      <w:pPr>
        <w:rPr>
          <w:lang w:eastAsia="en-US"/>
        </w:rPr>
      </w:pPr>
    </w:p>
    <w:p w14:paraId="5BBD2D2A" w14:textId="77777777" w:rsidR="00391992" w:rsidRPr="002D6CB5" w:rsidRDefault="00391992" w:rsidP="00391992">
      <w:pPr>
        <w:pStyle w:val="Nadpis2"/>
        <w:jc w:val="left"/>
      </w:pPr>
      <w:r w:rsidRPr="002D6CB5">
        <w:lastRenderedPageBreak/>
        <w:t>P r í l o h a</w:t>
      </w:r>
    </w:p>
    <w:p w14:paraId="037A9674" w14:textId="77777777" w:rsidR="00391992" w:rsidRPr="002D6CB5" w:rsidRDefault="00391992" w:rsidP="00391992">
      <w:pPr>
        <w:ind w:left="4253" w:firstLine="708"/>
        <w:jc w:val="both"/>
        <w:rPr>
          <w:b/>
          <w:bCs/>
        </w:rPr>
      </w:pPr>
      <w:r w:rsidRPr="002D6CB5">
        <w:rPr>
          <w:b/>
          <w:bCs/>
        </w:rPr>
        <w:t xml:space="preserve">k uzneseniu Ústavnoprávneho </w:t>
      </w:r>
    </w:p>
    <w:p w14:paraId="10EA8CBA" w14:textId="0821350D" w:rsidR="00636109" w:rsidRPr="002D6CB5" w:rsidRDefault="00391992" w:rsidP="00391992">
      <w:pPr>
        <w:ind w:left="4253" w:firstLine="708"/>
        <w:jc w:val="both"/>
        <w:rPr>
          <w:b/>
        </w:rPr>
      </w:pPr>
      <w:r w:rsidRPr="002D6CB5">
        <w:rPr>
          <w:b/>
        </w:rPr>
        <w:t>výboru Národnej rady SR č.</w:t>
      </w:r>
      <w:r w:rsidR="007438C8" w:rsidRPr="002D6CB5">
        <w:rPr>
          <w:b/>
        </w:rPr>
        <w:t xml:space="preserve"> 293</w:t>
      </w:r>
    </w:p>
    <w:p w14:paraId="112571F9" w14:textId="77777777" w:rsidR="00391992" w:rsidRPr="002D6CB5" w:rsidRDefault="00391992" w:rsidP="00391992">
      <w:pPr>
        <w:ind w:left="4253" w:firstLine="708"/>
        <w:jc w:val="both"/>
        <w:rPr>
          <w:b/>
        </w:rPr>
      </w:pPr>
      <w:r w:rsidRPr="002D6CB5">
        <w:rPr>
          <w:b/>
        </w:rPr>
        <w:t>z</w:t>
      </w:r>
      <w:r w:rsidR="00815769" w:rsidRPr="002D6CB5">
        <w:rPr>
          <w:b/>
        </w:rPr>
        <w:t> </w:t>
      </w:r>
      <w:r w:rsidR="00B55912" w:rsidRPr="002D6CB5">
        <w:rPr>
          <w:b/>
        </w:rPr>
        <w:t>2</w:t>
      </w:r>
      <w:r w:rsidR="00815769" w:rsidRPr="002D6CB5">
        <w:rPr>
          <w:b/>
        </w:rPr>
        <w:t>2. mája</w:t>
      </w:r>
      <w:r w:rsidR="00B55912" w:rsidRPr="002D6CB5">
        <w:rPr>
          <w:b/>
        </w:rPr>
        <w:t xml:space="preserve"> </w:t>
      </w:r>
      <w:r w:rsidR="007C6A8C" w:rsidRPr="002D6CB5">
        <w:rPr>
          <w:b/>
        </w:rPr>
        <w:t>202</w:t>
      </w:r>
      <w:r w:rsidR="003953AB" w:rsidRPr="002D6CB5">
        <w:rPr>
          <w:b/>
        </w:rPr>
        <w:t>5</w:t>
      </w:r>
    </w:p>
    <w:p w14:paraId="64920BFC" w14:textId="77777777" w:rsidR="00391992" w:rsidRPr="002D6CB5" w:rsidRDefault="00846CE1" w:rsidP="00391992">
      <w:pPr>
        <w:ind w:left="4253" w:firstLine="703"/>
        <w:jc w:val="both"/>
        <w:rPr>
          <w:b/>
          <w:bCs/>
          <w:lang w:eastAsia="en-US"/>
        </w:rPr>
      </w:pPr>
      <w:r w:rsidRPr="002D6CB5">
        <w:rPr>
          <w:b/>
          <w:bCs/>
        </w:rPr>
        <w:t>_______________________</w:t>
      </w:r>
      <w:r w:rsidR="00391992" w:rsidRPr="002D6CB5">
        <w:rPr>
          <w:b/>
          <w:bCs/>
        </w:rPr>
        <w:t>__</w:t>
      </w:r>
      <w:r w:rsidR="0051091B" w:rsidRPr="002D6CB5">
        <w:rPr>
          <w:b/>
          <w:bCs/>
        </w:rPr>
        <w:t>___</w:t>
      </w:r>
    </w:p>
    <w:p w14:paraId="51E2BB08" w14:textId="77777777" w:rsidR="009C1641" w:rsidRPr="002D6CB5" w:rsidRDefault="009C1641" w:rsidP="001B7191">
      <w:pPr>
        <w:rPr>
          <w:lang w:eastAsia="en-US"/>
        </w:rPr>
      </w:pPr>
    </w:p>
    <w:p w14:paraId="022DFEBF" w14:textId="77777777" w:rsidR="003A3FFB" w:rsidRPr="002D6CB5" w:rsidRDefault="003A3FFB" w:rsidP="001B7191">
      <w:pPr>
        <w:rPr>
          <w:lang w:eastAsia="en-US"/>
        </w:rPr>
      </w:pPr>
    </w:p>
    <w:p w14:paraId="39929AE3" w14:textId="77777777" w:rsidR="003A3FFB" w:rsidRPr="002D6CB5" w:rsidRDefault="003A3FFB" w:rsidP="001B7191">
      <w:pPr>
        <w:rPr>
          <w:lang w:eastAsia="en-US"/>
        </w:rPr>
      </w:pPr>
    </w:p>
    <w:p w14:paraId="484CC478" w14:textId="77777777" w:rsidR="00391992" w:rsidRPr="002D6CB5" w:rsidRDefault="00391992" w:rsidP="003A3FFB">
      <w:pPr>
        <w:rPr>
          <w:lang w:eastAsia="en-US"/>
        </w:rPr>
      </w:pPr>
    </w:p>
    <w:p w14:paraId="4419FD72" w14:textId="77777777" w:rsidR="003A3FFB" w:rsidRPr="002D6CB5" w:rsidRDefault="00391992" w:rsidP="003A3FFB">
      <w:pPr>
        <w:pStyle w:val="Nadpis2"/>
        <w:keepNext w:val="0"/>
        <w:shd w:val="clear" w:color="auto" w:fill="FFFFFF"/>
        <w:ind w:left="0" w:firstLine="0"/>
        <w:jc w:val="center"/>
      </w:pPr>
      <w:r w:rsidRPr="002D6CB5">
        <w:t>Pozmeňujúce a doplňujúce návrhy</w:t>
      </w:r>
      <w:bookmarkEnd w:id="0"/>
    </w:p>
    <w:p w14:paraId="341CCDB0" w14:textId="77777777" w:rsidR="003A3FFB" w:rsidRPr="002D6CB5" w:rsidRDefault="003A3FFB" w:rsidP="003A3FFB">
      <w:pPr>
        <w:rPr>
          <w:lang w:eastAsia="en-US"/>
        </w:rPr>
      </w:pPr>
    </w:p>
    <w:p w14:paraId="500BB985" w14:textId="77777777" w:rsidR="003A3FFB" w:rsidRPr="002D6CB5" w:rsidRDefault="003953AB" w:rsidP="003A3FFB">
      <w:pPr>
        <w:pStyle w:val="Nadpis2"/>
        <w:keepNext w:val="0"/>
        <w:shd w:val="clear" w:color="auto" w:fill="FFFFFF"/>
        <w:ind w:left="0" w:firstLine="0"/>
        <w:rPr>
          <w:bCs w:val="0"/>
        </w:rPr>
      </w:pPr>
      <w:r w:rsidRPr="002D6CB5">
        <w:t>k </w:t>
      </w:r>
      <w:r w:rsidR="003A3FFB" w:rsidRPr="002D6CB5">
        <w:t> v</w:t>
      </w:r>
      <w:r w:rsidR="003A3FFB" w:rsidRPr="002D6CB5">
        <w:rPr>
          <w:bCs w:val="0"/>
        </w:rPr>
        <w:t xml:space="preserve">ládnemu návrhu zákona, </w:t>
      </w:r>
      <w:r w:rsidR="00F62370" w:rsidRPr="002D6CB5">
        <w:rPr>
          <w:bCs w:val="0"/>
        </w:rPr>
        <w:t xml:space="preserve">ktorým sa mení a dopĺňa zákon č. 300/2005 Z. z. Trestný zákon v znení neskorších predpisov a ktorým sa menia a dopĺňajú niektoré zákony (tlač 659) </w:t>
      </w:r>
    </w:p>
    <w:p w14:paraId="6CD90253" w14:textId="77777777" w:rsidR="0051091B" w:rsidRPr="002D6CB5" w:rsidRDefault="00335108" w:rsidP="003A3FFB">
      <w:pPr>
        <w:pStyle w:val="Nadpis2"/>
        <w:keepNext w:val="0"/>
        <w:shd w:val="clear" w:color="auto" w:fill="FFFFFF"/>
        <w:ind w:left="0" w:firstLine="0"/>
        <w:rPr>
          <w:b w:val="0"/>
        </w:rPr>
      </w:pPr>
      <w:r w:rsidRPr="002D6CB5">
        <w:rPr>
          <w:shd w:val="clear" w:color="auto" w:fill="FFFFFF"/>
        </w:rPr>
        <w:t>_______________________________</w:t>
      </w:r>
      <w:r w:rsidR="004E641D" w:rsidRPr="002D6CB5">
        <w:rPr>
          <w:shd w:val="clear" w:color="auto" w:fill="FFFFFF"/>
        </w:rPr>
        <w:t>__________</w:t>
      </w:r>
      <w:r w:rsidR="009C1641" w:rsidRPr="002D6CB5">
        <w:rPr>
          <w:shd w:val="clear" w:color="auto" w:fill="FFFFFF"/>
        </w:rPr>
        <w:t>________________________________</w:t>
      </w:r>
      <w:r w:rsidR="003A3FFB" w:rsidRPr="002D6CB5">
        <w:rPr>
          <w:shd w:val="clear" w:color="auto" w:fill="FFFFFF"/>
        </w:rPr>
        <w:t>__</w:t>
      </w:r>
    </w:p>
    <w:p w14:paraId="5C3B1047" w14:textId="415384D9" w:rsidR="0051091B" w:rsidRPr="002D6CB5" w:rsidRDefault="0051091B" w:rsidP="003A3FFB">
      <w:pPr>
        <w:tabs>
          <w:tab w:val="left" w:pos="284"/>
        </w:tabs>
        <w:jc w:val="both"/>
        <w:rPr>
          <w:b/>
        </w:rPr>
      </w:pPr>
    </w:p>
    <w:p w14:paraId="3C1C4BC7" w14:textId="219068BD" w:rsidR="009B3F21" w:rsidRPr="002D6CB5" w:rsidRDefault="009B3F21" w:rsidP="003A3FFB">
      <w:pPr>
        <w:tabs>
          <w:tab w:val="left" w:pos="284"/>
        </w:tabs>
        <w:jc w:val="both"/>
        <w:rPr>
          <w:b/>
        </w:rPr>
      </w:pPr>
    </w:p>
    <w:p w14:paraId="152F1C19" w14:textId="77777777" w:rsidR="00A428AB" w:rsidRPr="002D6CB5" w:rsidRDefault="00A428AB" w:rsidP="00A428AB">
      <w:pPr>
        <w:jc w:val="both"/>
        <w:rPr>
          <w:b/>
        </w:rPr>
      </w:pPr>
    </w:p>
    <w:p w14:paraId="4B55B449" w14:textId="77777777" w:rsidR="00A428AB" w:rsidRPr="002D6CB5" w:rsidRDefault="00A428AB" w:rsidP="00A428AB">
      <w:pPr>
        <w:jc w:val="both"/>
      </w:pPr>
      <w:r w:rsidRPr="002D6CB5">
        <w:rPr>
          <w:b/>
        </w:rPr>
        <w:t xml:space="preserve">1. V čl. I 4. bod v § 137b ods. 2 </w:t>
      </w:r>
      <w:r w:rsidRPr="002D6CB5">
        <w:t>sa za slovo „osoba“ vkladá čiarka a slová „alebo orgán“ sa nahrádzajú slovami „orgán alebo subjekt“.</w:t>
      </w:r>
    </w:p>
    <w:p w14:paraId="31F2401E" w14:textId="77777777" w:rsidR="00A428AB" w:rsidRPr="002D6CB5" w:rsidRDefault="00A428AB" w:rsidP="00A428AB">
      <w:pPr>
        <w:jc w:val="both"/>
      </w:pPr>
    </w:p>
    <w:p w14:paraId="35929272" w14:textId="03EAFE0A" w:rsidR="00A428AB" w:rsidRPr="002D6CB5" w:rsidRDefault="00A428AB" w:rsidP="00A428AB">
      <w:pPr>
        <w:ind w:left="2832" w:hanging="2832"/>
        <w:jc w:val="both"/>
      </w:pPr>
      <w:r w:rsidRPr="002D6CB5">
        <w:tab/>
        <w:t>Navrhuje sa rozšírenie definície označenej osoby o pojem „subjekt“. Vložením pojmu „subjekt“ do predmetnej definície sa zabezpečí pokrytie celého rozsahu smernice, čím možno predísť situáciám, kedy by nebolo možné osobu alebo orgán „</w:t>
      </w:r>
      <w:proofErr w:type="spellStart"/>
      <w:r w:rsidRPr="002D6CB5">
        <w:t>sui</w:t>
      </w:r>
      <w:proofErr w:type="spellEnd"/>
      <w:r w:rsidRPr="002D6CB5">
        <w:t xml:space="preserve"> </w:t>
      </w:r>
      <w:proofErr w:type="spellStart"/>
      <w:r w:rsidRPr="002D6CB5">
        <w:t>generis</w:t>
      </w:r>
      <w:proofErr w:type="spellEnd"/>
      <w:r w:rsidRPr="002D6CB5">
        <w:t xml:space="preserve">“ subsumovať ani pod pojem osoba a ani pod pojem orgán, a tak by ostali mimo rozsah definície označenej osoby a zároveň smernice.  </w:t>
      </w:r>
    </w:p>
    <w:p w14:paraId="5308E732" w14:textId="77777777" w:rsidR="00A428AB" w:rsidRPr="002D6CB5" w:rsidRDefault="00A428AB" w:rsidP="00A428AB">
      <w:pPr>
        <w:ind w:left="2832" w:hanging="2832"/>
        <w:jc w:val="both"/>
      </w:pPr>
    </w:p>
    <w:p w14:paraId="179A4375" w14:textId="77777777" w:rsidR="00A428AB" w:rsidRPr="002D6CB5" w:rsidRDefault="00A428AB" w:rsidP="00A428AB">
      <w:pPr>
        <w:ind w:left="2832" w:hanging="2832"/>
        <w:jc w:val="both"/>
      </w:pPr>
      <w:r w:rsidRPr="002D6CB5">
        <w:rPr>
          <w:b/>
        </w:rPr>
        <w:t xml:space="preserve">2.  V čl. I 4. bod v § 137b ods. 3 </w:t>
      </w:r>
      <w:r w:rsidRPr="002D6CB5">
        <w:t>úvodnej vete sa na konci pripája slovo „najmä“.</w:t>
      </w:r>
    </w:p>
    <w:p w14:paraId="141A8E43" w14:textId="77777777" w:rsidR="00A428AB" w:rsidRPr="002D6CB5" w:rsidRDefault="00A428AB" w:rsidP="00A428AB">
      <w:pPr>
        <w:jc w:val="both"/>
        <w:rPr>
          <w:b/>
        </w:rPr>
      </w:pPr>
    </w:p>
    <w:p w14:paraId="59D06100" w14:textId="69206F4A" w:rsidR="00A428AB" w:rsidRPr="002D6CB5" w:rsidRDefault="00A428AB" w:rsidP="00A428AB">
      <w:pPr>
        <w:ind w:left="2832" w:hanging="2832"/>
        <w:jc w:val="both"/>
      </w:pPr>
      <w:r w:rsidRPr="002D6CB5">
        <w:tab/>
        <w:t>Navrhuje sa zaviesť demonštratívny výpočet v rámci definície finančných prostriedkov na účely skutkových podstát trestného činu porušenia reštriktívneho opatrenia. Demonštratívny výpočet finančných prostriedkov uvádza samotná preberaná smernica, nakoľko vzhľadom na rýchly spoločenský a technologický vývoj nemožno vopred určiť uzavretý okruh druhov finančných prostriedkov.</w:t>
      </w:r>
    </w:p>
    <w:p w14:paraId="2A2633D7" w14:textId="233CFA12" w:rsidR="00A428AB" w:rsidRPr="002D6CB5" w:rsidRDefault="00A428AB" w:rsidP="00A428AB">
      <w:pPr>
        <w:ind w:left="2832" w:hanging="2832"/>
        <w:jc w:val="both"/>
      </w:pPr>
    </w:p>
    <w:p w14:paraId="169F75BB" w14:textId="77777777" w:rsidR="00A428AB" w:rsidRPr="002D6CB5" w:rsidRDefault="00A428AB" w:rsidP="00A428AB">
      <w:pPr>
        <w:jc w:val="both"/>
      </w:pPr>
      <w:r w:rsidRPr="002D6CB5">
        <w:rPr>
          <w:b/>
        </w:rPr>
        <w:t xml:space="preserve">3. V čl. I 5. bod v § 417a ods. 1 písm. d) </w:t>
      </w:r>
      <w:r w:rsidRPr="002D6CB5">
        <w:t>sa za slovo „tovar“ vkladá čiarka a slová „poskytuje tranzit“.</w:t>
      </w:r>
    </w:p>
    <w:p w14:paraId="4E55E445" w14:textId="1C5A69CA" w:rsidR="00A428AB" w:rsidRPr="002D6CB5" w:rsidRDefault="00A428AB" w:rsidP="00A428AB">
      <w:pPr>
        <w:ind w:left="2832" w:hanging="2832"/>
        <w:jc w:val="both"/>
      </w:pPr>
      <w:r w:rsidRPr="002D6CB5">
        <w:tab/>
        <w:t>Navrhuje sa rozšíriť základnú skutkovú podstatu o pojem „tranzit“, a zjednotiť tak spôsoby porušenia reštriktívneho opatrenia s ohľadom na skutočnosť, že v návrhu odvodenej špeciálnej skutkovej podstaty v § 417b ods. 1 sa tento pojem už uvádza. Vložením pojmu „tranzit“ do predmetnej skutkovej podstaty možno predísť neúplnej transpozícii, nakoľko ani jeden z pojmov uvedených v aktuálnom návrhu tento pojem nepokrýva, keďže aj samotná preberaná smernica pojmy preprava a tranzit na viacerých miestach rozlišuje.</w:t>
      </w:r>
    </w:p>
    <w:p w14:paraId="5023091A" w14:textId="77777777" w:rsidR="00A428AB" w:rsidRPr="002D6CB5" w:rsidRDefault="00A428AB" w:rsidP="00A428AB">
      <w:pPr>
        <w:ind w:left="2832" w:hanging="2832"/>
        <w:jc w:val="both"/>
      </w:pPr>
    </w:p>
    <w:p w14:paraId="6B2102B5" w14:textId="77777777" w:rsidR="00A428AB" w:rsidRPr="002D6CB5" w:rsidRDefault="00A428AB" w:rsidP="00A428AB">
      <w:pPr>
        <w:jc w:val="both"/>
      </w:pPr>
      <w:r w:rsidRPr="002D6CB5">
        <w:rPr>
          <w:b/>
        </w:rPr>
        <w:t xml:space="preserve">4. V čl. I 5. bod v § 417b ods. 1 </w:t>
      </w:r>
      <w:r w:rsidRPr="002D6CB5">
        <w:t>sa za slová „uvedenými“ vkladajú slová „v Spoločnom zozname vojenského materiálu Európskej únie alebo s položkami dvojakého použitia uvedenými“.</w:t>
      </w:r>
    </w:p>
    <w:p w14:paraId="6C71D8E8" w14:textId="77777777" w:rsidR="00A428AB" w:rsidRPr="002D6CB5" w:rsidRDefault="00A428AB" w:rsidP="00A428AB">
      <w:pPr>
        <w:jc w:val="both"/>
      </w:pPr>
    </w:p>
    <w:p w14:paraId="669B1F8F" w14:textId="77777777" w:rsidR="00A428AB" w:rsidRPr="002D6CB5" w:rsidRDefault="00A428AB" w:rsidP="00A428AB">
      <w:pPr>
        <w:jc w:val="both"/>
      </w:pPr>
      <w:r w:rsidRPr="002D6CB5">
        <w:t xml:space="preserve">Poznámka pod čiarou k odkazu 2 znie: </w:t>
      </w:r>
    </w:p>
    <w:p w14:paraId="6816A4B6" w14:textId="77777777" w:rsidR="00A428AB" w:rsidRPr="002D6CB5" w:rsidRDefault="00A428AB" w:rsidP="00A428AB">
      <w:pPr>
        <w:jc w:val="both"/>
      </w:pPr>
      <w:r w:rsidRPr="002D6CB5">
        <w:t>„</w:t>
      </w:r>
      <w:r w:rsidRPr="002D6CB5">
        <w:rPr>
          <w:vertAlign w:val="superscript"/>
        </w:rPr>
        <w:t>2</w:t>
      </w:r>
      <w:r w:rsidRPr="002D6CB5">
        <w:t xml:space="preserve">) Spoločný zoznam vojenského materiálu Európskej únie (Ú. v. EÚ C 98, 15.3.2018). </w:t>
      </w:r>
    </w:p>
    <w:p w14:paraId="47B9CC4F" w14:textId="77777777" w:rsidR="00A428AB" w:rsidRPr="002D6CB5" w:rsidRDefault="00A428AB" w:rsidP="00A428AB">
      <w:pPr>
        <w:jc w:val="both"/>
      </w:pPr>
      <w:r w:rsidRPr="002D6CB5">
        <w:t>Príloha I a IV nariadenia Európskeho parlamentu a Rady (EÚ) 2021/821 z 20. mája 2021, ktorým sa stanovuje režim Únie na kontrolu vývozov, sprostredkovania, technickej pomoci, tranzitu a transferu položiek s dvojakým použitím (prepracované znenie) (Ú. v. EÚ L 206, 11.6.2021) v platnom znení.“.</w:t>
      </w:r>
    </w:p>
    <w:p w14:paraId="3DDFC5A5" w14:textId="77777777" w:rsidR="00A428AB" w:rsidRPr="002D6CB5" w:rsidRDefault="00A428AB" w:rsidP="00A428AB">
      <w:pPr>
        <w:jc w:val="both"/>
      </w:pPr>
    </w:p>
    <w:p w14:paraId="4CAE27B4" w14:textId="5399202E" w:rsidR="00A428AB" w:rsidRPr="002D6CB5" w:rsidRDefault="00A428AB" w:rsidP="00A428AB">
      <w:pPr>
        <w:ind w:left="2832" w:hanging="2832"/>
        <w:jc w:val="both"/>
      </w:pPr>
      <w:r w:rsidRPr="002D6CB5">
        <w:tab/>
        <w:t>Navrhuje sa legislatívno-technická úprava poznámky pod čiarou a precizovanie skutkovej podstaty z dôvodu, že poznámka pod čiarou špecifikuje záväzný výpočet položiek, pričom platí, že poznámka pod čiarou má mať výlučne informatívny charakter a nie normatívny. Skutková podstata trestného činu musí obsahovať jednoznačnú úpravu konkrétnych znakov, ktoré charakterizujú určité ľudské správanie ako trestný čin, a nemôže riešiť jej podstatnú časť (znak) cez poznámku pod čiarou.</w:t>
      </w:r>
    </w:p>
    <w:p w14:paraId="5035F949" w14:textId="77777777" w:rsidR="00A428AB" w:rsidRPr="002D6CB5" w:rsidRDefault="00A428AB" w:rsidP="00A428AB">
      <w:pPr>
        <w:ind w:left="2832" w:hanging="2832"/>
        <w:jc w:val="both"/>
      </w:pPr>
    </w:p>
    <w:p w14:paraId="028228D4" w14:textId="3184E500" w:rsidR="00A428AB" w:rsidRPr="002D6CB5" w:rsidRDefault="00A428AB" w:rsidP="00A428AB">
      <w:pPr>
        <w:pStyle w:val="Odsekzoznamu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6CB5">
        <w:rPr>
          <w:b/>
          <w:sz w:val="24"/>
          <w:szCs w:val="24"/>
        </w:rPr>
        <w:t xml:space="preserve">V čl. I 5. bode § 417c ods. 1 </w:t>
      </w:r>
      <w:r w:rsidRPr="002D6CB5">
        <w:rPr>
          <w:sz w:val="24"/>
          <w:szCs w:val="24"/>
        </w:rPr>
        <w:t>sa za slová „členských štátov“ vkladajú slová „Európskej únie“ a v odseku 2 sa za slová „členského štátu“ vkladajú slová „Európskej únie“.</w:t>
      </w:r>
    </w:p>
    <w:p w14:paraId="56650CA1" w14:textId="77777777" w:rsidR="00A428AB" w:rsidRPr="002D6CB5" w:rsidRDefault="00A428AB" w:rsidP="00A428AB">
      <w:pPr>
        <w:pStyle w:val="Odsekzoznamu"/>
        <w:tabs>
          <w:tab w:val="left" w:pos="2835"/>
        </w:tabs>
        <w:spacing w:after="0" w:line="360" w:lineRule="auto"/>
        <w:ind w:left="426"/>
        <w:jc w:val="both"/>
        <w:rPr>
          <w:rFonts w:eastAsia="Times New Roman"/>
          <w:sz w:val="24"/>
          <w:szCs w:val="24"/>
          <w:lang w:eastAsia="sk-SK"/>
        </w:rPr>
      </w:pPr>
    </w:p>
    <w:p w14:paraId="7DA25E7E" w14:textId="77777777" w:rsidR="00A428AB" w:rsidRPr="002D6CB5" w:rsidRDefault="00A428AB" w:rsidP="00A428AB">
      <w:pPr>
        <w:tabs>
          <w:tab w:val="left" w:pos="2835"/>
        </w:tabs>
        <w:ind w:left="2835"/>
        <w:jc w:val="both"/>
      </w:pPr>
      <w:r w:rsidRPr="002D6CB5">
        <w:t>Ide o legislatívno-technickú úpravu, ktorou sa zosúlaďuje  navrhovaná terminológia s terminológiou používanou v zákone.</w:t>
      </w:r>
    </w:p>
    <w:p w14:paraId="59100F18" w14:textId="77777777" w:rsidR="00A428AB" w:rsidRPr="002D6CB5" w:rsidRDefault="00A428AB" w:rsidP="00A428AB">
      <w:pPr>
        <w:ind w:left="2832" w:hanging="2832"/>
        <w:jc w:val="both"/>
      </w:pPr>
    </w:p>
    <w:p w14:paraId="41A937A4" w14:textId="77777777" w:rsidR="00A428AB" w:rsidRPr="002D6CB5" w:rsidRDefault="00A428AB" w:rsidP="00A428AB">
      <w:pPr>
        <w:jc w:val="both"/>
        <w:rPr>
          <w:b/>
        </w:rPr>
      </w:pPr>
    </w:p>
    <w:p w14:paraId="13C86B6B" w14:textId="71C33D37" w:rsidR="00A428AB" w:rsidRPr="002D6CB5" w:rsidRDefault="00A428AB" w:rsidP="00A428AB">
      <w:pPr>
        <w:jc w:val="both"/>
      </w:pPr>
      <w:r w:rsidRPr="002D6CB5">
        <w:rPr>
          <w:b/>
        </w:rPr>
        <w:t xml:space="preserve">6. Za čl. I sa vkladajú nové čl. II až X, </w:t>
      </w:r>
      <w:r w:rsidRPr="002D6CB5">
        <w:t>ktoré znejú:</w:t>
      </w:r>
    </w:p>
    <w:p w14:paraId="0ACD9D60" w14:textId="77777777" w:rsidR="00A428AB" w:rsidRPr="002D6CB5" w:rsidRDefault="00A428AB" w:rsidP="00A428AB">
      <w:pPr>
        <w:jc w:val="both"/>
        <w:rPr>
          <w:b/>
        </w:rPr>
      </w:pPr>
    </w:p>
    <w:p w14:paraId="0D1B1384" w14:textId="77777777" w:rsidR="00A428AB" w:rsidRPr="002D6CB5" w:rsidRDefault="00A428AB" w:rsidP="00A428AB">
      <w:pPr>
        <w:jc w:val="center"/>
      </w:pPr>
      <w:r w:rsidRPr="002D6CB5">
        <w:t xml:space="preserve">„Čl. II </w:t>
      </w:r>
    </w:p>
    <w:p w14:paraId="62C865CD" w14:textId="77777777" w:rsidR="00A428AB" w:rsidRPr="002D6CB5" w:rsidRDefault="00A428AB" w:rsidP="00A428AB">
      <w:pPr>
        <w:jc w:val="both"/>
      </w:pPr>
    </w:p>
    <w:p w14:paraId="3CF641D0" w14:textId="77777777" w:rsidR="00A428AB" w:rsidRPr="002D6CB5" w:rsidRDefault="00A428AB" w:rsidP="00A428AB">
      <w:pPr>
        <w:shd w:val="clear" w:color="auto" w:fill="FFFFFF"/>
        <w:ind w:firstLine="709"/>
        <w:jc w:val="both"/>
      </w:pPr>
      <w:r w:rsidRPr="002D6CB5">
        <w:t>Zákon Národnej rady Slovenskej republiky č. </w:t>
      </w:r>
      <w:hyperlink r:id="rId5" w:history="1">
        <w:r w:rsidRPr="002D6CB5">
          <w:t>171/1993 Z. z.</w:t>
        </w:r>
      </w:hyperlink>
      <w:r w:rsidRPr="002D6CB5">
        <w:t> o Policajnom zbore v znení zákona Národnej rady Slovenskej republiky č. </w:t>
      </w:r>
      <w:hyperlink r:id="rId6" w:history="1">
        <w:r w:rsidRPr="002D6CB5">
          <w:t>251/1994 Z. z.</w:t>
        </w:r>
      </w:hyperlink>
      <w:r w:rsidRPr="002D6CB5">
        <w:t>, zákona Národnej rady Slovenskej republiky č. </w:t>
      </w:r>
      <w:hyperlink r:id="rId7" w:history="1">
        <w:r w:rsidRPr="002D6CB5">
          <w:t>233/1995 Z. z.</w:t>
        </w:r>
      </w:hyperlink>
      <w:r w:rsidRPr="002D6CB5">
        <w:t>, zákona Národnej rady Slovenskej republiky č. </w:t>
      </w:r>
      <w:hyperlink r:id="rId8" w:history="1">
        <w:r w:rsidRPr="002D6CB5">
          <w:t>315/1996 Z. z.</w:t>
        </w:r>
      </w:hyperlink>
      <w:r w:rsidRPr="002D6CB5">
        <w:t>, zákona č. </w:t>
      </w:r>
      <w:hyperlink r:id="rId9" w:history="1">
        <w:r w:rsidRPr="002D6CB5">
          <w:t>353/1997 Z. z.</w:t>
        </w:r>
      </w:hyperlink>
      <w:r w:rsidRPr="002D6CB5">
        <w:t>, zákona č. </w:t>
      </w:r>
      <w:hyperlink r:id="rId10" w:history="1">
        <w:r w:rsidRPr="002D6CB5">
          <w:t>12/1998 Z. z.</w:t>
        </w:r>
      </w:hyperlink>
      <w:r w:rsidRPr="002D6CB5">
        <w:t>, zákona č. </w:t>
      </w:r>
      <w:hyperlink r:id="rId11" w:history="1">
        <w:r w:rsidRPr="002D6CB5">
          <w:t>73/1998 Z. z.</w:t>
        </w:r>
      </w:hyperlink>
      <w:r w:rsidRPr="002D6CB5">
        <w:t>, zákona č. </w:t>
      </w:r>
      <w:hyperlink r:id="rId12" w:history="1">
        <w:r w:rsidRPr="002D6CB5">
          <w:t>256/1998 Z. z.</w:t>
        </w:r>
      </w:hyperlink>
      <w:r w:rsidRPr="002D6CB5">
        <w:t>, zákona č. </w:t>
      </w:r>
      <w:hyperlink r:id="rId13" w:history="1">
        <w:r w:rsidRPr="002D6CB5">
          <w:t>116/2000 Z. z.</w:t>
        </w:r>
      </w:hyperlink>
      <w:r w:rsidRPr="002D6CB5">
        <w:t>, zákona č. </w:t>
      </w:r>
      <w:hyperlink r:id="rId14" w:history="1">
        <w:r w:rsidRPr="002D6CB5">
          <w:t>323/2000 Z. z.</w:t>
        </w:r>
      </w:hyperlink>
      <w:r w:rsidRPr="002D6CB5">
        <w:t>, zákona č. </w:t>
      </w:r>
      <w:hyperlink r:id="rId15" w:history="1">
        <w:r w:rsidRPr="002D6CB5">
          <w:t>367/2000 Z. z.</w:t>
        </w:r>
      </w:hyperlink>
      <w:r w:rsidRPr="002D6CB5">
        <w:t>, zákona č. </w:t>
      </w:r>
      <w:hyperlink r:id="rId16" w:history="1">
        <w:r w:rsidRPr="002D6CB5">
          <w:t>490/2001 Z. z.</w:t>
        </w:r>
      </w:hyperlink>
      <w:r w:rsidRPr="002D6CB5">
        <w:t>, zákona č. </w:t>
      </w:r>
      <w:hyperlink r:id="rId17" w:history="1">
        <w:r w:rsidRPr="002D6CB5">
          <w:t>48/2002 Z. z.</w:t>
        </w:r>
      </w:hyperlink>
      <w:r w:rsidRPr="002D6CB5">
        <w:t>, zákona č. </w:t>
      </w:r>
      <w:hyperlink r:id="rId18" w:history="1">
        <w:r w:rsidRPr="002D6CB5">
          <w:t>182/2002 Z. z.</w:t>
        </w:r>
      </w:hyperlink>
      <w:r w:rsidRPr="002D6CB5">
        <w:t>, zákona č. </w:t>
      </w:r>
      <w:hyperlink r:id="rId19" w:history="1">
        <w:r w:rsidRPr="002D6CB5">
          <w:t>422/2002 Z. z.</w:t>
        </w:r>
      </w:hyperlink>
      <w:r w:rsidRPr="002D6CB5">
        <w:t>, zákona č. </w:t>
      </w:r>
      <w:hyperlink r:id="rId20" w:history="1">
        <w:r w:rsidRPr="002D6CB5">
          <w:t>155/2003 Z. z.</w:t>
        </w:r>
      </w:hyperlink>
      <w:r w:rsidRPr="002D6CB5">
        <w:t>, zákona č. </w:t>
      </w:r>
      <w:hyperlink r:id="rId21" w:history="1">
        <w:r w:rsidRPr="002D6CB5">
          <w:t>166/2003 Z. z.</w:t>
        </w:r>
      </w:hyperlink>
      <w:r w:rsidRPr="002D6CB5">
        <w:t>, zákona č. </w:t>
      </w:r>
      <w:hyperlink r:id="rId22" w:history="1">
        <w:r w:rsidRPr="002D6CB5">
          <w:t>458/2003 Z. z.</w:t>
        </w:r>
      </w:hyperlink>
      <w:r w:rsidRPr="002D6CB5">
        <w:t>, zákona č. </w:t>
      </w:r>
      <w:hyperlink r:id="rId23" w:history="1">
        <w:r w:rsidRPr="002D6CB5">
          <w:t>537/2004 Z. z.</w:t>
        </w:r>
      </w:hyperlink>
      <w:r w:rsidRPr="002D6CB5">
        <w:t>, zákona č. </w:t>
      </w:r>
      <w:hyperlink r:id="rId24" w:history="1">
        <w:r w:rsidRPr="002D6CB5">
          <w:t>69/2005 Z. z.</w:t>
        </w:r>
      </w:hyperlink>
      <w:r w:rsidRPr="002D6CB5">
        <w:t>, zákona č. </w:t>
      </w:r>
      <w:hyperlink r:id="rId25" w:history="1">
        <w:r w:rsidRPr="002D6CB5">
          <w:t>534/2005 Z. z.</w:t>
        </w:r>
      </w:hyperlink>
      <w:r w:rsidRPr="002D6CB5">
        <w:t>, zákona č. </w:t>
      </w:r>
      <w:hyperlink r:id="rId26" w:history="1">
        <w:r w:rsidRPr="002D6CB5">
          <w:t>558/2005 Z. z.</w:t>
        </w:r>
      </w:hyperlink>
      <w:r w:rsidRPr="002D6CB5">
        <w:t>, zákona č. </w:t>
      </w:r>
      <w:hyperlink r:id="rId27" w:history="1">
        <w:r w:rsidRPr="002D6CB5">
          <w:t>255/2006 Z. z.</w:t>
        </w:r>
      </w:hyperlink>
      <w:r w:rsidRPr="002D6CB5">
        <w:t>, zákona č. </w:t>
      </w:r>
      <w:hyperlink r:id="rId28" w:history="1">
        <w:r w:rsidRPr="002D6CB5">
          <w:t>25/2007 Z. z.</w:t>
        </w:r>
      </w:hyperlink>
      <w:r w:rsidRPr="002D6CB5">
        <w:t>, zákona č. </w:t>
      </w:r>
      <w:hyperlink r:id="rId29" w:history="1">
        <w:r w:rsidRPr="002D6CB5">
          <w:t>247/2007 Z. z.</w:t>
        </w:r>
      </w:hyperlink>
      <w:r w:rsidRPr="002D6CB5">
        <w:t>, zákona č. </w:t>
      </w:r>
      <w:hyperlink r:id="rId30" w:history="1">
        <w:r w:rsidRPr="002D6CB5">
          <w:t>342/2007 Z. z.</w:t>
        </w:r>
      </w:hyperlink>
      <w:r w:rsidRPr="002D6CB5">
        <w:t>, zákona č. </w:t>
      </w:r>
      <w:hyperlink r:id="rId31" w:history="1">
        <w:r w:rsidRPr="002D6CB5">
          <w:t>86/2008 Z. z.</w:t>
        </w:r>
      </w:hyperlink>
      <w:r w:rsidRPr="002D6CB5">
        <w:t>, zákona č. </w:t>
      </w:r>
      <w:hyperlink r:id="rId32" w:history="1">
        <w:r w:rsidRPr="002D6CB5">
          <w:t>297/2008 Z. z.</w:t>
        </w:r>
      </w:hyperlink>
      <w:r w:rsidRPr="002D6CB5">
        <w:t>, zákona č. </w:t>
      </w:r>
      <w:hyperlink r:id="rId33" w:history="1">
        <w:r w:rsidRPr="002D6CB5">
          <w:t>491/2008 Z. z.</w:t>
        </w:r>
      </w:hyperlink>
      <w:r w:rsidRPr="002D6CB5">
        <w:t>, zákona č. </w:t>
      </w:r>
      <w:hyperlink r:id="rId34" w:history="1">
        <w:r w:rsidRPr="002D6CB5">
          <w:t>214/2009 Z. z.</w:t>
        </w:r>
      </w:hyperlink>
      <w:r w:rsidRPr="002D6CB5">
        <w:t>, nálezu Ústavného súdu Slovenskej republiky č. </w:t>
      </w:r>
      <w:hyperlink r:id="rId35" w:history="1">
        <w:r w:rsidRPr="002D6CB5">
          <w:t>290/2009 Z. z.</w:t>
        </w:r>
      </w:hyperlink>
      <w:r w:rsidRPr="002D6CB5">
        <w:t>, zákona č. </w:t>
      </w:r>
      <w:hyperlink r:id="rId36" w:history="1">
        <w:r w:rsidRPr="002D6CB5">
          <w:t>291/2009 Z. z.</w:t>
        </w:r>
      </w:hyperlink>
      <w:r w:rsidRPr="002D6CB5">
        <w:t>, zákona č. </w:t>
      </w:r>
      <w:hyperlink r:id="rId37" w:history="1">
        <w:r w:rsidRPr="002D6CB5">
          <w:t>495/2009 Z. z.</w:t>
        </w:r>
      </w:hyperlink>
      <w:r w:rsidRPr="002D6CB5">
        <w:t>, zákona č. </w:t>
      </w:r>
      <w:hyperlink r:id="rId38" w:history="1">
        <w:r w:rsidRPr="002D6CB5">
          <w:t>594/2009 Z. z.</w:t>
        </w:r>
      </w:hyperlink>
      <w:r w:rsidRPr="002D6CB5">
        <w:t>, zákona č. </w:t>
      </w:r>
      <w:hyperlink r:id="rId39" w:history="1">
        <w:r w:rsidRPr="002D6CB5">
          <w:t>547/2010 Z. z.</w:t>
        </w:r>
      </w:hyperlink>
      <w:r w:rsidRPr="002D6CB5">
        <w:t>, zákona č. </w:t>
      </w:r>
      <w:hyperlink r:id="rId40" w:history="1">
        <w:r w:rsidRPr="002D6CB5">
          <w:t>192/2011 Z. z.</w:t>
        </w:r>
      </w:hyperlink>
      <w:r w:rsidRPr="002D6CB5">
        <w:t>, zákona č. </w:t>
      </w:r>
      <w:hyperlink r:id="rId41" w:history="1">
        <w:r w:rsidRPr="002D6CB5">
          <w:t>345/2012 Z. z.</w:t>
        </w:r>
      </w:hyperlink>
      <w:r w:rsidRPr="002D6CB5">
        <w:t>, zákona č. </w:t>
      </w:r>
      <w:hyperlink r:id="rId42" w:history="1">
        <w:r w:rsidRPr="002D6CB5">
          <w:t>75/2013 Z. z.</w:t>
        </w:r>
      </w:hyperlink>
      <w:r w:rsidRPr="002D6CB5">
        <w:t>, zákona č. </w:t>
      </w:r>
      <w:hyperlink r:id="rId43" w:history="1">
        <w:r w:rsidRPr="002D6CB5">
          <w:t>307/2014 Z. z.</w:t>
        </w:r>
      </w:hyperlink>
      <w:r w:rsidRPr="002D6CB5">
        <w:t>, nálezu Ústavného súdu Slovenskej republiky č. </w:t>
      </w:r>
      <w:hyperlink r:id="rId44" w:history="1">
        <w:r w:rsidRPr="002D6CB5">
          <w:t>139/2015 Z. z.</w:t>
        </w:r>
      </w:hyperlink>
      <w:r w:rsidRPr="002D6CB5">
        <w:t>, zákona č. </w:t>
      </w:r>
      <w:hyperlink r:id="rId45" w:history="1">
        <w:r w:rsidRPr="002D6CB5">
          <w:t>397/2015 Z. z.</w:t>
        </w:r>
      </w:hyperlink>
      <w:r w:rsidRPr="002D6CB5">
        <w:t>, zákona č. </w:t>
      </w:r>
      <w:hyperlink r:id="rId46" w:history="1">
        <w:r w:rsidRPr="002D6CB5">
          <w:t>444/2015 Z. z.</w:t>
        </w:r>
      </w:hyperlink>
      <w:r w:rsidRPr="002D6CB5">
        <w:t>, zákona č. </w:t>
      </w:r>
      <w:hyperlink r:id="rId47" w:history="1">
        <w:r w:rsidRPr="002D6CB5">
          <w:t>125/2016 Z. z.</w:t>
        </w:r>
      </w:hyperlink>
      <w:r w:rsidRPr="002D6CB5">
        <w:t>, zákona č. </w:t>
      </w:r>
      <w:hyperlink r:id="rId48" w:history="1">
        <w:r w:rsidRPr="002D6CB5">
          <w:t>82/2017 Z. z.</w:t>
        </w:r>
      </w:hyperlink>
      <w:r w:rsidRPr="002D6CB5">
        <w:t>, zákona č. </w:t>
      </w:r>
      <w:hyperlink r:id="rId49" w:history="1">
        <w:r w:rsidRPr="002D6CB5">
          <w:t>18/2018 Z. z.</w:t>
        </w:r>
      </w:hyperlink>
      <w:r w:rsidRPr="002D6CB5">
        <w:t>, zákona č. </w:t>
      </w:r>
      <w:hyperlink r:id="rId50" w:history="1">
        <w:r w:rsidRPr="002D6CB5">
          <w:t>68/2018 Z. z.</w:t>
        </w:r>
      </w:hyperlink>
      <w:r w:rsidRPr="002D6CB5">
        <w:t>, zákona č. </w:t>
      </w:r>
      <w:hyperlink r:id="rId51" w:history="1">
        <w:r w:rsidRPr="002D6CB5">
          <w:t>177/2018 Z. z.</w:t>
        </w:r>
      </w:hyperlink>
      <w:r w:rsidRPr="002D6CB5">
        <w:t>, zákona č. </w:t>
      </w:r>
      <w:hyperlink r:id="rId52" w:history="1">
        <w:r w:rsidRPr="002D6CB5">
          <w:t>6/2019 Z. z.</w:t>
        </w:r>
      </w:hyperlink>
      <w:r w:rsidRPr="002D6CB5">
        <w:t>, zákona č. </w:t>
      </w:r>
      <w:hyperlink r:id="rId53" w:history="1">
        <w:r w:rsidRPr="002D6CB5">
          <w:t>35/2019 Z. z.</w:t>
        </w:r>
      </w:hyperlink>
      <w:r w:rsidRPr="002D6CB5">
        <w:t>, zákona č. </w:t>
      </w:r>
      <w:hyperlink r:id="rId54" w:history="1">
        <w:r w:rsidRPr="002D6CB5">
          <w:t xml:space="preserve">395/2019 </w:t>
        </w:r>
        <w:r w:rsidRPr="002D6CB5">
          <w:lastRenderedPageBreak/>
          <w:t>Z. z.</w:t>
        </w:r>
      </w:hyperlink>
      <w:r w:rsidRPr="002D6CB5">
        <w:t>, zákona č. </w:t>
      </w:r>
      <w:hyperlink r:id="rId55" w:history="1">
        <w:r w:rsidRPr="002D6CB5">
          <w:t>217/2021 Z. z.</w:t>
        </w:r>
      </w:hyperlink>
      <w:r w:rsidRPr="002D6CB5">
        <w:t>, zákona č. </w:t>
      </w:r>
      <w:hyperlink r:id="rId56" w:history="1">
        <w:r w:rsidRPr="002D6CB5">
          <w:t>187/2022 Z. z.</w:t>
        </w:r>
      </w:hyperlink>
      <w:r w:rsidRPr="002D6CB5">
        <w:t>, zákona č. </w:t>
      </w:r>
      <w:hyperlink r:id="rId57" w:history="1">
        <w:r w:rsidRPr="002D6CB5">
          <w:t>252/2022 Z. z.</w:t>
        </w:r>
      </w:hyperlink>
      <w:r w:rsidRPr="002D6CB5">
        <w:t>, zákona č. 166/2024 Z. z., zákona č. 299/2024 Z. z., zákona č. 387/2024 Z. z. a zákona č. 86/2025 Z. z. sa mení a dopĺňa takto:</w:t>
      </w:r>
    </w:p>
    <w:p w14:paraId="4E47A852" w14:textId="77777777" w:rsidR="00A428AB" w:rsidRPr="002D6CB5" w:rsidRDefault="00A428AB" w:rsidP="00A428AB">
      <w:pPr>
        <w:shd w:val="clear" w:color="auto" w:fill="FFFFFF"/>
        <w:jc w:val="both"/>
      </w:pPr>
    </w:p>
    <w:p w14:paraId="2E1130E0" w14:textId="77777777" w:rsidR="00A428AB" w:rsidRPr="002D6CB5" w:rsidRDefault="00A428AB" w:rsidP="00A428AB">
      <w:pPr>
        <w:shd w:val="clear" w:color="auto" w:fill="FFFFFF"/>
        <w:jc w:val="both"/>
      </w:pPr>
      <w:r w:rsidRPr="002D6CB5">
        <w:t>V prílohe č. 5 sa za štvrtý bod vkladá nový piaty bod, ktorý znie:</w:t>
      </w:r>
    </w:p>
    <w:p w14:paraId="648CC81B" w14:textId="77777777" w:rsidR="00A428AB" w:rsidRPr="002D6CB5" w:rsidRDefault="00A428AB" w:rsidP="00A428AB">
      <w:pPr>
        <w:shd w:val="clear" w:color="auto" w:fill="FFFFFF"/>
        <w:jc w:val="both"/>
      </w:pPr>
      <w:r w:rsidRPr="002D6CB5">
        <w:t>„5. Smernica Európskeho parlamentu a Rady (EÚ) 2016/800 z 11. mája 2016 o procesných zárukách pre deti, ktoré sú podozrivými alebo obvinenými osobami v trestnom konaní (Ú. v. EÚ L 132, 21. 5. 2016).“.</w:t>
      </w:r>
    </w:p>
    <w:p w14:paraId="07E59FA2" w14:textId="77777777" w:rsidR="00A428AB" w:rsidRPr="002D6CB5" w:rsidRDefault="00A428AB" w:rsidP="00A428AB">
      <w:pPr>
        <w:shd w:val="clear" w:color="auto" w:fill="FFFFFF"/>
        <w:jc w:val="both"/>
      </w:pPr>
    </w:p>
    <w:p w14:paraId="0F29CBF1" w14:textId="77777777" w:rsidR="00A428AB" w:rsidRPr="002D6CB5" w:rsidRDefault="00A428AB" w:rsidP="00A428AB">
      <w:pPr>
        <w:shd w:val="clear" w:color="auto" w:fill="FFFFFF"/>
        <w:jc w:val="both"/>
      </w:pPr>
      <w:r w:rsidRPr="002D6CB5">
        <w:t>Doterajší piaty bod sa označuje ako šiesty bod.</w:t>
      </w:r>
      <w:r w:rsidRPr="002D6CB5">
        <w:tab/>
      </w:r>
    </w:p>
    <w:p w14:paraId="518197F8" w14:textId="77777777" w:rsidR="00A428AB" w:rsidRPr="002D6CB5" w:rsidRDefault="00A428AB" w:rsidP="00A428AB">
      <w:pPr>
        <w:shd w:val="clear" w:color="auto" w:fill="FFFFFF"/>
        <w:jc w:val="both"/>
      </w:pPr>
    </w:p>
    <w:p w14:paraId="73AFE081" w14:textId="77777777" w:rsidR="00A428AB" w:rsidRPr="002D6CB5" w:rsidRDefault="00A428AB" w:rsidP="00A428AB">
      <w:pPr>
        <w:jc w:val="center"/>
      </w:pPr>
      <w:r w:rsidRPr="002D6CB5">
        <w:t xml:space="preserve">Čl. III </w:t>
      </w:r>
    </w:p>
    <w:p w14:paraId="3D44A5C8" w14:textId="77777777" w:rsidR="00A428AB" w:rsidRPr="002D6CB5" w:rsidRDefault="00A428AB" w:rsidP="00A428AB">
      <w:pPr>
        <w:jc w:val="center"/>
      </w:pPr>
    </w:p>
    <w:p w14:paraId="0D98B94F" w14:textId="77777777" w:rsidR="00A428AB" w:rsidRPr="002D6CB5" w:rsidRDefault="00A428AB" w:rsidP="00A428AB">
      <w:pPr>
        <w:ind w:firstLine="708"/>
        <w:jc w:val="both"/>
      </w:pPr>
      <w:r w:rsidRPr="002D6CB5"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z., zákona č. 222/2022 Z. z., zákona č. 350/2022 Z. z., zákona č. 197/2023 Z. z., zákona č. 238/2024 Z. z. a zákona č. 324/2024 Z. z. sa mení a dopĺňa takto:</w:t>
      </w:r>
    </w:p>
    <w:p w14:paraId="3709C266" w14:textId="77777777" w:rsidR="00A428AB" w:rsidRPr="002D6CB5" w:rsidRDefault="00A428AB" w:rsidP="00A428AB">
      <w:pPr>
        <w:shd w:val="clear" w:color="auto" w:fill="FFFFFF"/>
        <w:jc w:val="both"/>
      </w:pPr>
    </w:p>
    <w:p w14:paraId="0C738D76" w14:textId="77777777" w:rsidR="00A428AB" w:rsidRPr="002D6CB5" w:rsidRDefault="00A428AB" w:rsidP="00A428AB">
      <w:pPr>
        <w:shd w:val="clear" w:color="auto" w:fill="FFFFFF"/>
        <w:jc w:val="both"/>
      </w:pPr>
      <w:r w:rsidRPr="002D6CB5">
        <w:t>V prílohe č. 4 sa za štvrtý bod vkladá nový piaty bod, ktorý znie:</w:t>
      </w:r>
    </w:p>
    <w:p w14:paraId="4806A981" w14:textId="77777777" w:rsidR="00A428AB" w:rsidRPr="002D6CB5" w:rsidRDefault="00A428AB" w:rsidP="00A428AB">
      <w:pPr>
        <w:shd w:val="clear" w:color="auto" w:fill="FFFFFF"/>
        <w:jc w:val="both"/>
      </w:pPr>
      <w:r w:rsidRPr="002D6CB5">
        <w:t>„5. Smernica Európskeho parlamentu a Rady (EÚ) 2016/800 z 11. mája 2016 o procesných zárukách pre deti, ktoré sú podozrivými alebo obvinenými osobami v trestnom konaní (Ú. v. EÚ L 132, 21. 5. 2016).“.</w:t>
      </w:r>
    </w:p>
    <w:p w14:paraId="42A19833" w14:textId="77777777" w:rsidR="00A428AB" w:rsidRPr="002D6CB5" w:rsidRDefault="00A428AB" w:rsidP="00A428AB">
      <w:pPr>
        <w:shd w:val="clear" w:color="auto" w:fill="FFFFFF"/>
        <w:jc w:val="both"/>
      </w:pPr>
    </w:p>
    <w:p w14:paraId="4C58AA4D" w14:textId="77777777" w:rsidR="00A428AB" w:rsidRPr="002D6CB5" w:rsidRDefault="00A428AB" w:rsidP="00A428AB">
      <w:pPr>
        <w:shd w:val="clear" w:color="auto" w:fill="FFFFFF"/>
        <w:jc w:val="both"/>
      </w:pPr>
      <w:r w:rsidRPr="002D6CB5">
        <w:t>Doterajší piaty a šiesty bod sa označujú ako šiesty a siedmy bod.</w:t>
      </w:r>
      <w:r w:rsidRPr="002D6CB5">
        <w:tab/>
      </w:r>
    </w:p>
    <w:p w14:paraId="008A3AA5" w14:textId="77777777" w:rsidR="00A428AB" w:rsidRPr="002D6CB5" w:rsidRDefault="00A428AB" w:rsidP="00A428AB">
      <w:pPr>
        <w:shd w:val="clear" w:color="auto" w:fill="FFFFFF"/>
        <w:jc w:val="both"/>
      </w:pPr>
    </w:p>
    <w:p w14:paraId="51F88A48" w14:textId="77777777" w:rsidR="00A428AB" w:rsidRPr="002D6CB5" w:rsidRDefault="00A428AB" w:rsidP="00A428AB">
      <w:pPr>
        <w:jc w:val="center"/>
      </w:pPr>
      <w:r w:rsidRPr="002D6CB5">
        <w:t xml:space="preserve">Čl. IV </w:t>
      </w:r>
    </w:p>
    <w:p w14:paraId="46DDCACB" w14:textId="77777777" w:rsidR="00A428AB" w:rsidRPr="002D6CB5" w:rsidRDefault="00A428AB" w:rsidP="00A428AB">
      <w:pPr>
        <w:jc w:val="both"/>
      </w:pPr>
    </w:p>
    <w:p w14:paraId="45B99C7F" w14:textId="77777777" w:rsidR="00A428AB" w:rsidRPr="002D6CB5" w:rsidRDefault="00A428AB" w:rsidP="00A428AB">
      <w:pPr>
        <w:ind w:firstLine="708"/>
        <w:jc w:val="both"/>
      </w:pPr>
      <w:r w:rsidRPr="002D6CB5">
        <w:t xml:space="preserve"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 .z., zákona č. 462/2013 Z. z., zákona č. 195/2014 Z. z., nálezu Ústavného súdu Slovenskej republiky č. 217/2014 Z. z., </w:t>
      </w:r>
      <w:r w:rsidRPr="002D6CB5">
        <w:lastRenderedPageBreak/>
        <w:t>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z., zákona č. 11/2023 Z. z., nálezu Ústavného súdu Slovenskej republiky č. 14/2024 Z. z., zákona č. 40/2024 Z. z. a zákona č. 353/2024 Z. z. sa dopĺňa takto:</w:t>
      </w:r>
    </w:p>
    <w:p w14:paraId="7CB58A4D" w14:textId="77777777" w:rsidR="00A428AB" w:rsidRPr="002D6CB5" w:rsidRDefault="00A428AB" w:rsidP="00A428AB">
      <w:pPr>
        <w:shd w:val="clear" w:color="auto" w:fill="FFFFFF"/>
        <w:jc w:val="both"/>
      </w:pPr>
    </w:p>
    <w:p w14:paraId="5B87A7D4" w14:textId="77777777" w:rsidR="00A428AB" w:rsidRPr="002D6CB5" w:rsidRDefault="00A428AB" w:rsidP="00A428AB">
      <w:pPr>
        <w:shd w:val="clear" w:color="auto" w:fill="FFFFFF"/>
        <w:jc w:val="both"/>
      </w:pPr>
      <w:r w:rsidRPr="002D6CB5">
        <w:t>1. Za § 261 sa vkladá § 261a, ktorý vrátane nadpisu znie:</w:t>
      </w:r>
    </w:p>
    <w:p w14:paraId="7E3E5398" w14:textId="77777777" w:rsidR="00A428AB" w:rsidRPr="002D6CB5" w:rsidRDefault="00A428AB" w:rsidP="00A428AB">
      <w:pPr>
        <w:shd w:val="clear" w:color="auto" w:fill="FFFFFF"/>
        <w:jc w:val="center"/>
      </w:pPr>
    </w:p>
    <w:p w14:paraId="3819D76B" w14:textId="77777777" w:rsidR="00A428AB" w:rsidRPr="002D6CB5" w:rsidRDefault="00A428AB" w:rsidP="00A428AB">
      <w:pPr>
        <w:shd w:val="clear" w:color="auto" w:fill="FFFFFF"/>
        <w:jc w:val="center"/>
      </w:pPr>
      <w:r w:rsidRPr="002D6CB5">
        <w:t xml:space="preserve">„§ 261a </w:t>
      </w:r>
    </w:p>
    <w:p w14:paraId="5269FE9C" w14:textId="77777777" w:rsidR="00A428AB" w:rsidRPr="002D6CB5" w:rsidRDefault="00A428AB" w:rsidP="00A428AB">
      <w:pPr>
        <w:shd w:val="clear" w:color="auto" w:fill="FFFFFF"/>
        <w:jc w:val="center"/>
      </w:pPr>
      <w:r w:rsidRPr="002D6CB5">
        <w:t>Transpozičné ustanovenie</w:t>
      </w:r>
    </w:p>
    <w:p w14:paraId="47597F3D" w14:textId="77777777" w:rsidR="00A428AB" w:rsidRPr="002D6CB5" w:rsidRDefault="00A428AB" w:rsidP="00A428AB">
      <w:pPr>
        <w:shd w:val="clear" w:color="auto" w:fill="FFFFFF"/>
        <w:jc w:val="center"/>
      </w:pPr>
    </w:p>
    <w:p w14:paraId="4F731576" w14:textId="77777777" w:rsidR="00A428AB" w:rsidRPr="002D6CB5" w:rsidRDefault="00A428AB" w:rsidP="00A428AB">
      <w:pPr>
        <w:shd w:val="clear" w:color="auto" w:fill="FFFFFF"/>
        <w:ind w:firstLine="708"/>
        <w:jc w:val="both"/>
      </w:pPr>
      <w:r w:rsidRPr="002D6CB5">
        <w:t>Týmto zákonom sa preberajú právne záväzné akty Európskej únie uvedené v prílohe.“.</w:t>
      </w:r>
    </w:p>
    <w:p w14:paraId="0D0B2297" w14:textId="77777777" w:rsidR="00A428AB" w:rsidRPr="002D6CB5" w:rsidRDefault="00A428AB" w:rsidP="00A428AB">
      <w:pPr>
        <w:shd w:val="clear" w:color="auto" w:fill="FFFFFF"/>
        <w:jc w:val="both"/>
      </w:pPr>
    </w:p>
    <w:p w14:paraId="7F3AC2B5" w14:textId="77777777" w:rsidR="00A428AB" w:rsidRPr="002D6CB5" w:rsidRDefault="00A428AB" w:rsidP="00A428AB">
      <w:pPr>
        <w:shd w:val="clear" w:color="auto" w:fill="FFFFFF"/>
        <w:jc w:val="both"/>
      </w:pPr>
      <w:r w:rsidRPr="002D6CB5">
        <w:t>2. Zákon sa dopĺňa prílohou, ktorá vrátane nadpisu znie:</w:t>
      </w:r>
    </w:p>
    <w:p w14:paraId="0C4CA161" w14:textId="77777777" w:rsidR="00A428AB" w:rsidRPr="002D6CB5" w:rsidRDefault="00A428AB" w:rsidP="00A428AB">
      <w:pPr>
        <w:shd w:val="clear" w:color="auto" w:fill="FFFFFF"/>
        <w:jc w:val="both"/>
      </w:pPr>
    </w:p>
    <w:p w14:paraId="72D7B105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t>„</w:t>
      </w:r>
      <w:r w:rsidRPr="002D6CB5">
        <w:rPr>
          <w:b/>
        </w:rPr>
        <w:t xml:space="preserve">Príloha </w:t>
      </w:r>
    </w:p>
    <w:p w14:paraId="57AF0227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rPr>
          <w:b/>
        </w:rPr>
        <w:t>k zákonu č. 154/2001 Z. z.</w:t>
      </w:r>
    </w:p>
    <w:p w14:paraId="6FF27D63" w14:textId="77777777" w:rsidR="00A428AB" w:rsidRPr="002D6CB5" w:rsidRDefault="00A428AB" w:rsidP="00A428AB">
      <w:pPr>
        <w:shd w:val="clear" w:color="auto" w:fill="FFFFFF"/>
        <w:jc w:val="both"/>
      </w:pPr>
      <w:r w:rsidRPr="002D6CB5">
        <w:t xml:space="preserve"> </w:t>
      </w:r>
    </w:p>
    <w:p w14:paraId="44C13C65" w14:textId="77777777" w:rsidR="00A428AB" w:rsidRPr="002D6CB5" w:rsidRDefault="00A428AB" w:rsidP="00A428AB">
      <w:pPr>
        <w:shd w:val="clear" w:color="auto" w:fill="FFFFFF"/>
        <w:jc w:val="center"/>
        <w:rPr>
          <w:b/>
        </w:rPr>
      </w:pPr>
      <w:r w:rsidRPr="002D6CB5">
        <w:rPr>
          <w:b/>
          <w:caps/>
        </w:rPr>
        <w:t>ZOZNAM PREBERANÝCH PRÁVNE záväzných AKTOV EURÓPSKEJ ÚNIE</w:t>
      </w:r>
    </w:p>
    <w:p w14:paraId="4436CB3A" w14:textId="77777777" w:rsidR="00A428AB" w:rsidRPr="002D6CB5" w:rsidRDefault="00A428AB" w:rsidP="00A428AB">
      <w:pPr>
        <w:shd w:val="clear" w:color="auto" w:fill="FFFFFF"/>
        <w:jc w:val="center"/>
      </w:pPr>
    </w:p>
    <w:p w14:paraId="051F566D" w14:textId="77777777" w:rsidR="00A428AB" w:rsidRPr="002D6CB5" w:rsidRDefault="00A428AB" w:rsidP="00A428AB">
      <w:pPr>
        <w:shd w:val="clear" w:color="auto" w:fill="FFFFFF"/>
        <w:jc w:val="both"/>
      </w:pPr>
      <w:r w:rsidRPr="002D6CB5">
        <w:t>Smernica Európskeho parlamentu a Rady (EÚ) 2016/800 z 11. mája 2016 o procesných zárukách pre deti, ktoré sú podozrivými alebo obvinenými osobami v trestnom konaní (Ú. v. EÚ L 132, 21. 5. 2016).“.</w:t>
      </w:r>
    </w:p>
    <w:p w14:paraId="1E434BB9" w14:textId="77777777" w:rsidR="00A428AB" w:rsidRPr="002D6CB5" w:rsidRDefault="00A428AB" w:rsidP="00A428AB">
      <w:pPr>
        <w:shd w:val="clear" w:color="auto" w:fill="FFFFFF"/>
        <w:jc w:val="both"/>
      </w:pPr>
    </w:p>
    <w:p w14:paraId="16BCAD8F" w14:textId="77777777" w:rsidR="00A428AB" w:rsidRPr="002D6CB5" w:rsidRDefault="00A428AB" w:rsidP="00A428AB">
      <w:pPr>
        <w:autoSpaceDE w:val="0"/>
        <w:autoSpaceDN w:val="0"/>
        <w:jc w:val="center"/>
      </w:pPr>
      <w:r w:rsidRPr="002D6CB5">
        <w:t xml:space="preserve">Čl. V </w:t>
      </w:r>
    </w:p>
    <w:p w14:paraId="5F5B0703" w14:textId="77777777" w:rsidR="00A428AB" w:rsidRPr="002D6CB5" w:rsidRDefault="00A428AB" w:rsidP="00A428AB">
      <w:pPr>
        <w:autoSpaceDE w:val="0"/>
        <w:autoSpaceDN w:val="0"/>
        <w:jc w:val="both"/>
        <w:rPr>
          <w:shd w:val="clear" w:color="auto" w:fill="FFFFFF"/>
        </w:rPr>
      </w:pPr>
    </w:p>
    <w:p w14:paraId="4228E38B" w14:textId="77777777" w:rsidR="00A428AB" w:rsidRPr="002D6CB5" w:rsidRDefault="00A428AB" w:rsidP="00A428AB">
      <w:pPr>
        <w:autoSpaceDE w:val="0"/>
        <w:autoSpaceDN w:val="0"/>
        <w:ind w:firstLine="708"/>
        <w:jc w:val="both"/>
        <w:rPr>
          <w:shd w:val="clear" w:color="auto" w:fill="FFFFFF"/>
        </w:rPr>
      </w:pPr>
      <w:r w:rsidRPr="002D6CB5">
        <w:rPr>
          <w:shd w:val="clear" w:color="auto" w:fill="FFFFFF"/>
        </w:rPr>
        <w:t>Zákon č. </w:t>
      </w:r>
      <w:hyperlink r:id="rId58" w:tooltip="Odkaz na predpis alebo ustanovenie" w:history="1">
        <w:r w:rsidRPr="002D6CB5">
          <w:rPr>
            <w:iCs/>
            <w:shd w:val="clear" w:color="auto" w:fill="FFFFFF"/>
          </w:rPr>
          <w:t>548/2003 Z. z.</w:t>
        </w:r>
      </w:hyperlink>
      <w:r w:rsidRPr="002D6CB5">
        <w:rPr>
          <w:shd w:val="clear" w:color="auto" w:fill="FFFFFF"/>
        </w:rPr>
        <w:t> o Justičnej akadémii a o zmene a doplnení niektorých zákonov v znení zákona č. 757/2004 Z. z., zákona č. 319/2005 Z. z., zákona č. 330/2007 Z. z., zákona č. 181/2009 Z. z., zákona č. 33/2011 Z. z., zákona č. 220/2011 Z. z., zákona č. 322/2014 Z. z., zákona č. 177/2018 Z. z., zákona č. 397/2019 Z. z., zákona č. 423/2020 Z. z., zákona č. 111/2022 Z. z. a zákona č. 98/2025 Z. z. sa dopĺňa takto:</w:t>
      </w:r>
    </w:p>
    <w:p w14:paraId="35AE2317" w14:textId="77777777" w:rsidR="00A428AB" w:rsidRPr="002D6CB5" w:rsidRDefault="00A428AB" w:rsidP="00A428AB">
      <w:pPr>
        <w:autoSpaceDE w:val="0"/>
        <w:autoSpaceDN w:val="0"/>
        <w:jc w:val="both"/>
        <w:rPr>
          <w:shd w:val="clear" w:color="auto" w:fill="FFFFFF"/>
        </w:rPr>
      </w:pPr>
    </w:p>
    <w:p w14:paraId="7484E9CA" w14:textId="77777777" w:rsidR="00A428AB" w:rsidRPr="002D6CB5" w:rsidRDefault="00A428AB" w:rsidP="00A428AB">
      <w:pPr>
        <w:shd w:val="clear" w:color="auto" w:fill="FFFFFF"/>
        <w:jc w:val="both"/>
      </w:pPr>
      <w:r w:rsidRPr="002D6CB5">
        <w:rPr>
          <w:shd w:val="clear" w:color="auto" w:fill="FFFFFF"/>
        </w:rPr>
        <w:t xml:space="preserve">1. </w:t>
      </w:r>
      <w:r w:rsidRPr="002D6CB5">
        <w:t>Za § 18 sa vkladá § 19, ktorý vrátane nadpisu znie:</w:t>
      </w:r>
    </w:p>
    <w:p w14:paraId="2A09F2AE" w14:textId="77777777" w:rsidR="00A428AB" w:rsidRPr="002D6CB5" w:rsidRDefault="00A428AB" w:rsidP="00A428AB">
      <w:pPr>
        <w:shd w:val="clear" w:color="auto" w:fill="FFFFFF"/>
        <w:jc w:val="center"/>
      </w:pPr>
    </w:p>
    <w:p w14:paraId="5AAFC045" w14:textId="77777777" w:rsidR="00A428AB" w:rsidRPr="002D6CB5" w:rsidRDefault="00A428AB" w:rsidP="00A428AB">
      <w:pPr>
        <w:shd w:val="clear" w:color="auto" w:fill="FFFFFF"/>
        <w:jc w:val="center"/>
      </w:pPr>
      <w:r w:rsidRPr="002D6CB5">
        <w:t xml:space="preserve">„§ 19 </w:t>
      </w:r>
    </w:p>
    <w:p w14:paraId="237006B6" w14:textId="77777777" w:rsidR="00A428AB" w:rsidRPr="002D6CB5" w:rsidRDefault="00A428AB" w:rsidP="00A428AB">
      <w:pPr>
        <w:shd w:val="clear" w:color="auto" w:fill="FFFFFF"/>
        <w:jc w:val="center"/>
      </w:pPr>
      <w:r w:rsidRPr="002D6CB5">
        <w:t>Transpozičné ustanovenie</w:t>
      </w:r>
    </w:p>
    <w:p w14:paraId="1BBE4052" w14:textId="77777777" w:rsidR="00A428AB" w:rsidRPr="002D6CB5" w:rsidRDefault="00A428AB" w:rsidP="00A428AB">
      <w:pPr>
        <w:shd w:val="clear" w:color="auto" w:fill="FFFFFF"/>
        <w:jc w:val="center"/>
      </w:pPr>
    </w:p>
    <w:p w14:paraId="6CB65936" w14:textId="77777777" w:rsidR="00A428AB" w:rsidRPr="002D6CB5" w:rsidRDefault="00A428AB" w:rsidP="00A428AB">
      <w:pPr>
        <w:shd w:val="clear" w:color="auto" w:fill="FFFFFF"/>
        <w:ind w:firstLine="708"/>
        <w:jc w:val="both"/>
      </w:pPr>
      <w:r w:rsidRPr="002D6CB5">
        <w:t>Týmto zákonom sa preberajú právne záväzné akty Európskej únie uvedené v prílohe.“.</w:t>
      </w:r>
    </w:p>
    <w:p w14:paraId="2A895B23" w14:textId="77777777" w:rsidR="00A428AB" w:rsidRPr="002D6CB5" w:rsidRDefault="00A428AB" w:rsidP="00A428AB">
      <w:pPr>
        <w:autoSpaceDE w:val="0"/>
        <w:autoSpaceDN w:val="0"/>
        <w:jc w:val="both"/>
        <w:rPr>
          <w:shd w:val="clear" w:color="auto" w:fill="FFFFFF"/>
        </w:rPr>
      </w:pPr>
    </w:p>
    <w:p w14:paraId="727A248E" w14:textId="77777777" w:rsidR="00A428AB" w:rsidRPr="002D6CB5" w:rsidRDefault="00A428AB" w:rsidP="00A428AB">
      <w:pPr>
        <w:shd w:val="clear" w:color="auto" w:fill="FFFFFF"/>
        <w:jc w:val="both"/>
      </w:pPr>
      <w:r w:rsidRPr="002D6CB5">
        <w:t>2. Zákon sa dopĺňa prílohou, ktorá vrátane nadpisu znie:</w:t>
      </w:r>
    </w:p>
    <w:p w14:paraId="52D9496E" w14:textId="77777777" w:rsidR="00A428AB" w:rsidRPr="002D6CB5" w:rsidRDefault="00A428AB" w:rsidP="00A428AB">
      <w:pPr>
        <w:shd w:val="clear" w:color="auto" w:fill="FFFFFF"/>
        <w:jc w:val="both"/>
      </w:pPr>
    </w:p>
    <w:p w14:paraId="74E2E5E3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t>„</w:t>
      </w:r>
      <w:r w:rsidRPr="002D6CB5">
        <w:rPr>
          <w:b/>
        </w:rPr>
        <w:t xml:space="preserve">Príloha </w:t>
      </w:r>
    </w:p>
    <w:p w14:paraId="3F9A2901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rPr>
          <w:b/>
        </w:rPr>
        <w:t>k zákonu č. 548/2003 Z. z.</w:t>
      </w:r>
    </w:p>
    <w:p w14:paraId="1823E8CD" w14:textId="77777777" w:rsidR="00A428AB" w:rsidRPr="002D6CB5" w:rsidRDefault="00A428AB" w:rsidP="00A428AB">
      <w:pPr>
        <w:shd w:val="clear" w:color="auto" w:fill="FFFFFF"/>
        <w:jc w:val="both"/>
      </w:pPr>
      <w:r w:rsidRPr="002D6CB5">
        <w:t xml:space="preserve"> </w:t>
      </w:r>
    </w:p>
    <w:p w14:paraId="34A6C75B" w14:textId="77777777" w:rsidR="00A428AB" w:rsidRPr="002D6CB5" w:rsidRDefault="00A428AB" w:rsidP="00A428AB">
      <w:pPr>
        <w:shd w:val="clear" w:color="auto" w:fill="FFFFFF"/>
        <w:jc w:val="center"/>
      </w:pPr>
      <w:r w:rsidRPr="002D6CB5">
        <w:rPr>
          <w:b/>
          <w:caps/>
        </w:rPr>
        <w:t>ZOZNAM PREBERANÝCH PRÁVNE záväzných AKTOV EURÓPSKEJ ÚNIE</w:t>
      </w:r>
    </w:p>
    <w:p w14:paraId="7D3AC173" w14:textId="77777777" w:rsidR="00A428AB" w:rsidRPr="002D6CB5" w:rsidRDefault="00A428AB" w:rsidP="00A428AB">
      <w:pPr>
        <w:shd w:val="clear" w:color="auto" w:fill="FFFFFF"/>
        <w:jc w:val="both"/>
      </w:pPr>
    </w:p>
    <w:p w14:paraId="521C5F59" w14:textId="77777777" w:rsidR="00A428AB" w:rsidRPr="002D6CB5" w:rsidRDefault="00A428AB" w:rsidP="00A428AB">
      <w:pPr>
        <w:shd w:val="clear" w:color="auto" w:fill="FFFFFF"/>
        <w:jc w:val="both"/>
      </w:pPr>
      <w:r w:rsidRPr="002D6CB5">
        <w:t>Smernica Európskeho parlamentu a Rady (EÚ) 2016/800 z 11. mája 2016 o procesných zárukách pre deti, ktoré sú podozrivými alebo obvinenými osobami v trestnom konaní (Ú. v. EÚ L 132, 21. 5. 2016).“.</w:t>
      </w:r>
    </w:p>
    <w:p w14:paraId="2582BBDD" w14:textId="77777777" w:rsidR="00A428AB" w:rsidRPr="002D6CB5" w:rsidRDefault="00A428AB" w:rsidP="00A428AB">
      <w:pPr>
        <w:autoSpaceDE w:val="0"/>
        <w:autoSpaceDN w:val="0"/>
        <w:jc w:val="both"/>
        <w:rPr>
          <w:shd w:val="clear" w:color="auto" w:fill="FFFFFF"/>
        </w:rPr>
      </w:pPr>
    </w:p>
    <w:p w14:paraId="236DE1A8" w14:textId="77777777" w:rsidR="00A428AB" w:rsidRPr="002D6CB5" w:rsidRDefault="00A428AB" w:rsidP="00A428AB">
      <w:pPr>
        <w:jc w:val="center"/>
      </w:pPr>
      <w:r w:rsidRPr="002D6CB5">
        <w:t xml:space="preserve">Čl. VI </w:t>
      </w:r>
    </w:p>
    <w:p w14:paraId="4976B1BD" w14:textId="77777777" w:rsidR="00A428AB" w:rsidRPr="002D6CB5" w:rsidRDefault="00A428AB" w:rsidP="00A428AB">
      <w:pPr>
        <w:jc w:val="center"/>
        <w:rPr>
          <w:b/>
        </w:rPr>
      </w:pPr>
    </w:p>
    <w:p w14:paraId="698D72FA" w14:textId="77777777" w:rsidR="00A428AB" w:rsidRPr="002D6CB5" w:rsidRDefault="00A428AB" w:rsidP="00A428AB">
      <w:pPr>
        <w:ind w:firstLine="644"/>
        <w:jc w:val="both"/>
        <w:outlineLvl w:val="1"/>
      </w:pPr>
      <w:r w:rsidRPr="002D6CB5"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</w:t>
      </w:r>
      <w:bookmarkStart w:id="1" w:name="_GoBack"/>
      <w:bookmarkEnd w:id="1"/>
      <w:r w:rsidRPr="002D6CB5">
        <w:t>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z., zákona č. 529/2023 Z. z., zákona č. 40/2024 Z. z., zákona č. 125/2024 Z. z., zákona č. 144/2024 Z. z., zákona č. 201/2024 Z. z., zákona č. 360/2024 Z. z., zákona č. 361/2024 Z. z.. zákona č. 362/2024 Z. z., zákona č. 363/2024 Z. z., zákona č. 23/2025 Z. z. a zákona č. 69/2025 Z. z. sa dopĺňa takto:</w:t>
      </w:r>
    </w:p>
    <w:p w14:paraId="7280E06C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</w:p>
    <w:p w14:paraId="552E75E3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>Príloha č. 3 sa dopĺňa 15. bodom, ktorý znie:</w:t>
      </w:r>
    </w:p>
    <w:p w14:paraId="726D599B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 xml:space="preserve">„15. Smernica Európskeho parlamentu a Rady (EÚ) 2016/800 z 11. mája 2016 o procesných zárukách pre deti, ktoré sú podozrivými alebo obvinenými osobami v trestnom konaní (Ú. v. EÚ L 132, 21. 5. 2016).“. </w:t>
      </w:r>
    </w:p>
    <w:p w14:paraId="68138ED6" w14:textId="77777777" w:rsidR="00A428AB" w:rsidRPr="002D6CB5" w:rsidRDefault="00A428AB" w:rsidP="00A428AB">
      <w:pPr>
        <w:shd w:val="clear" w:color="auto" w:fill="FFFFFF"/>
        <w:jc w:val="both"/>
      </w:pPr>
    </w:p>
    <w:p w14:paraId="515B8793" w14:textId="77777777" w:rsidR="00A428AB" w:rsidRPr="002D6CB5" w:rsidRDefault="00A428AB" w:rsidP="00A428AB">
      <w:pPr>
        <w:jc w:val="center"/>
        <w:rPr>
          <w:lang w:eastAsia="en-GB"/>
        </w:rPr>
      </w:pPr>
      <w:r w:rsidRPr="002D6CB5">
        <w:rPr>
          <w:lang w:eastAsia="en-GB"/>
        </w:rPr>
        <w:t xml:space="preserve">Čl. VII </w:t>
      </w:r>
    </w:p>
    <w:p w14:paraId="3F6CF874" w14:textId="77777777" w:rsidR="00A428AB" w:rsidRPr="002D6CB5" w:rsidRDefault="00A428AB" w:rsidP="00A428AB">
      <w:pPr>
        <w:ind w:firstLine="425"/>
        <w:jc w:val="both"/>
        <w:rPr>
          <w:rFonts w:eastAsia="MS Mincho"/>
          <w:lang w:eastAsia="cs-CZ"/>
        </w:rPr>
      </w:pPr>
    </w:p>
    <w:p w14:paraId="5284631D" w14:textId="77777777" w:rsidR="00A428AB" w:rsidRPr="002D6CB5" w:rsidRDefault="00A428AB" w:rsidP="00A428AB">
      <w:pPr>
        <w:ind w:firstLine="708"/>
        <w:jc w:val="both"/>
        <w:rPr>
          <w:rFonts w:eastAsia="MS Mincho"/>
          <w:lang w:eastAsia="cs-CZ"/>
        </w:rPr>
      </w:pPr>
      <w:r w:rsidRPr="002D6CB5">
        <w:rPr>
          <w:rFonts w:eastAsia="MS Mincho"/>
          <w:lang w:eastAsia="cs-CZ"/>
        </w:rPr>
        <w:t>Zákon č. 36/2005 Z. z. o rodine a o zmene a doplnení niektorých zákonov v znení uznesenia Ústavného súdu Slovenskej republiky č. 297/2005 Z. z., nálezu Ústavného súdu Slovenskej republiky č. 615/2006 Z. z., zákona č. 201/2008 Z. z., zákona č. 217/2010 Z. z., nálezu Ústavného súdu Slovenskej republiky č. 290/2011 Z. z., zákona č. 125/2013 Z. z., zákona č. 124/2015 Z. z., zákona č. 175/2015 Z. z., zákona č. 125/2016 Z. z., zákona č. 2/2017 Z. z., zákona č. 338/2022 Z. z. a zákona č. 408/2022 Z. z. sa dopĺňa takto:</w:t>
      </w:r>
    </w:p>
    <w:p w14:paraId="3BDB3BBB" w14:textId="77777777" w:rsidR="00A428AB" w:rsidRPr="002D6CB5" w:rsidRDefault="00A428AB" w:rsidP="00A428AB">
      <w:pPr>
        <w:shd w:val="clear" w:color="auto" w:fill="FFFFFF"/>
        <w:jc w:val="both"/>
      </w:pPr>
    </w:p>
    <w:p w14:paraId="648F59DC" w14:textId="77777777" w:rsidR="00A428AB" w:rsidRPr="002D6CB5" w:rsidRDefault="00A428AB" w:rsidP="00A428AB">
      <w:pPr>
        <w:shd w:val="clear" w:color="auto" w:fill="FFFFFF"/>
        <w:jc w:val="both"/>
      </w:pPr>
      <w:r w:rsidRPr="002D6CB5">
        <w:rPr>
          <w:shd w:val="clear" w:color="auto" w:fill="FFFFFF"/>
        </w:rPr>
        <w:t xml:space="preserve">1. </w:t>
      </w:r>
      <w:r w:rsidRPr="002D6CB5">
        <w:t>Za § 113 sa vkladá § 113a, ktorý vrátane nadpisu znie:</w:t>
      </w:r>
    </w:p>
    <w:p w14:paraId="6A774076" w14:textId="77777777" w:rsidR="00A428AB" w:rsidRPr="002D6CB5" w:rsidRDefault="00A428AB" w:rsidP="00A428AB">
      <w:pPr>
        <w:shd w:val="clear" w:color="auto" w:fill="FFFFFF"/>
        <w:jc w:val="center"/>
      </w:pPr>
    </w:p>
    <w:p w14:paraId="7BF0CC26" w14:textId="77777777" w:rsidR="00A428AB" w:rsidRPr="002D6CB5" w:rsidRDefault="00A428AB" w:rsidP="00A428AB">
      <w:pPr>
        <w:shd w:val="clear" w:color="auto" w:fill="FFFFFF"/>
        <w:jc w:val="center"/>
      </w:pPr>
      <w:r w:rsidRPr="002D6CB5">
        <w:t xml:space="preserve">„§ 113a </w:t>
      </w:r>
    </w:p>
    <w:p w14:paraId="5FD4D37A" w14:textId="77777777" w:rsidR="00A428AB" w:rsidRPr="002D6CB5" w:rsidRDefault="00A428AB" w:rsidP="00A428AB">
      <w:pPr>
        <w:shd w:val="clear" w:color="auto" w:fill="FFFFFF"/>
        <w:jc w:val="center"/>
      </w:pPr>
      <w:r w:rsidRPr="002D6CB5">
        <w:t>Transpozičné ustanovenie</w:t>
      </w:r>
    </w:p>
    <w:p w14:paraId="02C1CAF6" w14:textId="77777777" w:rsidR="00A428AB" w:rsidRPr="002D6CB5" w:rsidRDefault="00A428AB" w:rsidP="00A428AB">
      <w:pPr>
        <w:shd w:val="clear" w:color="auto" w:fill="FFFFFF"/>
        <w:jc w:val="center"/>
      </w:pPr>
    </w:p>
    <w:p w14:paraId="5F93F876" w14:textId="77777777" w:rsidR="00A428AB" w:rsidRPr="002D6CB5" w:rsidRDefault="00A428AB" w:rsidP="00A428AB">
      <w:pPr>
        <w:shd w:val="clear" w:color="auto" w:fill="FFFFFF"/>
        <w:ind w:firstLine="708"/>
        <w:jc w:val="both"/>
      </w:pPr>
      <w:r w:rsidRPr="002D6CB5">
        <w:t>Týmto zákonom sa preberajú právne záväzné akty Európskej únie uvedené v prílohe.“.</w:t>
      </w:r>
    </w:p>
    <w:p w14:paraId="4AAFB071" w14:textId="77777777" w:rsidR="00A428AB" w:rsidRPr="002D6CB5" w:rsidRDefault="00A428AB" w:rsidP="00A428AB">
      <w:pPr>
        <w:shd w:val="clear" w:color="auto" w:fill="FFFFFF"/>
        <w:jc w:val="both"/>
      </w:pPr>
    </w:p>
    <w:p w14:paraId="5110CD45" w14:textId="77777777" w:rsidR="00A428AB" w:rsidRPr="002D6CB5" w:rsidRDefault="00A428AB" w:rsidP="00A428AB">
      <w:pPr>
        <w:shd w:val="clear" w:color="auto" w:fill="FFFFFF"/>
        <w:jc w:val="both"/>
      </w:pPr>
      <w:r w:rsidRPr="002D6CB5">
        <w:t>2. Zákon sa dopĺňa prílohou, ktorá vrátane nadpisu znie:</w:t>
      </w:r>
    </w:p>
    <w:p w14:paraId="0C9FB154" w14:textId="77777777" w:rsidR="00A428AB" w:rsidRPr="002D6CB5" w:rsidRDefault="00A428AB" w:rsidP="00A428AB">
      <w:pPr>
        <w:shd w:val="clear" w:color="auto" w:fill="FFFFFF"/>
        <w:jc w:val="both"/>
      </w:pPr>
    </w:p>
    <w:p w14:paraId="65628E26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t>„</w:t>
      </w:r>
      <w:r w:rsidRPr="002D6CB5">
        <w:rPr>
          <w:b/>
        </w:rPr>
        <w:t xml:space="preserve">Príloha </w:t>
      </w:r>
    </w:p>
    <w:p w14:paraId="10F42F35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rPr>
          <w:b/>
        </w:rPr>
        <w:t>k zákonu č. 36/2005 Z. z.</w:t>
      </w:r>
    </w:p>
    <w:p w14:paraId="02C3D136" w14:textId="77777777" w:rsidR="00A428AB" w:rsidRPr="002D6CB5" w:rsidRDefault="00A428AB" w:rsidP="00A428AB">
      <w:pPr>
        <w:shd w:val="clear" w:color="auto" w:fill="FFFFFF"/>
        <w:jc w:val="right"/>
      </w:pPr>
      <w:r w:rsidRPr="002D6CB5">
        <w:t xml:space="preserve"> </w:t>
      </w:r>
    </w:p>
    <w:p w14:paraId="2D3DA6A3" w14:textId="77777777" w:rsidR="00A428AB" w:rsidRPr="002D6CB5" w:rsidRDefault="00A428AB" w:rsidP="00A428AB">
      <w:pPr>
        <w:shd w:val="clear" w:color="auto" w:fill="FFFFFF"/>
        <w:jc w:val="center"/>
        <w:rPr>
          <w:b/>
          <w:caps/>
        </w:rPr>
      </w:pPr>
      <w:r w:rsidRPr="002D6CB5">
        <w:rPr>
          <w:b/>
          <w:caps/>
        </w:rPr>
        <w:t>ZOZNAM PREBERANÝCH PRÁVNE záväzných AKTOV EURÓPSKEJ ÚNIE</w:t>
      </w:r>
    </w:p>
    <w:p w14:paraId="312E8087" w14:textId="77777777" w:rsidR="00A428AB" w:rsidRPr="002D6CB5" w:rsidRDefault="00A428AB" w:rsidP="00A428AB">
      <w:pPr>
        <w:shd w:val="clear" w:color="auto" w:fill="FFFFFF"/>
        <w:jc w:val="center"/>
      </w:pPr>
    </w:p>
    <w:p w14:paraId="60058632" w14:textId="77777777" w:rsidR="00A428AB" w:rsidRPr="002D6CB5" w:rsidRDefault="00A428AB" w:rsidP="00A428AB">
      <w:pPr>
        <w:shd w:val="clear" w:color="auto" w:fill="FFFFFF"/>
        <w:jc w:val="both"/>
      </w:pPr>
      <w:r w:rsidRPr="002D6CB5">
        <w:t>Smernica Európskeho parlamentu a Rady (EÚ) 2016/800 z 11. mája 2016 o procesných zárukách pre deti, ktoré sú podozrivými alebo obvinenými osobami v trestnom konaní (Ú. v. EÚ L 132, 21. 5. 2016).“.</w:t>
      </w:r>
    </w:p>
    <w:p w14:paraId="4EFA0D1F" w14:textId="77777777" w:rsidR="00A428AB" w:rsidRPr="002D6CB5" w:rsidRDefault="00A428AB" w:rsidP="00A428AB">
      <w:pPr>
        <w:shd w:val="clear" w:color="auto" w:fill="FFFFFF"/>
        <w:jc w:val="both"/>
      </w:pPr>
    </w:p>
    <w:p w14:paraId="69D639BF" w14:textId="77777777" w:rsidR="00A428AB" w:rsidRPr="002D6CB5" w:rsidRDefault="00A428AB" w:rsidP="00A428AB">
      <w:pPr>
        <w:jc w:val="center"/>
      </w:pPr>
      <w:r w:rsidRPr="002D6CB5">
        <w:t xml:space="preserve">Čl. VIII </w:t>
      </w:r>
    </w:p>
    <w:p w14:paraId="5A724C45" w14:textId="77777777" w:rsidR="00A428AB" w:rsidRPr="002D6CB5" w:rsidRDefault="00A428AB" w:rsidP="00A428AB">
      <w:pPr>
        <w:jc w:val="center"/>
        <w:rPr>
          <w:b/>
        </w:rPr>
      </w:pPr>
    </w:p>
    <w:p w14:paraId="6DE4E4E1" w14:textId="77777777" w:rsidR="00A428AB" w:rsidRPr="002D6CB5" w:rsidRDefault="00A428AB" w:rsidP="00A428AB">
      <w:pPr>
        <w:ind w:firstLine="708"/>
        <w:jc w:val="both"/>
      </w:pPr>
      <w:r w:rsidRPr="002D6CB5">
        <w:t>Zákon č. 305/2005 Z. z. o sociálnoprávnej ochrane detí a o sociálnej kuratele a o zmene a doplnení niektorých zákonov v znení zákona č. 330/2007 Z. z., zákona č. 643/2007 Z. z., zákona č. 215/2008 Z. z., zákona č. 466/2008 Z. z., zákona č. 317/2009 Z. z., zákona č. 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 418/2021 Z. z., zákona č. 199/2022 Z. z., zákona č. 345/2022 Z. z., zákona č. 376/2022 Z. z., zákona č. 50/2023 Z. z., zákona č. 192/2023 Z. z., zákona č. 40/2024 Z. z., zákona č. 176/2024 Z. z. a zákona č. 376/2024 Z. z. sa dopĺňa takto:</w:t>
      </w:r>
    </w:p>
    <w:p w14:paraId="012D8893" w14:textId="77777777" w:rsidR="00A428AB" w:rsidRPr="002D6CB5" w:rsidRDefault="00A428AB" w:rsidP="00A428AB">
      <w:pPr>
        <w:ind w:firstLine="360"/>
        <w:jc w:val="both"/>
      </w:pPr>
    </w:p>
    <w:p w14:paraId="4ADD1431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>Príloha č. 2 sa dopĺňa štvrtým bodom, ktorý znie:</w:t>
      </w:r>
    </w:p>
    <w:p w14:paraId="1E5C7CC3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 xml:space="preserve">„4. Smernica Európskeho parlamentu a Rady (EÚ) 2016/800 z 11. mája 2016 o procesných zárukách pre deti, ktoré sú podozrivými alebo obvinenými osobami v trestnom konaní (Ú. v. EÚ L 132, 21. 5. 2016).“. </w:t>
      </w:r>
    </w:p>
    <w:p w14:paraId="5D2B056D" w14:textId="77777777" w:rsidR="00A428AB" w:rsidRPr="002D6CB5" w:rsidRDefault="00A428AB" w:rsidP="00A428AB">
      <w:pPr>
        <w:shd w:val="clear" w:color="auto" w:fill="FFFFFF"/>
        <w:jc w:val="both"/>
      </w:pPr>
    </w:p>
    <w:p w14:paraId="567C1677" w14:textId="77777777" w:rsidR="00A428AB" w:rsidRPr="002D6CB5" w:rsidRDefault="00A428AB" w:rsidP="00A428AB">
      <w:pPr>
        <w:jc w:val="center"/>
      </w:pPr>
      <w:r w:rsidRPr="002D6CB5">
        <w:t xml:space="preserve">Čl. IX </w:t>
      </w:r>
    </w:p>
    <w:p w14:paraId="7176B456" w14:textId="77777777" w:rsidR="00A428AB" w:rsidRPr="002D6CB5" w:rsidRDefault="00A428AB" w:rsidP="00A428AB">
      <w:pPr>
        <w:shd w:val="clear" w:color="auto" w:fill="FFFFFF"/>
        <w:jc w:val="both"/>
      </w:pPr>
    </w:p>
    <w:p w14:paraId="71F130AA" w14:textId="77777777" w:rsidR="00A428AB" w:rsidRPr="002D6CB5" w:rsidRDefault="00A428AB" w:rsidP="00A428AB">
      <w:pPr>
        <w:ind w:firstLine="567"/>
        <w:jc w:val="both"/>
      </w:pPr>
      <w:r w:rsidRPr="002D6CB5">
        <w:rPr>
          <w:bCs/>
        </w:rPr>
        <w:tab/>
      </w:r>
      <w:r w:rsidRPr="002D6CB5">
        <w:t>Zákon č. 154/2010 Z. z. o európskom zatýkacom rozkaze v znení zákona č. 344/2012 Z. z., zákona č. 174/2015 Z. z., zákona č. 444/2015 Z. z., zákona č. 316/2016 Z. z., zákona č. 161/2018 Z. z., zákona č. 321/2018 Z. z. a zákona č. 40/2024 Z. z. sa mení a dopĺňa takto:</w:t>
      </w:r>
    </w:p>
    <w:p w14:paraId="4CE4D97A" w14:textId="77777777" w:rsidR="00A428AB" w:rsidRPr="002D6CB5" w:rsidRDefault="00A428AB" w:rsidP="00A428AB">
      <w:pPr>
        <w:jc w:val="both"/>
      </w:pPr>
    </w:p>
    <w:p w14:paraId="0277F092" w14:textId="77777777" w:rsidR="00A428AB" w:rsidRPr="002D6CB5" w:rsidRDefault="00A428AB" w:rsidP="00A428AB">
      <w:pPr>
        <w:shd w:val="clear" w:color="auto" w:fill="FFFFFF"/>
        <w:jc w:val="both"/>
      </w:pPr>
      <w:r w:rsidRPr="002D6CB5">
        <w:t>V prílohe č. 2 sa za piaty bod vkladá nový šiesty bod, ktorý znie:</w:t>
      </w:r>
    </w:p>
    <w:p w14:paraId="4E54BCF2" w14:textId="77777777" w:rsidR="00A428AB" w:rsidRPr="002D6CB5" w:rsidRDefault="00A428AB" w:rsidP="00A428AB">
      <w:pPr>
        <w:shd w:val="clear" w:color="auto" w:fill="FFFFFF"/>
        <w:jc w:val="both"/>
      </w:pPr>
      <w:r w:rsidRPr="002D6CB5">
        <w:t>„6. Smernica Európskeho parlamentu a Rady (EÚ) 2016/800 z 11. mája 2016 o procesných zárukách pre deti, ktoré sú podozrivými alebo obvinenými osobami v trestnom konaní (Ú. v. EÚ L 132, 21. 5. 2016).“.</w:t>
      </w:r>
    </w:p>
    <w:p w14:paraId="23E17AB1" w14:textId="77777777" w:rsidR="00A428AB" w:rsidRPr="002D6CB5" w:rsidRDefault="00A428AB" w:rsidP="00A428AB">
      <w:pPr>
        <w:shd w:val="clear" w:color="auto" w:fill="FFFFFF"/>
        <w:jc w:val="both"/>
      </w:pPr>
    </w:p>
    <w:p w14:paraId="1C2C9C90" w14:textId="77777777" w:rsidR="00A428AB" w:rsidRPr="002D6CB5" w:rsidRDefault="00A428AB" w:rsidP="00A428AB">
      <w:pPr>
        <w:jc w:val="both"/>
      </w:pPr>
      <w:r w:rsidRPr="002D6CB5">
        <w:t>Doterajší šiesty bod sa označuje ako siedmy bod.</w:t>
      </w:r>
    </w:p>
    <w:p w14:paraId="767F05FE" w14:textId="77777777" w:rsidR="00A428AB" w:rsidRPr="002D6CB5" w:rsidRDefault="00A428AB" w:rsidP="00A428AB">
      <w:pPr>
        <w:shd w:val="clear" w:color="auto" w:fill="FFFFFF"/>
        <w:jc w:val="both"/>
      </w:pPr>
    </w:p>
    <w:p w14:paraId="0215DEA2" w14:textId="77777777" w:rsidR="00A428AB" w:rsidRPr="002D6CB5" w:rsidRDefault="00A428AB" w:rsidP="00A428AB">
      <w:pPr>
        <w:widowControl w:val="0"/>
        <w:autoSpaceDE w:val="0"/>
        <w:autoSpaceDN w:val="0"/>
        <w:adjustRightInd w:val="0"/>
        <w:jc w:val="center"/>
      </w:pPr>
      <w:r w:rsidRPr="002D6CB5">
        <w:t xml:space="preserve">Čl. X </w:t>
      </w:r>
    </w:p>
    <w:p w14:paraId="1C0A9BFC" w14:textId="77777777" w:rsidR="00A428AB" w:rsidRPr="002D6CB5" w:rsidRDefault="00A428AB" w:rsidP="00A428AB">
      <w:pPr>
        <w:widowControl w:val="0"/>
        <w:autoSpaceDE w:val="0"/>
        <w:autoSpaceDN w:val="0"/>
        <w:adjustRightInd w:val="0"/>
        <w:jc w:val="both"/>
      </w:pPr>
    </w:p>
    <w:p w14:paraId="5E0ECFB0" w14:textId="77777777" w:rsidR="00A428AB" w:rsidRPr="002D6CB5" w:rsidRDefault="00A428AB" w:rsidP="00A428AB">
      <w:pPr>
        <w:widowControl w:val="0"/>
        <w:autoSpaceDE w:val="0"/>
        <w:autoSpaceDN w:val="0"/>
        <w:adjustRightInd w:val="0"/>
        <w:ind w:firstLine="708"/>
        <w:jc w:val="both"/>
      </w:pPr>
      <w:r w:rsidRPr="002D6CB5">
        <w:t>Zákon č. 219/2014 Z. z. o sociálnej práci a o podmienkach na výkon niektorých odborných činností v oblasti sociálnych vecí a rodiny a o zmene a doplnení niektorých zákonov v znení zákona č. 177/2018 Z. z., zákona č. 322/2019 Z. z., zákona č. 484/2021 Z. z., zákona č. 116/2023 Z. z. a zákona č. 292/2024 Z. z. sa dopĺňa takto:</w:t>
      </w:r>
    </w:p>
    <w:p w14:paraId="79428C2B" w14:textId="77777777" w:rsidR="00A428AB" w:rsidRPr="002D6CB5" w:rsidRDefault="00A428AB" w:rsidP="00A428AB">
      <w:pPr>
        <w:widowControl w:val="0"/>
        <w:autoSpaceDE w:val="0"/>
        <w:autoSpaceDN w:val="0"/>
        <w:adjustRightInd w:val="0"/>
        <w:jc w:val="both"/>
      </w:pPr>
    </w:p>
    <w:p w14:paraId="090849C8" w14:textId="77777777" w:rsidR="00A428AB" w:rsidRPr="002D6CB5" w:rsidRDefault="00A428AB" w:rsidP="00A428AB">
      <w:pPr>
        <w:shd w:val="clear" w:color="auto" w:fill="FFFFFF"/>
        <w:jc w:val="both"/>
      </w:pPr>
      <w:r w:rsidRPr="002D6CB5">
        <w:rPr>
          <w:shd w:val="clear" w:color="auto" w:fill="FFFFFF"/>
        </w:rPr>
        <w:t xml:space="preserve">1. </w:t>
      </w:r>
      <w:r w:rsidRPr="002D6CB5">
        <w:t>Za § 48 sa vkladá § 49, ktorý vrátane nadpisu znie:</w:t>
      </w:r>
    </w:p>
    <w:p w14:paraId="1E033063" w14:textId="77777777" w:rsidR="00A428AB" w:rsidRPr="002D6CB5" w:rsidRDefault="00A428AB" w:rsidP="00A428AB">
      <w:pPr>
        <w:shd w:val="clear" w:color="auto" w:fill="FFFFFF"/>
        <w:jc w:val="center"/>
      </w:pPr>
    </w:p>
    <w:p w14:paraId="7B63F850" w14:textId="77777777" w:rsidR="00A428AB" w:rsidRPr="002D6CB5" w:rsidRDefault="00A428AB" w:rsidP="00A428AB">
      <w:pPr>
        <w:shd w:val="clear" w:color="auto" w:fill="FFFFFF"/>
        <w:jc w:val="center"/>
      </w:pPr>
      <w:r w:rsidRPr="002D6CB5">
        <w:t xml:space="preserve">„§ 49 </w:t>
      </w:r>
    </w:p>
    <w:p w14:paraId="453A17AA" w14:textId="77777777" w:rsidR="00A428AB" w:rsidRPr="002D6CB5" w:rsidRDefault="00A428AB" w:rsidP="00A428AB">
      <w:pPr>
        <w:shd w:val="clear" w:color="auto" w:fill="FFFFFF"/>
        <w:jc w:val="center"/>
      </w:pPr>
      <w:r w:rsidRPr="002D6CB5">
        <w:t>Transpozičné ustanovenie</w:t>
      </w:r>
    </w:p>
    <w:p w14:paraId="60AA9F4F" w14:textId="77777777" w:rsidR="00A428AB" w:rsidRPr="002D6CB5" w:rsidRDefault="00A428AB" w:rsidP="00A428AB">
      <w:pPr>
        <w:shd w:val="clear" w:color="auto" w:fill="FFFFFF"/>
        <w:jc w:val="center"/>
      </w:pPr>
    </w:p>
    <w:p w14:paraId="0CAE8FA4" w14:textId="77777777" w:rsidR="00A428AB" w:rsidRPr="002D6CB5" w:rsidRDefault="00A428AB" w:rsidP="00A428AB">
      <w:pPr>
        <w:shd w:val="clear" w:color="auto" w:fill="FFFFFF"/>
        <w:ind w:firstLine="708"/>
        <w:jc w:val="both"/>
      </w:pPr>
      <w:r w:rsidRPr="002D6CB5">
        <w:t>Týmto zákonom sa preberajú právne záväzné akty Európskej únie uvedené v prílohe.“.</w:t>
      </w:r>
    </w:p>
    <w:p w14:paraId="1FC9364F" w14:textId="77777777" w:rsidR="00A428AB" w:rsidRPr="002D6CB5" w:rsidRDefault="00A428AB" w:rsidP="00A428AB">
      <w:pPr>
        <w:shd w:val="clear" w:color="auto" w:fill="FFFFFF"/>
        <w:jc w:val="both"/>
      </w:pPr>
    </w:p>
    <w:p w14:paraId="0535433A" w14:textId="77777777" w:rsidR="00A428AB" w:rsidRPr="002D6CB5" w:rsidRDefault="00A428AB" w:rsidP="00A428AB">
      <w:pPr>
        <w:shd w:val="clear" w:color="auto" w:fill="FFFFFF"/>
        <w:jc w:val="both"/>
      </w:pPr>
      <w:r w:rsidRPr="002D6CB5">
        <w:t>2. Zákon sa dopĺňa prílohou, ktorá vrátane nadpisu znie:</w:t>
      </w:r>
    </w:p>
    <w:p w14:paraId="6760C955" w14:textId="77777777" w:rsidR="00A428AB" w:rsidRPr="002D6CB5" w:rsidRDefault="00A428AB" w:rsidP="00A428AB">
      <w:pPr>
        <w:shd w:val="clear" w:color="auto" w:fill="FFFFFF"/>
        <w:jc w:val="both"/>
      </w:pPr>
    </w:p>
    <w:p w14:paraId="0718A3BD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t>„</w:t>
      </w:r>
      <w:r w:rsidRPr="002D6CB5">
        <w:rPr>
          <w:b/>
        </w:rPr>
        <w:t xml:space="preserve">Príloha </w:t>
      </w:r>
    </w:p>
    <w:p w14:paraId="574E45AD" w14:textId="77777777" w:rsidR="00A428AB" w:rsidRPr="002D6CB5" w:rsidRDefault="00A428AB" w:rsidP="00A428AB">
      <w:pPr>
        <w:shd w:val="clear" w:color="auto" w:fill="FFFFFF"/>
        <w:jc w:val="right"/>
        <w:rPr>
          <w:b/>
        </w:rPr>
      </w:pPr>
      <w:r w:rsidRPr="002D6CB5">
        <w:rPr>
          <w:b/>
        </w:rPr>
        <w:t>k zákonu č. 219/2014 Z. z.</w:t>
      </w:r>
    </w:p>
    <w:p w14:paraId="70D3EAA4" w14:textId="77777777" w:rsidR="00A428AB" w:rsidRPr="002D6CB5" w:rsidRDefault="00A428AB" w:rsidP="00A428AB">
      <w:pPr>
        <w:shd w:val="clear" w:color="auto" w:fill="FFFFFF"/>
        <w:jc w:val="both"/>
      </w:pPr>
      <w:r w:rsidRPr="002D6CB5">
        <w:t xml:space="preserve"> </w:t>
      </w:r>
    </w:p>
    <w:p w14:paraId="0CDD8BE5" w14:textId="77777777" w:rsidR="00A428AB" w:rsidRPr="002D6CB5" w:rsidRDefault="00A428AB" w:rsidP="00A428AB">
      <w:pPr>
        <w:shd w:val="clear" w:color="auto" w:fill="FFFFFF"/>
        <w:jc w:val="center"/>
        <w:rPr>
          <w:b/>
        </w:rPr>
      </w:pPr>
      <w:r w:rsidRPr="002D6CB5">
        <w:rPr>
          <w:b/>
          <w:caps/>
        </w:rPr>
        <w:t>ZOZNAM PREBERANÝCH PRÁVNE záväzných AKTOV EURÓPSKEJ ÚNIE</w:t>
      </w:r>
    </w:p>
    <w:p w14:paraId="2A4C7C7A" w14:textId="77777777" w:rsidR="00A428AB" w:rsidRPr="002D6CB5" w:rsidRDefault="00A428AB" w:rsidP="00A428AB">
      <w:pPr>
        <w:shd w:val="clear" w:color="auto" w:fill="FFFFFF"/>
        <w:jc w:val="center"/>
      </w:pPr>
    </w:p>
    <w:p w14:paraId="53501535" w14:textId="77777777" w:rsidR="00A428AB" w:rsidRPr="002D6CB5" w:rsidRDefault="00A428AB" w:rsidP="00A428AB">
      <w:pPr>
        <w:shd w:val="clear" w:color="auto" w:fill="FFFFFF"/>
        <w:jc w:val="both"/>
      </w:pPr>
      <w:r w:rsidRPr="002D6CB5">
        <w:t>Smernica Európskeho parlamentu a Rady (EÚ) 2016/800 z 11. mája 2016 o procesných zárukách pre deti, ktoré sú podozrivými alebo obvinenými osobami v trestnom konaní (Ú. v. EÚ L 132, 21. 5. 2016).“.</w:t>
      </w:r>
    </w:p>
    <w:p w14:paraId="424A77A2" w14:textId="77777777" w:rsidR="00A428AB" w:rsidRPr="002D6CB5" w:rsidRDefault="00A428AB" w:rsidP="00A428AB">
      <w:pPr>
        <w:jc w:val="both"/>
      </w:pPr>
    </w:p>
    <w:p w14:paraId="3DDC527A" w14:textId="77777777" w:rsidR="00A428AB" w:rsidRPr="002D6CB5" w:rsidRDefault="00A428AB" w:rsidP="00A428AB">
      <w:pPr>
        <w:jc w:val="both"/>
      </w:pPr>
      <w:r w:rsidRPr="002D6CB5">
        <w:t>Nasledujúce články sa primerane prečíslujú.</w:t>
      </w:r>
    </w:p>
    <w:p w14:paraId="31E4D6E3" w14:textId="77777777" w:rsidR="00A428AB" w:rsidRPr="002D6CB5" w:rsidRDefault="00A428AB" w:rsidP="00A428AB">
      <w:pPr>
        <w:ind w:left="2832" w:hanging="2832"/>
        <w:jc w:val="both"/>
      </w:pPr>
    </w:p>
    <w:p w14:paraId="79C4574B" w14:textId="54D1FDE8" w:rsidR="00A428AB" w:rsidRPr="002D6CB5" w:rsidRDefault="00A428AB" w:rsidP="00A428AB">
      <w:pPr>
        <w:ind w:left="2832"/>
        <w:jc w:val="both"/>
      </w:pPr>
      <w:r w:rsidRPr="002D6CB5">
        <w:t xml:space="preserve">Ide o reakciu na odôvodnené stanovisko Európskej komisie INFR(2023)2108, v ktorom Európska komisia požaduje upraviť alebo doplniť transpozičné prílohy vyššie uvedených zákonov o smernicu Európskeho parlamentu a Rady (EÚ) 2016/800 z 11. mája 2016 o procesných zárukách pre deti, ktoré sú podozrivými alebo obvinenými osobami v trestnom konaní (ďalej len „smernica“). Podľa čl. 24 ods. 1 druhý </w:t>
      </w:r>
      <w:proofErr w:type="spellStart"/>
      <w:r w:rsidRPr="002D6CB5">
        <w:t>pododsek</w:t>
      </w:r>
      <w:proofErr w:type="spellEnd"/>
      <w:r w:rsidRPr="002D6CB5">
        <w:t xml:space="preserve"> smernice „Členské štáty uvedú priamo v týchto prijatých ustanoveniach alebo pri ich úradnom uverejnení odkaz na túto smernicu. Podrobnosti o odkaze upravia členské štáty.“. Z uvedeného ustanovenia smernice v intenciách Slovenskej republiky vyplýva povinnosť uviesť smernicu v transpozičných prílohách všetkých zákonov, ktorými sa smernica transponuje. V prípade nesplnenia si tejto povinnosti zo strany Slovenskej republiky môže Súdny dvor Európskej únie na základe článku 260 ods. 3 Zmluvy o fungovaní Európskej únie uložiť peňažné sankcie.</w:t>
      </w:r>
    </w:p>
    <w:p w14:paraId="7C55C51D" w14:textId="77777777" w:rsidR="00A428AB" w:rsidRPr="002D6CB5" w:rsidRDefault="00A428AB" w:rsidP="00A428AB">
      <w:pPr>
        <w:jc w:val="both"/>
        <w:rPr>
          <w:b/>
        </w:rPr>
      </w:pPr>
    </w:p>
    <w:p w14:paraId="0177E6E5" w14:textId="125347D3" w:rsidR="00A428AB" w:rsidRPr="002D6CB5" w:rsidRDefault="00A428AB" w:rsidP="00A428AB">
      <w:pPr>
        <w:jc w:val="both"/>
      </w:pPr>
      <w:r w:rsidRPr="002D6CB5">
        <w:rPr>
          <w:b/>
        </w:rPr>
        <w:t>7. Za čl. III sa vkladá nový čl. IV</w:t>
      </w:r>
      <w:r w:rsidRPr="002D6CB5">
        <w:t>, ktorý znie:</w:t>
      </w:r>
    </w:p>
    <w:p w14:paraId="6FE18E52" w14:textId="77777777" w:rsidR="00A428AB" w:rsidRPr="002D6CB5" w:rsidRDefault="00A428AB" w:rsidP="00A428AB">
      <w:pPr>
        <w:shd w:val="clear" w:color="auto" w:fill="FFFFFF"/>
        <w:jc w:val="both"/>
      </w:pPr>
    </w:p>
    <w:p w14:paraId="3B1DC34C" w14:textId="77777777" w:rsidR="00A428AB" w:rsidRPr="002D6CB5" w:rsidRDefault="00A428AB" w:rsidP="00A428AB">
      <w:pPr>
        <w:jc w:val="center"/>
      </w:pPr>
      <w:r w:rsidRPr="002D6CB5">
        <w:t xml:space="preserve">Čl. IV </w:t>
      </w:r>
    </w:p>
    <w:p w14:paraId="7FDA0203" w14:textId="77777777" w:rsidR="00A428AB" w:rsidRPr="002D6CB5" w:rsidRDefault="00A428AB" w:rsidP="00A428AB">
      <w:pPr>
        <w:shd w:val="clear" w:color="auto" w:fill="FFFFFF"/>
        <w:jc w:val="both"/>
      </w:pPr>
    </w:p>
    <w:p w14:paraId="698C3143" w14:textId="77777777" w:rsidR="00A428AB" w:rsidRPr="002D6CB5" w:rsidRDefault="00A428AB" w:rsidP="00A428AB">
      <w:pPr>
        <w:ind w:firstLine="708"/>
        <w:jc w:val="both"/>
        <w:rPr>
          <w:szCs w:val="21"/>
          <w:shd w:val="clear" w:color="auto" w:fill="FFFFFF"/>
        </w:rPr>
      </w:pPr>
      <w:r w:rsidRPr="002D6CB5">
        <w:rPr>
          <w:szCs w:val="21"/>
          <w:shd w:val="clear" w:color="auto" w:fill="FFFFFF"/>
        </w:rPr>
        <w:t>Zákon č. </w:t>
      </w:r>
      <w:r w:rsidRPr="002D6CB5">
        <w:rPr>
          <w:iCs/>
          <w:szCs w:val="21"/>
          <w:shd w:val="clear" w:color="auto" w:fill="FFFFFF"/>
        </w:rPr>
        <w:t>274/2017 Z. z.</w:t>
      </w:r>
      <w:r w:rsidRPr="002D6CB5">
        <w:rPr>
          <w:szCs w:val="21"/>
          <w:shd w:val="clear" w:color="auto" w:fill="FFFFFF"/>
        </w:rPr>
        <w:t xml:space="preserve"> o obetiach trestných činov a o zmene a doplnení niektorých zákonov v znení zákona č. 231/2019 Z. z., zákona č. 217/2021 Z. z. a zákona č. 49/2023 Z. z.  sa </w:t>
      </w:r>
      <w:r w:rsidRPr="002D6CB5">
        <w:t xml:space="preserve">dopĺňa </w:t>
      </w:r>
      <w:r w:rsidRPr="002D6CB5">
        <w:rPr>
          <w:szCs w:val="21"/>
          <w:shd w:val="clear" w:color="auto" w:fill="FFFFFF"/>
        </w:rPr>
        <w:t>takto:</w:t>
      </w:r>
    </w:p>
    <w:p w14:paraId="424AC110" w14:textId="77777777" w:rsidR="00A428AB" w:rsidRPr="002D6CB5" w:rsidRDefault="00A428AB" w:rsidP="00A428AB">
      <w:pPr>
        <w:jc w:val="both"/>
        <w:rPr>
          <w:szCs w:val="21"/>
          <w:shd w:val="clear" w:color="auto" w:fill="FFFFFF"/>
        </w:rPr>
      </w:pPr>
    </w:p>
    <w:p w14:paraId="48DD67F7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>Príloha sa dopĺňa tretím bodom, ktorý znie:</w:t>
      </w:r>
    </w:p>
    <w:p w14:paraId="70EA50CF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 xml:space="preserve">„3. Smernica Európskeho parlamentu a Rady (EÚ) 2016/800 z 11. mája 2016 o procesných zárukách pre deti, ktoré sú podozrivými alebo obvinenými osobami v trestnom konaní (Ú. v. EÚ L 132, 21. 5. 2016).“. </w:t>
      </w:r>
    </w:p>
    <w:p w14:paraId="682B0C7C" w14:textId="77777777" w:rsidR="00A428AB" w:rsidRPr="002D6CB5" w:rsidRDefault="00A428AB" w:rsidP="00A428AB">
      <w:pPr>
        <w:jc w:val="both"/>
      </w:pPr>
    </w:p>
    <w:p w14:paraId="568AD17B" w14:textId="77777777" w:rsidR="00A428AB" w:rsidRPr="002D6CB5" w:rsidRDefault="00A428AB" w:rsidP="00A428AB">
      <w:pPr>
        <w:jc w:val="both"/>
      </w:pPr>
      <w:r w:rsidRPr="002D6CB5">
        <w:t>Nasledujúce články sa primerane prečíslujú.</w:t>
      </w:r>
    </w:p>
    <w:p w14:paraId="26932CC2" w14:textId="77777777" w:rsidR="00A428AB" w:rsidRPr="002D6CB5" w:rsidRDefault="00A428AB" w:rsidP="00A428AB">
      <w:pPr>
        <w:jc w:val="both"/>
      </w:pPr>
    </w:p>
    <w:p w14:paraId="7728D67B" w14:textId="1FF723A6" w:rsidR="00A428AB" w:rsidRPr="002D6CB5" w:rsidRDefault="00A428AB" w:rsidP="00A428AB">
      <w:pPr>
        <w:ind w:left="2832" w:hanging="2832"/>
        <w:jc w:val="both"/>
      </w:pPr>
      <w:r w:rsidRPr="002D6CB5">
        <w:tab/>
        <w:t xml:space="preserve">Ide o reakciu na odôvodnené stanovisko Európskej komisie INFR(2023)2108, v ktorom Európska komisia požaduje upraviť alebo doplniť transpozičnú prílohu vyššie uvedeného zákona o smernicu Európskeho parlamentu a Rady (EÚ) 2016/800 z 11. mája 2016 o procesných zárukách pre deti, ktoré sú podozrivými alebo obvinenými osobami v trestnom konaní (ďalej len „smernica“). Podľa čl. 24 ods. 1 druhý </w:t>
      </w:r>
      <w:proofErr w:type="spellStart"/>
      <w:r w:rsidRPr="002D6CB5">
        <w:t>pododsek</w:t>
      </w:r>
      <w:proofErr w:type="spellEnd"/>
      <w:r w:rsidRPr="002D6CB5">
        <w:t xml:space="preserve"> smernice „Členské štáty uvedú priamo v týchto prijatých ustanoveniach alebo pri ich úradnom uverejnení odkaz na túto smernicu. Podrobnosti o odkaze upravia členské štáty.“. Z uvedeného ustanovenia smernice v intenciách Slovenskej republiky vyplýva povinnosť uviesť smernicu v transpozičných prílohách všetkých zákonov, ktorými sa smernica transponuje. V prípade nesplnenia si tejto povinnosti zo strany Slovenskej republiky môže Súdny dvor Európskej únie na základe článku 260 ods. 3 Zmluvy o fungovaní Európskej únie uložiť peňažné sankcie.</w:t>
      </w:r>
    </w:p>
    <w:p w14:paraId="74B91BE0" w14:textId="77777777" w:rsidR="00A428AB" w:rsidRPr="002D6CB5" w:rsidRDefault="00A428AB" w:rsidP="00A428AB">
      <w:pPr>
        <w:ind w:left="2832" w:hanging="2832"/>
        <w:jc w:val="both"/>
      </w:pPr>
    </w:p>
    <w:p w14:paraId="7C6F4F7E" w14:textId="70130696" w:rsidR="00A428AB" w:rsidRPr="002D6CB5" w:rsidRDefault="00A428AB" w:rsidP="00A428AB">
      <w:pPr>
        <w:jc w:val="both"/>
      </w:pPr>
      <w:r w:rsidRPr="002D6CB5">
        <w:rPr>
          <w:b/>
        </w:rPr>
        <w:t xml:space="preserve">8. Za čl. IV sa vkladá nový čl. V, </w:t>
      </w:r>
      <w:r w:rsidRPr="002D6CB5">
        <w:t>ktorý znie:</w:t>
      </w:r>
    </w:p>
    <w:p w14:paraId="55497CFF" w14:textId="77777777" w:rsidR="00A428AB" w:rsidRPr="002D6CB5" w:rsidRDefault="00A428AB" w:rsidP="00A428AB">
      <w:pPr>
        <w:shd w:val="clear" w:color="auto" w:fill="FFFFFF"/>
        <w:jc w:val="both"/>
      </w:pPr>
    </w:p>
    <w:p w14:paraId="7F4D35F3" w14:textId="77777777" w:rsidR="00A428AB" w:rsidRPr="002D6CB5" w:rsidRDefault="00A428AB" w:rsidP="00A428AB">
      <w:pPr>
        <w:jc w:val="center"/>
      </w:pPr>
      <w:r w:rsidRPr="002D6CB5">
        <w:t xml:space="preserve">Čl. V </w:t>
      </w:r>
    </w:p>
    <w:p w14:paraId="501B9A05" w14:textId="77777777" w:rsidR="00A428AB" w:rsidRPr="002D6CB5" w:rsidRDefault="00A428AB" w:rsidP="00A428AB">
      <w:pPr>
        <w:jc w:val="center"/>
        <w:rPr>
          <w:b/>
        </w:rPr>
      </w:pPr>
    </w:p>
    <w:p w14:paraId="4DF09DA3" w14:textId="77777777" w:rsidR="00A428AB" w:rsidRPr="002D6CB5" w:rsidRDefault="00A428AB" w:rsidP="00A428AB">
      <w:pPr>
        <w:shd w:val="clear" w:color="auto" w:fill="FFFFFF"/>
        <w:ind w:firstLine="708"/>
        <w:jc w:val="both"/>
      </w:pPr>
      <w:r w:rsidRPr="002D6CB5">
        <w:t>Zákon č. 264/2022 Z. z. o mediálnych službách a o zmene a doplnení niektorých zákonov (zákon o mediálnych službách) v znení zákona č. 351/2022 Z. z., zákona č. 309/2023 Z. z., zákona č. 203/2024 Z. z. a zákona č. 83/2025 Z. z. sa dopĺňa takto:</w:t>
      </w:r>
    </w:p>
    <w:p w14:paraId="22DC5EAB" w14:textId="77777777" w:rsidR="00A428AB" w:rsidRPr="002D6CB5" w:rsidRDefault="00A428AB" w:rsidP="00A428AB">
      <w:pPr>
        <w:shd w:val="clear" w:color="auto" w:fill="FFFFFF"/>
        <w:jc w:val="both"/>
      </w:pPr>
    </w:p>
    <w:p w14:paraId="7B288189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>Príloha sa dopĺňa 14. bodom, ktorý znie:</w:t>
      </w:r>
    </w:p>
    <w:p w14:paraId="5BFE668B" w14:textId="77777777" w:rsidR="00A428AB" w:rsidRPr="002D6CB5" w:rsidRDefault="00A428AB" w:rsidP="00A428AB">
      <w:pPr>
        <w:autoSpaceDE w:val="0"/>
        <w:autoSpaceDN w:val="0"/>
        <w:adjustRightInd w:val="0"/>
        <w:jc w:val="both"/>
      </w:pPr>
      <w:r w:rsidRPr="002D6CB5">
        <w:t>„14. Smernica Európskeho parlamentu a Rady (EÚ) 2016/800 z 11. mája 2016 o procesných zárukách pre deti, ktoré sú podozrivými alebo obvinenými osobami v trestnom konaní (Ú. v. EÚ L 132, 21. 5. 2016).“.“.</w:t>
      </w:r>
    </w:p>
    <w:p w14:paraId="49B0D36A" w14:textId="77777777" w:rsidR="00A428AB" w:rsidRPr="002D6CB5" w:rsidRDefault="00A428AB" w:rsidP="00A428AB">
      <w:pPr>
        <w:jc w:val="both"/>
        <w:rPr>
          <w:b/>
        </w:rPr>
      </w:pPr>
    </w:p>
    <w:p w14:paraId="1FAB5915" w14:textId="77777777" w:rsidR="00A428AB" w:rsidRPr="002D6CB5" w:rsidRDefault="00A428AB" w:rsidP="00A428AB">
      <w:pPr>
        <w:jc w:val="both"/>
      </w:pPr>
      <w:r w:rsidRPr="002D6CB5">
        <w:t>Nasledujúci článok sa primerane prečísluje.</w:t>
      </w:r>
    </w:p>
    <w:p w14:paraId="0B8550BA" w14:textId="77777777" w:rsidR="00A428AB" w:rsidRPr="002D6CB5" w:rsidRDefault="00A428AB" w:rsidP="00A428AB">
      <w:pPr>
        <w:jc w:val="both"/>
        <w:rPr>
          <w:b/>
        </w:rPr>
      </w:pPr>
    </w:p>
    <w:p w14:paraId="24A7C890" w14:textId="24F0A327" w:rsidR="00A428AB" w:rsidRPr="002D6CB5" w:rsidRDefault="00A428AB" w:rsidP="00A428AB">
      <w:pPr>
        <w:ind w:left="2832" w:hanging="2832"/>
        <w:jc w:val="both"/>
      </w:pPr>
      <w:r w:rsidRPr="002D6CB5">
        <w:tab/>
        <w:t xml:space="preserve">Ide o reakciu na odôvodnené stanovisko Európskej komisie INFR(2023)2108, v ktorom Európska komisia požaduje upraviť alebo doplniť transpozičnú prílohu vyššie uvedeného zákona o smernicu Európskeho parlamentu a Rady (EÚ) 2016/800 z 11. mája 2016 o procesných zárukách pre deti, ktoré sú podozrivými alebo obvinenými osobami v trestnom konaní (ďalej len „smernica“). Podľa čl. 24 ods. 1 druhý </w:t>
      </w:r>
      <w:proofErr w:type="spellStart"/>
      <w:r w:rsidRPr="002D6CB5">
        <w:t>pododsek</w:t>
      </w:r>
      <w:proofErr w:type="spellEnd"/>
      <w:r w:rsidRPr="002D6CB5">
        <w:t xml:space="preserve"> smernice „Členské štáty uvedú priamo v týchto prijatých ustanoveniach alebo pri ich úradnom uverejnení odkaz na túto smernicu. Podrobnosti o odkaze upravia členské štáty.“. Z uvedeného ustanovenia smernice v intenciách Slovenskej republiky vyplýva povinnosť uviesť smernicu v transpozičných prílohách všetkých zákonov, ktorými sa smernica transponuje. V prípade nesplnenia si tejto povinnosti zo strany Slovenskej republiky môže Súdny </w:t>
      </w:r>
      <w:r w:rsidRPr="002D6CB5">
        <w:lastRenderedPageBreak/>
        <w:t>dvor Európskej únie na základe článku 260 ods. 3 Zmluvy o fungovaní Európskej únie uložiť peňažné sankcie.</w:t>
      </w:r>
    </w:p>
    <w:p w14:paraId="4E2EAA89" w14:textId="77777777" w:rsidR="00A428AB" w:rsidRPr="002D6CB5" w:rsidRDefault="00A428AB" w:rsidP="003A3FFB">
      <w:pPr>
        <w:tabs>
          <w:tab w:val="left" w:pos="284"/>
        </w:tabs>
        <w:jc w:val="both"/>
        <w:rPr>
          <w:b/>
        </w:rPr>
      </w:pPr>
    </w:p>
    <w:p w14:paraId="569FE9A1" w14:textId="0CCE285B" w:rsidR="009B3F21" w:rsidRPr="002D6CB5" w:rsidRDefault="009B3F21" w:rsidP="00A428AB">
      <w:pPr>
        <w:pStyle w:val="Odsekzoznamu"/>
        <w:numPr>
          <w:ilvl w:val="0"/>
          <w:numId w:val="29"/>
        </w:numPr>
        <w:spacing w:before="240" w:line="360" w:lineRule="auto"/>
        <w:ind w:left="284" w:hanging="284"/>
        <w:jc w:val="both"/>
        <w:rPr>
          <w:sz w:val="24"/>
          <w:szCs w:val="24"/>
        </w:rPr>
      </w:pPr>
      <w:r w:rsidRPr="002D6CB5">
        <w:rPr>
          <w:sz w:val="24"/>
          <w:szCs w:val="24"/>
        </w:rPr>
        <w:t xml:space="preserve"> </w:t>
      </w:r>
      <w:r w:rsidRPr="002D6CB5">
        <w:rPr>
          <w:b/>
          <w:sz w:val="24"/>
          <w:szCs w:val="24"/>
        </w:rPr>
        <w:t xml:space="preserve">V čl. V  </w:t>
      </w:r>
      <w:r w:rsidRPr="002D6CB5">
        <w:rPr>
          <w:sz w:val="24"/>
          <w:szCs w:val="24"/>
        </w:rPr>
        <w:t>sa slová „1. júna“ nahrádzajú slovami „1. augusta“.</w:t>
      </w:r>
    </w:p>
    <w:p w14:paraId="4FD2A95E" w14:textId="7EFE940C" w:rsidR="009B3F21" w:rsidRPr="009B5F21" w:rsidRDefault="009B3F21" w:rsidP="00A428AB">
      <w:pPr>
        <w:spacing w:before="100" w:beforeAutospacing="1"/>
        <w:ind w:left="2835"/>
        <w:contextualSpacing/>
        <w:jc w:val="both"/>
      </w:pPr>
      <w:r w:rsidRPr="002D6CB5">
        <w:t xml:space="preserve">Zmena účinnosti sa navrhuje z dôvodu trvania legislatívneho procesu a zabezpečenia aspoň minimálnej </w:t>
      </w:r>
      <w:proofErr w:type="spellStart"/>
      <w:r w:rsidRPr="002D6CB5">
        <w:t>legisvakancie</w:t>
      </w:r>
      <w:proofErr w:type="spellEnd"/>
      <w:r w:rsidRPr="002D6CB5">
        <w:t>. Z uvedených dôvodov je potrebné zmeniť účinnosť zákona tak, aby boli dodržané požiadavky a lehoty stanovené Ústavou Slovenskej  republ</w:t>
      </w:r>
      <w:r w:rsidR="001274F9" w:rsidRPr="002D6CB5">
        <w:t>iky  [čl. 87 ods. 2 až 4  a čl. </w:t>
      </w:r>
      <w:r w:rsidRPr="002D6CB5">
        <w:t>102 ods. 1 písm. o)].</w:t>
      </w:r>
      <w:r w:rsidRPr="009B5F21">
        <w:t xml:space="preserve"> </w:t>
      </w:r>
    </w:p>
    <w:p w14:paraId="5FB859DB" w14:textId="77777777" w:rsidR="009B3F21" w:rsidRPr="009B5F21" w:rsidRDefault="009B3F21" w:rsidP="00A428AB">
      <w:pPr>
        <w:tabs>
          <w:tab w:val="left" w:pos="3686"/>
        </w:tabs>
        <w:ind w:left="2835"/>
        <w:jc w:val="both"/>
        <w:rPr>
          <w:lang w:eastAsia="en-US"/>
        </w:rPr>
      </w:pPr>
    </w:p>
    <w:p w14:paraId="5A2063FA" w14:textId="77777777" w:rsidR="009B3F21" w:rsidRPr="009B5F21" w:rsidRDefault="009B3F21" w:rsidP="003A3FFB">
      <w:pPr>
        <w:tabs>
          <w:tab w:val="left" w:pos="284"/>
        </w:tabs>
        <w:jc w:val="both"/>
        <w:rPr>
          <w:b/>
        </w:rPr>
      </w:pPr>
    </w:p>
    <w:sectPr w:rsidR="009B3F21" w:rsidRPr="009B5F21" w:rsidSect="00DC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6F"/>
    <w:multiLevelType w:val="hybridMultilevel"/>
    <w:tmpl w:val="89924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12EE1"/>
    <w:multiLevelType w:val="hybridMultilevel"/>
    <w:tmpl w:val="3EE8D02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EE7898"/>
    <w:multiLevelType w:val="hybridMultilevel"/>
    <w:tmpl w:val="AE6AC48A"/>
    <w:lvl w:ilvl="0" w:tplc="11A2BD9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8"/>
  </w:num>
  <w:num w:numId="5">
    <w:abstractNumId w:val="5"/>
  </w:num>
  <w:num w:numId="6">
    <w:abstractNumId w:val="15"/>
  </w:num>
  <w:num w:numId="7">
    <w:abstractNumId w:val="2"/>
  </w:num>
  <w:num w:numId="8">
    <w:abstractNumId w:val="24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 w:numId="21">
    <w:abstractNumId w:val="23"/>
  </w:num>
  <w:num w:numId="22">
    <w:abstractNumId w:val="12"/>
  </w:num>
  <w:num w:numId="23">
    <w:abstractNumId w:val="20"/>
  </w:num>
  <w:num w:numId="24">
    <w:abstractNumId w:val="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40A7F"/>
    <w:rsid w:val="000831C0"/>
    <w:rsid w:val="00093569"/>
    <w:rsid w:val="000A23F5"/>
    <w:rsid w:val="000A36F6"/>
    <w:rsid w:val="000A6EC2"/>
    <w:rsid w:val="000C44AA"/>
    <w:rsid w:val="000D3027"/>
    <w:rsid w:val="000D686D"/>
    <w:rsid w:val="000E27FD"/>
    <w:rsid w:val="000E5095"/>
    <w:rsid w:val="000F5094"/>
    <w:rsid w:val="00121AA0"/>
    <w:rsid w:val="001274F9"/>
    <w:rsid w:val="001330D7"/>
    <w:rsid w:val="0018256D"/>
    <w:rsid w:val="00187AFD"/>
    <w:rsid w:val="00187C94"/>
    <w:rsid w:val="00191F1D"/>
    <w:rsid w:val="001936D6"/>
    <w:rsid w:val="001B7191"/>
    <w:rsid w:val="00216A46"/>
    <w:rsid w:val="0022102D"/>
    <w:rsid w:val="0023486F"/>
    <w:rsid w:val="00244013"/>
    <w:rsid w:val="002571D8"/>
    <w:rsid w:val="00297A5C"/>
    <w:rsid w:val="002B6BD5"/>
    <w:rsid w:val="002D6CB5"/>
    <w:rsid w:val="002F3849"/>
    <w:rsid w:val="00315035"/>
    <w:rsid w:val="003315B1"/>
    <w:rsid w:val="0033457C"/>
    <w:rsid w:val="00335108"/>
    <w:rsid w:val="00347B8B"/>
    <w:rsid w:val="00365EA9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6107C"/>
    <w:rsid w:val="00463454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606832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C14EF"/>
    <w:rsid w:val="007242F2"/>
    <w:rsid w:val="00725496"/>
    <w:rsid w:val="007413EC"/>
    <w:rsid w:val="0074278D"/>
    <w:rsid w:val="007438C8"/>
    <w:rsid w:val="00744EA5"/>
    <w:rsid w:val="00765460"/>
    <w:rsid w:val="0079425B"/>
    <w:rsid w:val="007C6A8C"/>
    <w:rsid w:val="007F1592"/>
    <w:rsid w:val="007F1DCE"/>
    <w:rsid w:val="0081117D"/>
    <w:rsid w:val="00815769"/>
    <w:rsid w:val="008160A3"/>
    <w:rsid w:val="00830CEB"/>
    <w:rsid w:val="00842749"/>
    <w:rsid w:val="00846CE1"/>
    <w:rsid w:val="008554D3"/>
    <w:rsid w:val="0086796F"/>
    <w:rsid w:val="00870C49"/>
    <w:rsid w:val="008859F1"/>
    <w:rsid w:val="008953EC"/>
    <w:rsid w:val="008A6D30"/>
    <w:rsid w:val="008E1E87"/>
    <w:rsid w:val="008E4E0E"/>
    <w:rsid w:val="008F2908"/>
    <w:rsid w:val="0090285D"/>
    <w:rsid w:val="009073F4"/>
    <w:rsid w:val="00936D00"/>
    <w:rsid w:val="009562C4"/>
    <w:rsid w:val="00981E60"/>
    <w:rsid w:val="009920C6"/>
    <w:rsid w:val="00992469"/>
    <w:rsid w:val="009B055C"/>
    <w:rsid w:val="009B3F21"/>
    <w:rsid w:val="009B5F21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428AB"/>
    <w:rsid w:val="00A52738"/>
    <w:rsid w:val="00A6122E"/>
    <w:rsid w:val="00A663BA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D11E1"/>
    <w:rsid w:val="00CE7B39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DC6EA1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8303D"/>
    <w:rsid w:val="00E91AA7"/>
    <w:rsid w:val="00EC7126"/>
    <w:rsid w:val="00ED105A"/>
    <w:rsid w:val="00ED12BD"/>
    <w:rsid w:val="00F231B2"/>
    <w:rsid w:val="00F2516F"/>
    <w:rsid w:val="00F62370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8AB4"/>
  <w15:docId w15:val="{9C42839B-8FFF-4262-AEAE-AACAB40B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pi.sk/products/lawText/1/98914/1/ASPI%253A/116/2000%20Z.z." TargetMode="External"/><Relationship Id="rId18" Type="http://schemas.openxmlformats.org/officeDocument/2006/relationships/hyperlink" Target="https://www.aspi.sk/products/lawText/1/98914/1/ASPI%253A/182/2002%20Z.z." TargetMode="External"/><Relationship Id="rId26" Type="http://schemas.openxmlformats.org/officeDocument/2006/relationships/hyperlink" Target="https://www.aspi.sk/products/lawText/1/98914/1/ASPI%253A/558/2005%20Z.z." TargetMode="External"/><Relationship Id="rId39" Type="http://schemas.openxmlformats.org/officeDocument/2006/relationships/hyperlink" Target="https://www.aspi.sk/products/lawText/1/98914/1/ASPI%253A/547/2010%20Z.z." TargetMode="External"/><Relationship Id="rId21" Type="http://schemas.openxmlformats.org/officeDocument/2006/relationships/hyperlink" Target="https://www.aspi.sk/products/lawText/1/98914/1/ASPI%253A/166/2003%20Z.z." TargetMode="External"/><Relationship Id="rId34" Type="http://schemas.openxmlformats.org/officeDocument/2006/relationships/hyperlink" Target="https://www.aspi.sk/products/lawText/1/98914/1/ASPI%253A/214/2009%20Z.z." TargetMode="External"/><Relationship Id="rId42" Type="http://schemas.openxmlformats.org/officeDocument/2006/relationships/hyperlink" Target="https://www.aspi.sk/products/lawText/1/98914/1/ASPI%253A/75/2013%20Z.z." TargetMode="External"/><Relationship Id="rId47" Type="http://schemas.openxmlformats.org/officeDocument/2006/relationships/hyperlink" Target="https://www.aspi.sk/products/lawText/1/98914/1/ASPI%253A/125/2016%20Z.z." TargetMode="External"/><Relationship Id="rId50" Type="http://schemas.openxmlformats.org/officeDocument/2006/relationships/hyperlink" Target="https://www.aspi.sk/products/lawText/1/98914/1/ASPI%253A/68/2018%20Z.z." TargetMode="External"/><Relationship Id="rId55" Type="http://schemas.openxmlformats.org/officeDocument/2006/relationships/hyperlink" Target="https://www.aspi.sk/products/lawText/1/98914/1/ASPI%253A/217/2021%20Z.z." TargetMode="External"/><Relationship Id="rId7" Type="http://schemas.openxmlformats.org/officeDocument/2006/relationships/hyperlink" Target="https://www.aspi.sk/products/lawText/1/98914/1/ASPI%253A/233/1995%20Z.z." TargetMode="External"/><Relationship Id="rId12" Type="http://schemas.openxmlformats.org/officeDocument/2006/relationships/hyperlink" Target="https://www.aspi.sk/products/lawText/1/98914/1/ASPI%253A/256/1998%20Z.z." TargetMode="External"/><Relationship Id="rId17" Type="http://schemas.openxmlformats.org/officeDocument/2006/relationships/hyperlink" Target="https://www.aspi.sk/products/lawText/1/98914/1/ASPI%253A/48/2002%20Z.z." TargetMode="External"/><Relationship Id="rId25" Type="http://schemas.openxmlformats.org/officeDocument/2006/relationships/hyperlink" Target="https://www.aspi.sk/products/lawText/1/98914/1/ASPI%253A/534/2005%20Z.z." TargetMode="External"/><Relationship Id="rId33" Type="http://schemas.openxmlformats.org/officeDocument/2006/relationships/hyperlink" Target="https://www.aspi.sk/products/lawText/1/98914/1/ASPI%253A/491/2008%20Z.z." TargetMode="External"/><Relationship Id="rId38" Type="http://schemas.openxmlformats.org/officeDocument/2006/relationships/hyperlink" Target="https://www.aspi.sk/products/lawText/1/98914/1/ASPI%253A/594/2009%20Z.z." TargetMode="External"/><Relationship Id="rId46" Type="http://schemas.openxmlformats.org/officeDocument/2006/relationships/hyperlink" Target="https://www.aspi.sk/products/lawText/1/98914/1/ASPI%253A/444/2015%20Z.z.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spi.sk/products/lawText/1/98914/1/ASPI%253A/490/2001%20Z.z." TargetMode="External"/><Relationship Id="rId20" Type="http://schemas.openxmlformats.org/officeDocument/2006/relationships/hyperlink" Target="https://www.aspi.sk/products/lawText/1/98914/1/ASPI%253A/155/2003%20Z.z." TargetMode="External"/><Relationship Id="rId29" Type="http://schemas.openxmlformats.org/officeDocument/2006/relationships/hyperlink" Target="https://www.aspi.sk/products/lawText/1/98914/1/ASPI%253A/247/2007%20Z.z." TargetMode="External"/><Relationship Id="rId41" Type="http://schemas.openxmlformats.org/officeDocument/2006/relationships/hyperlink" Target="https://www.aspi.sk/products/lawText/1/98914/1/ASPI%253A/345/2012%20Z.z." TargetMode="External"/><Relationship Id="rId54" Type="http://schemas.openxmlformats.org/officeDocument/2006/relationships/hyperlink" Target="https://www.aspi.sk/products/lawText/1/98914/1/ASPI%253A/395/2019%20Z.z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pi.sk/products/lawText/1/98914/1/ASPI%253A/251/1994%20Z.z." TargetMode="External"/><Relationship Id="rId11" Type="http://schemas.openxmlformats.org/officeDocument/2006/relationships/hyperlink" Target="https://www.aspi.sk/products/lawText/1/98914/1/ASPI%253A/73/1998%20Z.z." TargetMode="External"/><Relationship Id="rId24" Type="http://schemas.openxmlformats.org/officeDocument/2006/relationships/hyperlink" Target="https://www.aspi.sk/products/lawText/1/98914/1/ASPI%253A/69/2005%20Z.z." TargetMode="External"/><Relationship Id="rId32" Type="http://schemas.openxmlformats.org/officeDocument/2006/relationships/hyperlink" Target="https://www.aspi.sk/products/lawText/1/98914/1/ASPI%253A/297/2008%20Z.z." TargetMode="External"/><Relationship Id="rId37" Type="http://schemas.openxmlformats.org/officeDocument/2006/relationships/hyperlink" Target="https://www.aspi.sk/products/lawText/1/98914/1/ASPI%253A/495/2009%20Z.z." TargetMode="External"/><Relationship Id="rId40" Type="http://schemas.openxmlformats.org/officeDocument/2006/relationships/hyperlink" Target="https://www.aspi.sk/products/lawText/1/98914/1/ASPI%253A/192/2011%20Z.z." TargetMode="External"/><Relationship Id="rId45" Type="http://schemas.openxmlformats.org/officeDocument/2006/relationships/hyperlink" Target="https://www.aspi.sk/products/lawText/1/98914/1/ASPI%253A/397/2015%20Z.z." TargetMode="External"/><Relationship Id="rId53" Type="http://schemas.openxmlformats.org/officeDocument/2006/relationships/hyperlink" Target="https://www.aspi.sk/products/lawText/1/98914/1/ASPI%253A/35/2019%20Z.z." TargetMode="External"/><Relationship Id="rId58" Type="http://schemas.openxmlformats.org/officeDocument/2006/relationships/hyperlink" Target="https://www.slov-lex.sk/pravne-predpisy/SK/ZZ/2003/548/" TargetMode="External"/><Relationship Id="rId5" Type="http://schemas.openxmlformats.org/officeDocument/2006/relationships/hyperlink" Target="https://www.aspi.sk/products/lawText/1/98914/1/ASPI%253A/171/1993%20Z.z." TargetMode="External"/><Relationship Id="rId15" Type="http://schemas.openxmlformats.org/officeDocument/2006/relationships/hyperlink" Target="https://www.aspi.sk/products/lawText/1/98914/1/ASPI%253A/367/2000%20Z.z." TargetMode="External"/><Relationship Id="rId23" Type="http://schemas.openxmlformats.org/officeDocument/2006/relationships/hyperlink" Target="https://www.aspi.sk/products/lawText/1/98914/1/ASPI%253A/537/2004%20Z.z." TargetMode="External"/><Relationship Id="rId28" Type="http://schemas.openxmlformats.org/officeDocument/2006/relationships/hyperlink" Target="https://www.aspi.sk/products/lawText/1/98914/1/ASPI%253A/25/2007%20Z.z." TargetMode="External"/><Relationship Id="rId36" Type="http://schemas.openxmlformats.org/officeDocument/2006/relationships/hyperlink" Target="https://www.aspi.sk/products/lawText/1/98914/1/ASPI%253A/291/2009%20Z.z." TargetMode="External"/><Relationship Id="rId49" Type="http://schemas.openxmlformats.org/officeDocument/2006/relationships/hyperlink" Target="https://www.aspi.sk/products/lawText/1/98914/1/ASPI%253A/18/2018%20Z.z." TargetMode="External"/><Relationship Id="rId57" Type="http://schemas.openxmlformats.org/officeDocument/2006/relationships/hyperlink" Target="https://www.aspi.sk/products/lawText/1/98914/1/ASPI%253A/187/2022%20Z.z." TargetMode="External"/><Relationship Id="rId10" Type="http://schemas.openxmlformats.org/officeDocument/2006/relationships/hyperlink" Target="https://www.aspi.sk/products/lawText/1/98914/1/ASPI%253A/12/1998%20Z.z." TargetMode="External"/><Relationship Id="rId19" Type="http://schemas.openxmlformats.org/officeDocument/2006/relationships/hyperlink" Target="https://www.aspi.sk/products/lawText/1/98914/1/ASPI%253A/422/2002%20Z.z." TargetMode="External"/><Relationship Id="rId31" Type="http://schemas.openxmlformats.org/officeDocument/2006/relationships/hyperlink" Target="https://www.aspi.sk/products/lawText/1/98914/1/ASPI%253A/86/2008%20Z.z." TargetMode="External"/><Relationship Id="rId44" Type="http://schemas.openxmlformats.org/officeDocument/2006/relationships/hyperlink" Target="https://www.aspi.sk/products/lawText/1/98914/1/ASPI%253A/139/2015%20Z.z." TargetMode="External"/><Relationship Id="rId52" Type="http://schemas.openxmlformats.org/officeDocument/2006/relationships/hyperlink" Target="https://www.aspi.sk/products/lawText/1/98914/1/ASPI%253A/6/2019%20Z.z.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pi.sk/products/lawText/1/98914/1/ASPI%253A/353/1997%20Z.z." TargetMode="External"/><Relationship Id="rId14" Type="http://schemas.openxmlformats.org/officeDocument/2006/relationships/hyperlink" Target="https://www.aspi.sk/products/lawText/1/98914/1/ASPI%253A/323/2000%20Z.z." TargetMode="External"/><Relationship Id="rId22" Type="http://schemas.openxmlformats.org/officeDocument/2006/relationships/hyperlink" Target="https://www.aspi.sk/products/lawText/1/98914/1/ASPI%253A/458/2003%20Z.z." TargetMode="External"/><Relationship Id="rId27" Type="http://schemas.openxmlformats.org/officeDocument/2006/relationships/hyperlink" Target="https://www.aspi.sk/products/lawText/1/98914/1/ASPI%253A/255/2006%20Z.z." TargetMode="External"/><Relationship Id="rId30" Type="http://schemas.openxmlformats.org/officeDocument/2006/relationships/hyperlink" Target="https://www.aspi.sk/products/lawText/1/98914/1/ASPI%253A/342/2007%20Z.z." TargetMode="External"/><Relationship Id="rId35" Type="http://schemas.openxmlformats.org/officeDocument/2006/relationships/hyperlink" Target="https://www.aspi.sk/products/lawText/1/98914/1/ASPI%253A/290/2009%20Z.z." TargetMode="External"/><Relationship Id="rId43" Type="http://schemas.openxmlformats.org/officeDocument/2006/relationships/hyperlink" Target="https://www.aspi.sk/products/lawText/1/98914/1/ASPI%253A/307/2014%20Z.z." TargetMode="External"/><Relationship Id="rId48" Type="http://schemas.openxmlformats.org/officeDocument/2006/relationships/hyperlink" Target="https://www.aspi.sk/products/lawText/1/98914/1/ASPI%253A/82/2017%20Z.z." TargetMode="External"/><Relationship Id="rId56" Type="http://schemas.openxmlformats.org/officeDocument/2006/relationships/hyperlink" Target="https://www.aspi.sk/products/lawText/1/98914/1/ASPI%253A/187/2022%20Z.z." TargetMode="External"/><Relationship Id="rId8" Type="http://schemas.openxmlformats.org/officeDocument/2006/relationships/hyperlink" Target="https://www.aspi.sk/products/lawText/1/98914/1/ASPI%253A/315/1996%20Z.z." TargetMode="External"/><Relationship Id="rId51" Type="http://schemas.openxmlformats.org/officeDocument/2006/relationships/hyperlink" Target="https://www.aspi.sk/products/lawText/1/98914/1/ASPI%253A/177/2018%20Z.z.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183</cp:revision>
  <cp:lastPrinted>2025-05-22T06:11:00Z</cp:lastPrinted>
  <dcterms:created xsi:type="dcterms:W3CDTF">2021-04-01T09:49:00Z</dcterms:created>
  <dcterms:modified xsi:type="dcterms:W3CDTF">2025-05-23T08:02:00Z</dcterms:modified>
</cp:coreProperties>
</file>