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3.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theme/themeOverride7.xml" ContentType="application/vnd.openxmlformats-officedocument.themeOverrid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9.xml" ContentType="application/vnd.openxmlformats-officedocument.themeOverrid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1.xml" ContentType="application/vnd.openxmlformats-officedocument.drawingml.chartshapes+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0.xml" ContentType="application/vnd.openxmlformats-officedocument.themeOverrid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1.xml" ContentType="application/vnd.openxmlformats-officedocument.themeOverrid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2.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3.xml" ContentType="application/vnd.openxmlformats-officedocument.themeOverrid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4.xml" ContentType="application/vnd.openxmlformats-officedocument.themeOverrid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5.xml" ContentType="application/vnd.openxmlformats-officedocument.themeOverrid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16.xml" ContentType="application/vnd.openxmlformats-officedocument.themeOverrid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17.xml" ContentType="application/vnd.openxmlformats-officedocument.themeOverride+xml"/>
  <Override PartName="/word/charts/chart34.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18.xml" ContentType="application/vnd.openxmlformats-officedocument.themeOverride+xml"/>
  <Override PartName="/word/charts/chart35.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19.xml" ContentType="application/vnd.openxmlformats-officedocument.themeOverride+xml"/>
  <Override PartName="/word/charts/chart36.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0.xml" ContentType="application/vnd.openxmlformats-officedocument.themeOverrid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1.xml" ContentType="application/vnd.openxmlformats-officedocument.themeOverrid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2.xml" ContentType="application/vnd.openxmlformats-officedocument.themeOverrid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3.xml" ContentType="application/vnd.openxmlformats-officedocument.themeOverrid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4.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25.xml" ContentType="application/vnd.openxmlformats-officedocument.themeOverrid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26.xml" ContentType="application/vnd.openxmlformats-officedocument.themeOverrid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theme/themeOverride27.xml" ContentType="application/vnd.openxmlformats-officedocument.themeOverrid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28.xml" ContentType="application/vnd.openxmlformats-officedocument.themeOverride+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209720558"/>
        <w:placeholder>
          <w:docPart w:val="4CFA9320A03148E98EF733F7A917AECF"/>
        </w:placeholder>
      </w:sdtPr>
      <w:sdtEndPr/>
      <w:sdtContent>
        <w:p w14:paraId="03C2C803" w14:textId="53165451" w:rsidR="00196D31" w:rsidRDefault="002F055E" w:rsidP="00FF5DA3">
          <w:pPr>
            <w:pStyle w:val="Nzov"/>
            <w:spacing w:before="4800"/>
          </w:pPr>
          <w:r>
            <w:t xml:space="preserve">STANOVISKO </w:t>
          </w:r>
          <w:r>
            <w:br/>
            <w:t>najvyššieho kontrolného úradu sr k návrhu štátneho záverečného účtu sr za rok 202</w:t>
          </w:r>
          <w:r w:rsidR="00472B0F">
            <w:t>4</w:t>
          </w:r>
        </w:p>
      </w:sdtContent>
    </w:sdt>
    <w:p w14:paraId="627FE08C" w14:textId="77777777" w:rsidR="00F539EB" w:rsidRPr="00BB71F6" w:rsidRDefault="00F539EB" w:rsidP="00FF5DA3">
      <w:pPr>
        <w:pStyle w:val="Podtitul"/>
        <w:spacing w:after="1200"/>
      </w:pPr>
    </w:p>
    <w:p w14:paraId="5ED6434F" w14:textId="70CB2821" w:rsidR="00FF5DA3" w:rsidRDefault="00472B0F" w:rsidP="00FF5DA3">
      <w:pPr>
        <w:jc w:val="center"/>
        <w:rPr>
          <w:b/>
          <w:color w:val="314364" w:themeColor="text2"/>
          <w:sz w:val="32"/>
          <w:szCs w:val="32"/>
        </w:rPr>
      </w:pPr>
      <w:r>
        <w:rPr>
          <w:b/>
          <w:color w:val="314364" w:themeColor="text2"/>
          <w:sz w:val="32"/>
          <w:szCs w:val="32"/>
        </w:rPr>
        <w:t>Máj</w:t>
      </w:r>
      <w:r w:rsidR="00FF5DA3" w:rsidRPr="00FF5DA3">
        <w:rPr>
          <w:b/>
          <w:color w:val="314364" w:themeColor="text2"/>
          <w:sz w:val="32"/>
          <w:szCs w:val="32"/>
        </w:rPr>
        <w:t xml:space="preserve"> </w:t>
      </w:r>
      <w:r w:rsidR="00FF5DA3">
        <w:rPr>
          <w:b/>
          <w:color w:val="314364" w:themeColor="text2"/>
          <w:sz w:val="32"/>
          <w:szCs w:val="32"/>
        </w:rPr>
        <w:t>202</w:t>
      </w:r>
      <w:r>
        <w:rPr>
          <w:b/>
          <w:color w:val="314364" w:themeColor="text2"/>
          <w:sz w:val="32"/>
          <w:szCs w:val="32"/>
        </w:rPr>
        <w:t>5</w:t>
      </w:r>
    </w:p>
    <w:p w14:paraId="62382217" w14:textId="586FA35A" w:rsidR="005C61DD" w:rsidRDefault="005C61DD" w:rsidP="00FF5DA3">
      <w:pPr>
        <w:jc w:val="center"/>
        <w:rPr>
          <w:b/>
          <w:color w:val="314364" w:themeColor="text2"/>
          <w:sz w:val="32"/>
          <w:szCs w:val="32"/>
        </w:rPr>
      </w:pPr>
    </w:p>
    <w:p w14:paraId="4DDA93D4" w14:textId="2E4D8CFB" w:rsidR="005C61DD" w:rsidRDefault="005C61DD" w:rsidP="00FF5DA3">
      <w:pPr>
        <w:jc w:val="center"/>
        <w:rPr>
          <w:b/>
          <w:color w:val="314364" w:themeColor="text2"/>
          <w:sz w:val="32"/>
          <w:szCs w:val="32"/>
        </w:rPr>
      </w:pPr>
      <w:bookmarkStart w:id="0" w:name="_GoBack"/>
      <w:bookmarkEnd w:id="0"/>
    </w:p>
    <w:p w14:paraId="70263799" w14:textId="47AF91E0" w:rsidR="005C61DD" w:rsidRDefault="005C61DD" w:rsidP="00FF5DA3">
      <w:pPr>
        <w:jc w:val="center"/>
        <w:rPr>
          <w:b/>
          <w:color w:val="314364" w:themeColor="text2"/>
          <w:sz w:val="32"/>
          <w:szCs w:val="32"/>
        </w:rPr>
      </w:pPr>
    </w:p>
    <w:p w14:paraId="357C2B2C" w14:textId="5905B708" w:rsidR="005C61DD" w:rsidRDefault="005C61DD" w:rsidP="00FF5DA3">
      <w:pPr>
        <w:jc w:val="center"/>
        <w:rPr>
          <w:b/>
          <w:color w:val="314364" w:themeColor="text2"/>
          <w:sz w:val="32"/>
          <w:szCs w:val="32"/>
        </w:rPr>
      </w:pPr>
    </w:p>
    <w:p w14:paraId="4B4B9D19" w14:textId="66A64108" w:rsidR="005C61DD" w:rsidRDefault="005C61DD" w:rsidP="00FF5DA3">
      <w:pPr>
        <w:jc w:val="center"/>
        <w:rPr>
          <w:b/>
          <w:color w:val="314364" w:themeColor="text2"/>
          <w:sz w:val="32"/>
          <w:szCs w:val="32"/>
        </w:rPr>
      </w:pPr>
    </w:p>
    <w:p w14:paraId="1319CFD0" w14:textId="77777777" w:rsidR="005C61DD" w:rsidRDefault="005C61DD" w:rsidP="00FF5DA3">
      <w:pPr>
        <w:jc w:val="center"/>
        <w:rPr>
          <w:b/>
          <w:color w:val="314364" w:themeColor="text2"/>
          <w:sz w:val="32"/>
          <w:szCs w:val="32"/>
        </w:rPr>
        <w:sectPr w:rsidR="005C61DD" w:rsidSect="00A4647C">
          <w:headerReference w:type="even" r:id="rId8"/>
          <w:headerReference w:type="default" r:id="rId9"/>
          <w:footerReference w:type="even" r:id="rId10"/>
          <w:footerReference w:type="default" r:id="rId11"/>
          <w:headerReference w:type="first" r:id="rId12"/>
          <w:footerReference w:type="first" r:id="rId13"/>
          <w:pgSz w:w="11906" w:h="16838"/>
          <w:pgMar w:top="1985" w:right="1418" w:bottom="1134" w:left="1418" w:header="0" w:footer="283" w:gutter="0"/>
          <w:cols w:space="708"/>
          <w:docGrid w:linePitch="360"/>
        </w:sectPr>
      </w:pPr>
    </w:p>
    <w:sdt>
      <w:sdtPr>
        <w:rPr>
          <w:rFonts w:asciiTheme="minorHAnsi" w:eastAsiaTheme="minorHAnsi" w:hAnsiTheme="minorHAnsi" w:cs="Segoe UI"/>
          <w:b/>
          <w:bCs/>
          <w:caps/>
          <w:noProof/>
          <w:color w:val="auto"/>
          <w:sz w:val="20"/>
          <w:szCs w:val="22"/>
          <w:lang w:eastAsia="en-US"/>
        </w:rPr>
        <w:id w:val="-1546975290"/>
        <w:docPartObj>
          <w:docPartGallery w:val="Table of Contents"/>
          <w:docPartUnique/>
        </w:docPartObj>
      </w:sdtPr>
      <w:sdtEndPr>
        <w:rPr>
          <w:rFonts w:cstheme="minorBidi"/>
          <w:color w:val="314364" w:themeColor="text2"/>
          <w:szCs w:val="20"/>
        </w:rPr>
      </w:sdtEndPr>
      <w:sdtContent>
        <w:p w14:paraId="5CE10F7B" w14:textId="77777777" w:rsidR="00004033" w:rsidRPr="00F7397F" w:rsidRDefault="00004033" w:rsidP="002C027A">
          <w:pPr>
            <w:pStyle w:val="Hlavikaobsahu"/>
            <w:rPr>
              <w:rFonts w:cs="Segoe UI"/>
              <w:b/>
            </w:rPr>
          </w:pPr>
          <w:r w:rsidRPr="00F7397F">
            <w:rPr>
              <w:rFonts w:cs="Segoe UI"/>
              <w:b/>
            </w:rPr>
            <w:t>Obsah</w:t>
          </w:r>
        </w:p>
        <w:p w14:paraId="7CCE06BD" w14:textId="187325F5" w:rsidR="005701FF" w:rsidRDefault="00A4647C">
          <w:pPr>
            <w:pStyle w:val="Obsah1"/>
            <w:rPr>
              <w:rFonts w:eastAsiaTheme="minorEastAsia"/>
              <w:b w:val="0"/>
              <w:bCs w:val="0"/>
              <w:caps w:val="0"/>
              <w:color w:val="auto"/>
              <w:sz w:val="22"/>
              <w:szCs w:val="22"/>
              <w:lang w:eastAsia="sk-SK"/>
            </w:rPr>
          </w:pPr>
          <w:r w:rsidRPr="00F7397F">
            <w:rPr>
              <w:rFonts w:ascii="Segoe UI" w:hAnsi="Segoe UI" w:cs="Segoe UI"/>
            </w:rPr>
            <w:fldChar w:fldCharType="begin"/>
          </w:r>
          <w:r w:rsidRPr="00F7397F">
            <w:rPr>
              <w:rFonts w:ascii="Segoe UI" w:hAnsi="Segoe UI" w:cs="Segoe UI"/>
            </w:rPr>
            <w:instrText xml:space="preserve"> TOC \o "1-3" \h \z \u </w:instrText>
          </w:r>
          <w:r w:rsidRPr="00F7397F">
            <w:rPr>
              <w:rFonts w:ascii="Segoe UI" w:hAnsi="Segoe UI" w:cs="Segoe UI"/>
            </w:rPr>
            <w:fldChar w:fldCharType="separate"/>
          </w:r>
          <w:hyperlink w:anchor="_Toc198637709" w:history="1">
            <w:r w:rsidR="005701FF" w:rsidRPr="00E92E1B">
              <w:rPr>
                <w:rStyle w:val="Hypertextovprepojenie"/>
              </w:rPr>
              <w:t>Zhrnutie</w:t>
            </w:r>
            <w:r w:rsidR="005701FF">
              <w:rPr>
                <w:webHidden/>
              </w:rPr>
              <w:tab/>
            </w:r>
            <w:r w:rsidR="005701FF">
              <w:rPr>
                <w:webHidden/>
              </w:rPr>
              <w:fldChar w:fldCharType="begin"/>
            </w:r>
            <w:r w:rsidR="005701FF">
              <w:rPr>
                <w:webHidden/>
              </w:rPr>
              <w:instrText xml:space="preserve"> PAGEREF _Toc198637709 \h </w:instrText>
            </w:r>
            <w:r w:rsidR="005701FF">
              <w:rPr>
                <w:webHidden/>
              </w:rPr>
            </w:r>
            <w:r w:rsidR="005701FF">
              <w:rPr>
                <w:webHidden/>
              </w:rPr>
              <w:fldChar w:fldCharType="separate"/>
            </w:r>
            <w:r w:rsidR="00D24E68">
              <w:rPr>
                <w:webHidden/>
              </w:rPr>
              <w:t>4</w:t>
            </w:r>
            <w:r w:rsidR="005701FF">
              <w:rPr>
                <w:webHidden/>
              </w:rPr>
              <w:fldChar w:fldCharType="end"/>
            </w:r>
          </w:hyperlink>
        </w:p>
        <w:p w14:paraId="06E577CD" w14:textId="1F6E4A71" w:rsidR="005701FF" w:rsidRDefault="0071033B">
          <w:pPr>
            <w:pStyle w:val="Obsah1"/>
            <w:rPr>
              <w:rFonts w:eastAsiaTheme="minorEastAsia"/>
              <w:b w:val="0"/>
              <w:bCs w:val="0"/>
              <w:caps w:val="0"/>
              <w:color w:val="auto"/>
              <w:sz w:val="22"/>
              <w:szCs w:val="22"/>
              <w:lang w:eastAsia="sk-SK"/>
            </w:rPr>
          </w:pPr>
          <w:hyperlink w:anchor="_Toc198637710" w:history="1">
            <w:r w:rsidR="005701FF" w:rsidRPr="00E92E1B">
              <w:rPr>
                <w:rStyle w:val="Hypertextovprepojenie"/>
              </w:rPr>
              <w:t>1</w:t>
            </w:r>
            <w:r w:rsidR="005701FF">
              <w:rPr>
                <w:rFonts w:eastAsiaTheme="minorEastAsia"/>
                <w:b w:val="0"/>
                <w:bCs w:val="0"/>
                <w:caps w:val="0"/>
                <w:color w:val="auto"/>
                <w:sz w:val="22"/>
                <w:szCs w:val="22"/>
                <w:lang w:eastAsia="sk-SK"/>
              </w:rPr>
              <w:tab/>
            </w:r>
            <w:r w:rsidR="005701FF" w:rsidRPr="00E92E1B">
              <w:rPr>
                <w:rStyle w:val="Hypertextovprepojenie"/>
              </w:rPr>
              <w:t>Ekonomický rámec rozpočtového hospodárenia SR</w:t>
            </w:r>
            <w:r w:rsidR="005701FF">
              <w:rPr>
                <w:webHidden/>
              </w:rPr>
              <w:tab/>
            </w:r>
            <w:r w:rsidR="005701FF">
              <w:rPr>
                <w:webHidden/>
              </w:rPr>
              <w:fldChar w:fldCharType="begin"/>
            </w:r>
            <w:r w:rsidR="005701FF">
              <w:rPr>
                <w:webHidden/>
              </w:rPr>
              <w:instrText xml:space="preserve"> PAGEREF _Toc198637710 \h </w:instrText>
            </w:r>
            <w:r w:rsidR="005701FF">
              <w:rPr>
                <w:webHidden/>
              </w:rPr>
            </w:r>
            <w:r w:rsidR="005701FF">
              <w:rPr>
                <w:webHidden/>
              </w:rPr>
              <w:fldChar w:fldCharType="separate"/>
            </w:r>
            <w:r w:rsidR="00D24E68">
              <w:rPr>
                <w:webHidden/>
              </w:rPr>
              <w:t>7</w:t>
            </w:r>
            <w:r w:rsidR="005701FF">
              <w:rPr>
                <w:webHidden/>
              </w:rPr>
              <w:fldChar w:fldCharType="end"/>
            </w:r>
          </w:hyperlink>
        </w:p>
        <w:p w14:paraId="2C319FC2" w14:textId="2E8F19A9" w:rsidR="005701FF" w:rsidRDefault="0071033B">
          <w:pPr>
            <w:pStyle w:val="Obsah1"/>
            <w:rPr>
              <w:rFonts w:eastAsiaTheme="minorEastAsia"/>
              <w:b w:val="0"/>
              <w:bCs w:val="0"/>
              <w:caps w:val="0"/>
              <w:color w:val="auto"/>
              <w:sz w:val="22"/>
              <w:szCs w:val="22"/>
              <w:lang w:eastAsia="sk-SK"/>
            </w:rPr>
          </w:pPr>
          <w:hyperlink w:anchor="_Toc198637711" w:history="1">
            <w:r w:rsidR="005701FF" w:rsidRPr="00E92E1B">
              <w:rPr>
                <w:rStyle w:val="Hypertextovprepojenie"/>
              </w:rPr>
              <w:t>2</w:t>
            </w:r>
            <w:r w:rsidR="005701FF">
              <w:rPr>
                <w:rFonts w:eastAsiaTheme="minorEastAsia"/>
                <w:b w:val="0"/>
                <w:bCs w:val="0"/>
                <w:caps w:val="0"/>
                <w:color w:val="auto"/>
                <w:sz w:val="22"/>
                <w:szCs w:val="22"/>
                <w:lang w:eastAsia="sk-SK"/>
              </w:rPr>
              <w:tab/>
            </w:r>
            <w:r w:rsidR="005701FF" w:rsidRPr="00E92E1B">
              <w:rPr>
                <w:rStyle w:val="Hypertextovprepojenie"/>
              </w:rPr>
              <w:t>Hospodárenie verejnej správy v metodike ESA 2010</w:t>
            </w:r>
            <w:r w:rsidR="005701FF">
              <w:rPr>
                <w:webHidden/>
              </w:rPr>
              <w:tab/>
            </w:r>
            <w:r w:rsidR="005701FF">
              <w:rPr>
                <w:webHidden/>
              </w:rPr>
              <w:fldChar w:fldCharType="begin"/>
            </w:r>
            <w:r w:rsidR="005701FF">
              <w:rPr>
                <w:webHidden/>
              </w:rPr>
              <w:instrText xml:space="preserve"> PAGEREF _Toc198637711 \h </w:instrText>
            </w:r>
            <w:r w:rsidR="005701FF">
              <w:rPr>
                <w:webHidden/>
              </w:rPr>
            </w:r>
            <w:r w:rsidR="005701FF">
              <w:rPr>
                <w:webHidden/>
              </w:rPr>
              <w:fldChar w:fldCharType="separate"/>
            </w:r>
            <w:r w:rsidR="00D24E68">
              <w:rPr>
                <w:webHidden/>
              </w:rPr>
              <w:t>8</w:t>
            </w:r>
            <w:r w:rsidR="005701FF">
              <w:rPr>
                <w:webHidden/>
              </w:rPr>
              <w:fldChar w:fldCharType="end"/>
            </w:r>
          </w:hyperlink>
        </w:p>
        <w:p w14:paraId="06CA965E" w14:textId="7AD6E778" w:rsidR="005701FF" w:rsidRDefault="0071033B">
          <w:pPr>
            <w:pStyle w:val="Obsah2"/>
            <w:tabs>
              <w:tab w:val="right" w:leader="dot" w:pos="9060"/>
            </w:tabs>
            <w:rPr>
              <w:rFonts w:eastAsiaTheme="minorEastAsia"/>
              <w:smallCaps w:val="0"/>
              <w:noProof/>
              <w:sz w:val="22"/>
              <w:szCs w:val="22"/>
              <w:lang w:eastAsia="sk-SK"/>
            </w:rPr>
          </w:pPr>
          <w:hyperlink w:anchor="_Toc198637712" w:history="1">
            <w:r w:rsidR="005701FF" w:rsidRPr="00E92E1B">
              <w:rPr>
                <w:rStyle w:val="Hypertextovprepojenie"/>
                <w:noProof/>
              </w:rPr>
              <w:t>2.1  Saldo verejnej správy</w:t>
            </w:r>
            <w:r w:rsidR="005701FF">
              <w:rPr>
                <w:noProof/>
                <w:webHidden/>
              </w:rPr>
              <w:tab/>
            </w:r>
            <w:r w:rsidR="005701FF">
              <w:rPr>
                <w:noProof/>
                <w:webHidden/>
              </w:rPr>
              <w:fldChar w:fldCharType="begin"/>
            </w:r>
            <w:r w:rsidR="005701FF">
              <w:rPr>
                <w:noProof/>
                <w:webHidden/>
              </w:rPr>
              <w:instrText xml:space="preserve"> PAGEREF _Toc198637712 \h </w:instrText>
            </w:r>
            <w:r w:rsidR="005701FF">
              <w:rPr>
                <w:noProof/>
                <w:webHidden/>
              </w:rPr>
            </w:r>
            <w:r w:rsidR="005701FF">
              <w:rPr>
                <w:noProof/>
                <w:webHidden/>
              </w:rPr>
              <w:fldChar w:fldCharType="separate"/>
            </w:r>
            <w:r w:rsidR="00D24E68">
              <w:rPr>
                <w:noProof/>
                <w:webHidden/>
              </w:rPr>
              <w:t>8</w:t>
            </w:r>
            <w:r w:rsidR="005701FF">
              <w:rPr>
                <w:noProof/>
                <w:webHidden/>
              </w:rPr>
              <w:fldChar w:fldCharType="end"/>
            </w:r>
          </w:hyperlink>
        </w:p>
        <w:p w14:paraId="24F7532A" w14:textId="0270B7CF" w:rsidR="005701FF" w:rsidRDefault="0071033B">
          <w:pPr>
            <w:pStyle w:val="Obsah2"/>
            <w:tabs>
              <w:tab w:val="right" w:leader="dot" w:pos="9060"/>
            </w:tabs>
            <w:rPr>
              <w:rFonts w:eastAsiaTheme="minorEastAsia"/>
              <w:smallCaps w:val="0"/>
              <w:noProof/>
              <w:sz w:val="22"/>
              <w:szCs w:val="22"/>
              <w:lang w:eastAsia="sk-SK"/>
            </w:rPr>
          </w:pPr>
          <w:hyperlink w:anchor="_Toc198637713" w:history="1">
            <w:r w:rsidR="005701FF" w:rsidRPr="00E92E1B">
              <w:rPr>
                <w:rStyle w:val="Hypertextovprepojenie"/>
                <w:noProof/>
              </w:rPr>
              <w:t>2.2  Príjmy verejnej správy</w:t>
            </w:r>
            <w:r w:rsidR="005701FF">
              <w:rPr>
                <w:noProof/>
                <w:webHidden/>
              </w:rPr>
              <w:tab/>
            </w:r>
            <w:r w:rsidR="005701FF">
              <w:rPr>
                <w:noProof/>
                <w:webHidden/>
              </w:rPr>
              <w:fldChar w:fldCharType="begin"/>
            </w:r>
            <w:r w:rsidR="005701FF">
              <w:rPr>
                <w:noProof/>
                <w:webHidden/>
              </w:rPr>
              <w:instrText xml:space="preserve"> PAGEREF _Toc198637713 \h </w:instrText>
            </w:r>
            <w:r w:rsidR="005701FF">
              <w:rPr>
                <w:noProof/>
                <w:webHidden/>
              </w:rPr>
            </w:r>
            <w:r w:rsidR="005701FF">
              <w:rPr>
                <w:noProof/>
                <w:webHidden/>
              </w:rPr>
              <w:fldChar w:fldCharType="separate"/>
            </w:r>
            <w:r w:rsidR="00D24E68">
              <w:rPr>
                <w:noProof/>
                <w:webHidden/>
              </w:rPr>
              <w:t>9</w:t>
            </w:r>
            <w:r w:rsidR="005701FF">
              <w:rPr>
                <w:noProof/>
                <w:webHidden/>
              </w:rPr>
              <w:fldChar w:fldCharType="end"/>
            </w:r>
          </w:hyperlink>
        </w:p>
        <w:p w14:paraId="3F3E42E2" w14:textId="22971E27" w:rsidR="005701FF" w:rsidRDefault="0071033B">
          <w:pPr>
            <w:pStyle w:val="Obsah2"/>
            <w:tabs>
              <w:tab w:val="right" w:leader="dot" w:pos="9060"/>
            </w:tabs>
            <w:rPr>
              <w:rFonts w:eastAsiaTheme="minorEastAsia"/>
              <w:smallCaps w:val="0"/>
              <w:noProof/>
              <w:sz w:val="22"/>
              <w:szCs w:val="22"/>
              <w:lang w:eastAsia="sk-SK"/>
            </w:rPr>
          </w:pPr>
          <w:hyperlink w:anchor="_Toc198637714" w:history="1">
            <w:r w:rsidR="005701FF" w:rsidRPr="00E92E1B">
              <w:rPr>
                <w:rStyle w:val="Hypertextovprepojenie"/>
                <w:noProof/>
                <w:shd w:val="clear" w:color="auto" w:fill="FFFFFF"/>
              </w:rPr>
              <w:t>2.3  Výdavky verejnej správy</w:t>
            </w:r>
            <w:r w:rsidR="005701FF">
              <w:rPr>
                <w:noProof/>
                <w:webHidden/>
              </w:rPr>
              <w:tab/>
            </w:r>
            <w:r w:rsidR="005701FF">
              <w:rPr>
                <w:noProof/>
                <w:webHidden/>
              </w:rPr>
              <w:fldChar w:fldCharType="begin"/>
            </w:r>
            <w:r w:rsidR="005701FF">
              <w:rPr>
                <w:noProof/>
                <w:webHidden/>
              </w:rPr>
              <w:instrText xml:space="preserve"> PAGEREF _Toc198637714 \h </w:instrText>
            </w:r>
            <w:r w:rsidR="005701FF">
              <w:rPr>
                <w:noProof/>
                <w:webHidden/>
              </w:rPr>
            </w:r>
            <w:r w:rsidR="005701FF">
              <w:rPr>
                <w:noProof/>
                <w:webHidden/>
              </w:rPr>
              <w:fldChar w:fldCharType="separate"/>
            </w:r>
            <w:r w:rsidR="00D24E68">
              <w:rPr>
                <w:noProof/>
                <w:webHidden/>
              </w:rPr>
              <w:t>10</w:t>
            </w:r>
            <w:r w:rsidR="005701FF">
              <w:rPr>
                <w:noProof/>
                <w:webHidden/>
              </w:rPr>
              <w:fldChar w:fldCharType="end"/>
            </w:r>
          </w:hyperlink>
        </w:p>
        <w:p w14:paraId="52989CA9" w14:textId="4FFCB9D5" w:rsidR="005701FF" w:rsidRDefault="0071033B">
          <w:pPr>
            <w:pStyle w:val="Obsah2"/>
            <w:tabs>
              <w:tab w:val="right" w:leader="dot" w:pos="9060"/>
            </w:tabs>
            <w:rPr>
              <w:rFonts w:eastAsiaTheme="minorEastAsia"/>
              <w:smallCaps w:val="0"/>
              <w:noProof/>
              <w:sz w:val="22"/>
              <w:szCs w:val="22"/>
              <w:lang w:eastAsia="sk-SK"/>
            </w:rPr>
          </w:pPr>
          <w:hyperlink w:anchor="_Toc198637715" w:history="1">
            <w:r w:rsidR="005701FF" w:rsidRPr="00E92E1B">
              <w:rPr>
                <w:rStyle w:val="Hypertextovprepojenie"/>
                <w:noProof/>
              </w:rPr>
              <w:t>2.4  Dlh verejnej správy</w:t>
            </w:r>
            <w:r w:rsidR="005701FF">
              <w:rPr>
                <w:noProof/>
                <w:webHidden/>
              </w:rPr>
              <w:tab/>
            </w:r>
            <w:r w:rsidR="005701FF">
              <w:rPr>
                <w:noProof/>
                <w:webHidden/>
              </w:rPr>
              <w:fldChar w:fldCharType="begin"/>
            </w:r>
            <w:r w:rsidR="005701FF">
              <w:rPr>
                <w:noProof/>
                <w:webHidden/>
              </w:rPr>
              <w:instrText xml:space="preserve"> PAGEREF _Toc198637715 \h </w:instrText>
            </w:r>
            <w:r w:rsidR="005701FF">
              <w:rPr>
                <w:noProof/>
                <w:webHidden/>
              </w:rPr>
            </w:r>
            <w:r w:rsidR="005701FF">
              <w:rPr>
                <w:noProof/>
                <w:webHidden/>
              </w:rPr>
              <w:fldChar w:fldCharType="separate"/>
            </w:r>
            <w:r w:rsidR="00D24E68">
              <w:rPr>
                <w:noProof/>
                <w:webHidden/>
              </w:rPr>
              <w:t>11</w:t>
            </w:r>
            <w:r w:rsidR="005701FF">
              <w:rPr>
                <w:noProof/>
                <w:webHidden/>
              </w:rPr>
              <w:fldChar w:fldCharType="end"/>
            </w:r>
          </w:hyperlink>
        </w:p>
        <w:p w14:paraId="43BEE0F4" w14:textId="0B05EC16" w:rsidR="005701FF" w:rsidRDefault="0071033B">
          <w:pPr>
            <w:pStyle w:val="Obsah2"/>
            <w:tabs>
              <w:tab w:val="right" w:leader="dot" w:pos="9060"/>
            </w:tabs>
            <w:rPr>
              <w:rFonts w:eastAsiaTheme="minorEastAsia"/>
              <w:smallCaps w:val="0"/>
              <w:noProof/>
              <w:sz w:val="22"/>
              <w:szCs w:val="22"/>
              <w:lang w:eastAsia="sk-SK"/>
            </w:rPr>
          </w:pPr>
          <w:hyperlink w:anchor="_Toc198637716" w:history="1">
            <w:r w:rsidR="005701FF" w:rsidRPr="00E92E1B">
              <w:rPr>
                <w:rStyle w:val="Hypertextovprepojenie"/>
                <w:noProof/>
              </w:rPr>
              <w:t>2.5  Limit verejných výdavkov</w:t>
            </w:r>
            <w:r w:rsidR="005701FF">
              <w:rPr>
                <w:noProof/>
                <w:webHidden/>
              </w:rPr>
              <w:tab/>
            </w:r>
            <w:r w:rsidR="005701FF">
              <w:rPr>
                <w:noProof/>
                <w:webHidden/>
              </w:rPr>
              <w:fldChar w:fldCharType="begin"/>
            </w:r>
            <w:r w:rsidR="005701FF">
              <w:rPr>
                <w:noProof/>
                <w:webHidden/>
              </w:rPr>
              <w:instrText xml:space="preserve"> PAGEREF _Toc198637716 \h </w:instrText>
            </w:r>
            <w:r w:rsidR="005701FF">
              <w:rPr>
                <w:noProof/>
                <w:webHidden/>
              </w:rPr>
            </w:r>
            <w:r w:rsidR="005701FF">
              <w:rPr>
                <w:noProof/>
                <w:webHidden/>
              </w:rPr>
              <w:fldChar w:fldCharType="separate"/>
            </w:r>
            <w:r w:rsidR="00D24E68">
              <w:rPr>
                <w:noProof/>
                <w:webHidden/>
              </w:rPr>
              <w:t>14</w:t>
            </w:r>
            <w:r w:rsidR="005701FF">
              <w:rPr>
                <w:noProof/>
                <w:webHidden/>
              </w:rPr>
              <w:fldChar w:fldCharType="end"/>
            </w:r>
          </w:hyperlink>
        </w:p>
        <w:p w14:paraId="0CC8B727" w14:textId="696E8A7D" w:rsidR="005701FF" w:rsidRDefault="0071033B">
          <w:pPr>
            <w:pStyle w:val="Obsah1"/>
            <w:rPr>
              <w:rFonts w:eastAsiaTheme="minorEastAsia"/>
              <w:b w:val="0"/>
              <w:bCs w:val="0"/>
              <w:caps w:val="0"/>
              <w:color w:val="auto"/>
              <w:sz w:val="22"/>
              <w:szCs w:val="22"/>
              <w:lang w:eastAsia="sk-SK"/>
            </w:rPr>
          </w:pPr>
          <w:hyperlink w:anchor="_Toc198637717" w:history="1">
            <w:r w:rsidR="005701FF" w:rsidRPr="00E92E1B">
              <w:rPr>
                <w:rStyle w:val="Hypertextovprepojenie"/>
              </w:rPr>
              <w:t>3</w:t>
            </w:r>
            <w:r w:rsidR="005701FF">
              <w:rPr>
                <w:rFonts w:eastAsiaTheme="minorEastAsia"/>
                <w:b w:val="0"/>
                <w:bCs w:val="0"/>
                <w:caps w:val="0"/>
                <w:color w:val="auto"/>
                <w:sz w:val="22"/>
                <w:szCs w:val="22"/>
                <w:lang w:eastAsia="sk-SK"/>
              </w:rPr>
              <w:tab/>
            </w:r>
            <w:r w:rsidR="005701FF" w:rsidRPr="00E92E1B">
              <w:rPr>
                <w:rStyle w:val="Hypertextovprepojenie"/>
              </w:rPr>
              <w:t>Hospodárenie verejnej správy na hotovostnej báze</w:t>
            </w:r>
            <w:r w:rsidR="005701FF">
              <w:rPr>
                <w:webHidden/>
              </w:rPr>
              <w:tab/>
            </w:r>
            <w:r w:rsidR="005701FF">
              <w:rPr>
                <w:webHidden/>
              </w:rPr>
              <w:fldChar w:fldCharType="begin"/>
            </w:r>
            <w:r w:rsidR="005701FF">
              <w:rPr>
                <w:webHidden/>
              </w:rPr>
              <w:instrText xml:space="preserve"> PAGEREF _Toc198637717 \h </w:instrText>
            </w:r>
            <w:r w:rsidR="005701FF">
              <w:rPr>
                <w:webHidden/>
              </w:rPr>
            </w:r>
            <w:r w:rsidR="005701FF">
              <w:rPr>
                <w:webHidden/>
              </w:rPr>
              <w:fldChar w:fldCharType="separate"/>
            </w:r>
            <w:r w:rsidR="00D24E68">
              <w:rPr>
                <w:webHidden/>
              </w:rPr>
              <w:t>16</w:t>
            </w:r>
            <w:r w:rsidR="005701FF">
              <w:rPr>
                <w:webHidden/>
              </w:rPr>
              <w:fldChar w:fldCharType="end"/>
            </w:r>
          </w:hyperlink>
        </w:p>
        <w:p w14:paraId="0B2703BA" w14:textId="03FA2EA5" w:rsidR="005701FF" w:rsidRDefault="0071033B">
          <w:pPr>
            <w:pStyle w:val="Obsah2"/>
            <w:tabs>
              <w:tab w:val="right" w:leader="dot" w:pos="9060"/>
            </w:tabs>
            <w:rPr>
              <w:rFonts w:eastAsiaTheme="minorEastAsia"/>
              <w:smallCaps w:val="0"/>
              <w:noProof/>
              <w:sz w:val="22"/>
              <w:szCs w:val="22"/>
              <w:lang w:eastAsia="sk-SK"/>
            </w:rPr>
          </w:pPr>
          <w:hyperlink w:anchor="_Toc198637718" w:history="1">
            <w:r w:rsidR="005701FF" w:rsidRPr="00E92E1B">
              <w:rPr>
                <w:rStyle w:val="Hypertextovprepojenie"/>
                <w:noProof/>
              </w:rPr>
              <w:t>3.1  Príjmy štátneho rozpočtu</w:t>
            </w:r>
            <w:r w:rsidR="005701FF">
              <w:rPr>
                <w:noProof/>
                <w:webHidden/>
              </w:rPr>
              <w:tab/>
            </w:r>
            <w:r w:rsidR="005701FF">
              <w:rPr>
                <w:noProof/>
                <w:webHidden/>
              </w:rPr>
              <w:fldChar w:fldCharType="begin"/>
            </w:r>
            <w:r w:rsidR="005701FF">
              <w:rPr>
                <w:noProof/>
                <w:webHidden/>
              </w:rPr>
              <w:instrText xml:space="preserve"> PAGEREF _Toc198637718 \h </w:instrText>
            </w:r>
            <w:r w:rsidR="005701FF">
              <w:rPr>
                <w:noProof/>
                <w:webHidden/>
              </w:rPr>
            </w:r>
            <w:r w:rsidR="005701FF">
              <w:rPr>
                <w:noProof/>
                <w:webHidden/>
              </w:rPr>
              <w:fldChar w:fldCharType="separate"/>
            </w:r>
            <w:r w:rsidR="00D24E68">
              <w:rPr>
                <w:noProof/>
                <w:webHidden/>
              </w:rPr>
              <w:t>17</w:t>
            </w:r>
            <w:r w:rsidR="005701FF">
              <w:rPr>
                <w:noProof/>
                <w:webHidden/>
              </w:rPr>
              <w:fldChar w:fldCharType="end"/>
            </w:r>
          </w:hyperlink>
        </w:p>
        <w:p w14:paraId="72C69EA7" w14:textId="29BAE364" w:rsidR="005701FF" w:rsidRDefault="0071033B">
          <w:pPr>
            <w:pStyle w:val="Obsah2"/>
            <w:tabs>
              <w:tab w:val="right" w:leader="dot" w:pos="9060"/>
            </w:tabs>
            <w:rPr>
              <w:rFonts w:eastAsiaTheme="minorEastAsia"/>
              <w:smallCaps w:val="0"/>
              <w:noProof/>
              <w:sz w:val="22"/>
              <w:szCs w:val="22"/>
              <w:lang w:eastAsia="sk-SK"/>
            </w:rPr>
          </w:pPr>
          <w:hyperlink w:anchor="_Toc198637719" w:history="1">
            <w:r w:rsidR="005701FF" w:rsidRPr="00E92E1B">
              <w:rPr>
                <w:rStyle w:val="Hypertextovprepojenie"/>
                <w:noProof/>
              </w:rPr>
              <w:t>3.2  Výdavky štátneho rozpočtu</w:t>
            </w:r>
            <w:r w:rsidR="005701FF">
              <w:rPr>
                <w:noProof/>
                <w:webHidden/>
              </w:rPr>
              <w:tab/>
            </w:r>
            <w:r w:rsidR="005701FF">
              <w:rPr>
                <w:noProof/>
                <w:webHidden/>
              </w:rPr>
              <w:fldChar w:fldCharType="begin"/>
            </w:r>
            <w:r w:rsidR="005701FF">
              <w:rPr>
                <w:noProof/>
                <w:webHidden/>
              </w:rPr>
              <w:instrText xml:space="preserve"> PAGEREF _Toc198637719 \h </w:instrText>
            </w:r>
            <w:r w:rsidR="005701FF">
              <w:rPr>
                <w:noProof/>
                <w:webHidden/>
              </w:rPr>
            </w:r>
            <w:r w:rsidR="005701FF">
              <w:rPr>
                <w:noProof/>
                <w:webHidden/>
              </w:rPr>
              <w:fldChar w:fldCharType="separate"/>
            </w:r>
            <w:r w:rsidR="00D24E68">
              <w:rPr>
                <w:noProof/>
                <w:webHidden/>
              </w:rPr>
              <w:t>18</w:t>
            </w:r>
            <w:r w:rsidR="005701FF">
              <w:rPr>
                <w:noProof/>
                <w:webHidden/>
              </w:rPr>
              <w:fldChar w:fldCharType="end"/>
            </w:r>
          </w:hyperlink>
        </w:p>
        <w:p w14:paraId="48C173B0" w14:textId="2F3348B6" w:rsidR="005701FF" w:rsidRDefault="0071033B">
          <w:pPr>
            <w:pStyle w:val="Obsah3"/>
            <w:tabs>
              <w:tab w:val="right" w:leader="dot" w:pos="9060"/>
            </w:tabs>
            <w:rPr>
              <w:rFonts w:eastAsiaTheme="minorEastAsia"/>
              <w:i w:val="0"/>
              <w:iCs w:val="0"/>
              <w:noProof/>
              <w:sz w:val="22"/>
              <w:szCs w:val="22"/>
              <w:lang w:eastAsia="sk-SK"/>
            </w:rPr>
          </w:pPr>
          <w:hyperlink w:anchor="_Toc198637720" w:history="1">
            <w:r w:rsidR="005701FF" w:rsidRPr="00E92E1B">
              <w:rPr>
                <w:rStyle w:val="Hypertextovprepojenie"/>
                <w:noProof/>
              </w:rPr>
              <w:t>3.2.1  Rozpočtové opatrenia</w:t>
            </w:r>
            <w:r w:rsidR="005701FF">
              <w:rPr>
                <w:noProof/>
                <w:webHidden/>
              </w:rPr>
              <w:tab/>
            </w:r>
            <w:r w:rsidR="005701FF">
              <w:rPr>
                <w:noProof/>
                <w:webHidden/>
              </w:rPr>
              <w:fldChar w:fldCharType="begin"/>
            </w:r>
            <w:r w:rsidR="005701FF">
              <w:rPr>
                <w:noProof/>
                <w:webHidden/>
              </w:rPr>
              <w:instrText xml:space="preserve"> PAGEREF _Toc198637720 \h </w:instrText>
            </w:r>
            <w:r w:rsidR="005701FF">
              <w:rPr>
                <w:noProof/>
                <w:webHidden/>
              </w:rPr>
            </w:r>
            <w:r w:rsidR="005701FF">
              <w:rPr>
                <w:noProof/>
                <w:webHidden/>
              </w:rPr>
              <w:fldChar w:fldCharType="separate"/>
            </w:r>
            <w:r w:rsidR="00D24E68">
              <w:rPr>
                <w:noProof/>
                <w:webHidden/>
              </w:rPr>
              <w:t>19</w:t>
            </w:r>
            <w:r w:rsidR="005701FF">
              <w:rPr>
                <w:noProof/>
                <w:webHidden/>
              </w:rPr>
              <w:fldChar w:fldCharType="end"/>
            </w:r>
          </w:hyperlink>
        </w:p>
        <w:p w14:paraId="40800D11" w14:textId="0CC558FB" w:rsidR="005701FF" w:rsidRDefault="0071033B">
          <w:pPr>
            <w:pStyle w:val="Obsah3"/>
            <w:tabs>
              <w:tab w:val="right" w:leader="dot" w:pos="9060"/>
            </w:tabs>
            <w:rPr>
              <w:rFonts w:eastAsiaTheme="minorEastAsia"/>
              <w:i w:val="0"/>
              <w:iCs w:val="0"/>
              <w:noProof/>
              <w:sz w:val="22"/>
              <w:szCs w:val="22"/>
              <w:lang w:eastAsia="sk-SK"/>
            </w:rPr>
          </w:pPr>
          <w:hyperlink w:anchor="_Toc198637721" w:history="1">
            <w:r w:rsidR="005701FF" w:rsidRPr="00E92E1B">
              <w:rPr>
                <w:rStyle w:val="Hypertextovprepojenie"/>
                <w:noProof/>
              </w:rPr>
              <w:t>3.2.2  Investície</w:t>
            </w:r>
            <w:r w:rsidR="005701FF">
              <w:rPr>
                <w:noProof/>
                <w:webHidden/>
              </w:rPr>
              <w:tab/>
            </w:r>
            <w:r w:rsidR="005701FF">
              <w:rPr>
                <w:noProof/>
                <w:webHidden/>
              </w:rPr>
              <w:fldChar w:fldCharType="begin"/>
            </w:r>
            <w:r w:rsidR="005701FF">
              <w:rPr>
                <w:noProof/>
                <w:webHidden/>
              </w:rPr>
              <w:instrText xml:space="preserve"> PAGEREF _Toc198637721 \h </w:instrText>
            </w:r>
            <w:r w:rsidR="005701FF">
              <w:rPr>
                <w:noProof/>
                <w:webHidden/>
              </w:rPr>
            </w:r>
            <w:r w:rsidR="005701FF">
              <w:rPr>
                <w:noProof/>
                <w:webHidden/>
              </w:rPr>
              <w:fldChar w:fldCharType="separate"/>
            </w:r>
            <w:r w:rsidR="00D24E68">
              <w:rPr>
                <w:noProof/>
                <w:webHidden/>
              </w:rPr>
              <w:t>20</w:t>
            </w:r>
            <w:r w:rsidR="005701FF">
              <w:rPr>
                <w:noProof/>
                <w:webHidden/>
              </w:rPr>
              <w:fldChar w:fldCharType="end"/>
            </w:r>
          </w:hyperlink>
        </w:p>
        <w:p w14:paraId="0B820EC2" w14:textId="566ADF3A" w:rsidR="005701FF" w:rsidRDefault="0071033B">
          <w:pPr>
            <w:pStyle w:val="Obsah3"/>
            <w:tabs>
              <w:tab w:val="right" w:leader="dot" w:pos="9060"/>
            </w:tabs>
            <w:rPr>
              <w:rFonts w:eastAsiaTheme="minorEastAsia"/>
              <w:i w:val="0"/>
              <w:iCs w:val="0"/>
              <w:noProof/>
              <w:sz w:val="22"/>
              <w:szCs w:val="22"/>
              <w:lang w:eastAsia="sk-SK"/>
            </w:rPr>
          </w:pPr>
          <w:hyperlink w:anchor="_Toc198637722" w:history="1">
            <w:r w:rsidR="005701FF" w:rsidRPr="00E92E1B">
              <w:rPr>
                <w:rStyle w:val="Hypertextovprepojenie"/>
                <w:rFonts w:cs="Segoe UI"/>
                <w:noProof/>
              </w:rPr>
              <w:t>3.2.3  Výdavky na informatizáciu</w:t>
            </w:r>
            <w:r w:rsidR="005701FF">
              <w:rPr>
                <w:noProof/>
                <w:webHidden/>
              </w:rPr>
              <w:tab/>
            </w:r>
            <w:r w:rsidR="005701FF">
              <w:rPr>
                <w:noProof/>
                <w:webHidden/>
              </w:rPr>
              <w:fldChar w:fldCharType="begin"/>
            </w:r>
            <w:r w:rsidR="005701FF">
              <w:rPr>
                <w:noProof/>
                <w:webHidden/>
              </w:rPr>
              <w:instrText xml:space="preserve"> PAGEREF _Toc198637722 \h </w:instrText>
            </w:r>
            <w:r w:rsidR="005701FF">
              <w:rPr>
                <w:noProof/>
                <w:webHidden/>
              </w:rPr>
            </w:r>
            <w:r w:rsidR="005701FF">
              <w:rPr>
                <w:noProof/>
                <w:webHidden/>
              </w:rPr>
              <w:fldChar w:fldCharType="separate"/>
            </w:r>
            <w:r w:rsidR="00D24E68">
              <w:rPr>
                <w:noProof/>
                <w:webHidden/>
              </w:rPr>
              <w:t>21</w:t>
            </w:r>
            <w:r w:rsidR="005701FF">
              <w:rPr>
                <w:noProof/>
                <w:webHidden/>
              </w:rPr>
              <w:fldChar w:fldCharType="end"/>
            </w:r>
          </w:hyperlink>
        </w:p>
        <w:p w14:paraId="177CEA31" w14:textId="48E23499" w:rsidR="005701FF" w:rsidRDefault="0071033B">
          <w:pPr>
            <w:pStyle w:val="Obsah2"/>
            <w:tabs>
              <w:tab w:val="right" w:leader="dot" w:pos="9060"/>
            </w:tabs>
            <w:rPr>
              <w:rFonts w:eastAsiaTheme="minorEastAsia"/>
              <w:smallCaps w:val="0"/>
              <w:noProof/>
              <w:sz w:val="22"/>
              <w:szCs w:val="22"/>
              <w:lang w:eastAsia="sk-SK"/>
            </w:rPr>
          </w:pPr>
          <w:hyperlink w:anchor="_Toc198637723" w:history="1">
            <w:r w:rsidR="005701FF" w:rsidRPr="00E92E1B">
              <w:rPr>
                <w:rStyle w:val="Hypertextovprepojenie"/>
                <w:noProof/>
              </w:rPr>
              <w:t>3.3  Rozpočtové rezervy</w:t>
            </w:r>
            <w:r w:rsidR="005701FF">
              <w:rPr>
                <w:noProof/>
                <w:webHidden/>
              </w:rPr>
              <w:tab/>
            </w:r>
            <w:r w:rsidR="005701FF">
              <w:rPr>
                <w:noProof/>
                <w:webHidden/>
              </w:rPr>
              <w:fldChar w:fldCharType="begin"/>
            </w:r>
            <w:r w:rsidR="005701FF">
              <w:rPr>
                <w:noProof/>
                <w:webHidden/>
              </w:rPr>
              <w:instrText xml:space="preserve"> PAGEREF _Toc198637723 \h </w:instrText>
            </w:r>
            <w:r w:rsidR="005701FF">
              <w:rPr>
                <w:noProof/>
                <w:webHidden/>
              </w:rPr>
            </w:r>
            <w:r w:rsidR="005701FF">
              <w:rPr>
                <w:noProof/>
                <w:webHidden/>
              </w:rPr>
              <w:fldChar w:fldCharType="separate"/>
            </w:r>
            <w:r w:rsidR="00D24E68">
              <w:rPr>
                <w:noProof/>
                <w:webHidden/>
              </w:rPr>
              <w:t>22</w:t>
            </w:r>
            <w:r w:rsidR="005701FF">
              <w:rPr>
                <w:noProof/>
                <w:webHidden/>
              </w:rPr>
              <w:fldChar w:fldCharType="end"/>
            </w:r>
          </w:hyperlink>
        </w:p>
        <w:p w14:paraId="2E3118BE" w14:textId="4B8E4C73" w:rsidR="005701FF" w:rsidRDefault="0071033B">
          <w:pPr>
            <w:pStyle w:val="Obsah2"/>
            <w:tabs>
              <w:tab w:val="right" w:leader="dot" w:pos="9060"/>
            </w:tabs>
            <w:rPr>
              <w:rFonts w:eastAsiaTheme="minorEastAsia"/>
              <w:smallCaps w:val="0"/>
              <w:noProof/>
              <w:sz w:val="22"/>
              <w:szCs w:val="22"/>
              <w:lang w:eastAsia="sk-SK"/>
            </w:rPr>
          </w:pPr>
          <w:hyperlink w:anchor="_Toc198637724" w:history="1">
            <w:r w:rsidR="005701FF" w:rsidRPr="00E92E1B">
              <w:rPr>
                <w:rStyle w:val="Hypertextovprepojenie"/>
                <w:noProof/>
              </w:rPr>
              <w:t>3.4  Príjmy zo sociálneho a verejného zdravotného poistenia</w:t>
            </w:r>
            <w:r w:rsidR="005701FF">
              <w:rPr>
                <w:noProof/>
                <w:webHidden/>
              </w:rPr>
              <w:tab/>
            </w:r>
            <w:r w:rsidR="005701FF">
              <w:rPr>
                <w:noProof/>
                <w:webHidden/>
              </w:rPr>
              <w:fldChar w:fldCharType="begin"/>
            </w:r>
            <w:r w:rsidR="005701FF">
              <w:rPr>
                <w:noProof/>
                <w:webHidden/>
              </w:rPr>
              <w:instrText xml:space="preserve"> PAGEREF _Toc198637724 \h </w:instrText>
            </w:r>
            <w:r w:rsidR="005701FF">
              <w:rPr>
                <w:noProof/>
                <w:webHidden/>
              </w:rPr>
            </w:r>
            <w:r w:rsidR="005701FF">
              <w:rPr>
                <w:noProof/>
                <w:webHidden/>
              </w:rPr>
              <w:fldChar w:fldCharType="separate"/>
            </w:r>
            <w:r w:rsidR="00D24E68">
              <w:rPr>
                <w:noProof/>
                <w:webHidden/>
              </w:rPr>
              <w:t>24</w:t>
            </w:r>
            <w:r w:rsidR="005701FF">
              <w:rPr>
                <w:noProof/>
                <w:webHidden/>
              </w:rPr>
              <w:fldChar w:fldCharType="end"/>
            </w:r>
          </w:hyperlink>
        </w:p>
        <w:p w14:paraId="2C8EFAAE" w14:textId="035E910C" w:rsidR="005701FF" w:rsidRDefault="0071033B">
          <w:pPr>
            <w:pStyle w:val="Obsah2"/>
            <w:tabs>
              <w:tab w:val="right" w:leader="dot" w:pos="9060"/>
            </w:tabs>
            <w:rPr>
              <w:rFonts w:eastAsiaTheme="minorEastAsia"/>
              <w:smallCaps w:val="0"/>
              <w:noProof/>
              <w:sz w:val="22"/>
              <w:szCs w:val="22"/>
              <w:lang w:eastAsia="sk-SK"/>
            </w:rPr>
          </w:pPr>
          <w:hyperlink w:anchor="_Toc198637725" w:history="1">
            <w:r w:rsidR="005701FF" w:rsidRPr="00E92E1B">
              <w:rPr>
                <w:rStyle w:val="Hypertextovprepojenie"/>
                <w:noProof/>
              </w:rPr>
              <w:t>3.5  Štátne finančné aktíva</w:t>
            </w:r>
            <w:r w:rsidR="005701FF">
              <w:rPr>
                <w:noProof/>
                <w:webHidden/>
              </w:rPr>
              <w:tab/>
            </w:r>
            <w:r w:rsidR="005701FF">
              <w:rPr>
                <w:noProof/>
                <w:webHidden/>
              </w:rPr>
              <w:fldChar w:fldCharType="begin"/>
            </w:r>
            <w:r w:rsidR="005701FF">
              <w:rPr>
                <w:noProof/>
                <w:webHidden/>
              </w:rPr>
              <w:instrText xml:space="preserve"> PAGEREF _Toc198637725 \h </w:instrText>
            </w:r>
            <w:r w:rsidR="005701FF">
              <w:rPr>
                <w:noProof/>
                <w:webHidden/>
              </w:rPr>
            </w:r>
            <w:r w:rsidR="005701FF">
              <w:rPr>
                <w:noProof/>
                <w:webHidden/>
              </w:rPr>
              <w:fldChar w:fldCharType="separate"/>
            </w:r>
            <w:r w:rsidR="00D24E68">
              <w:rPr>
                <w:noProof/>
                <w:webHidden/>
              </w:rPr>
              <w:t>25</w:t>
            </w:r>
            <w:r w:rsidR="005701FF">
              <w:rPr>
                <w:noProof/>
                <w:webHidden/>
              </w:rPr>
              <w:fldChar w:fldCharType="end"/>
            </w:r>
          </w:hyperlink>
        </w:p>
        <w:p w14:paraId="0433ADE5" w14:textId="38EE9E11" w:rsidR="005701FF" w:rsidRDefault="0071033B">
          <w:pPr>
            <w:pStyle w:val="Obsah1"/>
            <w:rPr>
              <w:rFonts w:eastAsiaTheme="minorEastAsia"/>
              <w:b w:val="0"/>
              <w:bCs w:val="0"/>
              <w:caps w:val="0"/>
              <w:color w:val="auto"/>
              <w:sz w:val="22"/>
              <w:szCs w:val="22"/>
              <w:lang w:eastAsia="sk-SK"/>
            </w:rPr>
          </w:pPr>
          <w:hyperlink w:anchor="_Toc198637726" w:history="1">
            <w:r w:rsidR="005701FF" w:rsidRPr="00E92E1B">
              <w:rPr>
                <w:rStyle w:val="Hypertextovprepojenie"/>
              </w:rPr>
              <w:t>4</w:t>
            </w:r>
            <w:r w:rsidR="005701FF">
              <w:rPr>
                <w:rFonts w:eastAsiaTheme="minorEastAsia"/>
                <w:b w:val="0"/>
                <w:bCs w:val="0"/>
                <w:caps w:val="0"/>
                <w:color w:val="auto"/>
                <w:sz w:val="22"/>
                <w:szCs w:val="22"/>
                <w:lang w:eastAsia="sk-SK"/>
              </w:rPr>
              <w:tab/>
            </w:r>
            <w:r w:rsidR="005701FF" w:rsidRPr="00E92E1B">
              <w:rPr>
                <w:rStyle w:val="Hypertextovprepojenie"/>
              </w:rPr>
              <w:t>Vzťah štátneho rozpočtu k Európskej únii</w:t>
            </w:r>
            <w:r w:rsidR="005701FF">
              <w:rPr>
                <w:webHidden/>
              </w:rPr>
              <w:tab/>
            </w:r>
            <w:r w:rsidR="005701FF">
              <w:rPr>
                <w:webHidden/>
              </w:rPr>
              <w:fldChar w:fldCharType="begin"/>
            </w:r>
            <w:r w:rsidR="005701FF">
              <w:rPr>
                <w:webHidden/>
              </w:rPr>
              <w:instrText xml:space="preserve"> PAGEREF _Toc198637726 \h </w:instrText>
            </w:r>
            <w:r w:rsidR="005701FF">
              <w:rPr>
                <w:webHidden/>
              </w:rPr>
            </w:r>
            <w:r w:rsidR="005701FF">
              <w:rPr>
                <w:webHidden/>
              </w:rPr>
              <w:fldChar w:fldCharType="separate"/>
            </w:r>
            <w:r w:rsidR="00D24E68">
              <w:rPr>
                <w:webHidden/>
              </w:rPr>
              <w:t>28</w:t>
            </w:r>
            <w:r w:rsidR="005701FF">
              <w:rPr>
                <w:webHidden/>
              </w:rPr>
              <w:fldChar w:fldCharType="end"/>
            </w:r>
          </w:hyperlink>
        </w:p>
        <w:p w14:paraId="4DA2E502" w14:textId="759C0BB9" w:rsidR="005701FF" w:rsidRDefault="0071033B">
          <w:pPr>
            <w:pStyle w:val="Obsah2"/>
            <w:tabs>
              <w:tab w:val="right" w:leader="dot" w:pos="9060"/>
            </w:tabs>
            <w:rPr>
              <w:rFonts w:eastAsiaTheme="minorEastAsia"/>
              <w:smallCaps w:val="0"/>
              <w:noProof/>
              <w:sz w:val="22"/>
              <w:szCs w:val="22"/>
              <w:lang w:eastAsia="sk-SK"/>
            </w:rPr>
          </w:pPr>
          <w:hyperlink w:anchor="_Toc198637727" w:history="1">
            <w:r w:rsidR="005701FF" w:rsidRPr="00E92E1B">
              <w:rPr>
                <w:rStyle w:val="Hypertextovprepojenie"/>
                <w:noProof/>
              </w:rPr>
              <w:t>4.1  Programové obdobie 2014 – 2020 a 2021 – 2027</w:t>
            </w:r>
            <w:r w:rsidR="005701FF">
              <w:rPr>
                <w:noProof/>
                <w:webHidden/>
              </w:rPr>
              <w:tab/>
            </w:r>
            <w:r w:rsidR="005701FF">
              <w:rPr>
                <w:noProof/>
                <w:webHidden/>
              </w:rPr>
              <w:fldChar w:fldCharType="begin"/>
            </w:r>
            <w:r w:rsidR="005701FF">
              <w:rPr>
                <w:noProof/>
                <w:webHidden/>
              </w:rPr>
              <w:instrText xml:space="preserve"> PAGEREF _Toc198637727 \h </w:instrText>
            </w:r>
            <w:r w:rsidR="005701FF">
              <w:rPr>
                <w:noProof/>
                <w:webHidden/>
              </w:rPr>
            </w:r>
            <w:r w:rsidR="005701FF">
              <w:rPr>
                <w:noProof/>
                <w:webHidden/>
              </w:rPr>
              <w:fldChar w:fldCharType="separate"/>
            </w:r>
            <w:r w:rsidR="00D24E68">
              <w:rPr>
                <w:noProof/>
                <w:webHidden/>
              </w:rPr>
              <w:t>30</w:t>
            </w:r>
            <w:r w:rsidR="005701FF">
              <w:rPr>
                <w:noProof/>
                <w:webHidden/>
              </w:rPr>
              <w:fldChar w:fldCharType="end"/>
            </w:r>
          </w:hyperlink>
        </w:p>
        <w:p w14:paraId="7D386E1E" w14:textId="417DAE72" w:rsidR="005701FF" w:rsidRDefault="0071033B">
          <w:pPr>
            <w:pStyle w:val="Obsah2"/>
            <w:tabs>
              <w:tab w:val="right" w:leader="dot" w:pos="9060"/>
            </w:tabs>
            <w:rPr>
              <w:rFonts w:eastAsiaTheme="minorEastAsia"/>
              <w:smallCaps w:val="0"/>
              <w:noProof/>
              <w:sz w:val="22"/>
              <w:szCs w:val="22"/>
              <w:lang w:eastAsia="sk-SK"/>
            </w:rPr>
          </w:pPr>
          <w:hyperlink w:anchor="_Toc198637728" w:history="1">
            <w:r w:rsidR="005701FF" w:rsidRPr="00E92E1B">
              <w:rPr>
                <w:rStyle w:val="Hypertextovprepojenie"/>
                <w:noProof/>
              </w:rPr>
              <w:t>4.2  Plán obnovy a odolnosti</w:t>
            </w:r>
            <w:r w:rsidR="005701FF">
              <w:rPr>
                <w:noProof/>
                <w:webHidden/>
              </w:rPr>
              <w:tab/>
            </w:r>
            <w:r w:rsidR="005701FF">
              <w:rPr>
                <w:noProof/>
                <w:webHidden/>
              </w:rPr>
              <w:fldChar w:fldCharType="begin"/>
            </w:r>
            <w:r w:rsidR="005701FF">
              <w:rPr>
                <w:noProof/>
                <w:webHidden/>
              </w:rPr>
              <w:instrText xml:space="preserve"> PAGEREF _Toc198637728 \h </w:instrText>
            </w:r>
            <w:r w:rsidR="005701FF">
              <w:rPr>
                <w:noProof/>
                <w:webHidden/>
              </w:rPr>
            </w:r>
            <w:r w:rsidR="005701FF">
              <w:rPr>
                <w:noProof/>
                <w:webHidden/>
              </w:rPr>
              <w:fldChar w:fldCharType="separate"/>
            </w:r>
            <w:r w:rsidR="00D24E68">
              <w:rPr>
                <w:noProof/>
                <w:webHidden/>
              </w:rPr>
              <w:t>34</w:t>
            </w:r>
            <w:r w:rsidR="005701FF">
              <w:rPr>
                <w:noProof/>
                <w:webHidden/>
              </w:rPr>
              <w:fldChar w:fldCharType="end"/>
            </w:r>
          </w:hyperlink>
        </w:p>
        <w:p w14:paraId="78E5606B" w14:textId="6D7181D6" w:rsidR="005701FF" w:rsidRDefault="0071033B">
          <w:pPr>
            <w:pStyle w:val="Obsah1"/>
            <w:rPr>
              <w:rFonts w:eastAsiaTheme="minorEastAsia"/>
              <w:b w:val="0"/>
              <w:bCs w:val="0"/>
              <w:caps w:val="0"/>
              <w:color w:val="auto"/>
              <w:sz w:val="22"/>
              <w:szCs w:val="22"/>
              <w:lang w:eastAsia="sk-SK"/>
            </w:rPr>
          </w:pPr>
          <w:hyperlink w:anchor="_Toc198637729" w:history="1">
            <w:r w:rsidR="005701FF" w:rsidRPr="00E92E1B">
              <w:rPr>
                <w:rStyle w:val="Hypertextovprepojenie"/>
              </w:rPr>
              <w:t>5</w:t>
            </w:r>
            <w:r w:rsidR="005701FF">
              <w:rPr>
                <w:rFonts w:eastAsiaTheme="minorEastAsia"/>
                <w:b w:val="0"/>
                <w:bCs w:val="0"/>
                <w:caps w:val="0"/>
                <w:color w:val="auto"/>
                <w:sz w:val="22"/>
                <w:szCs w:val="22"/>
                <w:lang w:eastAsia="sk-SK"/>
              </w:rPr>
              <w:tab/>
            </w:r>
            <w:r w:rsidR="005701FF" w:rsidRPr="00E92E1B">
              <w:rPr>
                <w:rStyle w:val="Hypertextovprepojenie"/>
              </w:rPr>
              <w:t>Stanovisko k vybraným verejným politikám</w:t>
            </w:r>
            <w:r w:rsidR="005701FF">
              <w:rPr>
                <w:webHidden/>
              </w:rPr>
              <w:tab/>
            </w:r>
            <w:r w:rsidR="005701FF">
              <w:rPr>
                <w:webHidden/>
              </w:rPr>
              <w:fldChar w:fldCharType="begin"/>
            </w:r>
            <w:r w:rsidR="005701FF">
              <w:rPr>
                <w:webHidden/>
              </w:rPr>
              <w:instrText xml:space="preserve"> PAGEREF _Toc198637729 \h </w:instrText>
            </w:r>
            <w:r w:rsidR="005701FF">
              <w:rPr>
                <w:webHidden/>
              </w:rPr>
            </w:r>
            <w:r w:rsidR="005701FF">
              <w:rPr>
                <w:webHidden/>
              </w:rPr>
              <w:fldChar w:fldCharType="separate"/>
            </w:r>
            <w:r w:rsidR="00D24E68">
              <w:rPr>
                <w:webHidden/>
              </w:rPr>
              <w:t>36</w:t>
            </w:r>
            <w:r w:rsidR="005701FF">
              <w:rPr>
                <w:webHidden/>
              </w:rPr>
              <w:fldChar w:fldCharType="end"/>
            </w:r>
          </w:hyperlink>
        </w:p>
        <w:p w14:paraId="12B0DBE4" w14:textId="2049FB83" w:rsidR="005701FF" w:rsidRDefault="0071033B">
          <w:pPr>
            <w:pStyle w:val="Obsah2"/>
            <w:tabs>
              <w:tab w:val="right" w:leader="dot" w:pos="9060"/>
            </w:tabs>
            <w:rPr>
              <w:rFonts w:eastAsiaTheme="minorEastAsia"/>
              <w:smallCaps w:val="0"/>
              <w:noProof/>
              <w:sz w:val="22"/>
              <w:szCs w:val="22"/>
              <w:lang w:eastAsia="sk-SK"/>
            </w:rPr>
          </w:pPr>
          <w:hyperlink w:anchor="_Toc198637730" w:history="1">
            <w:r w:rsidR="005701FF" w:rsidRPr="00E92E1B">
              <w:rPr>
                <w:rStyle w:val="Hypertextovprepojenie"/>
                <w:noProof/>
              </w:rPr>
              <w:t>5.1  Zdravotníctvo</w:t>
            </w:r>
            <w:r w:rsidR="005701FF">
              <w:rPr>
                <w:noProof/>
                <w:webHidden/>
              </w:rPr>
              <w:tab/>
            </w:r>
            <w:r w:rsidR="005701FF">
              <w:rPr>
                <w:noProof/>
                <w:webHidden/>
              </w:rPr>
              <w:fldChar w:fldCharType="begin"/>
            </w:r>
            <w:r w:rsidR="005701FF">
              <w:rPr>
                <w:noProof/>
                <w:webHidden/>
              </w:rPr>
              <w:instrText xml:space="preserve"> PAGEREF _Toc198637730 \h </w:instrText>
            </w:r>
            <w:r w:rsidR="005701FF">
              <w:rPr>
                <w:noProof/>
                <w:webHidden/>
              </w:rPr>
            </w:r>
            <w:r w:rsidR="005701FF">
              <w:rPr>
                <w:noProof/>
                <w:webHidden/>
              </w:rPr>
              <w:fldChar w:fldCharType="separate"/>
            </w:r>
            <w:r w:rsidR="00D24E68">
              <w:rPr>
                <w:noProof/>
                <w:webHidden/>
              </w:rPr>
              <w:t>36</w:t>
            </w:r>
            <w:r w:rsidR="005701FF">
              <w:rPr>
                <w:noProof/>
                <w:webHidden/>
              </w:rPr>
              <w:fldChar w:fldCharType="end"/>
            </w:r>
          </w:hyperlink>
        </w:p>
        <w:p w14:paraId="25F0666A" w14:textId="05157533" w:rsidR="005701FF" w:rsidRDefault="0071033B">
          <w:pPr>
            <w:pStyle w:val="Obsah3"/>
            <w:tabs>
              <w:tab w:val="right" w:leader="dot" w:pos="9060"/>
            </w:tabs>
            <w:rPr>
              <w:rFonts w:eastAsiaTheme="minorEastAsia"/>
              <w:i w:val="0"/>
              <w:iCs w:val="0"/>
              <w:noProof/>
              <w:sz w:val="22"/>
              <w:szCs w:val="22"/>
              <w:lang w:eastAsia="sk-SK"/>
            </w:rPr>
          </w:pPr>
          <w:hyperlink w:anchor="_Toc198637731" w:history="1">
            <w:r w:rsidR="005701FF" w:rsidRPr="00E92E1B">
              <w:rPr>
                <w:rStyle w:val="Hypertextovprepojenie"/>
                <w:noProof/>
              </w:rPr>
              <w:t>5.1.1  Výdavky verejného zdravotného poistenia a faktory ich rastu</w:t>
            </w:r>
            <w:r w:rsidR="005701FF">
              <w:rPr>
                <w:noProof/>
                <w:webHidden/>
              </w:rPr>
              <w:tab/>
            </w:r>
            <w:r w:rsidR="005701FF">
              <w:rPr>
                <w:noProof/>
                <w:webHidden/>
              </w:rPr>
              <w:fldChar w:fldCharType="begin"/>
            </w:r>
            <w:r w:rsidR="005701FF">
              <w:rPr>
                <w:noProof/>
                <w:webHidden/>
              </w:rPr>
              <w:instrText xml:space="preserve"> PAGEREF _Toc198637731 \h </w:instrText>
            </w:r>
            <w:r w:rsidR="005701FF">
              <w:rPr>
                <w:noProof/>
                <w:webHidden/>
              </w:rPr>
            </w:r>
            <w:r w:rsidR="005701FF">
              <w:rPr>
                <w:noProof/>
                <w:webHidden/>
              </w:rPr>
              <w:fldChar w:fldCharType="separate"/>
            </w:r>
            <w:r w:rsidR="00D24E68">
              <w:rPr>
                <w:noProof/>
                <w:webHidden/>
              </w:rPr>
              <w:t>38</w:t>
            </w:r>
            <w:r w:rsidR="005701FF">
              <w:rPr>
                <w:noProof/>
                <w:webHidden/>
              </w:rPr>
              <w:fldChar w:fldCharType="end"/>
            </w:r>
          </w:hyperlink>
        </w:p>
        <w:p w14:paraId="1295A6E9" w14:textId="14790708" w:rsidR="005701FF" w:rsidRDefault="0071033B">
          <w:pPr>
            <w:pStyle w:val="Obsah3"/>
            <w:tabs>
              <w:tab w:val="right" w:leader="dot" w:pos="9060"/>
            </w:tabs>
            <w:rPr>
              <w:rFonts w:eastAsiaTheme="minorEastAsia"/>
              <w:i w:val="0"/>
              <w:iCs w:val="0"/>
              <w:noProof/>
              <w:sz w:val="22"/>
              <w:szCs w:val="22"/>
              <w:lang w:eastAsia="sk-SK"/>
            </w:rPr>
          </w:pPr>
          <w:hyperlink w:anchor="_Toc198637732" w:history="1">
            <w:r w:rsidR="005701FF" w:rsidRPr="00E92E1B">
              <w:rPr>
                <w:rStyle w:val="Hypertextovprepojenie"/>
                <w:noProof/>
              </w:rPr>
              <w:t>5.1.3  Plnenie úsporných opatrení</w:t>
            </w:r>
            <w:r w:rsidR="005701FF">
              <w:rPr>
                <w:noProof/>
                <w:webHidden/>
              </w:rPr>
              <w:tab/>
            </w:r>
            <w:r w:rsidR="005701FF">
              <w:rPr>
                <w:noProof/>
                <w:webHidden/>
              </w:rPr>
              <w:fldChar w:fldCharType="begin"/>
            </w:r>
            <w:r w:rsidR="005701FF">
              <w:rPr>
                <w:noProof/>
                <w:webHidden/>
              </w:rPr>
              <w:instrText xml:space="preserve"> PAGEREF _Toc198637732 \h </w:instrText>
            </w:r>
            <w:r w:rsidR="005701FF">
              <w:rPr>
                <w:noProof/>
                <w:webHidden/>
              </w:rPr>
            </w:r>
            <w:r w:rsidR="005701FF">
              <w:rPr>
                <w:noProof/>
                <w:webHidden/>
              </w:rPr>
              <w:fldChar w:fldCharType="separate"/>
            </w:r>
            <w:r w:rsidR="00D24E68">
              <w:rPr>
                <w:noProof/>
                <w:webHidden/>
              </w:rPr>
              <w:t>41</w:t>
            </w:r>
            <w:r w:rsidR="005701FF">
              <w:rPr>
                <w:noProof/>
                <w:webHidden/>
              </w:rPr>
              <w:fldChar w:fldCharType="end"/>
            </w:r>
          </w:hyperlink>
        </w:p>
        <w:p w14:paraId="1230E72E" w14:textId="28D347DE" w:rsidR="005701FF" w:rsidRDefault="0071033B">
          <w:pPr>
            <w:pStyle w:val="Obsah3"/>
            <w:tabs>
              <w:tab w:val="right" w:leader="dot" w:pos="9060"/>
            </w:tabs>
            <w:rPr>
              <w:rFonts w:eastAsiaTheme="minorEastAsia"/>
              <w:i w:val="0"/>
              <w:iCs w:val="0"/>
              <w:noProof/>
              <w:sz w:val="22"/>
              <w:szCs w:val="22"/>
              <w:lang w:eastAsia="sk-SK"/>
            </w:rPr>
          </w:pPr>
          <w:hyperlink w:anchor="_Toc198637733" w:history="1">
            <w:r w:rsidR="005701FF" w:rsidRPr="00E92E1B">
              <w:rPr>
                <w:rStyle w:val="Hypertextovprepojenie"/>
                <w:noProof/>
              </w:rPr>
              <w:t>5.1.4  Zadlženosť v rezorte zdravotníctva</w:t>
            </w:r>
            <w:r w:rsidR="005701FF">
              <w:rPr>
                <w:noProof/>
                <w:webHidden/>
              </w:rPr>
              <w:tab/>
            </w:r>
            <w:r w:rsidR="005701FF">
              <w:rPr>
                <w:noProof/>
                <w:webHidden/>
              </w:rPr>
              <w:fldChar w:fldCharType="begin"/>
            </w:r>
            <w:r w:rsidR="005701FF">
              <w:rPr>
                <w:noProof/>
                <w:webHidden/>
              </w:rPr>
              <w:instrText xml:space="preserve"> PAGEREF _Toc198637733 \h </w:instrText>
            </w:r>
            <w:r w:rsidR="005701FF">
              <w:rPr>
                <w:noProof/>
                <w:webHidden/>
              </w:rPr>
            </w:r>
            <w:r w:rsidR="005701FF">
              <w:rPr>
                <w:noProof/>
                <w:webHidden/>
              </w:rPr>
              <w:fldChar w:fldCharType="separate"/>
            </w:r>
            <w:r w:rsidR="00D24E68">
              <w:rPr>
                <w:noProof/>
                <w:webHidden/>
              </w:rPr>
              <w:t>42</w:t>
            </w:r>
            <w:r w:rsidR="005701FF">
              <w:rPr>
                <w:noProof/>
                <w:webHidden/>
              </w:rPr>
              <w:fldChar w:fldCharType="end"/>
            </w:r>
          </w:hyperlink>
        </w:p>
        <w:p w14:paraId="79217B77" w14:textId="505E25BD" w:rsidR="005701FF" w:rsidRDefault="0071033B">
          <w:pPr>
            <w:pStyle w:val="Obsah2"/>
            <w:tabs>
              <w:tab w:val="right" w:leader="dot" w:pos="9060"/>
            </w:tabs>
            <w:rPr>
              <w:rFonts w:eastAsiaTheme="minorEastAsia"/>
              <w:smallCaps w:val="0"/>
              <w:noProof/>
              <w:sz w:val="22"/>
              <w:szCs w:val="22"/>
              <w:lang w:eastAsia="sk-SK"/>
            </w:rPr>
          </w:pPr>
          <w:hyperlink w:anchor="_Toc198637734" w:history="1">
            <w:r w:rsidR="005701FF" w:rsidRPr="00E92E1B">
              <w:rPr>
                <w:rStyle w:val="Hypertextovprepojenie"/>
                <w:noProof/>
              </w:rPr>
              <w:t>5.2  Sociálne politiky</w:t>
            </w:r>
            <w:r w:rsidR="005701FF">
              <w:rPr>
                <w:noProof/>
                <w:webHidden/>
              </w:rPr>
              <w:tab/>
            </w:r>
            <w:r w:rsidR="005701FF">
              <w:rPr>
                <w:noProof/>
                <w:webHidden/>
              </w:rPr>
              <w:fldChar w:fldCharType="begin"/>
            </w:r>
            <w:r w:rsidR="005701FF">
              <w:rPr>
                <w:noProof/>
                <w:webHidden/>
              </w:rPr>
              <w:instrText xml:space="preserve"> PAGEREF _Toc198637734 \h </w:instrText>
            </w:r>
            <w:r w:rsidR="005701FF">
              <w:rPr>
                <w:noProof/>
                <w:webHidden/>
              </w:rPr>
            </w:r>
            <w:r w:rsidR="005701FF">
              <w:rPr>
                <w:noProof/>
                <w:webHidden/>
              </w:rPr>
              <w:fldChar w:fldCharType="separate"/>
            </w:r>
            <w:r w:rsidR="00D24E68">
              <w:rPr>
                <w:noProof/>
                <w:webHidden/>
              </w:rPr>
              <w:t>45</w:t>
            </w:r>
            <w:r w:rsidR="005701FF">
              <w:rPr>
                <w:noProof/>
                <w:webHidden/>
              </w:rPr>
              <w:fldChar w:fldCharType="end"/>
            </w:r>
          </w:hyperlink>
        </w:p>
        <w:p w14:paraId="148A876F" w14:textId="4C9C8061" w:rsidR="005701FF" w:rsidRDefault="0071033B">
          <w:pPr>
            <w:pStyle w:val="Obsah3"/>
            <w:tabs>
              <w:tab w:val="right" w:leader="dot" w:pos="9060"/>
            </w:tabs>
            <w:rPr>
              <w:rFonts w:eastAsiaTheme="minorEastAsia"/>
              <w:i w:val="0"/>
              <w:iCs w:val="0"/>
              <w:noProof/>
              <w:sz w:val="22"/>
              <w:szCs w:val="22"/>
              <w:lang w:eastAsia="sk-SK"/>
            </w:rPr>
          </w:pPr>
          <w:hyperlink w:anchor="_Toc198637735" w:history="1">
            <w:r w:rsidR="005701FF" w:rsidRPr="00E92E1B">
              <w:rPr>
                <w:rStyle w:val="Hypertextovprepojenie"/>
                <w:noProof/>
              </w:rPr>
              <w:t>5.2.2  Výdavky na predčasné starobné dôchodky</w:t>
            </w:r>
            <w:r w:rsidR="005701FF">
              <w:rPr>
                <w:noProof/>
                <w:webHidden/>
              </w:rPr>
              <w:tab/>
            </w:r>
            <w:r w:rsidR="005701FF">
              <w:rPr>
                <w:noProof/>
                <w:webHidden/>
              </w:rPr>
              <w:fldChar w:fldCharType="begin"/>
            </w:r>
            <w:r w:rsidR="005701FF">
              <w:rPr>
                <w:noProof/>
                <w:webHidden/>
              </w:rPr>
              <w:instrText xml:space="preserve"> PAGEREF _Toc198637735 \h </w:instrText>
            </w:r>
            <w:r w:rsidR="005701FF">
              <w:rPr>
                <w:noProof/>
                <w:webHidden/>
              </w:rPr>
            </w:r>
            <w:r w:rsidR="005701FF">
              <w:rPr>
                <w:noProof/>
                <w:webHidden/>
              </w:rPr>
              <w:fldChar w:fldCharType="separate"/>
            </w:r>
            <w:r w:rsidR="00D24E68">
              <w:rPr>
                <w:noProof/>
                <w:webHidden/>
              </w:rPr>
              <w:t>47</w:t>
            </w:r>
            <w:r w:rsidR="005701FF">
              <w:rPr>
                <w:noProof/>
                <w:webHidden/>
              </w:rPr>
              <w:fldChar w:fldCharType="end"/>
            </w:r>
          </w:hyperlink>
        </w:p>
        <w:p w14:paraId="217A62E6" w14:textId="34439CE4" w:rsidR="005701FF" w:rsidRDefault="0071033B">
          <w:pPr>
            <w:pStyle w:val="Obsah3"/>
            <w:tabs>
              <w:tab w:val="right" w:leader="dot" w:pos="9060"/>
            </w:tabs>
            <w:rPr>
              <w:rFonts w:eastAsiaTheme="minorEastAsia"/>
              <w:i w:val="0"/>
              <w:iCs w:val="0"/>
              <w:noProof/>
              <w:sz w:val="22"/>
              <w:szCs w:val="22"/>
              <w:lang w:eastAsia="sk-SK"/>
            </w:rPr>
          </w:pPr>
          <w:hyperlink w:anchor="_Toc198637736" w:history="1">
            <w:r w:rsidR="005701FF" w:rsidRPr="00E92E1B">
              <w:rPr>
                <w:rStyle w:val="Hypertextovprepojenie"/>
                <w:noProof/>
              </w:rPr>
              <w:t>5.2.3  Výdavky na energopomoc</w:t>
            </w:r>
            <w:r w:rsidR="005701FF">
              <w:rPr>
                <w:noProof/>
                <w:webHidden/>
              </w:rPr>
              <w:tab/>
            </w:r>
            <w:r w:rsidR="005701FF">
              <w:rPr>
                <w:noProof/>
                <w:webHidden/>
              </w:rPr>
              <w:fldChar w:fldCharType="begin"/>
            </w:r>
            <w:r w:rsidR="005701FF">
              <w:rPr>
                <w:noProof/>
                <w:webHidden/>
              </w:rPr>
              <w:instrText xml:space="preserve"> PAGEREF _Toc198637736 \h </w:instrText>
            </w:r>
            <w:r w:rsidR="005701FF">
              <w:rPr>
                <w:noProof/>
                <w:webHidden/>
              </w:rPr>
            </w:r>
            <w:r w:rsidR="005701FF">
              <w:rPr>
                <w:noProof/>
                <w:webHidden/>
              </w:rPr>
              <w:fldChar w:fldCharType="separate"/>
            </w:r>
            <w:r w:rsidR="00D24E68">
              <w:rPr>
                <w:noProof/>
                <w:webHidden/>
              </w:rPr>
              <w:t>48</w:t>
            </w:r>
            <w:r w:rsidR="005701FF">
              <w:rPr>
                <w:noProof/>
                <w:webHidden/>
              </w:rPr>
              <w:fldChar w:fldCharType="end"/>
            </w:r>
          </w:hyperlink>
        </w:p>
        <w:p w14:paraId="6F30E685" w14:textId="49938A24" w:rsidR="005701FF" w:rsidRDefault="0071033B">
          <w:pPr>
            <w:pStyle w:val="Obsah2"/>
            <w:tabs>
              <w:tab w:val="right" w:leader="dot" w:pos="9060"/>
            </w:tabs>
            <w:rPr>
              <w:rFonts w:eastAsiaTheme="minorEastAsia"/>
              <w:smallCaps w:val="0"/>
              <w:noProof/>
              <w:sz w:val="22"/>
              <w:szCs w:val="22"/>
              <w:lang w:eastAsia="sk-SK"/>
            </w:rPr>
          </w:pPr>
          <w:hyperlink w:anchor="_Toc198637737" w:history="1">
            <w:r w:rsidR="005701FF" w:rsidRPr="00E92E1B">
              <w:rPr>
                <w:rStyle w:val="Hypertextovprepojenie"/>
                <w:noProof/>
              </w:rPr>
              <w:t>5.3  Vzdelávanie, veda a výskum</w:t>
            </w:r>
            <w:r w:rsidR="005701FF">
              <w:rPr>
                <w:noProof/>
                <w:webHidden/>
              </w:rPr>
              <w:tab/>
            </w:r>
            <w:r w:rsidR="005701FF">
              <w:rPr>
                <w:noProof/>
                <w:webHidden/>
              </w:rPr>
              <w:fldChar w:fldCharType="begin"/>
            </w:r>
            <w:r w:rsidR="005701FF">
              <w:rPr>
                <w:noProof/>
                <w:webHidden/>
              </w:rPr>
              <w:instrText xml:space="preserve"> PAGEREF _Toc198637737 \h </w:instrText>
            </w:r>
            <w:r w:rsidR="005701FF">
              <w:rPr>
                <w:noProof/>
                <w:webHidden/>
              </w:rPr>
            </w:r>
            <w:r w:rsidR="005701FF">
              <w:rPr>
                <w:noProof/>
                <w:webHidden/>
              </w:rPr>
              <w:fldChar w:fldCharType="separate"/>
            </w:r>
            <w:r w:rsidR="00D24E68">
              <w:rPr>
                <w:noProof/>
                <w:webHidden/>
              </w:rPr>
              <w:t>49</w:t>
            </w:r>
            <w:r w:rsidR="005701FF">
              <w:rPr>
                <w:noProof/>
                <w:webHidden/>
              </w:rPr>
              <w:fldChar w:fldCharType="end"/>
            </w:r>
          </w:hyperlink>
        </w:p>
        <w:p w14:paraId="42087BC5" w14:textId="50A387AD" w:rsidR="005701FF" w:rsidRDefault="0071033B">
          <w:pPr>
            <w:pStyle w:val="Obsah3"/>
            <w:tabs>
              <w:tab w:val="right" w:leader="dot" w:pos="9060"/>
            </w:tabs>
            <w:rPr>
              <w:rFonts w:eastAsiaTheme="minorEastAsia"/>
              <w:i w:val="0"/>
              <w:iCs w:val="0"/>
              <w:noProof/>
              <w:sz w:val="22"/>
              <w:szCs w:val="22"/>
              <w:lang w:eastAsia="sk-SK"/>
            </w:rPr>
          </w:pPr>
          <w:hyperlink w:anchor="_Toc198637738" w:history="1">
            <w:r w:rsidR="005701FF" w:rsidRPr="00E92E1B">
              <w:rPr>
                <w:rStyle w:val="Hypertextovprepojenie"/>
                <w:noProof/>
              </w:rPr>
              <w:t>5.3.1  Zhodnotenie čerpania a adresnosti výzvy na zvýšenie kapacít MŠ</w:t>
            </w:r>
            <w:r w:rsidR="005701FF">
              <w:rPr>
                <w:noProof/>
                <w:webHidden/>
              </w:rPr>
              <w:tab/>
            </w:r>
            <w:r w:rsidR="005701FF">
              <w:rPr>
                <w:noProof/>
                <w:webHidden/>
              </w:rPr>
              <w:fldChar w:fldCharType="begin"/>
            </w:r>
            <w:r w:rsidR="005701FF">
              <w:rPr>
                <w:noProof/>
                <w:webHidden/>
              </w:rPr>
              <w:instrText xml:space="preserve"> PAGEREF _Toc198637738 \h </w:instrText>
            </w:r>
            <w:r w:rsidR="005701FF">
              <w:rPr>
                <w:noProof/>
                <w:webHidden/>
              </w:rPr>
            </w:r>
            <w:r w:rsidR="005701FF">
              <w:rPr>
                <w:noProof/>
                <w:webHidden/>
              </w:rPr>
              <w:fldChar w:fldCharType="separate"/>
            </w:r>
            <w:r w:rsidR="00D24E68">
              <w:rPr>
                <w:noProof/>
                <w:webHidden/>
              </w:rPr>
              <w:t>50</w:t>
            </w:r>
            <w:r w:rsidR="005701FF">
              <w:rPr>
                <w:noProof/>
                <w:webHidden/>
              </w:rPr>
              <w:fldChar w:fldCharType="end"/>
            </w:r>
          </w:hyperlink>
        </w:p>
        <w:p w14:paraId="5A810D5B" w14:textId="7F438C80" w:rsidR="005701FF" w:rsidRDefault="0071033B">
          <w:pPr>
            <w:pStyle w:val="Obsah3"/>
            <w:tabs>
              <w:tab w:val="right" w:leader="dot" w:pos="9060"/>
            </w:tabs>
            <w:rPr>
              <w:rFonts w:eastAsiaTheme="minorEastAsia"/>
              <w:i w:val="0"/>
              <w:iCs w:val="0"/>
              <w:noProof/>
              <w:sz w:val="22"/>
              <w:szCs w:val="22"/>
              <w:lang w:eastAsia="sk-SK"/>
            </w:rPr>
          </w:pPr>
          <w:hyperlink w:anchor="_Toc198637739" w:history="1">
            <w:r w:rsidR="005701FF" w:rsidRPr="00E92E1B">
              <w:rPr>
                <w:rStyle w:val="Hypertextovprepojenie"/>
                <w:noProof/>
              </w:rPr>
              <w:t>5.3.2  Čerpanie prostriedkov na individuálny profesijný rozvoj učiteľov</w:t>
            </w:r>
            <w:r w:rsidR="005701FF">
              <w:rPr>
                <w:noProof/>
                <w:webHidden/>
              </w:rPr>
              <w:tab/>
            </w:r>
            <w:r w:rsidR="005701FF">
              <w:rPr>
                <w:noProof/>
                <w:webHidden/>
              </w:rPr>
              <w:fldChar w:fldCharType="begin"/>
            </w:r>
            <w:r w:rsidR="005701FF">
              <w:rPr>
                <w:noProof/>
                <w:webHidden/>
              </w:rPr>
              <w:instrText xml:space="preserve"> PAGEREF _Toc198637739 \h </w:instrText>
            </w:r>
            <w:r w:rsidR="005701FF">
              <w:rPr>
                <w:noProof/>
                <w:webHidden/>
              </w:rPr>
            </w:r>
            <w:r w:rsidR="005701FF">
              <w:rPr>
                <w:noProof/>
                <w:webHidden/>
              </w:rPr>
              <w:fldChar w:fldCharType="separate"/>
            </w:r>
            <w:r w:rsidR="00D24E68">
              <w:rPr>
                <w:noProof/>
                <w:webHidden/>
              </w:rPr>
              <w:t>52</w:t>
            </w:r>
            <w:r w:rsidR="005701FF">
              <w:rPr>
                <w:noProof/>
                <w:webHidden/>
              </w:rPr>
              <w:fldChar w:fldCharType="end"/>
            </w:r>
          </w:hyperlink>
        </w:p>
        <w:p w14:paraId="23EA3F44" w14:textId="7AC6B07F" w:rsidR="005701FF" w:rsidRDefault="0071033B">
          <w:pPr>
            <w:pStyle w:val="Obsah3"/>
            <w:tabs>
              <w:tab w:val="right" w:leader="dot" w:pos="9060"/>
            </w:tabs>
            <w:rPr>
              <w:rFonts w:eastAsiaTheme="minorEastAsia"/>
              <w:i w:val="0"/>
              <w:iCs w:val="0"/>
              <w:noProof/>
              <w:sz w:val="22"/>
              <w:szCs w:val="22"/>
              <w:lang w:eastAsia="sk-SK"/>
            </w:rPr>
          </w:pPr>
          <w:hyperlink w:anchor="_Toc198637740" w:history="1">
            <w:r w:rsidR="005701FF" w:rsidRPr="00E92E1B">
              <w:rPr>
                <w:rStyle w:val="Hypertextovprepojenie"/>
                <w:noProof/>
              </w:rPr>
              <w:t>5.3.3  Štipendijná schéma Študuj doma, Slovensko ťa odmení</w:t>
            </w:r>
            <w:r w:rsidR="005701FF">
              <w:rPr>
                <w:noProof/>
                <w:webHidden/>
              </w:rPr>
              <w:tab/>
            </w:r>
            <w:r w:rsidR="005701FF">
              <w:rPr>
                <w:noProof/>
                <w:webHidden/>
              </w:rPr>
              <w:fldChar w:fldCharType="begin"/>
            </w:r>
            <w:r w:rsidR="005701FF">
              <w:rPr>
                <w:noProof/>
                <w:webHidden/>
              </w:rPr>
              <w:instrText xml:space="preserve"> PAGEREF _Toc198637740 \h </w:instrText>
            </w:r>
            <w:r w:rsidR="005701FF">
              <w:rPr>
                <w:noProof/>
                <w:webHidden/>
              </w:rPr>
            </w:r>
            <w:r w:rsidR="005701FF">
              <w:rPr>
                <w:noProof/>
                <w:webHidden/>
              </w:rPr>
              <w:fldChar w:fldCharType="separate"/>
            </w:r>
            <w:r w:rsidR="00D24E68">
              <w:rPr>
                <w:noProof/>
                <w:webHidden/>
              </w:rPr>
              <w:t>53</w:t>
            </w:r>
            <w:r w:rsidR="005701FF">
              <w:rPr>
                <w:noProof/>
                <w:webHidden/>
              </w:rPr>
              <w:fldChar w:fldCharType="end"/>
            </w:r>
          </w:hyperlink>
        </w:p>
        <w:p w14:paraId="6C89DA0F" w14:textId="1CA655BD" w:rsidR="005701FF" w:rsidRDefault="0071033B">
          <w:pPr>
            <w:pStyle w:val="Obsah2"/>
            <w:tabs>
              <w:tab w:val="right" w:leader="dot" w:pos="9060"/>
            </w:tabs>
            <w:rPr>
              <w:rFonts w:eastAsiaTheme="minorEastAsia"/>
              <w:smallCaps w:val="0"/>
              <w:noProof/>
              <w:sz w:val="22"/>
              <w:szCs w:val="22"/>
              <w:lang w:eastAsia="sk-SK"/>
            </w:rPr>
          </w:pPr>
          <w:hyperlink w:anchor="_Toc198637741" w:history="1">
            <w:r w:rsidR="005701FF" w:rsidRPr="00E92E1B">
              <w:rPr>
                <w:rStyle w:val="Hypertextovprepojenie"/>
                <w:noProof/>
              </w:rPr>
              <w:t>5.4  Obrana</w:t>
            </w:r>
            <w:r w:rsidR="005701FF">
              <w:rPr>
                <w:noProof/>
                <w:webHidden/>
              </w:rPr>
              <w:tab/>
            </w:r>
            <w:r w:rsidR="005701FF">
              <w:rPr>
                <w:noProof/>
                <w:webHidden/>
              </w:rPr>
              <w:fldChar w:fldCharType="begin"/>
            </w:r>
            <w:r w:rsidR="005701FF">
              <w:rPr>
                <w:noProof/>
                <w:webHidden/>
              </w:rPr>
              <w:instrText xml:space="preserve"> PAGEREF _Toc198637741 \h </w:instrText>
            </w:r>
            <w:r w:rsidR="005701FF">
              <w:rPr>
                <w:noProof/>
                <w:webHidden/>
              </w:rPr>
            </w:r>
            <w:r w:rsidR="005701FF">
              <w:rPr>
                <w:noProof/>
                <w:webHidden/>
              </w:rPr>
              <w:fldChar w:fldCharType="separate"/>
            </w:r>
            <w:r w:rsidR="00D24E68">
              <w:rPr>
                <w:noProof/>
                <w:webHidden/>
              </w:rPr>
              <w:t>54</w:t>
            </w:r>
            <w:r w:rsidR="005701FF">
              <w:rPr>
                <w:noProof/>
                <w:webHidden/>
              </w:rPr>
              <w:fldChar w:fldCharType="end"/>
            </w:r>
          </w:hyperlink>
        </w:p>
        <w:p w14:paraId="7F7F60CA" w14:textId="46621972" w:rsidR="005701FF" w:rsidRDefault="0071033B">
          <w:pPr>
            <w:pStyle w:val="Obsah2"/>
            <w:tabs>
              <w:tab w:val="right" w:leader="dot" w:pos="9060"/>
            </w:tabs>
            <w:rPr>
              <w:rFonts w:eastAsiaTheme="minorEastAsia"/>
              <w:smallCaps w:val="0"/>
              <w:noProof/>
              <w:sz w:val="22"/>
              <w:szCs w:val="22"/>
              <w:lang w:eastAsia="sk-SK"/>
            </w:rPr>
          </w:pPr>
          <w:hyperlink w:anchor="_Toc198637742" w:history="1">
            <w:r w:rsidR="005701FF" w:rsidRPr="00E92E1B">
              <w:rPr>
                <w:rStyle w:val="Hypertextovprepojenie"/>
                <w:noProof/>
              </w:rPr>
              <w:t>5.5  Životné prostredie</w:t>
            </w:r>
            <w:r w:rsidR="005701FF">
              <w:rPr>
                <w:noProof/>
                <w:webHidden/>
              </w:rPr>
              <w:tab/>
            </w:r>
            <w:r w:rsidR="005701FF">
              <w:rPr>
                <w:noProof/>
                <w:webHidden/>
              </w:rPr>
              <w:fldChar w:fldCharType="begin"/>
            </w:r>
            <w:r w:rsidR="005701FF">
              <w:rPr>
                <w:noProof/>
                <w:webHidden/>
              </w:rPr>
              <w:instrText xml:space="preserve"> PAGEREF _Toc198637742 \h </w:instrText>
            </w:r>
            <w:r w:rsidR="005701FF">
              <w:rPr>
                <w:noProof/>
                <w:webHidden/>
              </w:rPr>
            </w:r>
            <w:r w:rsidR="005701FF">
              <w:rPr>
                <w:noProof/>
                <w:webHidden/>
              </w:rPr>
              <w:fldChar w:fldCharType="separate"/>
            </w:r>
            <w:r w:rsidR="00D24E68">
              <w:rPr>
                <w:noProof/>
                <w:webHidden/>
              </w:rPr>
              <w:t>58</w:t>
            </w:r>
            <w:r w:rsidR="005701FF">
              <w:rPr>
                <w:noProof/>
                <w:webHidden/>
              </w:rPr>
              <w:fldChar w:fldCharType="end"/>
            </w:r>
          </w:hyperlink>
        </w:p>
        <w:p w14:paraId="54B12296" w14:textId="3F15CA53" w:rsidR="005701FF" w:rsidRDefault="0071033B">
          <w:pPr>
            <w:pStyle w:val="Obsah1"/>
            <w:rPr>
              <w:rFonts w:eastAsiaTheme="minorEastAsia"/>
              <w:b w:val="0"/>
              <w:bCs w:val="0"/>
              <w:caps w:val="0"/>
              <w:color w:val="auto"/>
              <w:sz w:val="22"/>
              <w:szCs w:val="22"/>
              <w:lang w:eastAsia="sk-SK"/>
            </w:rPr>
          </w:pPr>
          <w:hyperlink w:anchor="_Toc198637743" w:history="1">
            <w:r w:rsidR="005701FF" w:rsidRPr="00E92E1B">
              <w:rPr>
                <w:rStyle w:val="Hypertextovprepojenie"/>
              </w:rPr>
              <w:t>6</w:t>
            </w:r>
            <w:r w:rsidR="005701FF">
              <w:rPr>
                <w:rFonts w:eastAsiaTheme="minorEastAsia"/>
                <w:b w:val="0"/>
                <w:bCs w:val="0"/>
                <w:caps w:val="0"/>
                <w:color w:val="auto"/>
                <w:sz w:val="22"/>
                <w:szCs w:val="22"/>
                <w:lang w:eastAsia="sk-SK"/>
              </w:rPr>
              <w:tab/>
            </w:r>
            <w:r w:rsidR="005701FF" w:rsidRPr="00E92E1B">
              <w:rPr>
                <w:rStyle w:val="Hypertextovprepojenie"/>
              </w:rPr>
              <w:t>Hospodárenie územnej samosprávy</w:t>
            </w:r>
            <w:r w:rsidR="005701FF">
              <w:rPr>
                <w:webHidden/>
              </w:rPr>
              <w:tab/>
            </w:r>
            <w:r w:rsidR="005701FF">
              <w:rPr>
                <w:webHidden/>
              </w:rPr>
              <w:fldChar w:fldCharType="begin"/>
            </w:r>
            <w:r w:rsidR="005701FF">
              <w:rPr>
                <w:webHidden/>
              </w:rPr>
              <w:instrText xml:space="preserve"> PAGEREF _Toc198637743 \h </w:instrText>
            </w:r>
            <w:r w:rsidR="005701FF">
              <w:rPr>
                <w:webHidden/>
              </w:rPr>
            </w:r>
            <w:r w:rsidR="005701FF">
              <w:rPr>
                <w:webHidden/>
              </w:rPr>
              <w:fldChar w:fldCharType="separate"/>
            </w:r>
            <w:r w:rsidR="00D24E68">
              <w:rPr>
                <w:webHidden/>
              </w:rPr>
              <w:t>62</w:t>
            </w:r>
            <w:r w:rsidR="005701FF">
              <w:rPr>
                <w:webHidden/>
              </w:rPr>
              <w:fldChar w:fldCharType="end"/>
            </w:r>
          </w:hyperlink>
        </w:p>
        <w:p w14:paraId="2A88C26A" w14:textId="09EE9002" w:rsidR="005701FF" w:rsidRDefault="0071033B">
          <w:pPr>
            <w:pStyle w:val="Obsah2"/>
            <w:tabs>
              <w:tab w:val="right" w:leader="dot" w:pos="9060"/>
            </w:tabs>
            <w:rPr>
              <w:rFonts w:eastAsiaTheme="minorEastAsia"/>
              <w:smallCaps w:val="0"/>
              <w:noProof/>
              <w:sz w:val="22"/>
              <w:szCs w:val="22"/>
              <w:lang w:eastAsia="sk-SK"/>
            </w:rPr>
          </w:pPr>
          <w:hyperlink w:anchor="_Toc198637744" w:history="1">
            <w:r w:rsidR="005701FF" w:rsidRPr="00E92E1B">
              <w:rPr>
                <w:rStyle w:val="Hypertextovprepojenie"/>
                <w:rFonts w:eastAsia="Times New Roman"/>
                <w:noProof/>
                <w:lang w:eastAsia="sk-SK"/>
              </w:rPr>
              <w:t xml:space="preserve">6.1  </w:t>
            </w:r>
            <w:r w:rsidR="005701FF" w:rsidRPr="00E92E1B">
              <w:rPr>
                <w:rStyle w:val="Hypertextovprepojenie"/>
                <w:noProof/>
              </w:rPr>
              <w:t>Hospodárenie</w:t>
            </w:r>
            <w:r w:rsidR="005701FF" w:rsidRPr="00E92E1B">
              <w:rPr>
                <w:rStyle w:val="Hypertextovprepojenie"/>
                <w:rFonts w:eastAsia="Times New Roman"/>
                <w:noProof/>
                <w:lang w:eastAsia="sk-SK"/>
              </w:rPr>
              <w:t xml:space="preserve"> obcí</w:t>
            </w:r>
            <w:r w:rsidR="005701FF">
              <w:rPr>
                <w:noProof/>
                <w:webHidden/>
              </w:rPr>
              <w:tab/>
            </w:r>
            <w:r w:rsidR="005701FF">
              <w:rPr>
                <w:noProof/>
                <w:webHidden/>
              </w:rPr>
              <w:fldChar w:fldCharType="begin"/>
            </w:r>
            <w:r w:rsidR="005701FF">
              <w:rPr>
                <w:noProof/>
                <w:webHidden/>
              </w:rPr>
              <w:instrText xml:space="preserve"> PAGEREF _Toc198637744 \h </w:instrText>
            </w:r>
            <w:r w:rsidR="005701FF">
              <w:rPr>
                <w:noProof/>
                <w:webHidden/>
              </w:rPr>
            </w:r>
            <w:r w:rsidR="005701FF">
              <w:rPr>
                <w:noProof/>
                <w:webHidden/>
              </w:rPr>
              <w:fldChar w:fldCharType="separate"/>
            </w:r>
            <w:r w:rsidR="00D24E68">
              <w:rPr>
                <w:noProof/>
                <w:webHidden/>
              </w:rPr>
              <w:t>63</w:t>
            </w:r>
            <w:r w:rsidR="005701FF">
              <w:rPr>
                <w:noProof/>
                <w:webHidden/>
              </w:rPr>
              <w:fldChar w:fldCharType="end"/>
            </w:r>
          </w:hyperlink>
        </w:p>
        <w:p w14:paraId="5B9721E4" w14:textId="38F11220" w:rsidR="005701FF" w:rsidRDefault="0071033B">
          <w:pPr>
            <w:pStyle w:val="Obsah2"/>
            <w:tabs>
              <w:tab w:val="right" w:leader="dot" w:pos="9060"/>
            </w:tabs>
            <w:rPr>
              <w:rFonts w:eastAsiaTheme="minorEastAsia"/>
              <w:smallCaps w:val="0"/>
              <w:noProof/>
              <w:sz w:val="22"/>
              <w:szCs w:val="22"/>
              <w:lang w:eastAsia="sk-SK"/>
            </w:rPr>
          </w:pPr>
          <w:hyperlink w:anchor="_Toc198637745" w:history="1">
            <w:r w:rsidR="005701FF" w:rsidRPr="00E92E1B">
              <w:rPr>
                <w:rStyle w:val="Hypertextovprepojenie"/>
                <w:rFonts w:eastAsia="Times New Roman"/>
                <w:noProof/>
                <w:lang w:eastAsia="sk-SK"/>
              </w:rPr>
              <w:t xml:space="preserve">6.2  </w:t>
            </w:r>
            <w:r w:rsidR="005701FF" w:rsidRPr="00E92E1B">
              <w:rPr>
                <w:rStyle w:val="Hypertextovprepojenie"/>
                <w:noProof/>
              </w:rPr>
              <w:t>Hospodárenie</w:t>
            </w:r>
            <w:r w:rsidR="005701FF" w:rsidRPr="00E92E1B">
              <w:rPr>
                <w:rStyle w:val="Hypertextovprepojenie"/>
                <w:rFonts w:eastAsia="Times New Roman"/>
                <w:noProof/>
                <w:lang w:eastAsia="sk-SK"/>
              </w:rPr>
              <w:t xml:space="preserve"> VÚC</w:t>
            </w:r>
            <w:r w:rsidR="005701FF">
              <w:rPr>
                <w:noProof/>
                <w:webHidden/>
              </w:rPr>
              <w:tab/>
            </w:r>
            <w:r w:rsidR="005701FF">
              <w:rPr>
                <w:noProof/>
                <w:webHidden/>
              </w:rPr>
              <w:fldChar w:fldCharType="begin"/>
            </w:r>
            <w:r w:rsidR="005701FF">
              <w:rPr>
                <w:noProof/>
                <w:webHidden/>
              </w:rPr>
              <w:instrText xml:space="preserve"> PAGEREF _Toc198637745 \h </w:instrText>
            </w:r>
            <w:r w:rsidR="005701FF">
              <w:rPr>
                <w:noProof/>
                <w:webHidden/>
              </w:rPr>
            </w:r>
            <w:r w:rsidR="005701FF">
              <w:rPr>
                <w:noProof/>
                <w:webHidden/>
              </w:rPr>
              <w:fldChar w:fldCharType="separate"/>
            </w:r>
            <w:r w:rsidR="00D24E68">
              <w:rPr>
                <w:noProof/>
                <w:webHidden/>
              </w:rPr>
              <w:t>65</w:t>
            </w:r>
            <w:r w:rsidR="005701FF">
              <w:rPr>
                <w:noProof/>
                <w:webHidden/>
              </w:rPr>
              <w:fldChar w:fldCharType="end"/>
            </w:r>
          </w:hyperlink>
        </w:p>
        <w:p w14:paraId="4FFC094F" w14:textId="2A54F3E6" w:rsidR="005701FF" w:rsidRDefault="0071033B">
          <w:pPr>
            <w:pStyle w:val="Obsah1"/>
            <w:rPr>
              <w:rFonts w:eastAsiaTheme="minorEastAsia"/>
              <w:b w:val="0"/>
              <w:bCs w:val="0"/>
              <w:caps w:val="0"/>
              <w:color w:val="auto"/>
              <w:sz w:val="22"/>
              <w:szCs w:val="22"/>
              <w:lang w:eastAsia="sk-SK"/>
            </w:rPr>
          </w:pPr>
          <w:hyperlink w:anchor="_Toc198637746" w:history="1">
            <w:r w:rsidR="005701FF" w:rsidRPr="00E92E1B">
              <w:rPr>
                <w:rStyle w:val="Hypertextovprepojenie"/>
              </w:rPr>
              <w:t>Tabuľková príloha</w:t>
            </w:r>
            <w:r w:rsidR="005701FF">
              <w:rPr>
                <w:webHidden/>
              </w:rPr>
              <w:tab/>
            </w:r>
            <w:r w:rsidR="005701FF">
              <w:rPr>
                <w:webHidden/>
              </w:rPr>
              <w:fldChar w:fldCharType="begin"/>
            </w:r>
            <w:r w:rsidR="005701FF">
              <w:rPr>
                <w:webHidden/>
              </w:rPr>
              <w:instrText xml:space="preserve"> PAGEREF _Toc198637746 \h </w:instrText>
            </w:r>
            <w:r w:rsidR="005701FF">
              <w:rPr>
                <w:webHidden/>
              </w:rPr>
            </w:r>
            <w:r w:rsidR="005701FF">
              <w:rPr>
                <w:webHidden/>
              </w:rPr>
              <w:fldChar w:fldCharType="separate"/>
            </w:r>
            <w:r w:rsidR="00D24E68">
              <w:rPr>
                <w:webHidden/>
              </w:rPr>
              <w:t>67</w:t>
            </w:r>
            <w:r w:rsidR="005701FF">
              <w:rPr>
                <w:webHidden/>
              </w:rPr>
              <w:fldChar w:fldCharType="end"/>
            </w:r>
          </w:hyperlink>
        </w:p>
        <w:p w14:paraId="6C6DFD81" w14:textId="07B318E0" w:rsidR="00846EB5" w:rsidRDefault="00A4647C" w:rsidP="004969F3">
          <w:pPr>
            <w:pStyle w:val="Obsah1"/>
          </w:pPr>
          <w:r w:rsidRPr="00F7397F">
            <w:rPr>
              <w:rFonts w:ascii="Segoe UI" w:hAnsi="Segoe UI" w:cs="Segoe UI"/>
              <w:caps w:val="0"/>
            </w:rPr>
            <w:lastRenderedPageBreak/>
            <w:fldChar w:fldCharType="end"/>
          </w:r>
        </w:p>
      </w:sdtContent>
    </w:sdt>
    <w:bookmarkStart w:id="1" w:name="_Toc53475706" w:displacedByCustomXml="prev"/>
    <w:p w14:paraId="083C7336" w14:textId="77777777" w:rsidR="00B15B9A" w:rsidRPr="004969F3" w:rsidRDefault="00B15B9A" w:rsidP="00B15B9A">
      <w:pPr>
        <w:rPr>
          <w:b/>
          <w:bCs/>
          <w:color w:val="314364" w:themeColor="text2"/>
          <w:sz w:val="22"/>
        </w:rPr>
      </w:pPr>
      <w:r w:rsidRPr="004969F3">
        <w:rPr>
          <w:b/>
          <w:color w:val="314364" w:themeColor="text2"/>
          <w:sz w:val="32"/>
        </w:rPr>
        <w:t>Zoznam skratiek</w:t>
      </w:r>
    </w:p>
    <w:tbl>
      <w:tblPr>
        <w:tblStyle w:val="Mriekatabuky"/>
        <w:tblW w:w="5628"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1112"/>
        <w:gridCol w:w="4698"/>
        <w:gridCol w:w="1101"/>
        <w:gridCol w:w="3298"/>
      </w:tblGrid>
      <w:tr w:rsidR="00B15B9A" w:rsidRPr="00B27577" w14:paraId="67ACBE3C" w14:textId="77777777" w:rsidTr="004A2F16">
        <w:trPr>
          <w:trHeight w:val="267"/>
          <w:jc w:val="center"/>
        </w:trPr>
        <w:tc>
          <w:tcPr>
            <w:tcW w:w="545" w:type="pct"/>
            <w:shd w:val="clear" w:color="auto" w:fill="auto"/>
          </w:tcPr>
          <w:p w14:paraId="121C8F06" w14:textId="77777777" w:rsidR="00B15B9A" w:rsidRPr="00E12B03" w:rsidRDefault="00B15B9A" w:rsidP="004A2F16">
            <w:pPr>
              <w:spacing w:after="0"/>
              <w:jc w:val="left"/>
              <w:rPr>
                <w:color w:val="314364" w:themeColor="text2"/>
                <w:sz w:val="18"/>
                <w:szCs w:val="18"/>
              </w:rPr>
            </w:pPr>
            <w:r>
              <w:rPr>
                <w:color w:val="314364" w:themeColor="text2"/>
                <w:sz w:val="18"/>
                <w:szCs w:val="18"/>
              </w:rPr>
              <w:t>ARDAL</w:t>
            </w:r>
          </w:p>
        </w:tc>
        <w:tc>
          <w:tcPr>
            <w:tcW w:w="2301" w:type="pct"/>
            <w:shd w:val="clear" w:color="auto" w:fill="auto"/>
          </w:tcPr>
          <w:p w14:paraId="6CA799B1" w14:textId="77777777" w:rsidR="00B15B9A" w:rsidRPr="00E12B03" w:rsidRDefault="00B15B9A" w:rsidP="004A2F16">
            <w:pPr>
              <w:spacing w:after="0"/>
              <w:ind w:right="299"/>
              <w:jc w:val="left"/>
              <w:rPr>
                <w:sz w:val="18"/>
                <w:szCs w:val="18"/>
              </w:rPr>
            </w:pPr>
            <w:r>
              <w:rPr>
                <w:sz w:val="18"/>
                <w:szCs w:val="18"/>
              </w:rPr>
              <w:t>Agentúra pre riadenie dlhu a likvidity</w:t>
            </w:r>
          </w:p>
        </w:tc>
        <w:tc>
          <w:tcPr>
            <w:tcW w:w="539" w:type="pct"/>
          </w:tcPr>
          <w:p w14:paraId="74C00433" w14:textId="77777777" w:rsidR="00B15B9A" w:rsidRPr="00B27577" w:rsidRDefault="00B15B9A" w:rsidP="004A2F16">
            <w:pPr>
              <w:spacing w:after="0"/>
              <w:jc w:val="left"/>
              <w:rPr>
                <w:sz w:val="18"/>
                <w:szCs w:val="18"/>
                <w:highlight w:val="yellow"/>
              </w:rPr>
            </w:pPr>
            <w:r>
              <w:rPr>
                <w:color w:val="314364" w:themeColor="text2"/>
                <w:sz w:val="18"/>
                <w:szCs w:val="18"/>
              </w:rPr>
              <w:t>PO</w:t>
            </w:r>
          </w:p>
        </w:tc>
        <w:tc>
          <w:tcPr>
            <w:tcW w:w="1615" w:type="pct"/>
          </w:tcPr>
          <w:p w14:paraId="056DFDC2" w14:textId="77777777" w:rsidR="00B15B9A" w:rsidRPr="00B27577" w:rsidRDefault="00B15B9A" w:rsidP="004A2F16">
            <w:pPr>
              <w:spacing w:after="0"/>
              <w:jc w:val="left"/>
              <w:rPr>
                <w:sz w:val="18"/>
                <w:szCs w:val="18"/>
                <w:highlight w:val="yellow"/>
              </w:rPr>
            </w:pPr>
            <w:r>
              <w:rPr>
                <w:sz w:val="18"/>
                <w:szCs w:val="18"/>
              </w:rPr>
              <w:t>programové obdobie</w:t>
            </w:r>
          </w:p>
        </w:tc>
      </w:tr>
      <w:tr w:rsidR="00B15B9A" w:rsidRPr="00B27577" w14:paraId="380A6DCF" w14:textId="77777777" w:rsidTr="004A2F16">
        <w:trPr>
          <w:trHeight w:val="267"/>
          <w:jc w:val="center"/>
        </w:trPr>
        <w:tc>
          <w:tcPr>
            <w:tcW w:w="545" w:type="pct"/>
            <w:shd w:val="clear" w:color="auto" w:fill="auto"/>
          </w:tcPr>
          <w:p w14:paraId="690AFDEE" w14:textId="77777777" w:rsidR="00B15B9A" w:rsidRDefault="00B15B9A" w:rsidP="004A2F16">
            <w:pPr>
              <w:spacing w:after="0"/>
              <w:jc w:val="left"/>
              <w:rPr>
                <w:color w:val="314364" w:themeColor="text2"/>
                <w:sz w:val="18"/>
                <w:szCs w:val="18"/>
              </w:rPr>
            </w:pPr>
            <w:r w:rsidRPr="00E12B03">
              <w:rPr>
                <w:color w:val="314364" w:themeColor="text2"/>
                <w:sz w:val="18"/>
                <w:szCs w:val="18"/>
              </w:rPr>
              <w:t>COVID-19</w:t>
            </w:r>
          </w:p>
        </w:tc>
        <w:tc>
          <w:tcPr>
            <w:tcW w:w="2301" w:type="pct"/>
            <w:shd w:val="clear" w:color="auto" w:fill="auto"/>
          </w:tcPr>
          <w:p w14:paraId="65BC7025" w14:textId="77777777" w:rsidR="00B15B9A" w:rsidRDefault="00B15B9A" w:rsidP="004A2F16">
            <w:pPr>
              <w:spacing w:after="0"/>
              <w:ind w:right="299"/>
              <w:jc w:val="left"/>
              <w:rPr>
                <w:sz w:val="18"/>
                <w:szCs w:val="18"/>
              </w:rPr>
            </w:pPr>
            <w:r w:rsidRPr="00E12B03">
              <w:rPr>
                <w:sz w:val="18"/>
                <w:szCs w:val="18"/>
              </w:rPr>
              <w:t xml:space="preserve">infekčné ochorenie vyvolané </w:t>
            </w:r>
            <w:proofErr w:type="spellStart"/>
            <w:r w:rsidRPr="00E12B03">
              <w:rPr>
                <w:sz w:val="18"/>
                <w:szCs w:val="18"/>
              </w:rPr>
              <w:t>koronavírusom</w:t>
            </w:r>
            <w:proofErr w:type="spellEnd"/>
            <w:r w:rsidRPr="00E12B03">
              <w:rPr>
                <w:sz w:val="18"/>
                <w:szCs w:val="18"/>
              </w:rPr>
              <w:t xml:space="preserve"> </w:t>
            </w:r>
            <w:r w:rsidRPr="00E12B03">
              <w:rPr>
                <w:sz w:val="18"/>
                <w:szCs w:val="18"/>
              </w:rPr>
              <w:br/>
              <w:t>SARS-CoV-2</w:t>
            </w:r>
          </w:p>
        </w:tc>
        <w:tc>
          <w:tcPr>
            <w:tcW w:w="539" w:type="pct"/>
          </w:tcPr>
          <w:p w14:paraId="09272FBC" w14:textId="77777777" w:rsidR="00B15B9A" w:rsidRPr="00A7310E" w:rsidRDefault="00B15B9A" w:rsidP="004A2F16">
            <w:pPr>
              <w:spacing w:after="0"/>
              <w:jc w:val="left"/>
              <w:rPr>
                <w:color w:val="314364" w:themeColor="text2"/>
                <w:sz w:val="18"/>
                <w:szCs w:val="18"/>
              </w:rPr>
            </w:pPr>
            <w:r w:rsidRPr="00E348B1">
              <w:rPr>
                <w:color w:val="314364" w:themeColor="text2"/>
                <w:sz w:val="18"/>
                <w:szCs w:val="18"/>
              </w:rPr>
              <w:t>POO</w:t>
            </w:r>
          </w:p>
        </w:tc>
        <w:tc>
          <w:tcPr>
            <w:tcW w:w="1615" w:type="pct"/>
          </w:tcPr>
          <w:p w14:paraId="3F5EEF2D" w14:textId="77777777" w:rsidR="00B15B9A" w:rsidRDefault="00B15B9A" w:rsidP="004A2F16">
            <w:pPr>
              <w:spacing w:after="0"/>
              <w:jc w:val="left"/>
              <w:rPr>
                <w:sz w:val="18"/>
                <w:szCs w:val="18"/>
              </w:rPr>
            </w:pPr>
            <w:r w:rsidRPr="00E348B1">
              <w:rPr>
                <w:sz w:val="18"/>
                <w:szCs w:val="18"/>
              </w:rPr>
              <w:t>Plán obnovy a odolnosti</w:t>
            </w:r>
          </w:p>
        </w:tc>
      </w:tr>
      <w:tr w:rsidR="00B15B9A" w:rsidRPr="00B27577" w14:paraId="59C5B27D" w14:textId="77777777" w:rsidTr="004A2F16">
        <w:trPr>
          <w:trHeight w:val="267"/>
          <w:jc w:val="center"/>
        </w:trPr>
        <w:tc>
          <w:tcPr>
            <w:tcW w:w="545" w:type="pct"/>
            <w:shd w:val="clear" w:color="auto" w:fill="auto"/>
          </w:tcPr>
          <w:p w14:paraId="03237D96" w14:textId="77777777" w:rsidR="00B15B9A" w:rsidRPr="00E12B03" w:rsidRDefault="00B15B9A" w:rsidP="004A2F16">
            <w:pPr>
              <w:spacing w:after="0"/>
              <w:jc w:val="left"/>
              <w:rPr>
                <w:color w:val="314364" w:themeColor="text2"/>
                <w:sz w:val="18"/>
                <w:szCs w:val="18"/>
              </w:rPr>
            </w:pPr>
            <w:r w:rsidRPr="00E12B03">
              <w:rPr>
                <w:color w:val="314364" w:themeColor="text2"/>
                <w:sz w:val="18"/>
                <w:szCs w:val="18"/>
              </w:rPr>
              <w:t>CVTI</w:t>
            </w:r>
          </w:p>
        </w:tc>
        <w:tc>
          <w:tcPr>
            <w:tcW w:w="2301" w:type="pct"/>
            <w:shd w:val="clear" w:color="auto" w:fill="auto"/>
          </w:tcPr>
          <w:p w14:paraId="03959FBD" w14:textId="77777777" w:rsidR="00B15B9A" w:rsidRPr="00E12B03" w:rsidRDefault="00B15B9A" w:rsidP="004A2F16">
            <w:pPr>
              <w:spacing w:after="0"/>
              <w:ind w:right="299"/>
              <w:jc w:val="left"/>
              <w:rPr>
                <w:sz w:val="18"/>
                <w:szCs w:val="18"/>
              </w:rPr>
            </w:pPr>
            <w:r w:rsidRPr="00E12B03">
              <w:rPr>
                <w:sz w:val="18"/>
                <w:szCs w:val="18"/>
              </w:rPr>
              <w:t>Centrum vedecko-technických informácií</w:t>
            </w:r>
          </w:p>
        </w:tc>
        <w:tc>
          <w:tcPr>
            <w:tcW w:w="539" w:type="pct"/>
          </w:tcPr>
          <w:p w14:paraId="1E1DCAA4" w14:textId="77777777" w:rsidR="00B15B9A" w:rsidRPr="0022251D" w:rsidRDefault="00B15B9A" w:rsidP="004A2F16">
            <w:pPr>
              <w:spacing w:after="0"/>
              <w:jc w:val="left"/>
              <w:rPr>
                <w:color w:val="314364" w:themeColor="text2"/>
                <w:sz w:val="18"/>
                <w:szCs w:val="18"/>
              </w:rPr>
            </w:pPr>
            <w:r w:rsidRPr="00523D20">
              <w:rPr>
                <w:color w:val="314364" w:themeColor="text2"/>
                <w:sz w:val="18"/>
                <w:szCs w:val="18"/>
              </w:rPr>
              <w:t>PSD</w:t>
            </w:r>
          </w:p>
        </w:tc>
        <w:tc>
          <w:tcPr>
            <w:tcW w:w="1615" w:type="pct"/>
          </w:tcPr>
          <w:p w14:paraId="77F3A9CA" w14:textId="77777777" w:rsidR="00B15B9A" w:rsidRPr="0022251D" w:rsidRDefault="00B15B9A" w:rsidP="004A2F16">
            <w:pPr>
              <w:spacing w:after="0"/>
              <w:jc w:val="left"/>
              <w:rPr>
                <w:sz w:val="18"/>
                <w:szCs w:val="18"/>
              </w:rPr>
            </w:pPr>
            <w:r>
              <w:rPr>
                <w:sz w:val="18"/>
                <w:szCs w:val="18"/>
              </w:rPr>
              <w:t>predčasný starobný dôchodok</w:t>
            </w:r>
          </w:p>
        </w:tc>
      </w:tr>
      <w:tr w:rsidR="00B15B9A" w:rsidRPr="00B27577" w14:paraId="0AAADF8F" w14:textId="77777777" w:rsidTr="004A2F16">
        <w:trPr>
          <w:trHeight w:val="267"/>
          <w:jc w:val="center"/>
        </w:trPr>
        <w:tc>
          <w:tcPr>
            <w:tcW w:w="545" w:type="pct"/>
            <w:shd w:val="clear" w:color="auto" w:fill="auto"/>
          </w:tcPr>
          <w:p w14:paraId="105D50A3" w14:textId="77777777" w:rsidR="00B15B9A" w:rsidRPr="00E12B03" w:rsidRDefault="00B15B9A" w:rsidP="004A2F16">
            <w:pPr>
              <w:spacing w:after="0"/>
              <w:jc w:val="left"/>
              <w:rPr>
                <w:color w:val="314364" w:themeColor="text2"/>
                <w:sz w:val="18"/>
                <w:szCs w:val="18"/>
              </w:rPr>
            </w:pPr>
            <w:r>
              <w:rPr>
                <w:color w:val="314364" w:themeColor="text2"/>
                <w:sz w:val="18"/>
                <w:szCs w:val="18"/>
              </w:rPr>
              <w:t>ČR</w:t>
            </w:r>
          </w:p>
        </w:tc>
        <w:tc>
          <w:tcPr>
            <w:tcW w:w="2301" w:type="pct"/>
            <w:shd w:val="clear" w:color="auto" w:fill="auto"/>
          </w:tcPr>
          <w:p w14:paraId="66EB2DEB" w14:textId="77777777" w:rsidR="00B15B9A" w:rsidRPr="00E12B03" w:rsidRDefault="00B15B9A" w:rsidP="004A2F16">
            <w:pPr>
              <w:spacing w:after="0"/>
              <w:ind w:right="299"/>
              <w:jc w:val="left"/>
              <w:rPr>
                <w:sz w:val="18"/>
                <w:szCs w:val="18"/>
              </w:rPr>
            </w:pPr>
            <w:r w:rsidRPr="00D16557">
              <w:rPr>
                <w:sz w:val="18"/>
                <w:szCs w:val="18"/>
              </w:rPr>
              <w:t>Česká republika</w:t>
            </w:r>
          </w:p>
        </w:tc>
        <w:tc>
          <w:tcPr>
            <w:tcW w:w="539" w:type="pct"/>
          </w:tcPr>
          <w:p w14:paraId="674D6CC1" w14:textId="77777777" w:rsidR="00B15B9A" w:rsidRPr="00523D20" w:rsidRDefault="00B15B9A" w:rsidP="004A2F16">
            <w:pPr>
              <w:spacing w:after="0"/>
              <w:jc w:val="left"/>
              <w:rPr>
                <w:color w:val="314364" w:themeColor="text2"/>
                <w:sz w:val="18"/>
                <w:szCs w:val="18"/>
              </w:rPr>
            </w:pPr>
            <w:r w:rsidRPr="00523D20">
              <w:rPr>
                <w:color w:val="314364" w:themeColor="text2"/>
                <w:sz w:val="18"/>
                <w:szCs w:val="18"/>
              </w:rPr>
              <w:t>PSD40+</w:t>
            </w:r>
          </w:p>
        </w:tc>
        <w:tc>
          <w:tcPr>
            <w:tcW w:w="1615" w:type="pct"/>
          </w:tcPr>
          <w:p w14:paraId="205226E5" w14:textId="77777777" w:rsidR="00B15B9A" w:rsidRDefault="00B15B9A" w:rsidP="004A2F16">
            <w:pPr>
              <w:spacing w:after="0"/>
              <w:jc w:val="left"/>
              <w:rPr>
                <w:sz w:val="18"/>
                <w:szCs w:val="18"/>
              </w:rPr>
            </w:pPr>
            <w:r>
              <w:rPr>
                <w:sz w:val="18"/>
                <w:szCs w:val="18"/>
              </w:rPr>
              <w:t>predčasný starobný dôchodok po odpracovaní 40 rokov</w:t>
            </w:r>
          </w:p>
        </w:tc>
      </w:tr>
      <w:tr w:rsidR="00B15B9A" w:rsidRPr="00B27577" w14:paraId="70258538" w14:textId="77777777" w:rsidTr="004A2F16">
        <w:trPr>
          <w:trHeight w:val="267"/>
          <w:jc w:val="center"/>
        </w:trPr>
        <w:tc>
          <w:tcPr>
            <w:tcW w:w="545" w:type="pct"/>
            <w:shd w:val="clear" w:color="auto" w:fill="auto"/>
          </w:tcPr>
          <w:p w14:paraId="584F258C" w14:textId="77777777" w:rsidR="00B15B9A" w:rsidRPr="00E12B03" w:rsidRDefault="00B15B9A" w:rsidP="004A2F16">
            <w:pPr>
              <w:spacing w:after="0"/>
              <w:jc w:val="left"/>
              <w:rPr>
                <w:color w:val="314364" w:themeColor="text2"/>
                <w:sz w:val="18"/>
                <w:szCs w:val="18"/>
              </w:rPr>
            </w:pPr>
            <w:r w:rsidRPr="00E12B03">
              <w:rPr>
                <w:color w:val="314364" w:themeColor="text2"/>
                <w:sz w:val="18"/>
                <w:szCs w:val="18"/>
              </w:rPr>
              <w:t>DPFO</w:t>
            </w:r>
          </w:p>
        </w:tc>
        <w:tc>
          <w:tcPr>
            <w:tcW w:w="2301" w:type="pct"/>
            <w:shd w:val="clear" w:color="auto" w:fill="auto"/>
          </w:tcPr>
          <w:p w14:paraId="6F605954" w14:textId="77777777" w:rsidR="00B15B9A" w:rsidRPr="00E12B03" w:rsidRDefault="00B15B9A" w:rsidP="004A2F16">
            <w:pPr>
              <w:spacing w:after="0"/>
              <w:ind w:right="299"/>
              <w:jc w:val="left"/>
              <w:rPr>
                <w:sz w:val="18"/>
                <w:szCs w:val="18"/>
              </w:rPr>
            </w:pPr>
            <w:r w:rsidRPr="00E12B03">
              <w:rPr>
                <w:sz w:val="18"/>
                <w:szCs w:val="18"/>
              </w:rPr>
              <w:t>daň z príjmov fyzických osôb</w:t>
            </w:r>
          </w:p>
        </w:tc>
        <w:tc>
          <w:tcPr>
            <w:tcW w:w="539" w:type="pct"/>
          </w:tcPr>
          <w:p w14:paraId="5E4FD3D0" w14:textId="77777777" w:rsidR="00B15B9A" w:rsidRPr="0022251D" w:rsidRDefault="00B15B9A" w:rsidP="004A2F16">
            <w:pPr>
              <w:spacing w:after="0"/>
              <w:jc w:val="left"/>
              <w:rPr>
                <w:color w:val="314364" w:themeColor="text2"/>
                <w:sz w:val="18"/>
                <w:szCs w:val="18"/>
              </w:rPr>
            </w:pPr>
            <w:r>
              <w:rPr>
                <w:color w:val="314364" w:themeColor="text2"/>
                <w:sz w:val="18"/>
                <w:szCs w:val="18"/>
              </w:rPr>
              <w:t>P SK</w:t>
            </w:r>
          </w:p>
        </w:tc>
        <w:tc>
          <w:tcPr>
            <w:tcW w:w="1615" w:type="pct"/>
          </w:tcPr>
          <w:p w14:paraId="377DCCC5" w14:textId="77777777" w:rsidR="00B15B9A" w:rsidRPr="0022251D" w:rsidRDefault="00B15B9A" w:rsidP="004A2F16">
            <w:pPr>
              <w:spacing w:after="0"/>
              <w:jc w:val="left"/>
              <w:rPr>
                <w:sz w:val="18"/>
                <w:szCs w:val="18"/>
              </w:rPr>
            </w:pPr>
            <w:r w:rsidRPr="00D16557">
              <w:rPr>
                <w:sz w:val="18"/>
                <w:szCs w:val="18"/>
              </w:rPr>
              <w:t>Program Slovensko</w:t>
            </w:r>
          </w:p>
        </w:tc>
      </w:tr>
      <w:tr w:rsidR="00B15B9A" w:rsidRPr="00B27577" w14:paraId="0F00213C" w14:textId="77777777" w:rsidTr="004A2F16">
        <w:trPr>
          <w:trHeight w:val="267"/>
          <w:jc w:val="center"/>
        </w:trPr>
        <w:tc>
          <w:tcPr>
            <w:tcW w:w="545" w:type="pct"/>
            <w:shd w:val="clear" w:color="auto" w:fill="auto"/>
          </w:tcPr>
          <w:p w14:paraId="6A74A582" w14:textId="77777777" w:rsidR="00B15B9A" w:rsidRPr="00E12B03" w:rsidRDefault="00B15B9A" w:rsidP="004A2F16">
            <w:pPr>
              <w:spacing w:after="0"/>
              <w:jc w:val="left"/>
              <w:rPr>
                <w:color w:val="314364" w:themeColor="text2"/>
                <w:sz w:val="18"/>
                <w:szCs w:val="18"/>
              </w:rPr>
            </w:pPr>
            <w:r w:rsidRPr="00E12B03">
              <w:rPr>
                <w:color w:val="314364" w:themeColor="text2"/>
                <w:sz w:val="18"/>
                <w:szCs w:val="18"/>
              </w:rPr>
              <w:t>DPPO</w:t>
            </w:r>
          </w:p>
        </w:tc>
        <w:tc>
          <w:tcPr>
            <w:tcW w:w="2301" w:type="pct"/>
            <w:shd w:val="clear" w:color="auto" w:fill="auto"/>
          </w:tcPr>
          <w:p w14:paraId="17FE6949" w14:textId="77777777" w:rsidR="00B15B9A" w:rsidRPr="00E12B03" w:rsidRDefault="00B15B9A" w:rsidP="004A2F16">
            <w:pPr>
              <w:spacing w:after="0"/>
              <w:ind w:right="299"/>
              <w:jc w:val="left"/>
              <w:rPr>
                <w:sz w:val="18"/>
                <w:szCs w:val="18"/>
              </w:rPr>
            </w:pPr>
            <w:r w:rsidRPr="00E12B03">
              <w:rPr>
                <w:sz w:val="18"/>
                <w:szCs w:val="18"/>
              </w:rPr>
              <w:t>daň z príjmov právnických osôb</w:t>
            </w:r>
          </w:p>
        </w:tc>
        <w:tc>
          <w:tcPr>
            <w:tcW w:w="539" w:type="pct"/>
          </w:tcPr>
          <w:p w14:paraId="1619CF11" w14:textId="77777777" w:rsidR="00B15B9A" w:rsidRPr="00E348B1" w:rsidRDefault="00B15B9A" w:rsidP="004A2F16">
            <w:pPr>
              <w:spacing w:after="0"/>
              <w:jc w:val="left"/>
              <w:rPr>
                <w:sz w:val="18"/>
                <w:szCs w:val="18"/>
              </w:rPr>
            </w:pPr>
            <w:r>
              <w:rPr>
                <w:color w:val="314364" w:themeColor="text2"/>
                <w:sz w:val="18"/>
                <w:szCs w:val="18"/>
              </w:rPr>
              <w:t>PVV</w:t>
            </w:r>
          </w:p>
        </w:tc>
        <w:tc>
          <w:tcPr>
            <w:tcW w:w="1615" w:type="pct"/>
          </w:tcPr>
          <w:p w14:paraId="772985D5" w14:textId="77777777" w:rsidR="00B15B9A" w:rsidRPr="00E348B1" w:rsidRDefault="00B15B9A" w:rsidP="004A2F16">
            <w:pPr>
              <w:spacing w:after="0"/>
              <w:jc w:val="left"/>
              <w:rPr>
                <w:sz w:val="18"/>
                <w:szCs w:val="18"/>
              </w:rPr>
            </w:pPr>
            <w:r>
              <w:rPr>
                <w:sz w:val="18"/>
                <w:szCs w:val="18"/>
              </w:rPr>
              <w:t>Programové vyhlásenie vlády</w:t>
            </w:r>
          </w:p>
        </w:tc>
      </w:tr>
      <w:tr w:rsidR="00B15B9A" w:rsidRPr="00B27577" w14:paraId="42CBC0D5" w14:textId="77777777" w:rsidTr="004A2F16">
        <w:trPr>
          <w:trHeight w:val="267"/>
          <w:jc w:val="center"/>
        </w:trPr>
        <w:tc>
          <w:tcPr>
            <w:tcW w:w="545" w:type="pct"/>
            <w:shd w:val="clear" w:color="auto" w:fill="auto"/>
          </w:tcPr>
          <w:p w14:paraId="1307C128" w14:textId="77777777" w:rsidR="00B15B9A" w:rsidRPr="00E12B03" w:rsidRDefault="00B15B9A" w:rsidP="004A2F16">
            <w:pPr>
              <w:spacing w:after="0"/>
              <w:jc w:val="left"/>
              <w:rPr>
                <w:color w:val="314364" w:themeColor="text2"/>
                <w:sz w:val="18"/>
                <w:szCs w:val="18"/>
              </w:rPr>
            </w:pPr>
            <w:r w:rsidRPr="00E12B03">
              <w:rPr>
                <w:color w:val="314364" w:themeColor="text2"/>
                <w:sz w:val="18"/>
                <w:szCs w:val="18"/>
              </w:rPr>
              <w:t>DPH</w:t>
            </w:r>
          </w:p>
        </w:tc>
        <w:tc>
          <w:tcPr>
            <w:tcW w:w="2301" w:type="pct"/>
            <w:shd w:val="clear" w:color="auto" w:fill="auto"/>
          </w:tcPr>
          <w:p w14:paraId="2B89E483" w14:textId="77777777" w:rsidR="00B15B9A" w:rsidRPr="00E12B03" w:rsidRDefault="00B15B9A" w:rsidP="004A2F16">
            <w:pPr>
              <w:spacing w:after="0"/>
              <w:ind w:right="299"/>
              <w:jc w:val="left"/>
              <w:rPr>
                <w:sz w:val="18"/>
                <w:szCs w:val="18"/>
              </w:rPr>
            </w:pPr>
            <w:r w:rsidRPr="00E12B03">
              <w:rPr>
                <w:sz w:val="18"/>
                <w:szCs w:val="18"/>
              </w:rPr>
              <w:t>daň z pridanej hodnoty</w:t>
            </w:r>
          </w:p>
        </w:tc>
        <w:tc>
          <w:tcPr>
            <w:tcW w:w="539" w:type="pct"/>
          </w:tcPr>
          <w:p w14:paraId="64104C48" w14:textId="77777777" w:rsidR="00B15B9A" w:rsidRPr="0022251D" w:rsidRDefault="00B15B9A" w:rsidP="004A2F16">
            <w:pPr>
              <w:spacing w:after="0"/>
              <w:jc w:val="left"/>
              <w:rPr>
                <w:color w:val="314364" w:themeColor="text2"/>
                <w:sz w:val="18"/>
                <w:szCs w:val="18"/>
              </w:rPr>
            </w:pPr>
            <w:r w:rsidRPr="00C87CB6">
              <w:rPr>
                <w:color w:val="314364" w:themeColor="text2"/>
                <w:sz w:val="18"/>
                <w:szCs w:val="18"/>
              </w:rPr>
              <w:t>R</w:t>
            </w:r>
          </w:p>
        </w:tc>
        <w:tc>
          <w:tcPr>
            <w:tcW w:w="1615" w:type="pct"/>
          </w:tcPr>
          <w:p w14:paraId="604B4610" w14:textId="77777777" w:rsidR="00B15B9A" w:rsidRPr="0022251D" w:rsidRDefault="00B15B9A" w:rsidP="004A2F16">
            <w:pPr>
              <w:spacing w:after="0"/>
              <w:jc w:val="left"/>
              <w:rPr>
                <w:sz w:val="18"/>
                <w:szCs w:val="18"/>
              </w:rPr>
            </w:pPr>
            <w:r w:rsidRPr="00C87CB6">
              <w:rPr>
                <w:sz w:val="18"/>
                <w:szCs w:val="18"/>
              </w:rPr>
              <w:t>rozpočet</w:t>
            </w:r>
          </w:p>
        </w:tc>
      </w:tr>
      <w:tr w:rsidR="00B15B9A" w:rsidRPr="00B27577" w14:paraId="1C3744A9" w14:textId="77777777" w:rsidTr="004A2F16">
        <w:trPr>
          <w:trHeight w:val="267"/>
          <w:jc w:val="center"/>
        </w:trPr>
        <w:tc>
          <w:tcPr>
            <w:tcW w:w="545" w:type="pct"/>
            <w:shd w:val="clear" w:color="auto" w:fill="auto"/>
          </w:tcPr>
          <w:p w14:paraId="1DB1903C" w14:textId="77777777" w:rsidR="00B15B9A" w:rsidRPr="00E12B03" w:rsidRDefault="00B15B9A" w:rsidP="004A2F16">
            <w:pPr>
              <w:spacing w:after="0"/>
              <w:jc w:val="left"/>
              <w:rPr>
                <w:color w:val="314364" w:themeColor="text2"/>
                <w:sz w:val="18"/>
                <w:szCs w:val="18"/>
              </w:rPr>
            </w:pPr>
            <w:r w:rsidRPr="0022251D">
              <w:rPr>
                <w:color w:val="314364" w:themeColor="text2"/>
                <w:sz w:val="18"/>
                <w:szCs w:val="18"/>
              </w:rPr>
              <w:t>EAO</w:t>
            </w:r>
          </w:p>
        </w:tc>
        <w:tc>
          <w:tcPr>
            <w:tcW w:w="2301" w:type="pct"/>
            <w:shd w:val="clear" w:color="auto" w:fill="auto"/>
          </w:tcPr>
          <w:p w14:paraId="3FF71401" w14:textId="77777777" w:rsidR="00B15B9A" w:rsidRPr="00E12B03" w:rsidRDefault="00B15B9A" w:rsidP="004A2F16">
            <w:pPr>
              <w:spacing w:after="0"/>
              <w:ind w:right="299"/>
              <w:jc w:val="left"/>
              <w:rPr>
                <w:sz w:val="18"/>
                <w:szCs w:val="18"/>
              </w:rPr>
            </w:pPr>
            <w:r w:rsidRPr="0022251D">
              <w:rPr>
                <w:sz w:val="18"/>
                <w:szCs w:val="18"/>
              </w:rPr>
              <w:t xml:space="preserve">ekonomicky aktívne </w:t>
            </w:r>
            <w:r>
              <w:rPr>
                <w:sz w:val="18"/>
                <w:szCs w:val="18"/>
              </w:rPr>
              <w:t>obyvateľstvo</w:t>
            </w:r>
          </w:p>
        </w:tc>
        <w:tc>
          <w:tcPr>
            <w:tcW w:w="539" w:type="pct"/>
          </w:tcPr>
          <w:p w14:paraId="04C74BC6" w14:textId="77777777" w:rsidR="00B15B9A" w:rsidRPr="00E348B1" w:rsidRDefault="00B15B9A" w:rsidP="004A2F16">
            <w:pPr>
              <w:spacing w:after="0"/>
              <w:jc w:val="left"/>
              <w:rPr>
                <w:sz w:val="18"/>
                <w:szCs w:val="18"/>
              </w:rPr>
            </w:pPr>
            <w:r w:rsidRPr="0022251D">
              <w:rPr>
                <w:color w:val="314364" w:themeColor="text2"/>
                <w:sz w:val="18"/>
                <w:szCs w:val="18"/>
              </w:rPr>
              <w:t>RIS</w:t>
            </w:r>
          </w:p>
        </w:tc>
        <w:tc>
          <w:tcPr>
            <w:tcW w:w="1615" w:type="pct"/>
          </w:tcPr>
          <w:p w14:paraId="6CB2A380" w14:textId="77777777" w:rsidR="00B15B9A" w:rsidRPr="00E348B1" w:rsidRDefault="00B15B9A" w:rsidP="004A2F16">
            <w:pPr>
              <w:spacing w:after="0"/>
              <w:jc w:val="left"/>
              <w:rPr>
                <w:sz w:val="18"/>
                <w:szCs w:val="18"/>
              </w:rPr>
            </w:pPr>
            <w:r w:rsidRPr="0022251D">
              <w:rPr>
                <w:sz w:val="18"/>
                <w:szCs w:val="18"/>
              </w:rPr>
              <w:t>Rozpočtový informačný systém</w:t>
            </w:r>
          </w:p>
        </w:tc>
      </w:tr>
      <w:tr w:rsidR="00B15B9A" w:rsidRPr="00B27577" w14:paraId="54C5B9A4" w14:textId="77777777" w:rsidTr="004A2F16">
        <w:trPr>
          <w:trHeight w:val="267"/>
          <w:jc w:val="center"/>
        </w:trPr>
        <w:tc>
          <w:tcPr>
            <w:tcW w:w="545" w:type="pct"/>
            <w:shd w:val="clear" w:color="auto" w:fill="auto"/>
          </w:tcPr>
          <w:p w14:paraId="0F51D540" w14:textId="77777777" w:rsidR="00B15B9A" w:rsidRPr="00E12B03" w:rsidRDefault="00B15B9A" w:rsidP="004A2F16">
            <w:pPr>
              <w:spacing w:after="0"/>
              <w:jc w:val="left"/>
              <w:rPr>
                <w:color w:val="314364" w:themeColor="text2"/>
                <w:sz w:val="18"/>
                <w:szCs w:val="18"/>
              </w:rPr>
            </w:pPr>
            <w:r w:rsidRPr="00091AF8">
              <w:rPr>
                <w:color w:val="314364" w:themeColor="text2"/>
                <w:sz w:val="18"/>
                <w:szCs w:val="18"/>
              </w:rPr>
              <w:t>EFSF</w:t>
            </w:r>
          </w:p>
        </w:tc>
        <w:tc>
          <w:tcPr>
            <w:tcW w:w="2301" w:type="pct"/>
            <w:shd w:val="clear" w:color="auto" w:fill="auto"/>
          </w:tcPr>
          <w:p w14:paraId="516EA129" w14:textId="77777777" w:rsidR="00B15B9A" w:rsidRPr="00E12B03" w:rsidRDefault="00B15B9A" w:rsidP="004A2F16">
            <w:pPr>
              <w:spacing w:after="0"/>
              <w:ind w:right="299"/>
              <w:jc w:val="left"/>
              <w:rPr>
                <w:sz w:val="18"/>
                <w:szCs w:val="18"/>
              </w:rPr>
            </w:pPr>
            <w:r w:rsidRPr="00091AF8">
              <w:rPr>
                <w:sz w:val="18"/>
                <w:szCs w:val="18"/>
              </w:rPr>
              <w:t>Európsky nástroj finančnej stability</w:t>
            </w:r>
          </w:p>
        </w:tc>
        <w:tc>
          <w:tcPr>
            <w:tcW w:w="539" w:type="pct"/>
          </w:tcPr>
          <w:p w14:paraId="1C29827B" w14:textId="77777777" w:rsidR="00B15B9A" w:rsidRPr="00C87CB6" w:rsidRDefault="00B15B9A" w:rsidP="004A2F16">
            <w:pPr>
              <w:spacing w:after="0"/>
              <w:jc w:val="left"/>
              <w:rPr>
                <w:sz w:val="18"/>
                <w:szCs w:val="18"/>
              </w:rPr>
            </w:pPr>
            <w:r w:rsidRPr="00E348B1">
              <w:rPr>
                <w:color w:val="314364" w:themeColor="text2"/>
                <w:sz w:val="18"/>
                <w:szCs w:val="18"/>
              </w:rPr>
              <w:t>RO</w:t>
            </w:r>
          </w:p>
        </w:tc>
        <w:tc>
          <w:tcPr>
            <w:tcW w:w="1615" w:type="pct"/>
          </w:tcPr>
          <w:p w14:paraId="7F7F6153" w14:textId="77777777" w:rsidR="00B15B9A" w:rsidRPr="00C87CB6" w:rsidRDefault="00B15B9A" w:rsidP="004A2F16">
            <w:pPr>
              <w:spacing w:after="0"/>
              <w:jc w:val="left"/>
              <w:rPr>
                <w:sz w:val="18"/>
                <w:szCs w:val="18"/>
              </w:rPr>
            </w:pPr>
            <w:r w:rsidRPr="00E348B1">
              <w:rPr>
                <w:sz w:val="18"/>
                <w:szCs w:val="18"/>
              </w:rPr>
              <w:t>rozpočtové opatrenie</w:t>
            </w:r>
          </w:p>
        </w:tc>
      </w:tr>
      <w:tr w:rsidR="00B15B9A" w:rsidRPr="00B27577" w14:paraId="5AA9FA46" w14:textId="77777777" w:rsidTr="004A2F16">
        <w:trPr>
          <w:trHeight w:val="267"/>
          <w:jc w:val="center"/>
        </w:trPr>
        <w:tc>
          <w:tcPr>
            <w:tcW w:w="545" w:type="pct"/>
            <w:shd w:val="clear" w:color="auto" w:fill="auto"/>
          </w:tcPr>
          <w:p w14:paraId="406FB899" w14:textId="77777777" w:rsidR="00B15B9A" w:rsidRPr="00B27577" w:rsidRDefault="00B15B9A" w:rsidP="004A2F16">
            <w:pPr>
              <w:spacing w:after="0"/>
              <w:jc w:val="left"/>
              <w:rPr>
                <w:color w:val="314364" w:themeColor="text2"/>
                <w:sz w:val="18"/>
                <w:szCs w:val="18"/>
                <w:highlight w:val="yellow"/>
              </w:rPr>
            </w:pPr>
            <w:r>
              <w:rPr>
                <w:color w:val="314364" w:themeColor="text2"/>
                <w:sz w:val="18"/>
                <w:szCs w:val="18"/>
              </w:rPr>
              <w:t>EK</w:t>
            </w:r>
          </w:p>
        </w:tc>
        <w:tc>
          <w:tcPr>
            <w:tcW w:w="2301" w:type="pct"/>
            <w:shd w:val="clear" w:color="auto" w:fill="auto"/>
          </w:tcPr>
          <w:p w14:paraId="19098E44" w14:textId="77777777" w:rsidR="00B15B9A" w:rsidRPr="00B27577" w:rsidRDefault="00B15B9A" w:rsidP="004A2F16">
            <w:pPr>
              <w:spacing w:after="0"/>
              <w:ind w:right="299"/>
              <w:jc w:val="left"/>
              <w:rPr>
                <w:sz w:val="18"/>
                <w:szCs w:val="18"/>
                <w:highlight w:val="yellow"/>
              </w:rPr>
            </w:pPr>
            <w:r>
              <w:rPr>
                <w:sz w:val="18"/>
                <w:szCs w:val="18"/>
              </w:rPr>
              <w:t>Európska komisia</w:t>
            </w:r>
          </w:p>
        </w:tc>
        <w:tc>
          <w:tcPr>
            <w:tcW w:w="539" w:type="pct"/>
          </w:tcPr>
          <w:p w14:paraId="1EA38186" w14:textId="77777777" w:rsidR="00B15B9A" w:rsidRPr="0022251D" w:rsidRDefault="00B15B9A" w:rsidP="004A2F16">
            <w:pPr>
              <w:spacing w:after="0"/>
              <w:jc w:val="left"/>
              <w:rPr>
                <w:sz w:val="18"/>
                <w:szCs w:val="18"/>
              </w:rPr>
            </w:pPr>
            <w:r>
              <w:rPr>
                <w:color w:val="314364" w:themeColor="text2"/>
                <w:sz w:val="18"/>
                <w:szCs w:val="18"/>
              </w:rPr>
              <w:t>RRZ</w:t>
            </w:r>
          </w:p>
        </w:tc>
        <w:tc>
          <w:tcPr>
            <w:tcW w:w="1615" w:type="pct"/>
          </w:tcPr>
          <w:p w14:paraId="01ACBBB7" w14:textId="77777777" w:rsidR="00B15B9A" w:rsidRPr="0022251D" w:rsidRDefault="00B15B9A" w:rsidP="004A2F16">
            <w:pPr>
              <w:spacing w:after="0"/>
              <w:jc w:val="left"/>
              <w:rPr>
                <w:sz w:val="18"/>
                <w:szCs w:val="18"/>
              </w:rPr>
            </w:pPr>
            <w:r>
              <w:rPr>
                <w:sz w:val="18"/>
                <w:szCs w:val="18"/>
              </w:rPr>
              <w:t>Rada pre rozpočtovú zodpovednosť</w:t>
            </w:r>
          </w:p>
        </w:tc>
      </w:tr>
      <w:tr w:rsidR="00B15B9A" w:rsidRPr="00B27577" w14:paraId="7591C5E4" w14:textId="77777777" w:rsidTr="004A2F16">
        <w:trPr>
          <w:trHeight w:val="267"/>
          <w:jc w:val="center"/>
        </w:trPr>
        <w:tc>
          <w:tcPr>
            <w:tcW w:w="545" w:type="pct"/>
            <w:shd w:val="clear" w:color="auto" w:fill="auto"/>
          </w:tcPr>
          <w:p w14:paraId="45F3425F" w14:textId="77777777" w:rsidR="00B15B9A" w:rsidRPr="00B27577" w:rsidRDefault="00B15B9A" w:rsidP="004A2F16">
            <w:pPr>
              <w:spacing w:after="0"/>
              <w:jc w:val="left"/>
              <w:rPr>
                <w:color w:val="314364" w:themeColor="text2"/>
                <w:sz w:val="18"/>
                <w:szCs w:val="18"/>
                <w:highlight w:val="yellow"/>
              </w:rPr>
            </w:pPr>
            <w:r w:rsidRPr="00091AF8">
              <w:rPr>
                <w:color w:val="314364" w:themeColor="text2"/>
                <w:sz w:val="18"/>
                <w:szCs w:val="18"/>
              </w:rPr>
              <w:t>EŠIF</w:t>
            </w:r>
          </w:p>
        </w:tc>
        <w:tc>
          <w:tcPr>
            <w:tcW w:w="2301" w:type="pct"/>
            <w:shd w:val="clear" w:color="auto" w:fill="auto"/>
          </w:tcPr>
          <w:p w14:paraId="2046196B" w14:textId="77777777" w:rsidR="00B15B9A" w:rsidRPr="00B27577" w:rsidRDefault="00B15B9A" w:rsidP="004A2F16">
            <w:pPr>
              <w:spacing w:after="0"/>
              <w:ind w:right="299"/>
              <w:jc w:val="left"/>
              <w:rPr>
                <w:sz w:val="18"/>
                <w:szCs w:val="18"/>
                <w:highlight w:val="yellow"/>
              </w:rPr>
            </w:pPr>
            <w:r w:rsidRPr="00091AF8">
              <w:rPr>
                <w:sz w:val="18"/>
                <w:szCs w:val="18"/>
              </w:rPr>
              <w:t>Európske štrukturálne a investičné fondy</w:t>
            </w:r>
          </w:p>
        </w:tc>
        <w:tc>
          <w:tcPr>
            <w:tcW w:w="539" w:type="pct"/>
          </w:tcPr>
          <w:p w14:paraId="3C49EEB8" w14:textId="77777777" w:rsidR="00B15B9A" w:rsidRPr="00E348B1" w:rsidRDefault="00B15B9A" w:rsidP="004A2F16">
            <w:pPr>
              <w:spacing w:after="0"/>
              <w:jc w:val="left"/>
              <w:rPr>
                <w:sz w:val="18"/>
                <w:szCs w:val="18"/>
              </w:rPr>
            </w:pPr>
            <w:r>
              <w:rPr>
                <w:color w:val="314364" w:themeColor="text2"/>
                <w:sz w:val="18"/>
                <w:szCs w:val="18"/>
              </w:rPr>
              <w:t>RVS</w:t>
            </w:r>
          </w:p>
        </w:tc>
        <w:tc>
          <w:tcPr>
            <w:tcW w:w="1615" w:type="pct"/>
          </w:tcPr>
          <w:p w14:paraId="7B57E24E" w14:textId="77777777" w:rsidR="00B15B9A" w:rsidRPr="00E348B1" w:rsidRDefault="00B15B9A" w:rsidP="004A2F16">
            <w:pPr>
              <w:spacing w:after="0"/>
              <w:jc w:val="left"/>
              <w:rPr>
                <w:sz w:val="18"/>
                <w:szCs w:val="18"/>
              </w:rPr>
            </w:pPr>
            <w:r>
              <w:rPr>
                <w:sz w:val="18"/>
                <w:szCs w:val="18"/>
              </w:rPr>
              <w:t>rozpočet verejnej správy</w:t>
            </w:r>
          </w:p>
        </w:tc>
      </w:tr>
      <w:tr w:rsidR="00B15B9A" w:rsidRPr="00B27577" w14:paraId="694D2C06" w14:textId="77777777" w:rsidTr="004A2F16">
        <w:trPr>
          <w:trHeight w:val="267"/>
          <w:jc w:val="center"/>
        </w:trPr>
        <w:tc>
          <w:tcPr>
            <w:tcW w:w="545" w:type="pct"/>
            <w:shd w:val="clear" w:color="auto" w:fill="auto"/>
          </w:tcPr>
          <w:p w14:paraId="7461A9E5" w14:textId="77777777" w:rsidR="00B15B9A" w:rsidRPr="0022251D" w:rsidRDefault="00B15B9A" w:rsidP="004A2F16">
            <w:pPr>
              <w:spacing w:after="0"/>
              <w:jc w:val="left"/>
              <w:rPr>
                <w:color w:val="314364" w:themeColor="text2"/>
                <w:sz w:val="18"/>
                <w:szCs w:val="18"/>
              </w:rPr>
            </w:pPr>
            <w:r w:rsidRPr="00E348B1">
              <w:rPr>
                <w:color w:val="314364" w:themeColor="text2"/>
                <w:sz w:val="18"/>
                <w:szCs w:val="18"/>
              </w:rPr>
              <w:t>EÚ</w:t>
            </w:r>
          </w:p>
        </w:tc>
        <w:tc>
          <w:tcPr>
            <w:tcW w:w="2301" w:type="pct"/>
            <w:shd w:val="clear" w:color="auto" w:fill="auto"/>
          </w:tcPr>
          <w:p w14:paraId="61BFAFF3" w14:textId="77777777" w:rsidR="00B15B9A" w:rsidRPr="0022251D" w:rsidRDefault="00B15B9A" w:rsidP="004A2F16">
            <w:pPr>
              <w:spacing w:after="0"/>
              <w:ind w:right="299"/>
              <w:jc w:val="left"/>
              <w:rPr>
                <w:sz w:val="18"/>
                <w:szCs w:val="18"/>
              </w:rPr>
            </w:pPr>
            <w:r w:rsidRPr="00E348B1">
              <w:rPr>
                <w:sz w:val="18"/>
                <w:szCs w:val="18"/>
              </w:rPr>
              <w:t>Európska únia</w:t>
            </w:r>
          </w:p>
        </w:tc>
        <w:tc>
          <w:tcPr>
            <w:tcW w:w="539" w:type="pct"/>
          </w:tcPr>
          <w:p w14:paraId="11CDDD90"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S</w:t>
            </w:r>
          </w:p>
        </w:tc>
        <w:tc>
          <w:tcPr>
            <w:tcW w:w="1615" w:type="pct"/>
          </w:tcPr>
          <w:p w14:paraId="21B9A073" w14:textId="77777777" w:rsidR="00B15B9A" w:rsidRPr="0022251D" w:rsidRDefault="00B15B9A" w:rsidP="004A2F16">
            <w:pPr>
              <w:spacing w:after="0"/>
              <w:jc w:val="left"/>
              <w:rPr>
                <w:sz w:val="18"/>
                <w:szCs w:val="18"/>
              </w:rPr>
            </w:pPr>
            <w:r w:rsidRPr="0022251D">
              <w:rPr>
                <w:sz w:val="18"/>
                <w:szCs w:val="18"/>
              </w:rPr>
              <w:t>skutočnosť</w:t>
            </w:r>
          </w:p>
        </w:tc>
      </w:tr>
      <w:tr w:rsidR="00B15B9A" w:rsidRPr="00B27577" w14:paraId="69792C40" w14:textId="77777777" w:rsidTr="004A2F16">
        <w:trPr>
          <w:trHeight w:val="267"/>
          <w:jc w:val="center"/>
        </w:trPr>
        <w:tc>
          <w:tcPr>
            <w:tcW w:w="545" w:type="pct"/>
            <w:shd w:val="clear" w:color="auto" w:fill="auto"/>
          </w:tcPr>
          <w:p w14:paraId="509ED0A0" w14:textId="77777777" w:rsidR="00B15B9A" w:rsidRPr="00091AF8" w:rsidRDefault="00B15B9A" w:rsidP="004A2F16">
            <w:pPr>
              <w:spacing w:after="0"/>
              <w:jc w:val="left"/>
              <w:rPr>
                <w:color w:val="314364" w:themeColor="text2"/>
                <w:sz w:val="18"/>
                <w:szCs w:val="18"/>
              </w:rPr>
            </w:pPr>
            <w:r w:rsidRPr="00091AF8">
              <w:rPr>
                <w:color w:val="314364" w:themeColor="text2"/>
                <w:sz w:val="18"/>
                <w:szCs w:val="18"/>
              </w:rPr>
              <w:t>HDP</w:t>
            </w:r>
          </w:p>
        </w:tc>
        <w:tc>
          <w:tcPr>
            <w:tcW w:w="2301" w:type="pct"/>
            <w:shd w:val="clear" w:color="auto" w:fill="auto"/>
          </w:tcPr>
          <w:p w14:paraId="77B659EC" w14:textId="77777777" w:rsidR="00B15B9A" w:rsidRPr="00091AF8" w:rsidRDefault="00B15B9A" w:rsidP="004A2F16">
            <w:pPr>
              <w:spacing w:after="0"/>
              <w:ind w:right="299"/>
              <w:jc w:val="left"/>
              <w:rPr>
                <w:sz w:val="18"/>
                <w:szCs w:val="18"/>
              </w:rPr>
            </w:pPr>
            <w:r w:rsidRPr="00091AF8">
              <w:rPr>
                <w:sz w:val="18"/>
                <w:szCs w:val="18"/>
              </w:rPr>
              <w:t>hrubý domáci produkt</w:t>
            </w:r>
          </w:p>
        </w:tc>
        <w:tc>
          <w:tcPr>
            <w:tcW w:w="539" w:type="pct"/>
          </w:tcPr>
          <w:p w14:paraId="29A49DBC" w14:textId="77777777" w:rsidR="00B15B9A" w:rsidRPr="00900559" w:rsidRDefault="00B15B9A" w:rsidP="004A2F16">
            <w:pPr>
              <w:spacing w:after="0"/>
              <w:jc w:val="left"/>
              <w:rPr>
                <w:sz w:val="18"/>
                <w:szCs w:val="18"/>
              </w:rPr>
            </w:pPr>
            <w:r w:rsidRPr="00900559">
              <w:rPr>
                <w:color w:val="314364" w:themeColor="text2"/>
                <w:sz w:val="18"/>
                <w:szCs w:val="18"/>
              </w:rPr>
              <w:t>SP</w:t>
            </w:r>
          </w:p>
        </w:tc>
        <w:tc>
          <w:tcPr>
            <w:tcW w:w="1615" w:type="pct"/>
          </w:tcPr>
          <w:p w14:paraId="2B43F776" w14:textId="77777777" w:rsidR="00B15B9A" w:rsidRPr="00900559" w:rsidRDefault="00B15B9A" w:rsidP="004A2F16">
            <w:pPr>
              <w:spacing w:after="0"/>
              <w:jc w:val="left"/>
              <w:rPr>
                <w:sz w:val="18"/>
                <w:szCs w:val="18"/>
              </w:rPr>
            </w:pPr>
            <w:r w:rsidRPr="00900559">
              <w:rPr>
                <w:sz w:val="18"/>
                <w:szCs w:val="18"/>
              </w:rPr>
              <w:t>Sociálna poisťovňa</w:t>
            </w:r>
          </w:p>
        </w:tc>
      </w:tr>
      <w:tr w:rsidR="00B15B9A" w:rsidRPr="00B27577" w14:paraId="0556C1DC" w14:textId="77777777" w:rsidTr="004A2F16">
        <w:trPr>
          <w:trHeight w:val="267"/>
          <w:jc w:val="center"/>
        </w:trPr>
        <w:tc>
          <w:tcPr>
            <w:tcW w:w="545" w:type="pct"/>
            <w:shd w:val="clear" w:color="auto" w:fill="auto"/>
          </w:tcPr>
          <w:p w14:paraId="68A390E7" w14:textId="77777777" w:rsidR="00B15B9A" w:rsidRPr="00091AF8" w:rsidRDefault="00B15B9A" w:rsidP="004A2F16">
            <w:pPr>
              <w:spacing w:after="0"/>
              <w:jc w:val="left"/>
              <w:rPr>
                <w:color w:val="314364" w:themeColor="text2"/>
                <w:sz w:val="18"/>
                <w:szCs w:val="18"/>
              </w:rPr>
            </w:pPr>
            <w:r>
              <w:rPr>
                <w:color w:val="314364" w:themeColor="text2"/>
                <w:sz w:val="18"/>
                <w:szCs w:val="18"/>
              </w:rPr>
              <w:t>LVV</w:t>
            </w:r>
          </w:p>
        </w:tc>
        <w:tc>
          <w:tcPr>
            <w:tcW w:w="2301" w:type="pct"/>
            <w:shd w:val="clear" w:color="auto" w:fill="auto"/>
          </w:tcPr>
          <w:p w14:paraId="65FADF35" w14:textId="77777777" w:rsidR="00B15B9A" w:rsidRPr="00091AF8" w:rsidRDefault="00B15B9A" w:rsidP="004A2F16">
            <w:pPr>
              <w:spacing w:after="0"/>
              <w:ind w:right="299"/>
              <w:jc w:val="left"/>
              <w:rPr>
                <w:sz w:val="18"/>
                <w:szCs w:val="18"/>
              </w:rPr>
            </w:pPr>
            <w:r>
              <w:rPr>
                <w:sz w:val="18"/>
                <w:szCs w:val="18"/>
              </w:rPr>
              <w:t>limit verejných výdavkov</w:t>
            </w:r>
          </w:p>
        </w:tc>
        <w:tc>
          <w:tcPr>
            <w:tcW w:w="539" w:type="pct"/>
          </w:tcPr>
          <w:p w14:paraId="6451E6AB" w14:textId="77777777" w:rsidR="00B15B9A" w:rsidRPr="00900559" w:rsidRDefault="00B15B9A" w:rsidP="004A2F16">
            <w:pPr>
              <w:spacing w:after="0"/>
              <w:jc w:val="left"/>
              <w:rPr>
                <w:sz w:val="18"/>
                <w:szCs w:val="18"/>
              </w:rPr>
            </w:pPr>
            <w:r>
              <w:rPr>
                <w:color w:val="314364" w:themeColor="text2"/>
                <w:sz w:val="18"/>
                <w:szCs w:val="18"/>
              </w:rPr>
              <w:t>SPP</w:t>
            </w:r>
          </w:p>
        </w:tc>
        <w:tc>
          <w:tcPr>
            <w:tcW w:w="1615" w:type="pct"/>
          </w:tcPr>
          <w:p w14:paraId="350B15F9" w14:textId="77777777" w:rsidR="00B15B9A" w:rsidRPr="00900559" w:rsidRDefault="00B15B9A" w:rsidP="004A2F16">
            <w:pPr>
              <w:spacing w:after="0"/>
              <w:jc w:val="left"/>
              <w:rPr>
                <w:sz w:val="18"/>
                <w:szCs w:val="18"/>
              </w:rPr>
            </w:pPr>
            <w:r>
              <w:rPr>
                <w:sz w:val="18"/>
                <w:szCs w:val="18"/>
              </w:rPr>
              <w:t>Slovenský plynárenský priemysel, a. s.</w:t>
            </w:r>
          </w:p>
        </w:tc>
      </w:tr>
      <w:tr w:rsidR="00B15B9A" w:rsidRPr="00B27577" w14:paraId="519E55EA" w14:textId="77777777" w:rsidTr="004A2F16">
        <w:trPr>
          <w:trHeight w:val="267"/>
          <w:jc w:val="center"/>
        </w:trPr>
        <w:tc>
          <w:tcPr>
            <w:tcW w:w="545" w:type="pct"/>
            <w:shd w:val="clear" w:color="auto" w:fill="auto"/>
          </w:tcPr>
          <w:p w14:paraId="6C57C493" w14:textId="77777777" w:rsidR="00B15B9A" w:rsidRPr="00B27577" w:rsidRDefault="00B15B9A" w:rsidP="004A2F16">
            <w:pPr>
              <w:spacing w:after="0"/>
              <w:jc w:val="left"/>
              <w:rPr>
                <w:color w:val="314364" w:themeColor="text2"/>
                <w:sz w:val="18"/>
                <w:szCs w:val="18"/>
                <w:highlight w:val="yellow"/>
              </w:rPr>
            </w:pPr>
            <w:r>
              <w:rPr>
                <w:color w:val="314364" w:themeColor="text2"/>
                <w:sz w:val="18"/>
                <w:szCs w:val="18"/>
              </w:rPr>
              <w:t>MCRŠ SR</w:t>
            </w:r>
          </w:p>
        </w:tc>
        <w:tc>
          <w:tcPr>
            <w:tcW w:w="2301" w:type="pct"/>
            <w:shd w:val="clear" w:color="auto" w:fill="auto"/>
          </w:tcPr>
          <w:p w14:paraId="7E1D2952" w14:textId="77777777" w:rsidR="00B15B9A" w:rsidRPr="00B27577" w:rsidRDefault="00B15B9A" w:rsidP="004A2F16">
            <w:pPr>
              <w:spacing w:after="0"/>
              <w:ind w:right="299"/>
              <w:jc w:val="left"/>
              <w:rPr>
                <w:sz w:val="18"/>
                <w:szCs w:val="18"/>
                <w:highlight w:val="yellow"/>
              </w:rPr>
            </w:pPr>
            <w:r w:rsidRPr="00607A4B">
              <w:rPr>
                <w:sz w:val="18"/>
                <w:szCs w:val="18"/>
              </w:rPr>
              <w:t>Ministerstvo cestovného ruchu a športu Slovenskej republiky</w:t>
            </w:r>
          </w:p>
        </w:tc>
        <w:tc>
          <w:tcPr>
            <w:tcW w:w="539" w:type="pct"/>
          </w:tcPr>
          <w:p w14:paraId="3FC71A9C" w14:textId="77777777" w:rsidR="00B15B9A" w:rsidRPr="00E348B1" w:rsidRDefault="00B15B9A" w:rsidP="004A2F16">
            <w:pPr>
              <w:spacing w:after="0"/>
              <w:jc w:val="left"/>
              <w:rPr>
                <w:sz w:val="18"/>
                <w:szCs w:val="18"/>
              </w:rPr>
            </w:pPr>
            <w:r w:rsidRPr="00E348B1">
              <w:rPr>
                <w:color w:val="314364" w:themeColor="text2"/>
                <w:sz w:val="18"/>
                <w:szCs w:val="18"/>
              </w:rPr>
              <w:t>SR</w:t>
            </w:r>
          </w:p>
        </w:tc>
        <w:tc>
          <w:tcPr>
            <w:tcW w:w="1615" w:type="pct"/>
          </w:tcPr>
          <w:p w14:paraId="5454BB32" w14:textId="77777777" w:rsidR="00B15B9A" w:rsidRPr="00E348B1" w:rsidRDefault="00B15B9A" w:rsidP="004A2F16">
            <w:pPr>
              <w:spacing w:after="0"/>
              <w:jc w:val="left"/>
              <w:rPr>
                <w:sz w:val="18"/>
                <w:szCs w:val="18"/>
              </w:rPr>
            </w:pPr>
            <w:r w:rsidRPr="00E348B1">
              <w:rPr>
                <w:sz w:val="18"/>
                <w:szCs w:val="18"/>
              </w:rPr>
              <w:t>Slovenská republika</w:t>
            </w:r>
          </w:p>
        </w:tc>
      </w:tr>
      <w:tr w:rsidR="00B15B9A" w:rsidRPr="00B27577" w14:paraId="74374F2E" w14:textId="77777777" w:rsidTr="004A2F16">
        <w:trPr>
          <w:trHeight w:val="267"/>
          <w:jc w:val="center"/>
        </w:trPr>
        <w:tc>
          <w:tcPr>
            <w:tcW w:w="545" w:type="pct"/>
            <w:shd w:val="clear" w:color="auto" w:fill="auto"/>
          </w:tcPr>
          <w:p w14:paraId="4252C94D" w14:textId="77777777" w:rsidR="00B15B9A" w:rsidRPr="00B27577" w:rsidRDefault="00B15B9A" w:rsidP="004A2F16">
            <w:pPr>
              <w:spacing w:after="0"/>
              <w:jc w:val="left"/>
              <w:rPr>
                <w:color w:val="314364" w:themeColor="text2"/>
                <w:sz w:val="18"/>
                <w:szCs w:val="18"/>
                <w:highlight w:val="yellow"/>
              </w:rPr>
            </w:pPr>
            <w:r w:rsidRPr="0022251D">
              <w:rPr>
                <w:color w:val="314364" w:themeColor="text2"/>
                <w:sz w:val="18"/>
                <w:szCs w:val="18"/>
              </w:rPr>
              <w:t>MD SR</w:t>
            </w:r>
          </w:p>
        </w:tc>
        <w:tc>
          <w:tcPr>
            <w:tcW w:w="2301" w:type="pct"/>
            <w:shd w:val="clear" w:color="auto" w:fill="auto"/>
          </w:tcPr>
          <w:p w14:paraId="7D0159E6" w14:textId="77777777" w:rsidR="00B15B9A" w:rsidRPr="00B27577" w:rsidRDefault="00B15B9A" w:rsidP="004A2F16">
            <w:pPr>
              <w:spacing w:after="0"/>
              <w:ind w:right="299"/>
              <w:jc w:val="left"/>
              <w:rPr>
                <w:sz w:val="18"/>
                <w:szCs w:val="18"/>
                <w:highlight w:val="yellow"/>
              </w:rPr>
            </w:pPr>
            <w:r w:rsidRPr="0022251D">
              <w:rPr>
                <w:sz w:val="18"/>
                <w:szCs w:val="18"/>
              </w:rPr>
              <w:t>Ministerstvo dopravy Slovenskej republiky</w:t>
            </w:r>
          </w:p>
        </w:tc>
        <w:tc>
          <w:tcPr>
            <w:tcW w:w="539" w:type="pct"/>
          </w:tcPr>
          <w:p w14:paraId="37E2BEF9" w14:textId="77777777" w:rsidR="00B15B9A" w:rsidRPr="0022251D" w:rsidRDefault="00B15B9A" w:rsidP="004A2F16">
            <w:pPr>
              <w:spacing w:after="0"/>
              <w:jc w:val="left"/>
              <w:rPr>
                <w:sz w:val="18"/>
                <w:szCs w:val="18"/>
              </w:rPr>
            </w:pPr>
            <w:r w:rsidRPr="0022251D">
              <w:rPr>
                <w:color w:val="314364" w:themeColor="text2"/>
                <w:sz w:val="18"/>
                <w:szCs w:val="18"/>
              </w:rPr>
              <w:t>SZČO</w:t>
            </w:r>
          </w:p>
        </w:tc>
        <w:tc>
          <w:tcPr>
            <w:tcW w:w="1615" w:type="pct"/>
          </w:tcPr>
          <w:p w14:paraId="10C51806" w14:textId="77777777" w:rsidR="00B15B9A" w:rsidRPr="0022251D" w:rsidRDefault="00B15B9A" w:rsidP="004A2F16">
            <w:pPr>
              <w:spacing w:after="0"/>
              <w:jc w:val="left"/>
              <w:rPr>
                <w:sz w:val="18"/>
                <w:szCs w:val="18"/>
              </w:rPr>
            </w:pPr>
            <w:r w:rsidRPr="0022251D">
              <w:rPr>
                <w:sz w:val="18"/>
                <w:szCs w:val="18"/>
              </w:rPr>
              <w:t>samostatne zárobkovo činná osoba</w:t>
            </w:r>
          </w:p>
        </w:tc>
      </w:tr>
      <w:tr w:rsidR="00B15B9A" w:rsidRPr="00B27577" w14:paraId="6AD79DD3" w14:textId="77777777" w:rsidTr="004A2F16">
        <w:trPr>
          <w:trHeight w:val="267"/>
          <w:jc w:val="center"/>
        </w:trPr>
        <w:tc>
          <w:tcPr>
            <w:tcW w:w="545" w:type="pct"/>
            <w:shd w:val="clear" w:color="auto" w:fill="auto"/>
          </w:tcPr>
          <w:p w14:paraId="08E58FF9" w14:textId="77777777" w:rsidR="00B15B9A" w:rsidRPr="00091AF8" w:rsidRDefault="00B15B9A" w:rsidP="004A2F16">
            <w:pPr>
              <w:spacing w:after="0"/>
              <w:jc w:val="left"/>
              <w:rPr>
                <w:color w:val="314364" w:themeColor="text2"/>
                <w:sz w:val="18"/>
                <w:szCs w:val="18"/>
              </w:rPr>
            </w:pPr>
            <w:r w:rsidRPr="0022251D">
              <w:rPr>
                <w:color w:val="314364" w:themeColor="text2"/>
                <w:sz w:val="18"/>
                <w:szCs w:val="18"/>
              </w:rPr>
              <w:t>MF SR</w:t>
            </w:r>
          </w:p>
        </w:tc>
        <w:tc>
          <w:tcPr>
            <w:tcW w:w="2301" w:type="pct"/>
            <w:shd w:val="clear" w:color="auto" w:fill="auto"/>
          </w:tcPr>
          <w:p w14:paraId="69D10B76" w14:textId="77777777" w:rsidR="00B15B9A" w:rsidRPr="00091AF8" w:rsidRDefault="00B15B9A" w:rsidP="004A2F16">
            <w:pPr>
              <w:spacing w:after="0"/>
              <w:ind w:right="299"/>
              <w:jc w:val="left"/>
              <w:rPr>
                <w:sz w:val="18"/>
                <w:szCs w:val="18"/>
              </w:rPr>
            </w:pPr>
            <w:r w:rsidRPr="0022251D">
              <w:rPr>
                <w:sz w:val="18"/>
                <w:szCs w:val="18"/>
              </w:rPr>
              <w:t>Ministerstvo financií Slovenskej republiky</w:t>
            </w:r>
          </w:p>
        </w:tc>
        <w:tc>
          <w:tcPr>
            <w:tcW w:w="539" w:type="pct"/>
          </w:tcPr>
          <w:p w14:paraId="13B19D10" w14:textId="77777777" w:rsidR="00B15B9A" w:rsidRPr="0022251D" w:rsidRDefault="00B15B9A" w:rsidP="004A2F16">
            <w:pPr>
              <w:spacing w:after="0"/>
              <w:jc w:val="left"/>
              <w:rPr>
                <w:sz w:val="18"/>
                <w:szCs w:val="18"/>
              </w:rPr>
            </w:pPr>
            <w:r w:rsidRPr="0022251D">
              <w:rPr>
                <w:color w:val="314364" w:themeColor="text2"/>
                <w:sz w:val="18"/>
                <w:szCs w:val="18"/>
              </w:rPr>
              <w:t>ŠFA</w:t>
            </w:r>
          </w:p>
        </w:tc>
        <w:tc>
          <w:tcPr>
            <w:tcW w:w="1615" w:type="pct"/>
          </w:tcPr>
          <w:p w14:paraId="1FE33792" w14:textId="77777777" w:rsidR="00B15B9A" w:rsidRPr="0022251D" w:rsidRDefault="00B15B9A" w:rsidP="004A2F16">
            <w:pPr>
              <w:spacing w:after="0"/>
              <w:jc w:val="left"/>
              <w:rPr>
                <w:sz w:val="18"/>
                <w:szCs w:val="18"/>
              </w:rPr>
            </w:pPr>
            <w:r w:rsidRPr="0022251D">
              <w:rPr>
                <w:sz w:val="18"/>
                <w:szCs w:val="18"/>
              </w:rPr>
              <w:t>štátne finančné aktíva</w:t>
            </w:r>
          </w:p>
        </w:tc>
      </w:tr>
      <w:tr w:rsidR="00B15B9A" w:rsidRPr="00B27577" w14:paraId="19E7676F" w14:textId="77777777" w:rsidTr="004A2F16">
        <w:trPr>
          <w:trHeight w:val="267"/>
          <w:jc w:val="center"/>
        </w:trPr>
        <w:tc>
          <w:tcPr>
            <w:tcW w:w="545" w:type="pct"/>
            <w:shd w:val="clear" w:color="auto" w:fill="auto"/>
          </w:tcPr>
          <w:p w14:paraId="6CCE93EC" w14:textId="77777777" w:rsidR="00B15B9A" w:rsidRPr="00E348B1" w:rsidRDefault="00B15B9A" w:rsidP="004A2F16">
            <w:pPr>
              <w:spacing w:after="0"/>
              <w:jc w:val="left"/>
              <w:rPr>
                <w:color w:val="314364" w:themeColor="text2"/>
                <w:sz w:val="18"/>
                <w:szCs w:val="18"/>
              </w:rPr>
            </w:pPr>
            <w:r w:rsidRPr="0022251D">
              <w:rPr>
                <w:color w:val="314364" w:themeColor="text2"/>
                <w:sz w:val="18"/>
                <w:szCs w:val="18"/>
              </w:rPr>
              <w:t>MH SR</w:t>
            </w:r>
          </w:p>
        </w:tc>
        <w:tc>
          <w:tcPr>
            <w:tcW w:w="2301" w:type="pct"/>
            <w:shd w:val="clear" w:color="auto" w:fill="auto"/>
          </w:tcPr>
          <w:p w14:paraId="4C0DB0B5" w14:textId="77777777" w:rsidR="00B15B9A" w:rsidRPr="00E348B1" w:rsidRDefault="00B15B9A" w:rsidP="004A2F16">
            <w:pPr>
              <w:spacing w:after="0"/>
              <w:ind w:right="299"/>
              <w:jc w:val="left"/>
              <w:rPr>
                <w:sz w:val="18"/>
                <w:szCs w:val="18"/>
              </w:rPr>
            </w:pPr>
            <w:r w:rsidRPr="0022251D">
              <w:rPr>
                <w:sz w:val="18"/>
                <w:szCs w:val="18"/>
              </w:rPr>
              <w:t>Ministerstvo hospodárstva Slovenskej republiky</w:t>
            </w:r>
          </w:p>
        </w:tc>
        <w:tc>
          <w:tcPr>
            <w:tcW w:w="539" w:type="pct"/>
          </w:tcPr>
          <w:p w14:paraId="4440DFDA" w14:textId="77777777" w:rsidR="00B15B9A" w:rsidRPr="0022251D" w:rsidRDefault="00B15B9A" w:rsidP="004A2F16">
            <w:pPr>
              <w:spacing w:after="0"/>
              <w:jc w:val="left"/>
              <w:rPr>
                <w:sz w:val="18"/>
                <w:szCs w:val="18"/>
              </w:rPr>
            </w:pPr>
            <w:r w:rsidRPr="0022251D">
              <w:rPr>
                <w:color w:val="314364" w:themeColor="text2"/>
                <w:sz w:val="18"/>
                <w:szCs w:val="18"/>
              </w:rPr>
              <w:t>ŠFRB</w:t>
            </w:r>
          </w:p>
        </w:tc>
        <w:tc>
          <w:tcPr>
            <w:tcW w:w="1615" w:type="pct"/>
          </w:tcPr>
          <w:p w14:paraId="07D88EB5" w14:textId="77777777" w:rsidR="00B15B9A" w:rsidRPr="0022251D" w:rsidRDefault="00B15B9A" w:rsidP="004A2F16">
            <w:pPr>
              <w:spacing w:after="0"/>
              <w:jc w:val="left"/>
              <w:rPr>
                <w:sz w:val="18"/>
                <w:szCs w:val="18"/>
              </w:rPr>
            </w:pPr>
            <w:r w:rsidRPr="0022251D">
              <w:rPr>
                <w:sz w:val="18"/>
                <w:szCs w:val="18"/>
              </w:rPr>
              <w:t>Štátny fond rozvoja bývania</w:t>
            </w:r>
          </w:p>
        </w:tc>
      </w:tr>
      <w:tr w:rsidR="00B15B9A" w:rsidRPr="00B27577" w14:paraId="01636EE0" w14:textId="77777777" w:rsidTr="004A2F16">
        <w:trPr>
          <w:trHeight w:val="267"/>
          <w:jc w:val="center"/>
        </w:trPr>
        <w:tc>
          <w:tcPr>
            <w:tcW w:w="545" w:type="pct"/>
            <w:shd w:val="clear" w:color="auto" w:fill="auto"/>
          </w:tcPr>
          <w:p w14:paraId="5D77D135" w14:textId="77777777" w:rsidR="00B15B9A" w:rsidRPr="00091AF8" w:rsidRDefault="00B15B9A" w:rsidP="004A2F16">
            <w:pPr>
              <w:spacing w:after="0"/>
              <w:jc w:val="left"/>
              <w:rPr>
                <w:color w:val="314364" w:themeColor="text2"/>
                <w:sz w:val="18"/>
                <w:szCs w:val="18"/>
              </w:rPr>
            </w:pPr>
            <w:r w:rsidRPr="0022251D">
              <w:rPr>
                <w:color w:val="314364" w:themeColor="text2"/>
                <w:sz w:val="18"/>
                <w:szCs w:val="18"/>
              </w:rPr>
              <w:t>MIRRI SR</w:t>
            </w:r>
          </w:p>
        </w:tc>
        <w:tc>
          <w:tcPr>
            <w:tcW w:w="2301" w:type="pct"/>
            <w:shd w:val="clear" w:color="auto" w:fill="auto"/>
          </w:tcPr>
          <w:p w14:paraId="58A1CDD2" w14:textId="77777777" w:rsidR="00B15B9A" w:rsidRPr="00091AF8" w:rsidRDefault="00B15B9A" w:rsidP="004A2F16">
            <w:pPr>
              <w:spacing w:after="0"/>
              <w:ind w:right="299"/>
              <w:jc w:val="left"/>
              <w:rPr>
                <w:sz w:val="18"/>
                <w:szCs w:val="18"/>
              </w:rPr>
            </w:pPr>
            <w:r w:rsidRPr="0022251D">
              <w:rPr>
                <w:sz w:val="18"/>
                <w:szCs w:val="18"/>
              </w:rPr>
              <w:t>Ministerstvo investícií, regionálneho rozvoja a informatizácie Slovenskej republiky</w:t>
            </w:r>
          </w:p>
        </w:tc>
        <w:tc>
          <w:tcPr>
            <w:tcW w:w="539" w:type="pct"/>
          </w:tcPr>
          <w:p w14:paraId="5261DCE3"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ŠR</w:t>
            </w:r>
          </w:p>
        </w:tc>
        <w:tc>
          <w:tcPr>
            <w:tcW w:w="1615" w:type="pct"/>
          </w:tcPr>
          <w:p w14:paraId="0F63C403" w14:textId="77777777" w:rsidR="00B15B9A" w:rsidRPr="0022251D" w:rsidRDefault="00B15B9A" w:rsidP="004A2F16">
            <w:pPr>
              <w:spacing w:after="0"/>
              <w:jc w:val="left"/>
              <w:rPr>
                <w:sz w:val="18"/>
                <w:szCs w:val="18"/>
              </w:rPr>
            </w:pPr>
            <w:r w:rsidRPr="0022251D">
              <w:rPr>
                <w:sz w:val="18"/>
                <w:szCs w:val="18"/>
              </w:rPr>
              <w:t>štátny rozpočet</w:t>
            </w:r>
          </w:p>
        </w:tc>
      </w:tr>
      <w:tr w:rsidR="00B15B9A" w:rsidRPr="00B27577" w14:paraId="08BD663D" w14:textId="77777777" w:rsidTr="004A2F16">
        <w:trPr>
          <w:trHeight w:val="267"/>
          <w:jc w:val="center"/>
        </w:trPr>
        <w:tc>
          <w:tcPr>
            <w:tcW w:w="545" w:type="pct"/>
            <w:shd w:val="clear" w:color="auto" w:fill="auto"/>
          </w:tcPr>
          <w:p w14:paraId="5EA13B4C" w14:textId="77777777" w:rsidR="00B15B9A" w:rsidRPr="00B27577" w:rsidRDefault="00B15B9A" w:rsidP="004A2F16">
            <w:pPr>
              <w:spacing w:after="0"/>
              <w:jc w:val="left"/>
              <w:rPr>
                <w:color w:val="314364" w:themeColor="text2"/>
                <w:sz w:val="18"/>
                <w:szCs w:val="18"/>
                <w:highlight w:val="yellow"/>
              </w:rPr>
            </w:pPr>
            <w:r w:rsidRPr="0022251D">
              <w:rPr>
                <w:color w:val="314364" w:themeColor="text2"/>
                <w:sz w:val="18"/>
                <w:szCs w:val="18"/>
              </w:rPr>
              <w:t>MK SR</w:t>
            </w:r>
          </w:p>
        </w:tc>
        <w:tc>
          <w:tcPr>
            <w:tcW w:w="2301" w:type="pct"/>
            <w:shd w:val="clear" w:color="auto" w:fill="auto"/>
          </w:tcPr>
          <w:p w14:paraId="6A6CCE17" w14:textId="48AC6D8A" w:rsidR="00B15B9A" w:rsidRPr="00B27577" w:rsidRDefault="00B15B9A" w:rsidP="004A2F16">
            <w:pPr>
              <w:spacing w:after="0"/>
              <w:ind w:right="299"/>
              <w:jc w:val="left"/>
              <w:rPr>
                <w:sz w:val="18"/>
                <w:szCs w:val="18"/>
                <w:highlight w:val="yellow"/>
              </w:rPr>
            </w:pPr>
            <w:r w:rsidRPr="0022251D">
              <w:rPr>
                <w:sz w:val="18"/>
                <w:szCs w:val="18"/>
              </w:rPr>
              <w:t>Ministerstvo kultúry Slovenskej rep</w:t>
            </w:r>
            <w:r w:rsidR="00DE5CDC">
              <w:rPr>
                <w:sz w:val="18"/>
                <w:szCs w:val="18"/>
              </w:rPr>
              <w:t>ub</w:t>
            </w:r>
            <w:r w:rsidRPr="0022251D">
              <w:rPr>
                <w:sz w:val="18"/>
                <w:szCs w:val="18"/>
              </w:rPr>
              <w:t>liky</w:t>
            </w:r>
          </w:p>
        </w:tc>
        <w:tc>
          <w:tcPr>
            <w:tcW w:w="539" w:type="pct"/>
          </w:tcPr>
          <w:p w14:paraId="6B2B3AD8" w14:textId="77777777" w:rsidR="00B15B9A" w:rsidRPr="0022251D" w:rsidRDefault="00B15B9A" w:rsidP="004A2F16">
            <w:pPr>
              <w:spacing w:after="0"/>
              <w:jc w:val="left"/>
              <w:rPr>
                <w:sz w:val="18"/>
                <w:szCs w:val="18"/>
              </w:rPr>
            </w:pPr>
            <w:r w:rsidRPr="0022251D">
              <w:rPr>
                <w:color w:val="314364" w:themeColor="text2"/>
                <w:sz w:val="18"/>
                <w:szCs w:val="18"/>
              </w:rPr>
              <w:t>ŠÚ SR</w:t>
            </w:r>
          </w:p>
        </w:tc>
        <w:tc>
          <w:tcPr>
            <w:tcW w:w="1615" w:type="pct"/>
          </w:tcPr>
          <w:p w14:paraId="747D5F49" w14:textId="77777777" w:rsidR="00B15B9A" w:rsidRPr="0022251D" w:rsidRDefault="00B15B9A" w:rsidP="004A2F16">
            <w:pPr>
              <w:spacing w:after="0"/>
              <w:jc w:val="left"/>
              <w:rPr>
                <w:sz w:val="18"/>
                <w:szCs w:val="18"/>
              </w:rPr>
            </w:pPr>
            <w:r w:rsidRPr="0022251D">
              <w:rPr>
                <w:sz w:val="18"/>
                <w:szCs w:val="18"/>
              </w:rPr>
              <w:t>Štatistický úrad Slovenskej republiky</w:t>
            </w:r>
          </w:p>
        </w:tc>
      </w:tr>
      <w:tr w:rsidR="00B15B9A" w:rsidRPr="00B27577" w14:paraId="55369F5B" w14:textId="77777777" w:rsidTr="004A2F16">
        <w:trPr>
          <w:trHeight w:val="267"/>
          <w:jc w:val="center"/>
        </w:trPr>
        <w:tc>
          <w:tcPr>
            <w:tcW w:w="545" w:type="pct"/>
            <w:shd w:val="clear" w:color="auto" w:fill="auto"/>
          </w:tcPr>
          <w:p w14:paraId="6507E93B" w14:textId="77777777" w:rsidR="00B15B9A" w:rsidRPr="00B27577" w:rsidRDefault="00B15B9A" w:rsidP="004A2F16">
            <w:pPr>
              <w:spacing w:after="0"/>
              <w:jc w:val="left"/>
              <w:rPr>
                <w:color w:val="314364" w:themeColor="text2"/>
                <w:sz w:val="18"/>
                <w:szCs w:val="18"/>
                <w:highlight w:val="yellow"/>
              </w:rPr>
            </w:pPr>
            <w:r w:rsidRPr="0022251D">
              <w:rPr>
                <w:color w:val="314364" w:themeColor="text2"/>
                <w:sz w:val="18"/>
                <w:szCs w:val="18"/>
              </w:rPr>
              <w:t>MO SR</w:t>
            </w:r>
          </w:p>
        </w:tc>
        <w:tc>
          <w:tcPr>
            <w:tcW w:w="2301" w:type="pct"/>
            <w:shd w:val="clear" w:color="auto" w:fill="auto"/>
          </w:tcPr>
          <w:p w14:paraId="7B8B69AD" w14:textId="77777777" w:rsidR="00B15B9A" w:rsidRPr="00B27577" w:rsidRDefault="00B15B9A" w:rsidP="004A2F16">
            <w:pPr>
              <w:spacing w:after="0"/>
              <w:ind w:right="299"/>
              <w:jc w:val="left"/>
              <w:rPr>
                <w:sz w:val="18"/>
                <w:szCs w:val="18"/>
                <w:highlight w:val="yellow"/>
              </w:rPr>
            </w:pPr>
            <w:r w:rsidRPr="0022251D">
              <w:rPr>
                <w:sz w:val="18"/>
                <w:szCs w:val="18"/>
              </w:rPr>
              <w:t>Ministerstvo obrany Slovenskej republiky</w:t>
            </w:r>
          </w:p>
        </w:tc>
        <w:tc>
          <w:tcPr>
            <w:tcW w:w="539" w:type="pct"/>
          </w:tcPr>
          <w:p w14:paraId="2E620B9C" w14:textId="77777777" w:rsidR="00B15B9A" w:rsidRPr="0022251D" w:rsidRDefault="00B15B9A" w:rsidP="004A2F16">
            <w:pPr>
              <w:spacing w:after="0"/>
              <w:jc w:val="left"/>
              <w:rPr>
                <w:color w:val="314364" w:themeColor="text2"/>
                <w:sz w:val="18"/>
                <w:szCs w:val="18"/>
              </w:rPr>
            </w:pPr>
            <w:r w:rsidRPr="00E348B1">
              <w:rPr>
                <w:color w:val="314364" w:themeColor="text2"/>
                <w:sz w:val="18"/>
                <w:szCs w:val="18"/>
              </w:rPr>
              <w:t>ŠZÚ</w:t>
            </w:r>
          </w:p>
        </w:tc>
        <w:tc>
          <w:tcPr>
            <w:tcW w:w="1615" w:type="pct"/>
          </w:tcPr>
          <w:p w14:paraId="02641998" w14:textId="77777777" w:rsidR="00B15B9A" w:rsidRPr="0022251D" w:rsidRDefault="00B15B9A" w:rsidP="004A2F16">
            <w:pPr>
              <w:spacing w:after="0"/>
              <w:jc w:val="left"/>
              <w:rPr>
                <w:sz w:val="18"/>
                <w:szCs w:val="18"/>
              </w:rPr>
            </w:pPr>
            <w:r w:rsidRPr="00E348B1">
              <w:rPr>
                <w:sz w:val="18"/>
                <w:szCs w:val="18"/>
              </w:rPr>
              <w:t>štátny záverečný účet</w:t>
            </w:r>
          </w:p>
        </w:tc>
      </w:tr>
      <w:tr w:rsidR="00B15B9A" w:rsidRPr="00B27577" w14:paraId="3F62827D" w14:textId="77777777" w:rsidTr="004A2F16">
        <w:trPr>
          <w:trHeight w:val="267"/>
          <w:jc w:val="center"/>
        </w:trPr>
        <w:tc>
          <w:tcPr>
            <w:tcW w:w="545" w:type="pct"/>
            <w:shd w:val="clear" w:color="auto" w:fill="auto"/>
          </w:tcPr>
          <w:p w14:paraId="2B8C3650" w14:textId="77777777" w:rsidR="00B15B9A" w:rsidRPr="00091AF8" w:rsidRDefault="00B15B9A" w:rsidP="004A2F16">
            <w:pPr>
              <w:spacing w:after="0"/>
              <w:jc w:val="left"/>
              <w:rPr>
                <w:color w:val="314364" w:themeColor="text2"/>
                <w:sz w:val="18"/>
                <w:szCs w:val="18"/>
              </w:rPr>
            </w:pPr>
            <w:r w:rsidRPr="0022251D">
              <w:rPr>
                <w:color w:val="314364" w:themeColor="text2"/>
                <w:sz w:val="18"/>
                <w:szCs w:val="18"/>
              </w:rPr>
              <w:t>MPRV SR</w:t>
            </w:r>
          </w:p>
        </w:tc>
        <w:tc>
          <w:tcPr>
            <w:tcW w:w="2301" w:type="pct"/>
            <w:shd w:val="clear" w:color="auto" w:fill="auto"/>
          </w:tcPr>
          <w:p w14:paraId="3D0C53C9" w14:textId="77777777" w:rsidR="00B15B9A" w:rsidRPr="00091AF8" w:rsidRDefault="00B15B9A" w:rsidP="004A2F16">
            <w:pPr>
              <w:spacing w:after="0"/>
              <w:ind w:right="299"/>
              <w:jc w:val="left"/>
              <w:rPr>
                <w:sz w:val="18"/>
                <w:szCs w:val="18"/>
              </w:rPr>
            </w:pPr>
            <w:r w:rsidRPr="0022251D">
              <w:rPr>
                <w:sz w:val="18"/>
                <w:szCs w:val="18"/>
              </w:rPr>
              <w:t>Ministerstvo pôdohospodárstva a rozvoja vidieka Slovenskej republiky</w:t>
            </w:r>
          </w:p>
        </w:tc>
        <w:tc>
          <w:tcPr>
            <w:tcW w:w="539" w:type="pct"/>
          </w:tcPr>
          <w:p w14:paraId="1CF70CC1" w14:textId="77777777" w:rsidR="00B15B9A" w:rsidRPr="00E348B1" w:rsidRDefault="00B15B9A" w:rsidP="004A2F16">
            <w:pPr>
              <w:spacing w:after="0"/>
              <w:jc w:val="left"/>
              <w:rPr>
                <w:sz w:val="18"/>
                <w:szCs w:val="18"/>
              </w:rPr>
            </w:pPr>
            <w:r w:rsidRPr="00FF266A">
              <w:rPr>
                <w:color w:val="314364" w:themeColor="text2"/>
                <w:sz w:val="18"/>
                <w:szCs w:val="18"/>
              </w:rPr>
              <w:t>ÚDZS</w:t>
            </w:r>
          </w:p>
        </w:tc>
        <w:tc>
          <w:tcPr>
            <w:tcW w:w="1615" w:type="pct"/>
          </w:tcPr>
          <w:p w14:paraId="4CB10D92" w14:textId="77777777" w:rsidR="00B15B9A" w:rsidRPr="00E348B1" w:rsidRDefault="00B15B9A" w:rsidP="004A2F16">
            <w:pPr>
              <w:spacing w:after="0"/>
              <w:jc w:val="left"/>
              <w:rPr>
                <w:sz w:val="18"/>
                <w:szCs w:val="18"/>
              </w:rPr>
            </w:pPr>
            <w:r w:rsidRPr="00FF266A">
              <w:rPr>
                <w:sz w:val="18"/>
                <w:szCs w:val="18"/>
              </w:rPr>
              <w:t>Úrad pre dohľad nad zdravotnou starostlivosťou</w:t>
            </w:r>
          </w:p>
        </w:tc>
      </w:tr>
      <w:tr w:rsidR="00B15B9A" w:rsidRPr="00B27577" w14:paraId="626D6F0F" w14:textId="77777777" w:rsidTr="004A2F16">
        <w:trPr>
          <w:trHeight w:val="267"/>
          <w:jc w:val="center"/>
        </w:trPr>
        <w:tc>
          <w:tcPr>
            <w:tcW w:w="545" w:type="pct"/>
            <w:shd w:val="clear" w:color="auto" w:fill="auto"/>
          </w:tcPr>
          <w:p w14:paraId="4134D731"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MPSVR SR</w:t>
            </w:r>
          </w:p>
        </w:tc>
        <w:tc>
          <w:tcPr>
            <w:tcW w:w="2301" w:type="pct"/>
            <w:shd w:val="clear" w:color="auto" w:fill="auto"/>
          </w:tcPr>
          <w:p w14:paraId="23304E37" w14:textId="77777777" w:rsidR="00B15B9A" w:rsidRPr="0022251D" w:rsidRDefault="00B15B9A" w:rsidP="004A2F16">
            <w:pPr>
              <w:spacing w:after="0"/>
              <w:ind w:right="299"/>
              <w:jc w:val="left"/>
              <w:rPr>
                <w:sz w:val="18"/>
                <w:szCs w:val="18"/>
              </w:rPr>
            </w:pPr>
            <w:r w:rsidRPr="0022251D">
              <w:rPr>
                <w:sz w:val="18"/>
                <w:szCs w:val="18"/>
              </w:rPr>
              <w:t>Ministerstvo práce, sociálnych vecí a rodiny Slovenskej republiky</w:t>
            </w:r>
          </w:p>
        </w:tc>
        <w:tc>
          <w:tcPr>
            <w:tcW w:w="539" w:type="pct"/>
          </w:tcPr>
          <w:p w14:paraId="0F355E8A" w14:textId="77777777" w:rsidR="00B15B9A" w:rsidRPr="0022251D" w:rsidRDefault="00B15B9A" w:rsidP="004A2F16">
            <w:pPr>
              <w:spacing w:after="0"/>
              <w:jc w:val="left"/>
              <w:rPr>
                <w:sz w:val="18"/>
                <w:szCs w:val="18"/>
              </w:rPr>
            </w:pPr>
            <w:r w:rsidRPr="0022251D">
              <w:rPr>
                <w:color w:val="314364" w:themeColor="text2"/>
                <w:sz w:val="18"/>
                <w:szCs w:val="18"/>
              </w:rPr>
              <w:t>ÚHP</w:t>
            </w:r>
          </w:p>
        </w:tc>
        <w:tc>
          <w:tcPr>
            <w:tcW w:w="1615" w:type="pct"/>
          </w:tcPr>
          <w:p w14:paraId="0D787D59" w14:textId="77777777" w:rsidR="00B15B9A" w:rsidRPr="0022251D" w:rsidRDefault="00B15B9A" w:rsidP="004A2F16">
            <w:pPr>
              <w:spacing w:after="0"/>
              <w:jc w:val="left"/>
              <w:rPr>
                <w:sz w:val="18"/>
                <w:szCs w:val="18"/>
              </w:rPr>
            </w:pPr>
            <w:r w:rsidRPr="0022251D">
              <w:rPr>
                <w:sz w:val="18"/>
                <w:szCs w:val="18"/>
              </w:rPr>
              <w:t>Útvar hodnoty za peniaze</w:t>
            </w:r>
          </w:p>
        </w:tc>
      </w:tr>
      <w:tr w:rsidR="00B15B9A" w:rsidRPr="00B27577" w14:paraId="50B83165" w14:textId="77777777" w:rsidTr="004A2F16">
        <w:trPr>
          <w:trHeight w:val="267"/>
          <w:jc w:val="center"/>
        </w:trPr>
        <w:tc>
          <w:tcPr>
            <w:tcW w:w="545" w:type="pct"/>
            <w:shd w:val="clear" w:color="auto" w:fill="auto"/>
          </w:tcPr>
          <w:p w14:paraId="1B4A8757"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MS SR</w:t>
            </w:r>
          </w:p>
        </w:tc>
        <w:tc>
          <w:tcPr>
            <w:tcW w:w="2301" w:type="pct"/>
            <w:shd w:val="clear" w:color="auto" w:fill="auto"/>
          </w:tcPr>
          <w:p w14:paraId="1536D5DF" w14:textId="77777777" w:rsidR="00B15B9A" w:rsidRPr="0022251D" w:rsidRDefault="00B15B9A" w:rsidP="004A2F16">
            <w:pPr>
              <w:spacing w:after="0"/>
              <w:ind w:right="299"/>
              <w:jc w:val="left"/>
              <w:rPr>
                <w:sz w:val="18"/>
                <w:szCs w:val="18"/>
              </w:rPr>
            </w:pPr>
            <w:r w:rsidRPr="0022251D">
              <w:rPr>
                <w:sz w:val="18"/>
                <w:szCs w:val="18"/>
              </w:rPr>
              <w:t>Ministerstvo spravodlivosti Slovenskej republiky</w:t>
            </w:r>
          </w:p>
        </w:tc>
        <w:tc>
          <w:tcPr>
            <w:tcW w:w="539" w:type="pct"/>
          </w:tcPr>
          <w:p w14:paraId="73B78781" w14:textId="77777777" w:rsidR="00B15B9A" w:rsidRPr="00B27577" w:rsidRDefault="00B15B9A" w:rsidP="004A2F16">
            <w:pPr>
              <w:spacing w:after="0"/>
              <w:jc w:val="left"/>
              <w:rPr>
                <w:color w:val="314364" w:themeColor="text2"/>
                <w:sz w:val="18"/>
                <w:szCs w:val="18"/>
                <w:highlight w:val="yellow"/>
              </w:rPr>
            </w:pPr>
            <w:r w:rsidRPr="00342619">
              <w:rPr>
                <w:color w:val="314364" w:themeColor="text2"/>
                <w:sz w:val="18"/>
                <w:szCs w:val="18"/>
              </w:rPr>
              <w:t>ÚV SR</w:t>
            </w:r>
          </w:p>
        </w:tc>
        <w:tc>
          <w:tcPr>
            <w:tcW w:w="1615" w:type="pct"/>
          </w:tcPr>
          <w:p w14:paraId="62D6423E" w14:textId="77777777" w:rsidR="00B15B9A" w:rsidRPr="00B27577" w:rsidRDefault="00B15B9A" w:rsidP="004A2F16">
            <w:pPr>
              <w:spacing w:after="0"/>
              <w:jc w:val="left"/>
              <w:rPr>
                <w:sz w:val="18"/>
                <w:szCs w:val="18"/>
                <w:highlight w:val="yellow"/>
              </w:rPr>
            </w:pPr>
            <w:r w:rsidRPr="00342619">
              <w:rPr>
                <w:sz w:val="18"/>
                <w:szCs w:val="18"/>
              </w:rPr>
              <w:t xml:space="preserve">Úrad vlády </w:t>
            </w:r>
            <w:r>
              <w:rPr>
                <w:sz w:val="18"/>
                <w:szCs w:val="18"/>
              </w:rPr>
              <w:t>SR</w:t>
            </w:r>
          </w:p>
        </w:tc>
      </w:tr>
      <w:tr w:rsidR="00B15B9A" w:rsidRPr="00B27577" w14:paraId="63C8BF56" w14:textId="77777777" w:rsidTr="004A2F16">
        <w:trPr>
          <w:trHeight w:val="267"/>
          <w:jc w:val="center"/>
        </w:trPr>
        <w:tc>
          <w:tcPr>
            <w:tcW w:w="545" w:type="pct"/>
            <w:shd w:val="clear" w:color="auto" w:fill="auto"/>
          </w:tcPr>
          <w:p w14:paraId="454BC69C" w14:textId="77777777" w:rsidR="00B15B9A" w:rsidRPr="00B27577" w:rsidRDefault="00B15B9A" w:rsidP="004A2F16">
            <w:pPr>
              <w:spacing w:after="0"/>
              <w:jc w:val="left"/>
              <w:rPr>
                <w:color w:val="314364" w:themeColor="text2"/>
                <w:sz w:val="18"/>
                <w:szCs w:val="18"/>
                <w:highlight w:val="yellow"/>
              </w:rPr>
            </w:pPr>
            <w:r>
              <w:rPr>
                <w:color w:val="314364" w:themeColor="text2"/>
                <w:sz w:val="18"/>
                <w:szCs w:val="18"/>
              </w:rPr>
              <w:t>MŠ</w:t>
            </w:r>
          </w:p>
        </w:tc>
        <w:tc>
          <w:tcPr>
            <w:tcW w:w="2301" w:type="pct"/>
            <w:shd w:val="clear" w:color="auto" w:fill="auto"/>
          </w:tcPr>
          <w:p w14:paraId="070F1D20" w14:textId="77777777" w:rsidR="00B15B9A" w:rsidRPr="00B27577" w:rsidRDefault="00B15B9A" w:rsidP="004A2F16">
            <w:pPr>
              <w:spacing w:after="0"/>
              <w:ind w:right="299"/>
              <w:jc w:val="left"/>
              <w:rPr>
                <w:sz w:val="18"/>
                <w:szCs w:val="18"/>
                <w:highlight w:val="yellow"/>
              </w:rPr>
            </w:pPr>
            <w:r>
              <w:rPr>
                <w:sz w:val="18"/>
                <w:szCs w:val="18"/>
              </w:rPr>
              <w:t>materské školy</w:t>
            </w:r>
          </w:p>
        </w:tc>
        <w:tc>
          <w:tcPr>
            <w:tcW w:w="539" w:type="pct"/>
          </w:tcPr>
          <w:p w14:paraId="69DD0EEB" w14:textId="77777777" w:rsidR="00B15B9A" w:rsidRPr="00FF266A" w:rsidRDefault="00B15B9A" w:rsidP="004A2F16">
            <w:pPr>
              <w:spacing w:after="0"/>
              <w:jc w:val="left"/>
              <w:rPr>
                <w:color w:val="314364" w:themeColor="text2"/>
                <w:sz w:val="18"/>
                <w:szCs w:val="18"/>
              </w:rPr>
            </w:pPr>
            <w:proofErr w:type="spellStart"/>
            <w:r>
              <w:rPr>
                <w:color w:val="314364" w:themeColor="text2"/>
                <w:sz w:val="18"/>
                <w:szCs w:val="18"/>
              </w:rPr>
              <w:t>VpDP</w:t>
            </w:r>
            <w:proofErr w:type="spellEnd"/>
          </w:p>
        </w:tc>
        <w:tc>
          <w:tcPr>
            <w:tcW w:w="1615" w:type="pct"/>
          </w:tcPr>
          <w:p w14:paraId="60923359" w14:textId="77777777" w:rsidR="00B15B9A" w:rsidRPr="00FF266A" w:rsidRDefault="00B15B9A" w:rsidP="004A2F16">
            <w:pPr>
              <w:spacing w:after="0"/>
              <w:jc w:val="left"/>
              <w:rPr>
                <w:sz w:val="18"/>
                <w:szCs w:val="18"/>
              </w:rPr>
            </w:pPr>
            <w:r>
              <w:rPr>
                <w:sz w:val="18"/>
                <w:szCs w:val="18"/>
              </w:rPr>
              <w:t>Výbor pre daňové prognózy</w:t>
            </w:r>
          </w:p>
        </w:tc>
      </w:tr>
      <w:tr w:rsidR="00B15B9A" w:rsidRPr="00B27577" w14:paraId="2424558B" w14:textId="77777777" w:rsidTr="004A2F16">
        <w:trPr>
          <w:trHeight w:val="267"/>
          <w:jc w:val="center"/>
        </w:trPr>
        <w:tc>
          <w:tcPr>
            <w:tcW w:w="545" w:type="pct"/>
            <w:shd w:val="clear" w:color="auto" w:fill="auto"/>
          </w:tcPr>
          <w:p w14:paraId="27613690"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MŠVV</w:t>
            </w:r>
            <w:r>
              <w:rPr>
                <w:color w:val="314364" w:themeColor="text2"/>
                <w:sz w:val="18"/>
                <w:szCs w:val="18"/>
              </w:rPr>
              <w:t xml:space="preserve">M </w:t>
            </w:r>
            <w:r w:rsidRPr="0022251D">
              <w:rPr>
                <w:color w:val="314364" w:themeColor="text2"/>
                <w:sz w:val="18"/>
                <w:szCs w:val="18"/>
              </w:rPr>
              <w:t>SR</w:t>
            </w:r>
          </w:p>
        </w:tc>
        <w:tc>
          <w:tcPr>
            <w:tcW w:w="2301" w:type="pct"/>
            <w:shd w:val="clear" w:color="auto" w:fill="auto"/>
          </w:tcPr>
          <w:p w14:paraId="5776F080" w14:textId="77777777" w:rsidR="00B15B9A" w:rsidRPr="0022251D" w:rsidRDefault="00B15B9A" w:rsidP="004A2F16">
            <w:pPr>
              <w:spacing w:after="0"/>
              <w:ind w:right="299"/>
              <w:jc w:val="left"/>
              <w:rPr>
                <w:sz w:val="18"/>
                <w:szCs w:val="18"/>
              </w:rPr>
            </w:pPr>
            <w:r w:rsidRPr="0022251D">
              <w:rPr>
                <w:sz w:val="18"/>
                <w:szCs w:val="18"/>
              </w:rPr>
              <w:t>Ministerstvo školstva, vedy, výskumu a </w:t>
            </w:r>
            <w:r>
              <w:rPr>
                <w:sz w:val="18"/>
                <w:szCs w:val="18"/>
              </w:rPr>
              <w:t>mládeže</w:t>
            </w:r>
            <w:r w:rsidRPr="0022251D">
              <w:rPr>
                <w:sz w:val="18"/>
                <w:szCs w:val="18"/>
              </w:rPr>
              <w:t xml:space="preserve"> Slovenskej republiky</w:t>
            </w:r>
          </w:p>
        </w:tc>
        <w:tc>
          <w:tcPr>
            <w:tcW w:w="539" w:type="pct"/>
          </w:tcPr>
          <w:p w14:paraId="08F55591" w14:textId="77777777" w:rsidR="00B15B9A" w:rsidRPr="0022251D" w:rsidRDefault="00B15B9A" w:rsidP="004A2F16">
            <w:pPr>
              <w:spacing w:after="0"/>
              <w:jc w:val="left"/>
              <w:rPr>
                <w:color w:val="314364" w:themeColor="text2"/>
                <w:sz w:val="18"/>
                <w:szCs w:val="18"/>
              </w:rPr>
            </w:pPr>
            <w:proofErr w:type="spellStart"/>
            <w:r>
              <w:rPr>
                <w:color w:val="314364" w:themeColor="text2"/>
                <w:sz w:val="18"/>
                <w:szCs w:val="18"/>
              </w:rPr>
              <w:t>VpMP</w:t>
            </w:r>
            <w:proofErr w:type="spellEnd"/>
          </w:p>
        </w:tc>
        <w:tc>
          <w:tcPr>
            <w:tcW w:w="1615" w:type="pct"/>
          </w:tcPr>
          <w:p w14:paraId="46E040D7" w14:textId="77777777" w:rsidR="00B15B9A" w:rsidRPr="0022251D" w:rsidRDefault="00B15B9A" w:rsidP="004A2F16">
            <w:pPr>
              <w:spacing w:after="0"/>
              <w:jc w:val="left"/>
              <w:rPr>
                <w:sz w:val="18"/>
                <w:szCs w:val="18"/>
              </w:rPr>
            </w:pPr>
            <w:r>
              <w:rPr>
                <w:sz w:val="18"/>
                <w:szCs w:val="18"/>
              </w:rPr>
              <w:t>Výbor pre makroekonomické prognózy</w:t>
            </w:r>
          </w:p>
        </w:tc>
      </w:tr>
      <w:tr w:rsidR="00B15B9A" w:rsidRPr="00B27577" w14:paraId="36D215A1" w14:textId="77777777" w:rsidTr="004A2F16">
        <w:trPr>
          <w:trHeight w:val="267"/>
          <w:jc w:val="center"/>
        </w:trPr>
        <w:tc>
          <w:tcPr>
            <w:tcW w:w="545" w:type="pct"/>
            <w:shd w:val="clear" w:color="auto" w:fill="auto"/>
          </w:tcPr>
          <w:p w14:paraId="20F27C61"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MV SR</w:t>
            </w:r>
          </w:p>
        </w:tc>
        <w:tc>
          <w:tcPr>
            <w:tcW w:w="2301" w:type="pct"/>
            <w:shd w:val="clear" w:color="auto" w:fill="auto"/>
          </w:tcPr>
          <w:p w14:paraId="119A68A3" w14:textId="77777777" w:rsidR="00B15B9A" w:rsidRPr="0022251D" w:rsidRDefault="00B15B9A" w:rsidP="004A2F16">
            <w:pPr>
              <w:spacing w:after="0"/>
              <w:ind w:right="299"/>
              <w:jc w:val="left"/>
              <w:rPr>
                <w:sz w:val="18"/>
                <w:szCs w:val="18"/>
              </w:rPr>
            </w:pPr>
            <w:r w:rsidRPr="0022251D">
              <w:rPr>
                <w:sz w:val="18"/>
                <w:szCs w:val="18"/>
              </w:rPr>
              <w:t>Ministerstvo vnútra Slovenskej republiky</w:t>
            </w:r>
          </w:p>
        </w:tc>
        <w:tc>
          <w:tcPr>
            <w:tcW w:w="539" w:type="pct"/>
          </w:tcPr>
          <w:p w14:paraId="6BACEF0F" w14:textId="77777777" w:rsidR="00B15B9A" w:rsidRDefault="00B15B9A" w:rsidP="004A2F16">
            <w:pPr>
              <w:spacing w:after="0"/>
              <w:jc w:val="left"/>
              <w:rPr>
                <w:color w:val="314364" w:themeColor="text2"/>
                <w:sz w:val="18"/>
                <w:szCs w:val="18"/>
              </w:rPr>
            </w:pPr>
            <w:r w:rsidRPr="00E348B1">
              <w:rPr>
                <w:color w:val="314364" w:themeColor="text2"/>
                <w:sz w:val="18"/>
                <w:szCs w:val="18"/>
              </w:rPr>
              <w:t>VPS</w:t>
            </w:r>
          </w:p>
        </w:tc>
        <w:tc>
          <w:tcPr>
            <w:tcW w:w="1615" w:type="pct"/>
          </w:tcPr>
          <w:p w14:paraId="645BF4FA" w14:textId="77777777" w:rsidR="00B15B9A" w:rsidRDefault="00B15B9A" w:rsidP="004A2F16">
            <w:pPr>
              <w:spacing w:after="0"/>
              <w:jc w:val="left"/>
              <w:rPr>
                <w:sz w:val="18"/>
                <w:szCs w:val="18"/>
              </w:rPr>
            </w:pPr>
            <w:r w:rsidRPr="00E348B1">
              <w:rPr>
                <w:sz w:val="18"/>
                <w:szCs w:val="18"/>
              </w:rPr>
              <w:t>Všeobecná pokladničná správa</w:t>
            </w:r>
          </w:p>
        </w:tc>
      </w:tr>
      <w:tr w:rsidR="00B15B9A" w:rsidRPr="00B27577" w14:paraId="7108904B" w14:textId="77777777" w:rsidTr="004A2F16">
        <w:trPr>
          <w:trHeight w:val="267"/>
          <w:jc w:val="center"/>
        </w:trPr>
        <w:tc>
          <w:tcPr>
            <w:tcW w:w="545" w:type="pct"/>
            <w:shd w:val="clear" w:color="auto" w:fill="auto"/>
          </w:tcPr>
          <w:p w14:paraId="3494902A"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MZ SR</w:t>
            </w:r>
          </w:p>
        </w:tc>
        <w:tc>
          <w:tcPr>
            <w:tcW w:w="2301" w:type="pct"/>
            <w:shd w:val="clear" w:color="auto" w:fill="auto"/>
          </w:tcPr>
          <w:p w14:paraId="426B6A75" w14:textId="77777777" w:rsidR="00B15B9A" w:rsidRPr="0022251D" w:rsidRDefault="00B15B9A" w:rsidP="004A2F16">
            <w:pPr>
              <w:spacing w:after="0"/>
              <w:ind w:right="299"/>
              <w:jc w:val="left"/>
              <w:rPr>
                <w:sz w:val="18"/>
                <w:szCs w:val="18"/>
              </w:rPr>
            </w:pPr>
            <w:r w:rsidRPr="0022251D">
              <w:rPr>
                <w:sz w:val="18"/>
                <w:szCs w:val="18"/>
              </w:rPr>
              <w:t>Ministerstvo zdravotníctva Slovenskej republiky</w:t>
            </w:r>
          </w:p>
        </w:tc>
        <w:tc>
          <w:tcPr>
            <w:tcW w:w="539" w:type="pct"/>
          </w:tcPr>
          <w:p w14:paraId="2DDFE41F" w14:textId="77777777" w:rsidR="00B15B9A" w:rsidRPr="00B27577" w:rsidRDefault="00B15B9A" w:rsidP="004A2F16">
            <w:pPr>
              <w:spacing w:after="0"/>
              <w:jc w:val="left"/>
              <w:rPr>
                <w:sz w:val="18"/>
                <w:szCs w:val="18"/>
                <w:highlight w:val="yellow"/>
              </w:rPr>
            </w:pPr>
            <w:r w:rsidRPr="00C87CB6">
              <w:rPr>
                <w:color w:val="314364" w:themeColor="text2"/>
                <w:sz w:val="18"/>
                <w:szCs w:val="18"/>
              </w:rPr>
              <w:t>VS</w:t>
            </w:r>
          </w:p>
        </w:tc>
        <w:tc>
          <w:tcPr>
            <w:tcW w:w="1615" w:type="pct"/>
          </w:tcPr>
          <w:p w14:paraId="013F3608" w14:textId="77777777" w:rsidR="00B15B9A" w:rsidRPr="00B27577" w:rsidRDefault="00B15B9A" w:rsidP="004A2F16">
            <w:pPr>
              <w:spacing w:after="0"/>
              <w:jc w:val="left"/>
              <w:rPr>
                <w:sz w:val="18"/>
                <w:szCs w:val="18"/>
                <w:highlight w:val="yellow"/>
              </w:rPr>
            </w:pPr>
            <w:r w:rsidRPr="00C87CB6">
              <w:rPr>
                <w:sz w:val="18"/>
                <w:szCs w:val="18"/>
              </w:rPr>
              <w:t>verejná správa</w:t>
            </w:r>
          </w:p>
        </w:tc>
      </w:tr>
      <w:tr w:rsidR="00B15B9A" w:rsidRPr="00B27577" w14:paraId="05110354" w14:textId="77777777" w:rsidTr="004A2F16">
        <w:trPr>
          <w:trHeight w:val="267"/>
          <w:jc w:val="center"/>
        </w:trPr>
        <w:tc>
          <w:tcPr>
            <w:tcW w:w="545" w:type="pct"/>
            <w:shd w:val="clear" w:color="auto" w:fill="auto"/>
          </w:tcPr>
          <w:p w14:paraId="709480B6"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MŽP SR</w:t>
            </w:r>
          </w:p>
        </w:tc>
        <w:tc>
          <w:tcPr>
            <w:tcW w:w="2301" w:type="pct"/>
            <w:shd w:val="clear" w:color="auto" w:fill="auto"/>
          </w:tcPr>
          <w:p w14:paraId="0C1AA80D" w14:textId="77777777" w:rsidR="00B15B9A" w:rsidRPr="0022251D" w:rsidRDefault="00B15B9A" w:rsidP="004A2F16">
            <w:pPr>
              <w:spacing w:after="0"/>
              <w:ind w:right="299"/>
              <w:jc w:val="left"/>
              <w:rPr>
                <w:sz w:val="18"/>
                <w:szCs w:val="18"/>
              </w:rPr>
            </w:pPr>
            <w:r w:rsidRPr="0022251D">
              <w:rPr>
                <w:sz w:val="18"/>
                <w:szCs w:val="18"/>
              </w:rPr>
              <w:t>Ministerstvo životného prostredia Slovenskej republiky</w:t>
            </w:r>
          </w:p>
        </w:tc>
        <w:tc>
          <w:tcPr>
            <w:tcW w:w="539" w:type="pct"/>
          </w:tcPr>
          <w:p w14:paraId="75ADBDC8" w14:textId="77777777" w:rsidR="00B15B9A" w:rsidRPr="0022251D" w:rsidRDefault="00B15B9A" w:rsidP="004A2F16">
            <w:pPr>
              <w:spacing w:after="0"/>
              <w:jc w:val="left"/>
              <w:rPr>
                <w:sz w:val="18"/>
                <w:szCs w:val="18"/>
              </w:rPr>
            </w:pPr>
            <w:r w:rsidRPr="00523D20">
              <w:rPr>
                <w:color w:val="314364" w:themeColor="text2"/>
                <w:sz w:val="18"/>
                <w:szCs w:val="18"/>
              </w:rPr>
              <w:t>VŠ</w:t>
            </w:r>
          </w:p>
        </w:tc>
        <w:tc>
          <w:tcPr>
            <w:tcW w:w="1615" w:type="pct"/>
          </w:tcPr>
          <w:p w14:paraId="2556914D" w14:textId="77777777" w:rsidR="00B15B9A" w:rsidRPr="0022251D" w:rsidRDefault="00B15B9A" w:rsidP="004A2F16">
            <w:pPr>
              <w:spacing w:after="0"/>
              <w:jc w:val="left"/>
              <w:rPr>
                <w:sz w:val="18"/>
                <w:szCs w:val="18"/>
              </w:rPr>
            </w:pPr>
            <w:r>
              <w:rPr>
                <w:sz w:val="18"/>
                <w:szCs w:val="18"/>
              </w:rPr>
              <w:t>v</w:t>
            </w:r>
            <w:r w:rsidRPr="0036463B">
              <w:rPr>
                <w:sz w:val="18"/>
                <w:szCs w:val="18"/>
              </w:rPr>
              <w:t>ysoké školy</w:t>
            </w:r>
          </w:p>
        </w:tc>
      </w:tr>
      <w:tr w:rsidR="00B15B9A" w:rsidRPr="00B27577" w14:paraId="5A43842B" w14:textId="77777777" w:rsidTr="004A2F16">
        <w:trPr>
          <w:trHeight w:val="267"/>
          <w:jc w:val="center"/>
        </w:trPr>
        <w:tc>
          <w:tcPr>
            <w:tcW w:w="545" w:type="pct"/>
            <w:shd w:val="clear" w:color="auto" w:fill="auto"/>
          </w:tcPr>
          <w:p w14:paraId="78B96483" w14:textId="77777777" w:rsidR="00B15B9A" w:rsidRPr="0022251D" w:rsidRDefault="00B15B9A" w:rsidP="004A2F16">
            <w:pPr>
              <w:spacing w:after="0"/>
              <w:jc w:val="left"/>
              <w:rPr>
                <w:color w:val="314364" w:themeColor="text2"/>
                <w:sz w:val="18"/>
                <w:szCs w:val="18"/>
              </w:rPr>
            </w:pPr>
            <w:r>
              <w:rPr>
                <w:color w:val="314364" w:themeColor="text2"/>
                <w:sz w:val="18"/>
                <w:szCs w:val="18"/>
              </w:rPr>
              <w:t>NATO</w:t>
            </w:r>
          </w:p>
        </w:tc>
        <w:tc>
          <w:tcPr>
            <w:tcW w:w="2301" w:type="pct"/>
            <w:shd w:val="clear" w:color="auto" w:fill="auto"/>
          </w:tcPr>
          <w:p w14:paraId="7B51DBDD" w14:textId="77777777" w:rsidR="00B15B9A" w:rsidRPr="0022251D" w:rsidRDefault="00B15B9A" w:rsidP="004A2F16">
            <w:pPr>
              <w:spacing w:after="0"/>
              <w:ind w:right="299"/>
              <w:jc w:val="left"/>
              <w:rPr>
                <w:sz w:val="18"/>
                <w:szCs w:val="18"/>
              </w:rPr>
            </w:pPr>
            <w:r>
              <w:rPr>
                <w:sz w:val="18"/>
                <w:szCs w:val="18"/>
              </w:rPr>
              <w:t>Organizácia Severoatlantickej zmluvy</w:t>
            </w:r>
          </w:p>
        </w:tc>
        <w:tc>
          <w:tcPr>
            <w:tcW w:w="539" w:type="pct"/>
          </w:tcPr>
          <w:p w14:paraId="0E6CAB3E" w14:textId="77777777" w:rsidR="00B15B9A" w:rsidRPr="0022251D" w:rsidRDefault="00B15B9A" w:rsidP="004A2F16">
            <w:pPr>
              <w:spacing w:after="0"/>
              <w:jc w:val="left"/>
              <w:rPr>
                <w:sz w:val="18"/>
                <w:szCs w:val="18"/>
              </w:rPr>
            </w:pPr>
            <w:proofErr w:type="spellStart"/>
            <w:r>
              <w:rPr>
                <w:color w:val="314364" w:themeColor="text2"/>
                <w:sz w:val="18"/>
                <w:szCs w:val="18"/>
              </w:rPr>
              <w:t>VšZP</w:t>
            </w:r>
            <w:proofErr w:type="spellEnd"/>
          </w:p>
        </w:tc>
        <w:tc>
          <w:tcPr>
            <w:tcW w:w="1615" w:type="pct"/>
          </w:tcPr>
          <w:p w14:paraId="79F22A09" w14:textId="77777777" w:rsidR="00B15B9A" w:rsidRPr="0022251D" w:rsidRDefault="00B15B9A" w:rsidP="004A2F16">
            <w:pPr>
              <w:spacing w:after="0"/>
              <w:jc w:val="left"/>
              <w:rPr>
                <w:sz w:val="18"/>
                <w:szCs w:val="18"/>
              </w:rPr>
            </w:pPr>
            <w:r>
              <w:rPr>
                <w:sz w:val="18"/>
                <w:szCs w:val="18"/>
              </w:rPr>
              <w:t>Všeobecná zdravotná poisťovňa</w:t>
            </w:r>
          </w:p>
        </w:tc>
      </w:tr>
      <w:tr w:rsidR="00B15B9A" w:rsidRPr="00B27577" w14:paraId="61AF4BE7" w14:textId="77777777" w:rsidTr="004A2F16">
        <w:trPr>
          <w:trHeight w:val="267"/>
          <w:jc w:val="center"/>
        </w:trPr>
        <w:tc>
          <w:tcPr>
            <w:tcW w:w="545" w:type="pct"/>
            <w:shd w:val="clear" w:color="auto" w:fill="auto"/>
          </w:tcPr>
          <w:p w14:paraId="6B324AD9"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NDS, a. s.</w:t>
            </w:r>
          </w:p>
        </w:tc>
        <w:tc>
          <w:tcPr>
            <w:tcW w:w="2301" w:type="pct"/>
            <w:shd w:val="clear" w:color="auto" w:fill="auto"/>
          </w:tcPr>
          <w:p w14:paraId="036E4FE3" w14:textId="77777777" w:rsidR="00B15B9A" w:rsidRPr="0022251D" w:rsidRDefault="00B15B9A" w:rsidP="004A2F16">
            <w:pPr>
              <w:spacing w:after="0"/>
              <w:ind w:right="299"/>
              <w:jc w:val="left"/>
              <w:rPr>
                <w:sz w:val="18"/>
                <w:szCs w:val="18"/>
              </w:rPr>
            </w:pPr>
            <w:r w:rsidRPr="0022251D">
              <w:rPr>
                <w:sz w:val="18"/>
                <w:szCs w:val="18"/>
              </w:rPr>
              <w:t xml:space="preserve">Národná diaľničná spoločnosť, a. s. </w:t>
            </w:r>
          </w:p>
        </w:tc>
        <w:tc>
          <w:tcPr>
            <w:tcW w:w="539" w:type="pct"/>
          </w:tcPr>
          <w:p w14:paraId="39FB5E0E" w14:textId="77777777" w:rsidR="00B15B9A" w:rsidRPr="00523D20" w:rsidRDefault="00B15B9A" w:rsidP="004A2F16">
            <w:pPr>
              <w:spacing w:after="0"/>
              <w:jc w:val="left"/>
              <w:rPr>
                <w:color w:val="314364" w:themeColor="text2"/>
                <w:sz w:val="18"/>
                <w:szCs w:val="18"/>
              </w:rPr>
            </w:pPr>
            <w:r>
              <w:rPr>
                <w:color w:val="314364" w:themeColor="text2"/>
                <w:sz w:val="18"/>
                <w:szCs w:val="18"/>
              </w:rPr>
              <w:t>VÚC</w:t>
            </w:r>
          </w:p>
        </w:tc>
        <w:tc>
          <w:tcPr>
            <w:tcW w:w="1615" w:type="pct"/>
          </w:tcPr>
          <w:p w14:paraId="7B540777" w14:textId="77777777" w:rsidR="00B15B9A" w:rsidRPr="00E348B1" w:rsidRDefault="00B15B9A" w:rsidP="004A2F16">
            <w:pPr>
              <w:spacing w:after="0"/>
              <w:jc w:val="left"/>
              <w:rPr>
                <w:sz w:val="18"/>
                <w:szCs w:val="18"/>
              </w:rPr>
            </w:pPr>
            <w:r>
              <w:rPr>
                <w:sz w:val="18"/>
                <w:szCs w:val="18"/>
              </w:rPr>
              <w:t>vyšší územný celok</w:t>
            </w:r>
          </w:p>
        </w:tc>
      </w:tr>
      <w:tr w:rsidR="00B15B9A" w:rsidRPr="00B27577" w14:paraId="5B28FAC5" w14:textId="77777777" w:rsidTr="004A2F16">
        <w:trPr>
          <w:trHeight w:val="267"/>
          <w:jc w:val="center"/>
        </w:trPr>
        <w:tc>
          <w:tcPr>
            <w:tcW w:w="545" w:type="pct"/>
            <w:shd w:val="clear" w:color="auto" w:fill="auto"/>
          </w:tcPr>
          <w:p w14:paraId="1CFFB782" w14:textId="77777777" w:rsidR="00B15B9A" w:rsidRDefault="00B15B9A" w:rsidP="004A2F16">
            <w:pPr>
              <w:spacing w:after="0"/>
              <w:jc w:val="left"/>
              <w:rPr>
                <w:color w:val="314364" w:themeColor="text2"/>
                <w:sz w:val="18"/>
                <w:szCs w:val="18"/>
              </w:rPr>
            </w:pPr>
            <w:r>
              <w:rPr>
                <w:color w:val="314364" w:themeColor="text2"/>
                <w:sz w:val="18"/>
                <w:szCs w:val="18"/>
              </w:rPr>
              <w:t>NFP</w:t>
            </w:r>
          </w:p>
        </w:tc>
        <w:tc>
          <w:tcPr>
            <w:tcW w:w="2301" w:type="pct"/>
            <w:shd w:val="clear" w:color="auto" w:fill="auto"/>
          </w:tcPr>
          <w:p w14:paraId="192FC0DC" w14:textId="77777777" w:rsidR="00B15B9A" w:rsidRDefault="00B15B9A" w:rsidP="004A2F16">
            <w:pPr>
              <w:spacing w:after="0"/>
              <w:ind w:right="299"/>
              <w:jc w:val="left"/>
              <w:rPr>
                <w:sz w:val="18"/>
                <w:szCs w:val="18"/>
              </w:rPr>
            </w:pPr>
            <w:r>
              <w:rPr>
                <w:sz w:val="18"/>
                <w:szCs w:val="18"/>
              </w:rPr>
              <w:t>nenávratný finančný príspevok</w:t>
            </w:r>
          </w:p>
        </w:tc>
        <w:tc>
          <w:tcPr>
            <w:tcW w:w="539" w:type="pct"/>
          </w:tcPr>
          <w:p w14:paraId="5806681A" w14:textId="77777777" w:rsidR="00B15B9A" w:rsidRPr="00B112BC" w:rsidRDefault="00B15B9A" w:rsidP="004A2F16">
            <w:pPr>
              <w:spacing w:after="0"/>
              <w:jc w:val="left"/>
              <w:rPr>
                <w:color w:val="314364" w:themeColor="text2"/>
                <w:sz w:val="18"/>
                <w:szCs w:val="18"/>
              </w:rPr>
            </w:pPr>
            <w:r w:rsidRPr="00B112BC">
              <w:rPr>
                <w:color w:val="314364" w:themeColor="text2"/>
                <w:sz w:val="18"/>
                <w:szCs w:val="18"/>
              </w:rPr>
              <w:t>VZP</w:t>
            </w:r>
          </w:p>
        </w:tc>
        <w:tc>
          <w:tcPr>
            <w:tcW w:w="1615" w:type="pct"/>
          </w:tcPr>
          <w:p w14:paraId="08D47F6C" w14:textId="77777777" w:rsidR="00B15B9A" w:rsidRPr="00B112BC" w:rsidRDefault="00B15B9A" w:rsidP="004A2F16">
            <w:pPr>
              <w:spacing w:after="0"/>
              <w:jc w:val="left"/>
              <w:rPr>
                <w:sz w:val="18"/>
                <w:szCs w:val="18"/>
              </w:rPr>
            </w:pPr>
            <w:r w:rsidRPr="00B112BC">
              <w:rPr>
                <w:sz w:val="18"/>
                <w:szCs w:val="18"/>
              </w:rPr>
              <w:t>verejné zdravotné poistenie</w:t>
            </w:r>
          </w:p>
        </w:tc>
      </w:tr>
      <w:tr w:rsidR="00B15B9A" w:rsidRPr="00B27577" w14:paraId="2FE9BE28" w14:textId="77777777" w:rsidTr="004A2F16">
        <w:trPr>
          <w:trHeight w:val="267"/>
          <w:jc w:val="center"/>
        </w:trPr>
        <w:tc>
          <w:tcPr>
            <w:tcW w:w="545" w:type="pct"/>
            <w:shd w:val="clear" w:color="auto" w:fill="auto"/>
          </w:tcPr>
          <w:p w14:paraId="4E293BAC" w14:textId="77777777" w:rsidR="00B15B9A" w:rsidRPr="0022251D" w:rsidRDefault="00B15B9A" w:rsidP="004A2F16">
            <w:pPr>
              <w:spacing w:after="0"/>
              <w:jc w:val="left"/>
              <w:rPr>
                <w:color w:val="314364" w:themeColor="text2"/>
                <w:sz w:val="18"/>
                <w:szCs w:val="18"/>
              </w:rPr>
            </w:pPr>
            <w:r w:rsidRPr="00A7310E">
              <w:rPr>
                <w:color w:val="314364" w:themeColor="text2"/>
                <w:sz w:val="18"/>
                <w:szCs w:val="18"/>
              </w:rPr>
              <w:t>NFV</w:t>
            </w:r>
          </w:p>
        </w:tc>
        <w:tc>
          <w:tcPr>
            <w:tcW w:w="2301" w:type="pct"/>
            <w:shd w:val="clear" w:color="auto" w:fill="auto"/>
          </w:tcPr>
          <w:p w14:paraId="1EE302BD" w14:textId="77777777" w:rsidR="00B15B9A" w:rsidRPr="0022251D" w:rsidRDefault="00B15B9A" w:rsidP="004A2F16">
            <w:pPr>
              <w:spacing w:after="0"/>
              <w:ind w:right="299"/>
              <w:jc w:val="left"/>
              <w:rPr>
                <w:sz w:val="18"/>
                <w:szCs w:val="18"/>
              </w:rPr>
            </w:pPr>
            <w:r>
              <w:rPr>
                <w:sz w:val="18"/>
                <w:szCs w:val="18"/>
              </w:rPr>
              <w:t>n</w:t>
            </w:r>
            <w:r w:rsidRPr="00A7310E">
              <w:rPr>
                <w:sz w:val="18"/>
                <w:szCs w:val="18"/>
              </w:rPr>
              <w:t>ávratná finančná výpomoc</w:t>
            </w:r>
          </w:p>
        </w:tc>
        <w:tc>
          <w:tcPr>
            <w:tcW w:w="539" w:type="pct"/>
          </w:tcPr>
          <w:p w14:paraId="05ECCA8E" w14:textId="77777777" w:rsidR="00B15B9A" w:rsidRPr="00C87CB6" w:rsidRDefault="00B15B9A" w:rsidP="004A2F16">
            <w:pPr>
              <w:spacing w:after="0"/>
              <w:jc w:val="left"/>
              <w:rPr>
                <w:sz w:val="18"/>
                <w:szCs w:val="18"/>
              </w:rPr>
            </w:pPr>
            <w:r w:rsidRPr="00C87CB6">
              <w:rPr>
                <w:color w:val="314364" w:themeColor="text2"/>
                <w:sz w:val="18"/>
                <w:szCs w:val="18"/>
              </w:rPr>
              <w:t>V4</w:t>
            </w:r>
          </w:p>
        </w:tc>
        <w:tc>
          <w:tcPr>
            <w:tcW w:w="1615" w:type="pct"/>
          </w:tcPr>
          <w:p w14:paraId="68235E69" w14:textId="77777777" w:rsidR="00B15B9A" w:rsidRPr="00C87CB6" w:rsidRDefault="00B15B9A" w:rsidP="004A2F16">
            <w:pPr>
              <w:spacing w:after="0"/>
              <w:jc w:val="left"/>
              <w:rPr>
                <w:sz w:val="18"/>
                <w:szCs w:val="18"/>
              </w:rPr>
            </w:pPr>
            <w:r w:rsidRPr="00C87CB6">
              <w:rPr>
                <w:sz w:val="18"/>
                <w:szCs w:val="18"/>
              </w:rPr>
              <w:t>Vyšehradská skupina</w:t>
            </w:r>
          </w:p>
        </w:tc>
      </w:tr>
      <w:tr w:rsidR="00B15B9A" w:rsidRPr="00B27577" w14:paraId="53A9A197" w14:textId="77777777" w:rsidTr="004A2F16">
        <w:trPr>
          <w:trHeight w:val="267"/>
          <w:jc w:val="center"/>
        </w:trPr>
        <w:tc>
          <w:tcPr>
            <w:tcW w:w="545" w:type="pct"/>
            <w:shd w:val="clear" w:color="auto" w:fill="auto"/>
          </w:tcPr>
          <w:p w14:paraId="3530E078" w14:textId="77777777" w:rsidR="00B15B9A" w:rsidRPr="0022251D" w:rsidRDefault="00B15B9A" w:rsidP="004A2F16">
            <w:pPr>
              <w:spacing w:after="0"/>
              <w:jc w:val="left"/>
              <w:rPr>
                <w:color w:val="314364" w:themeColor="text2"/>
                <w:sz w:val="18"/>
                <w:szCs w:val="18"/>
              </w:rPr>
            </w:pPr>
            <w:r>
              <w:rPr>
                <w:color w:val="314364" w:themeColor="text2"/>
                <w:sz w:val="18"/>
                <w:szCs w:val="18"/>
              </w:rPr>
              <w:t>NIKA</w:t>
            </w:r>
          </w:p>
        </w:tc>
        <w:tc>
          <w:tcPr>
            <w:tcW w:w="2301" w:type="pct"/>
            <w:shd w:val="clear" w:color="auto" w:fill="auto"/>
          </w:tcPr>
          <w:p w14:paraId="2F203090" w14:textId="77777777" w:rsidR="00B15B9A" w:rsidRPr="0022251D" w:rsidRDefault="00B15B9A" w:rsidP="004A2F16">
            <w:pPr>
              <w:spacing w:after="0"/>
              <w:ind w:right="299"/>
              <w:jc w:val="left"/>
              <w:rPr>
                <w:sz w:val="18"/>
                <w:szCs w:val="18"/>
              </w:rPr>
            </w:pPr>
            <w:r w:rsidRPr="00D16557">
              <w:rPr>
                <w:sz w:val="18"/>
                <w:szCs w:val="18"/>
              </w:rPr>
              <w:t>Národná implementačná a koordinačná autorita</w:t>
            </w:r>
          </w:p>
        </w:tc>
        <w:tc>
          <w:tcPr>
            <w:tcW w:w="539" w:type="pct"/>
          </w:tcPr>
          <w:p w14:paraId="00F3DD68" w14:textId="77777777" w:rsidR="00B15B9A" w:rsidRPr="00B112BC" w:rsidRDefault="00B15B9A" w:rsidP="004A2F16">
            <w:pPr>
              <w:spacing w:after="0"/>
              <w:jc w:val="left"/>
              <w:rPr>
                <w:color w:val="314364" w:themeColor="text2"/>
                <w:sz w:val="18"/>
                <w:szCs w:val="18"/>
              </w:rPr>
            </w:pPr>
            <w:r w:rsidRPr="00C87CB6">
              <w:rPr>
                <w:color w:val="314364" w:themeColor="text2"/>
                <w:sz w:val="18"/>
                <w:szCs w:val="18"/>
              </w:rPr>
              <w:t>ZP</w:t>
            </w:r>
          </w:p>
        </w:tc>
        <w:tc>
          <w:tcPr>
            <w:tcW w:w="1615" w:type="pct"/>
          </w:tcPr>
          <w:p w14:paraId="26819123" w14:textId="77777777" w:rsidR="00B15B9A" w:rsidRPr="00B112BC" w:rsidRDefault="00B15B9A" w:rsidP="004A2F16">
            <w:pPr>
              <w:spacing w:after="0"/>
              <w:jc w:val="left"/>
              <w:rPr>
                <w:sz w:val="18"/>
                <w:szCs w:val="18"/>
              </w:rPr>
            </w:pPr>
            <w:r w:rsidRPr="00C87CB6">
              <w:rPr>
                <w:sz w:val="18"/>
                <w:szCs w:val="18"/>
              </w:rPr>
              <w:t>zdravotná poisťovňa</w:t>
            </w:r>
          </w:p>
        </w:tc>
      </w:tr>
      <w:tr w:rsidR="00B15B9A" w:rsidRPr="00B27577" w14:paraId="4B2DA96A" w14:textId="77777777" w:rsidTr="004A2F16">
        <w:trPr>
          <w:trHeight w:val="267"/>
          <w:jc w:val="center"/>
        </w:trPr>
        <w:tc>
          <w:tcPr>
            <w:tcW w:w="545" w:type="pct"/>
          </w:tcPr>
          <w:p w14:paraId="2DA8F3D6" w14:textId="77777777" w:rsidR="00B15B9A" w:rsidRPr="0022251D" w:rsidRDefault="00B15B9A" w:rsidP="004A2F16">
            <w:pPr>
              <w:spacing w:after="0"/>
              <w:jc w:val="left"/>
              <w:rPr>
                <w:color w:val="314364" w:themeColor="text2"/>
                <w:sz w:val="18"/>
                <w:szCs w:val="18"/>
              </w:rPr>
            </w:pPr>
            <w:r>
              <w:rPr>
                <w:color w:val="314364" w:themeColor="text2"/>
                <w:sz w:val="18"/>
                <w:szCs w:val="18"/>
              </w:rPr>
              <w:t>NKÚ SR</w:t>
            </w:r>
          </w:p>
        </w:tc>
        <w:tc>
          <w:tcPr>
            <w:tcW w:w="2301" w:type="pct"/>
          </w:tcPr>
          <w:p w14:paraId="459F2FF5" w14:textId="77777777" w:rsidR="00B15B9A" w:rsidRPr="0022251D" w:rsidRDefault="00B15B9A" w:rsidP="004A2F16">
            <w:pPr>
              <w:spacing w:after="0"/>
              <w:ind w:right="299"/>
              <w:jc w:val="left"/>
              <w:rPr>
                <w:sz w:val="18"/>
                <w:szCs w:val="18"/>
              </w:rPr>
            </w:pPr>
            <w:r>
              <w:rPr>
                <w:sz w:val="18"/>
                <w:szCs w:val="18"/>
              </w:rPr>
              <w:t>Najvyšší kontrolný úrad Slovenskej republiky</w:t>
            </w:r>
          </w:p>
        </w:tc>
        <w:tc>
          <w:tcPr>
            <w:tcW w:w="539" w:type="pct"/>
          </w:tcPr>
          <w:p w14:paraId="06FFB455" w14:textId="77777777" w:rsidR="00B15B9A" w:rsidRPr="00B112BC" w:rsidRDefault="00B15B9A" w:rsidP="004A2F16">
            <w:pPr>
              <w:spacing w:after="0"/>
              <w:jc w:val="left"/>
              <w:rPr>
                <w:sz w:val="18"/>
                <w:szCs w:val="18"/>
              </w:rPr>
            </w:pPr>
            <w:r w:rsidRPr="00F65B91">
              <w:rPr>
                <w:color w:val="314364" w:themeColor="text2"/>
                <w:sz w:val="18"/>
                <w:szCs w:val="18"/>
              </w:rPr>
              <w:t>ZSSK</w:t>
            </w:r>
          </w:p>
        </w:tc>
        <w:tc>
          <w:tcPr>
            <w:tcW w:w="1615" w:type="pct"/>
          </w:tcPr>
          <w:p w14:paraId="1AB5CAB1" w14:textId="77777777" w:rsidR="00B15B9A" w:rsidRPr="00B112BC" w:rsidRDefault="00B15B9A" w:rsidP="004A2F16">
            <w:pPr>
              <w:spacing w:after="0"/>
              <w:jc w:val="left"/>
              <w:rPr>
                <w:sz w:val="18"/>
                <w:szCs w:val="18"/>
              </w:rPr>
            </w:pPr>
            <w:r w:rsidRPr="006008E9">
              <w:rPr>
                <w:sz w:val="18"/>
                <w:szCs w:val="18"/>
              </w:rPr>
              <w:t>Železničná spoločnosť Slovensko, a. s.</w:t>
            </w:r>
          </w:p>
        </w:tc>
      </w:tr>
      <w:tr w:rsidR="00B15B9A" w:rsidRPr="00B27577" w14:paraId="55F0E135" w14:textId="77777777" w:rsidTr="004A2F16">
        <w:trPr>
          <w:trHeight w:val="267"/>
          <w:jc w:val="center"/>
        </w:trPr>
        <w:tc>
          <w:tcPr>
            <w:tcW w:w="545" w:type="pct"/>
          </w:tcPr>
          <w:p w14:paraId="31C91B6E" w14:textId="77777777" w:rsidR="00B15B9A" w:rsidRPr="0022251D" w:rsidRDefault="00B15B9A" w:rsidP="004A2F16">
            <w:pPr>
              <w:spacing w:after="0"/>
              <w:jc w:val="left"/>
              <w:rPr>
                <w:color w:val="314364" w:themeColor="text2"/>
                <w:sz w:val="18"/>
                <w:szCs w:val="18"/>
              </w:rPr>
            </w:pPr>
            <w:r w:rsidRPr="0022251D">
              <w:rPr>
                <w:color w:val="314364" w:themeColor="text2"/>
                <w:sz w:val="18"/>
                <w:szCs w:val="18"/>
              </w:rPr>
              <w:t>NR SR</w:t>
            </w:r>
          </w:p>
        </w:tc>
        <w:tc>
          <w:tcPr>
            <w:tcW w:w="2301" w:type="pct"/>
          </w:tcPr>
          <w:p w14:paraId="0B2E0F39" w14:textId="77777777" w:rsidR="00B15B9A" w:rsidRPr="0022251D" w:rsidRDefault="00B15B9A" w:rsidP="004A2F16">
            <w:pPr>
              <w:spacing w:after="0"/>
              <w:ind w:right="299"/>
              <w:jc w:val="left"/>
              <w:rPr>
                <w:sz w:val="18"/>
                <w:szCs w:val="18"/>
              </w:rPr>
            </w:pPr>
            <w:r w:rsidRPr="0022251D">
              <w:rPr>
                <w:sz w:val="18"/>
                <w:szCs w:val="18"/>
              </w:rPr>
              <w:t>Národná rada Slovenskej republiky</w:t>
            </w:r>
          </w:p>
        </w:tc>
        <w:tc>
          <w:tcPr>
            <w:tcW w:w="539" w:type="pct"/>
          </w:tcPr>
          <w:p w14:paraId="010AC365" w14:textId="77777777" w:rsidR="00B15B9A" w:rsidRPr="00B112BC" w:rsidRDefault="00B15B9A" w:rsidP="004A2F16">
            <w:pPr>
              <w:spacing w:after="0"/>
              <w:jc w:val="left"/>
              <w:rPr>
                <w:sz w:val="18"/>
                <w:szCs w:val="18"/>
              </w:rPr>
            </w:pPr>
            <w:r w:rsidRPr="00B112BC">
              <w:rPr>
                <w:color w:val="314364" w:themeColor="text2"/>
                <w:sz w:val="18"/>
                <w:szCs w:val="18"/>
              </w:rPr>
              <w:t>ZZ</w:t>
            </w:r>
          </w:p>
        </w:tc>
        <w:tc>
          <w:tcPr>
            <w:tcW w:w="1615" w:type="pct"/>
          </w:tcPr>
          <w:p w14:paraId="14F6AA53" w14:textId="77777777" w:rsidR="00B15B9A" w:rsidRPr="00B112BC" w:rsidRDefault="00B15B9A" w:rsidP="004A2F16">
            <w:pPr>
              <w:spacing w:after="0"/>
              <w:jc w:val="left"/>
              <w:rPr>
                <w:sz w:val="18"/>
                <w:szCs w:val="18"/>
              </w:rPr>
            </w:pPr>
            <w:r w:rsidRPr="00B112BC">
              <w:rPr>
                <w:sz w:val="18"/>
                <w:szCs w:val="18"/>
              </w:rPr>
              <w:t>zdravotnícke zariadenia</w:t>
            </w:r>
          </w:p>
        </w:tc>
      </w:tr>
      <w:tr w:rsidR="00B15B9A" w:rsidRPr="00B27577" w14:paraId="55F6A6D1" w14:textId="77777777" w:rsidTr="004A2F16">
        <w:trPr>
          <w:trHeight w:val="267"/>
          <w:jc w:val="center"/>
        </w:trPr>
        <w:tc>
          <w:tcPr>
            <w:tcW w:w="545" w:type="pct"/>
            <w:shd w:val="clear" w:color="auto" w:fill="auto"/>
          </w:tcPr>
          <w:p w14:paraId="14FC964B" w14:textId="77777777" w:rsidR="00B15B9A" w:rsidRPr="0022251D" w:rsidRDefault="00B15B9A" w:rsidP="004A2F16">
            <w:pPr>
              <w:spacing w:after="0"/>
              <w:jc w:val="left"/>
              <w:rPr>
                <w:color w:val="314364" w:themeColor="text2"/>
                <w:sz w:val="18"/>
                <w:szCs w:val="18"/>
              </w:rPr>
            </w:pPr>
            <w:r w:rsidRPr="000353E9">
              <w:rPr>
                <w:color w:val="314364" w:themeColor="text2"/>
                <w:sz w:val="18"/>
                <w:szCs w:val="18"/>
              </w:rPr>
              <w:t>OECD</w:t>
            </w:r>
          </w:p>
        </w:tc>
        <w:tc>
          <w:tcPr>
            <w:tcW w:w="2301" w:type="pct"/>
            <w:shd w:val="clear" w:color="auto" w:fill="auto"/>
          </w:tcPr>
          <w:p w14:paraId="67303F60" w14:textId="4D1870D3" w:rsidR="00B15B9A" w:rsidRDefault="00B15B9A" w:rsidP="004A2F16">
            <w:pPr>
              <w:spacing w:after="0"/>
              <w:ind w:right="299"/>
              <w:jc w:val="left"/>
              <w:rPr>
                <w:sz w:val="18"/>
                <w:szCs w:val="18"/>
              </w:rPr>
            </w:pPr>
            <w:r>
              <w:rPr>
                <w:sz w:val="18"/>
                <w:szCs w:val="18"/>
              </w:rPr>
              <w:t>Organizácia pre hospodársku spoluprácu a</w:t>
            </w:r>
            <w:r w:rsidR="00D7129E">
              <w:rPr>
                <w:sz w:val="18"/>
                <w:szCs w:val="18"/>
              </w:rPr>
              <w:t> </w:t>
            </w:r>
            <w:r>
              <w:rPr>
                <w:sz w:val="18"/>
                <w:szCs w:val="18"/>
              </w:rPr>
              <w:t>rozvoj</w:t>
            </w:r>
          </w:p>
          <w:p w14:paraId="391E89EC" w14:textId="200E7F24" w:rsidR="00D7129E" w:rsidRPr="0022251D" w:rsidRDefault="00D7129E" w:rsidP="004A2F16">
            <w:pPr>
              <w:spacing w:after="0"/>
              <w:ind w:right="299"/>
              <w:jc w:val="left"/>
              <w:rPr>
                <w:sz w:val="18"/>
                <w:szCs w:val="18"/>
              </w:rPr>
            </w:pPr>
          </w:p>
        </w:tc>
        <w:tc>
          <w:tcPr>
            <w:tcW w:w="539" w:type="pct"/>
          </w:tcPr>
          <w:p w14:paraId="639DF1EF" w14:textId="77777777" w:rsidR="00B15B9A" w:rsidRPr="0036463B" w:rsidRDefault="00B15B9A" w:rsidP="004A2F16">
            <w:pPr>
              <w:spacing w:after="0"/>
              <w:jc w:val="left"/>
              <w:rPr>
                <w:sz w:val="18"/>
                <w:szCs w:val="18"/>
              </w:rPr>
            </w:pPr>
            <w:r>
              <w:rPr>
                <w:color w:val="314364" w:themeColor="text2"/>
                <w:sz w:val="18"/>
                <w:szCs w:val="18"/>
              </w:rPr>
              <w:t>ŽSR</w:t>
            </w:r>
          </w:p>
        </w:tc>
        <w:tc>
          <w:tcPr>
            <w:tcW w:w="1615" w:type="pct"/>
          </w:tcPr>
          <w:p w14:paraId="3D573770" w14:textId="77777777" w:rsidR="00B15B9A" w:rsidRPr="0036463B" w:rsidRDefault="00B15B9A" w:rsidP="004A2F16">
            <w:pPr>
              <w:spacing w:after="0"/>
              <w:jc w:val="left"/>
              <w:rPr>
                <w:sz w:val="18"/>
                <w:szCs w:val="18"/>
              </w:rPr>
            </w:pPr>
            <w:r w:rsidRPr="006008E9">
              <w:rPr>
                <w:sz w:val="18"/>
                <w:szCs w:val="18"/>
              </w:rPr>
              <w:t>Železnice Slovenskej republiky</w:t>
            </w:r>
          </w:p>
        </w:tc>
      </w:tr>
    </w:tbl>
    <w:p w14:paraId="35A08F4D" w14:textId="14AFD695" w:rsidR="001609D9" w:rsidRDefault="001609D9" w:rsidP="002C027A">
      <w:pPr>
        <w:pStyle w:val="vodZverZhrnutie"/>
      </w:pPr>
      <w:bookmarkStart w:id="2" w:name="_Toc198637709"/>
      <w:r>
        <w:lastRenderedPageBreak/>
        <w:t>Zhrnutie</w:t>
      </w:r>
      <w:bookmarkEnd w:id="2"/>
    </w:p>
    <w:p w14:paraId="310903E5" w14:textId="205ACCB3" w:rsidR="00002874" w:rsidRDefault="00002874" w:rsidP="00002874">
      <w:pPr>
        <w:rPr>
          <w:i/>
          <w:noProof/>
          <w:lang w:eastAsia="sk-SK"/>
        </w:rPr>
      </w:pPr>
      <w:bookmarkStart w:id="3" w:name="_Toc53475707"/>
      <w:bookmarkEnd w:id="1"/>
      <w:r w:rsidRPr="00AF7E26">
        <w:rPr>
          <w:rFonts w:eastAsia="Calibri" w:cs="Segoe UI"/>
          <w:i/>
        </w:rPr>
        <w:t>Stanovisko NKÚ SR k návrhu ŠZÚ SR za rok 202</w:t>
      </w:r>
      <w:r>
        <w:rPr>
          <w:rFonts w:eastAsia="Calibri" w:cs="Segoe UI"/>
          <w:i/>
        </w:rPr>
        <w:t>4</w:t>
      </w:r>
      <w:r w:rsidRPr="00AF7E26">
        <w:rPr>
          <w:rFonts w:eastAsia="Calibri" w:cs="Segoe UI"/>
          <w:i/>
        </w:rPr>
        <w:t xml:space="preserve"> je vypracované v súlade s ustanovením § 5 ods. 1 zákona o NKÚ SR a vychádza z kontrol</w:t>
      </w:r>
      <w:r>
        <w:rPr>
          <w:rFonts w:eastAsia="Calibri" w:cs="Segoe UI"/>
          <w:i/>
        </w:rPr>
        <w:t xml:space="preserve"> a analýz hospodáren</w:t>
      </w:r>
      <w:r w:rsidR="005211A9">
        <w:rPr>
          <w:rFonts w:eastAsia="Calibri" w:cs="Segoe UI"/>
          <w:i/>
        </w:rPr>
        <w:t>ia</w:t>
      </w:r>
      <w:r>
        <w:rPr>
          <w:rFonts w:eastAsia="Calibri" w:cs="Segoe UI"/>
          <w:i/>
        </w:rPr>
        <w:t xml:space="preserve"> s verejnými zdrojmi v roku 2024 v kapitolách štátneho rozpočtu </w:t>
      </w:r>
      <w:r w:rsidRPr="00AF7E26">
        <w:rPr>
          <w:rFonts w:eastAsia="Calibri" w:cs="Segoe UI"/>
          <w:i/>
        </w:rPr>
        <w:t xml:space="preserve">a v </w:t>
      </w:r>
      <w:r w:rsidRPr="00170159">
        <w:rPr>
          <w:rFonts w:eastAsia="Calibri" w:cs="Segoe UI"/>
          <w:i/>
        </w:rPr>
        <w:t xml:space="preserve">ostatných subjektoch </w:t>
      </w:r>
      <w:r>
        <w:rPr>
          <w:rFonts w:eastAsia="Calibri" w:cs="Segoe UI"/>
          <w:i/>
        </w:rPr>
        <w:t>verejnej správy</w:t>
      </w:r>
      <w:r w:rsidRPr="00170159">
        <w:rPr>
          <w:rFonts w:eastAsia="Calibri" w:cs="Segoe UI"/>
          <w:i/>
        </w:rPr>
        <w:t xml:space="preserve">. </w:t>
      </w:r>
      <w:r w:rsidRPr="00452C79">
        <w:rPr>
          <w:i/>
          <w:noProof/>
          <w:lang w:eastAsia="sk-SK"/>
        </w:rPr>
        <w:t xml:space="preserve">NKÚ SR </w:t>
      </w:r>
      <w:r>
        <w:rPr>
          <w:i/>
          <w:noProof/>
          <w:lang w:eastAsia="sk-SK"/>
        </w:rPr>
        <w:t xml:space="preserve">sa pri tvorbe stanoviska zameral aj na vyhodnotenie verejných politík v kontexte plnenia stanovených cieľov vlády, teda na ich zúčtovateľnosť. Dôvodom je skutočnosť, že samotné sledovanie hospodárenia nevypovedá o tom, či čerpané prostriedky splnili svoj účel. V tejto súvislosti NKÚ SR </w:t>
      </w:r>
      <w:r w:rsidRPr="00452C79">
        <w:rPr>
          <w:i/>
          <w:noProof/>
          <w:lang w:eastAsia="sk-SK"/>
        </w:rPr>
        <w:t>upozorňuje</w:t>
      </w:r>
      <w:r>
        <w:rPr>
          <w:i/>
          <w:noProof/>
          <w:lang w:eastAsia="sk-SK"/>
        </w:rPr>
        <w:t>, že za realizáciu verejných politík sú zodpovedné jednotlivé vecne príslušné rezorty.</w:t>
      </w:r>
    </w:p>
    <w:p w14:paraId="1853BE36" w14:textId="11B75AF3" w:rsidR="000E7612" w:rsidRPr="00417089" w:rsidRDefault="00002874" w:rsidP="00002874">
      <w:pPr>
        <w:rPr>
          <w:noProof/>
          <w:lang w:eastAsia="sk-SK"/>
        </w:rPr>
      </w:pPr>
      <w:r w:rsidRPr="00DC3D99">
        <w:rPr>
          <w:b/>
          <w:noProof/>
          <w:lang w:eastAsia="sk-SK"/>
        </w:rPr>
        <w:t xml:space="preserve">Makroekonomický rámec rozpočtu na rok 2024 bol postavený na optimistickejších očakávaniach, </w:t>
      </w:r>
      <w:r w:rsidR="006A7833">
        <w:rPr>
          <w:b/>
          <w:noProof/>
          <w:lang w:eastAsia="sk-SK"/>
        </w:rPr>
        <w:t xml:space="preserve">ktoré sa nenaplnili, </w:t>
      </w:r>
      <w:r w:rsidRPr="00DC3D99">
        <w:rPr>
          <w:b/>
          <w:noProof/>
          <w:lang w:eastAsia="sk-SK"/>
        </w:rPr>
        <w:t xml:space="preserve">ale </w:t>
      </w:r>
      <w:r w:rsidR="006A7833">
        <w:rPr>
          <w:b/>
          <w:noProof/>
          <w:lang w:eastAsia="sk-SK"/>
        </w:rPr>
        <w:t xml:space="preserve">napriek tomu </w:t>
      </w:r>
      <w:r w:rsidRPr="00DC3D99">
        <w:rPr>
          <w:b/>
          <w:noProof/>
          <w:lang w:eastAsia="sk-SK"/>
        </w:rPr>
        <w:t>S</w:t>
      </w:r>
      <w:r w:rsidR="006A7833">
        <w:rPr>
          <w:b/>
          <w:noProof/>
          <w:lang w:eastAsia="sk-SK"/>
        </w:rPr>
        <w:t>R</w:t>
      </w:r>
      <w:r w:rsidRPr="00DC3D99">
        <w:rPr>
          <w:b/>
          <w:noProof/>
          <w:lang w:eastAsia="sk-SK"/>
        </w:rPr>
        <w:t xml:space="preserve"> patril</w:t>
      </w:r>
      <w:r w:rsidR="006A7833">
        <w:rPr>
          <w:b/>
          <w:noProof/>
          <w:lang w:eastAsia="sk-SK"/>
        </w:rPr>
        <w:t>a</w:t>
      </w:r>
      <w:r w:rsidRPr="00DC3D99">
        <w:rPr>
          <w:b/>
          <w:noProof/>
          <w:lang w:eastAsia="sk-SK"/>
        </w:rPr>
        <w:t xml:space="preserve"> v minulom roku stále k rýchlejšie rastúcim ekonomikám</w:t>
      </w:r>
      <w:r w:rsidR="006A7833">
        <w:rPr>
          <w:b/>
          <w:noProof/>
          <w:lang w:eastAsia="sk-SK"/>
        </w:rPr>
        <w:t xml:space="preserve"> EÚ</w:t>
      </w:r>
      <w:r w:rsidRPr="00DC3D99">
        <w:rPr>
          <w:b/>
          <w:noProof/>
          <w:lang w:eastAsia="sk-SK"/>
        </w:rPr>
        <w:t>.</w:t>
      </w:r>
      <w:r w:rsidR="00417089" w:rsidRPr="00417089">
        <w:t xml:space="preserve"> </w:t>
      </w:r>
      <w:r w:rsidR="00417089" w:rsidRPr="00417089">
        <w:rPr>
          <w:noProof/>
          <w:lang w:eastAsia="sk-SK"/>
        </w:rPr>
        <w:t xml:space="preserve">Reálny rast HDP zaostal za rozpočtom najmä pre pomalšie oživenie globálneho obchodu a slabší výkon nemeckého priemyslu, od ktorého je veľmi otvorená ekonomika </w:t>
      </w:r>
      <w:r w:rsidR="006A7833">
        <w:rPr>
          <w:noProof/>
          <w:lang w:eastAsia="sk-SK"/>
        </w:rPr>
        <w:t xml:space="preserve">SR </w:t>
      </w:r>
      <w:r w:rsidR="00417089" w:rsidRPr="00417089">
        <w:rPr>
          <w:noProof/>
          <w:lang w:eastAsia="sk-SK"/>
        </w:rPr>
        <w:t>závislá.</w:t>
      </w:r>
    </w:p>
    <w:p w14:paraId="41E726D5" w14:textId="41C28FC8" w:rsidR="00002874" w:rsidRDefault="00002874" w:rsidP="00002874">
      <w:pPr>
        <w:rPr>
          <w:noProof/>
          <w:lang w:eastAsia="sk-SK"/>
        </w:rPr>
      </w:pPr>
      <w:r w:rsidRPr="000E7612">
        <w:rPr>
          <w:b/>
          <w:noProof/>
          <w:lang w:eastAsia="sk-SK"/>
        </w:rPr>
        <w:t>Rozpočet</w:t>
      </w:r>
      <w:r w:rsidR="00417089">
        <w:rPr>
          <w:b/>
          <w:noProof/>
          <w:lang w:eastAsia="sk-SK"/>
        </w:rPr>
        <w:t xml:space="preserve"> na rok 2024</w:t>
      </w:r>
      <w:r w:rsidRPr="000E7612">
        <w:rPr>
          <w:b/>
          <w:noProof/>
          <w:lang w:eastAsia="sk-SK"/>
        </w:rPr>
        <w:t xml:space="preserve"> vznikal v skrátenom termíne po voľbách v závere roka a pri jeho zostavovaní</w:t>
      </w:r>
      <w:r w:rsidR="000E7612" w:rsidRPr="000E7612">
        <w:rPr>
          <w:b/>
          <w:noProof/>
          <w:lang w:eastAsia="sk-SK"/>
        </w:rPr>
        <w:t xml:space="preserve"> sa kládol</w:t>
      </w:r>
      <w:r w:rsidRPr="000E7612">
        <w:rPr>
          <w:b/>
          <w:noProof/>
          <w:lang w:eastAsia="sk-SK"/>
        </w:rPr>
        <w:t xml:space="preserve"> dôraz na rovnováhu medzi potrebnou konsolidáciou a zachovaním sociálneho štandardu.</w:t>
      </w:r>
      <w:r>
        <w:rPr>
          <w:noProof/>
          <w:lang w:eastAsia="sk-SK"/>
        </w:rPr>
        <w:t xml:space="preserve"> Medzi jeho najvýznamnejšie opatrenia môžeme zaradiť úpravy v 13. dôchodkoch a pokračujúcu plošnú energopomoc. Aj napriek zvýšeným zdravotným odvodom a zníženiu odvodov do II. piliera narástol dlh zdravotníckych zariadení a deficit systému sociálneho poistenia.</w:t>
      </w:r>
    </w:p>
    <w:p w14:paraId="5BC98D86" w14:textId="6FB790A4" w:rsidR="00002874" w:rsidRDefault="00002874" w:rsidP="00002874">
      <w:pPr>
        <w:rPr>
          <w:noProof/>
          <w:lang w:eastAsia="sk-SK"/>
        </w:rPr>
      </w:pPr>
      <w:r w:rsidRPr="00DC3D99">
        <w:rPr>
          <w:b/>
          <w:noProof/>
          <w:lang w:eastAsia="sk-SK"/>
        </w:rPr>
        <w:t xml:space="preserve">Štrukturálna nerovnováha príjmov a výdavkov sa prejavila v pokračujúcom zadlžovaní. </w:t>
      </w:r>
      <w:r>
        <w:t>Potreba krytia hotovostného schodku rozpočtu sa premietla do nárastu očakávaného dlhu</w:t>
      </w:r>
      <w:r w:rsidRPr="00B81452">
        <w:t xml:space="preserve"> o 1 mld. eur.</w:t>
      </w:r>
      <w:r>
        <w:t xml:space="preserve"> </w:t>
      </w:r>
      <w:r>
        <w:rPr>
          <w:noProof/>
          <w:lang w:eastAsia="sk-SK"/>
        </w:rPr>
        <w:t xml:space="preserve">Hrubý dlh verejnej správy dosiahol 59,3 % HDP, v prepočte na obyvateľa 14 328 eur. Medziročne dlh stúpol o 1 649 eur na obyvateľa, čiže o vyššiu sumu než v roku 2024 predstavovala priemerná mzda (1 524 eur). </w:t>
      </w:r>
      <w:r w:rsidRPr="00D96177">
        <w:rPr>
          <w:noProof/>
          <w:lang w:eastAsia="sk-SK"/>
        </w:rPr>
        <w:t xml:space="preserve">Dlhodobé deficitné hospodárenie a riziká vo fiškálnej politike </w:t>
      </w:r>
      <w:r>
        <w:rPr>
          <w:noProof/>
          <w:lang w:eastAsia="sk-SK"/>
        </w:rPr>
        <w:t>sa odzrkadlili</w:t>
      </w:r>
      <w:r w:rsidRPr="00D96177">
        <w:rPr>
          <w:noProof/>
          <w:lang w:eastAsia="sk-SK"/>
        </w:rPr>
        <w:t xml:space="preserve"> v</w:t>
      </w:r>
      <w:r>
        <w:rPr>
          <w:noProof/>
          <w:lang w:eastAsia="sk-SK"/>
        </w:rPr>
        <w:t> </w:t>
      </w:r>
      <w:r w:rsidRPr="00D96177">
        <w:rPr>
          <w:noProof/>
          <w:lang w:eastAsia="sk-SK"/>
        </w:rPr>
        <w:t>horš</w:t>
      </w:r>
      <w:r>
        <w:rPr>
          <w:noProof/>
          <w:lang w:eastAsia="sk-SK"/>
        </w:rPr>
        <w:t xml:space="preserve">om medzinárodnom ratingu, čo vytvorilo </w:t>
      </w:r>
      <w:r w:rsidRPr="00D96177">
        <w:rPr>
          <w:noProof/>
          <w:lang w:eastAsia="sk-SK"/>
        </w:rPr>
        <w:t>priestor na vyššiu rizikovú prirážku slovenských dlhopisov a</w:t>
      </w:r>
      <w:r>
        <w:rPr>
          <w:noProof/>
          <w:lang w:eastAsia="sk-SK"/>
        </w:rPr>
        <w:t> </w:t>
      </w:r>
      <w:r w:rsidRPr="00D96177">
        <w:rPr>
          <w:noProof/>
          <w:lang w:eastAsia="sk-SK"/>
        </w:rPr>
        <w:t>tým aj vyššie náklady na financovanie dlhu</w:t>
      </w:r>
      <w:r w:rsidR="00FD2661">
        <w:rPr>
          <w:noProof/>
          <w:lang w:eastAsia="sk-SK"/>
        </w:rPr>
        <w:t>, ktoré</w:t>
      </w:r>
      <w:r>
        <w:rPr>
          <w:noProof/>
          <w:lang w:eastAsia="sk-SK"/>
        </w:rPr>
        <w:t xml:space="preserve"> medziročne stúpli o 116 mil. e</w:t>
      </w:r>
      <w:r w:rsidR="00FD2661">
        <w:rPr>
          <w:noProof/>
          <w:lang w:eastAsia="sk-SK"/>
        </w:rPr>
        <w:t>u</w:t>
      </w:r>
      <w:r>
        <w:rPr>
          <w:noProof/>
          <w:lang w:eastAsia="sk-SK"/>
        </w:rPr>
        <w:t xml:space="preserve">r na 1,2 mld. eur. </w:t>
      </w:r>
    </w:p>
    <w:p w14:paraId="5E4726D8" w14:textId="1DBD7BB6" w:rsidR="00002874" w:rsidRDefault="00002874" w:rsidP="00002874">
      <w:pPr>
        <w:rPr>
          <w:noProof/>
          <w:lang w:eastAsia="sk-SK"/>
        </w:rPr>
      </w:pPr>
      <w:r w:rsidRPr="00DC3D99">
        <w:rPr>
          <w:b/>
          <w:noProof/>
          <w:lang w:eastAsia="sk-SK"/>
        </w:rPr>
        <w:t>Rozpočet na rok 2024 bol schválen</w:t>
      </w:r>
      <w:r w:rsidR="0087794C">
        <w:rPr>
          <w:b/>
          <w:noProof/>
          <w:lang w:eastAsia="sk-SK"/>
        </w:rPr>
        <w:t>ý</w:t>
      </w:r>
      <w:r w:rsidRPr="00DC3D99">
        <w:rPr>
          <w:b/>
          <w:noProof/>
          <w:lang w:eastAsia="sk-SK"/>
        </w:rPr>
        <w:t xml:space="preserve"> bez uplatňovania limitu verejných výdavkov</w:t>
      </w:r>
      <w:r w:rsidR="005211A9">
        <w:rPr>
          <w:b/>
          <w:noProof/>
          <w:lang w:eastAsia="sk-SK"/>
        </w:rPr>
        <w:t>.</w:t>
      </w:r>
      <w:r w:rsidRPr="00DC3D99">
        <w:rPr>
          <w:b/>
          <w:noProof/>
          <w:lang w:eastAsia="sk-SK"/>
        </w:rPr>
        <w:t xml:space="preserve"> </w:t>
      </w:r>
      <w:r w:rsidR="005211A9">
        <w:rPr>
          <w:b/>
          <w:noProof/>
          <w:lang w:eastAsia="sk-SK"/>
        </w:rPr>
        <w:t>Limit</w:t>
      </w:r>
      <w:r w:rsidRPr="00DC3D99">
        <w:rPr>
          <w:b/>
          <w:noProof/>
          <w:lang w:eastAsia="sk-SK"/>
        </w:rPr>
        <w:t xml:space="preserve"> bol schválený dodatočne, spolu s novelou rozpočtových pravidiel verejnej správy v máji 2024, a to vo výške 57,7 mld. eur.</w:t>
      </w:r>
      <w:r>
        <w:rPr>
          <w:noProof/>
          <w:lang w:eastAsia="sk-SK"/>
        </w:rPr>
        <w:t xml:space="preserve"> Limit bol následne rozdelený na kapitoly, ktoré o jeho plnení mali informovať vo svojich záverečných účtoch. </w:t>
      </w:r>
      <w:r w:rsidR="00DC3D99">
        <w:rPr>
          <w:noProof/>
          <w:lang w:eastAsia="sk-SK"/>
        </w:rPr>
        <w:t>Niektoré</w:t>
      </w:r>
      <w:r>
        <w:rPr>
          <w:noProof/>
          <w:lang w:eastAsia="sk-SK"/>
        </w:rPr>
        <w:t xml:space="preserve"> rozpočové kapitoly sa uspokojili s konštatovaním, že limit splnili a iné to podrobnejšie rozpísali (napr. </w:t>
      </w:r>
      <w:r w:rsidRPr="00844B91">
        <w:rPr>
          <w:noProof/>
          <w:lang w:eastAsia="sk-SK"/>
        </w:rPr>
        <w:t>MF SR, MV SR, MŽP SR</w:t>
      </w:r>
      <w:r>
        <w:rPr>
          <w:noProof/>
          <w:lang w:eastAsia="sk-SK"/>
        </w:rPr>
        <w:t xml:space="preserve">). </w:t>
      </w:r>
    </w:p>
    <w:p w14:paraId="6AAA0C26" w14:textId="37519DD5" w:rsidR="00002874" w:rsidRDefault="00002874" w:rsidP="00002874">
      <w:pPr>
        <w:rPr>
          <w:noProof/>
          <w:lang w:eastAsia="sk-SK"/>
        </w:rPr>
      </w:pPr>
      <w:r w:rsidRPr="00DC3D99">
        <w:rPr>
          <w:b/>
          <w:noProof/>
          <w:lang w:eastAsia="sk-SK"/>
        </w:rPr>
        <w:t>Počas roka 2024 uplynulo aj 20. výročie vstupu Slovenska do EÚ</w:t>
      </w:r>
      <w:r w:rsidR="00DC3D99" w:rsidRPr="00DC3D99">
        <w:rPr>
          <w:b/>
          <w:noProof/>
          <w:lang w:eastAsia="sk-SK"/>
        </w:rPr>
        <w:t>, pričom</w:t>
      </w:r>
      <w:r w:rsidRPr="00DC3D99">
        <w:rPr>
          <w:b/>
          <w:noProof/>
          <w:lang w:eastAsia="sk-SK"/>
        </w:rPr>
        <w:t xml:space="preserve"> </w:t>
      </w:r>
      <w:r w:rsidR="00DC3D99" w:rsidRPr="00DC3D99">
        <w:rPr>
          <w:b/>
          <w:noProof/>
          <w:lang w:eastAsia="sk-SK"/>
        </w:rPr>
        <w:t>z</w:t>
      </w:r>
      <w:r w:rsidRPr="00DC3D99">
        <w:rPr>
          <w:b/>
          <w:noProof/>
          <w:lang w:eastAsia="sk-SK"/>
        </w:rPr>
        <w:t>a tento čas bola SR čistým príjmateľom so sumou necelých 25,6 mld. eur.</w:t>
      </w:r>
      <w:r>
        <w:rPr>
          <w:noProof/>
          <w:lang w:eastAsia="sk-SK"/>
        </w:rPr>
        <w:t xml:space="preserve"> </w:t>
      </w:r>
      <w:r w:rsidR="00DC3D99">
        <w:rPr>
          <w:noProof/>
          <w:lang w:eastAsia="sk-SK"/>
        </w:rPr>
        <w:t>SR</w:t>
      </w:r>
      <w:r>
        <w:rPr>
          <w:noProof/>
          <w:lang w:eastAsia="sk-SK"/>
        </w:rPr>
        <w:t xml:space="preserve"> však za ten čas ne</w:t>
      </w:r>
      <w:r w:rsidR="006A7833">
        <w:rPr>
          <w:noProof/>
          <w:lang w:eastAsia="sk-SK"/>
        </w:rPr>
        <w:t>dokázal</w:t>
      </w:r>
      <w:r w:rsidR="0087794C">
        <w:rPr>
          <w:noProof/>
          <w:lang w:eastAsia="sk-SK"/>
        </w:rPr>
        <w:t>a</w:t>
      </w:r>
      <w:r>
        <w:rPr>
          <w:noProof/>
          <w:lang w:eastAsia="sk-SK"/>
        </w:rPr>
        <w:t xml:space="preserve"> plynul</w:t>
      </w:r>
      <w:r w:rsidR="005211A9">
        <w:rPr>
          <w:noProof/>
          <w:lang w:eastAsia="sk-SK"/>
        </w:rPr>
        <w:t>o</w:t>
      </w:r>
      <w:r>
        <w:rPr>
          <w:noProof/>
          <w:lang w:eastAsia="sk-SK"/>
        </w:rPr>
        <w:t xml:space="preserve"> čerpať dostupné zdroje a najviac sa čerpalo vždy na konci programového obdobia. V 2024 prijala SR najviac prostriedkov paradoxne z ukončujúceho obdobia 2014 – 2020. </w:t>
      </w:r>
      <w:r w:rsidR="0087794C">
        <w:rPr>
          <w:noProof/>
          <w:lang w:eastAsia="sk-SK"/>
        </w:rPr>
        <w:t>Č</w:t>
      </w:r>
      <w:r>
        <w:rPr>
          <w:noProof/>
          <w:lang w:eastAsia="sk-SK"/>
        </w:rPr>
        <w:t xml:space="preserve">erpanie aktuálneho obdobia 2021 – 2027 začalo až v roku 2024, </w:t>
      </w:r>
      <w:r w:rsidR="0087794C">
        <w:rPr>
          <w:noProof/>
          <w:lang w:eastAsia="sk-SK"/>
        </w:rPr>
        <w:t>v ktorom</w:t>
      </w:r>
      <w:r>
        <w:rPr>
          <w:noProof/>
          <w:lang w:eastAsia="sk-SK"/>
        </w:rPr>
        <w:t xml:space="preserve"> sa vyčerpalo 388,1 mil. eu, čo predstavuje 3 % celkovej alokácie. </w:t>
      </w:r>
    </w:p>
    <w:p w14:paraId="18A10C49" w14:textId="77777777" w:rsidR="00002874" w:rsidRDefault="00002874" w:rsidP="00002874">
      <w:pPr>
        <w:rPr>
          <w:rFonts w:cs="Segoe UI"/>
          <w:szCs w:val="20"/>
        </w:rPr>
      </w:pPr>
      <w:r w:rsidRPr="00DC3D99">
        <w:rPr>
          <w:b/>
          <w:noProof/>
          <w:lang w:eastAsia="sk-SK"/>
        </w:rPr>
        <w:t>Zdroje EÚ sa v roku 2024 využívali na rôzne účely vrátane plošnej energopomoci.</w:t>
      </w:r>
      <w:r>
        <w:rPr>
          <w:noProof/>
          <w:lang w:eastAsia="sk-SK"/>
        </w:rPr>
        <w:t xml:space="preserve"> V roku 2024 smerovalo do energopomoci celkovo 1,2 mld. eur, z čoho </w:t>
      </w:r>
      <w:r w:rsidRPr="00F76C73">
        <w:rPr>
          <w:noProof/>
          <w:lang w:eastAsia="sk-SK"/>
        </w:rPr>
        <w:t>bolo 437 mil. eur z</w:t>
      </w:r>
      <w:r>
        <w:rPr>
          <w:noProof/>
          <w:lang w:eastAsia="sk-SK"/>
        </w:rPr>
        <w:t>o zdrojov</w:t>
      </w:r>
      <w:r w:rsidRPr="00F76C73">
        <w:rPr>
          <w:noProof/>
          <w:lang w:eastAsia="sk-SK"/>
        </w:rPr>
        <w:t xml:space="preserve"> EÚ. </w:t>
      </w:r>
      <w:r w:rsidRPr="00F76C73">
        <w:rPr>
          <w:rFonts w:cs="Segoe UI"/>
          <w:szCs w:val="20"/>
        </w:rPr>
        <w:t xml:space="preserve">Celkové výdavky na </w:t>
      </w:r>
      <w:proofErr w:type="spellStart"/>
      <w:r w:rsidRPr="00F76C73">
        <w:rPr>
          <w:rFonts w:cs="Segoe UI"/>
          <w:szCs w:val="20"/>
        </w:rPr>
        <w:t>energopomoc</w:t>
      </w:r>
      <w:proofErr w:type="spellEnd"/>
      <w:r w:rsidRPr="00F76C73">
        <w:rPr>
          <w:rFonts w:cs="Segoe UI"/>
          <w:szCs w:val="20"/>
        </w:rPr>
        <w:t xml:space="preserve"> za ro</w:t>
      </w:r>
      <w:r>
        <w:rPr>
          <w:rFonts w:cs="Segoe UI"/>
          <w:szCs w:val="20"/>
        </w:rPr>
        <w:t>ky 2022 až 2024 dosiahli 4,2 mld</w:t>
      </w:r>
      <w:r w:rsidRPr="00F76C73">
        <w:rPr>
          <w:rFonts w:cs="Segoe UI"/>
          <w:szCs w:val="20"/>
        </w:rPr>
        <w:t>. eur, z toho 3</w:t>
      </w:r>
      <w:r>
        <w:rPr>
          <w:rFonts w:cs="Segoe UI"/>
          <w:szCs w:val="20"/>
        </w:rPr>
        <w:t xml:space="preserve">,3 </w:t>
      </w:r>
      <w:r w:rsidRPr="00F76C73">
        <w:rPr>
          <w:rFonts w:cs="Segoe UI"/>
          <w:szCs w:val="20"/>
        </w:rPr>
        <w:t>m</w:t>
      </w:r>
      <w:r>
        <w:rPr>
          <w:rFonts w:cs="Segoe UI"/>
          <w:szCs w:val="20"/>
        </w:rPr>
        <w:t>ld</w:t>
      </w:r>
      <w:r w:rsidRPr="00F76C73">
        <w:rPr>
          <w:rFonts w:cs="Segoe UI"/>
          <w:szCs w:val="20"/>
        </w:rPr>
        <w:t xml:space="preserve">. eur bolo zo </w:t>
      </w:r>
      <w:r>
        <w:rPr>
          <w:rFonts w:cs="Segoe UI"/>
          <w:szCs w:val="20"/>
        </w:rPr>
        <w:t>štátneho rozpočtu</w:t>
      </w:r>
      <w:r w:rsidRPr="00F76C73">
        <w:rPr>
          <w:rFonts w:cs="Segoe UI"/>
          <w:szCs w:val="20"/>
        </w:rPr>
        <w:t xml:space="preserve"> a</w:t>
      </w:r>
      <w:r>
        <w:rPr>
          <w:rFonts w:cs="Segoe UI"/>
          <w:szCs w:val="20"/>
        </w:rPr>
        <w:t> 0,9</w:t>
      </w:r>
      <w:r w:rsidRPr="00F76C73">
        <w:rPr>
          <w:rFonts w:cs="Segoe UI"/>
          <w:szCs w:val="20"/>
        </w:rPr>
        <w:t xml:space="preserve"> m</w:t>
      </w:r>
      <w:r>
        <w:rPr>
          <w:rFonts w:cs="Segoe UI"/>
          <w:szCs w:val="20"/>
        </w:rPr>
        <w:t>ld</w:t>
      </w:r>
      <w:r w:rsidRPr="00F76C73">
        <w:rPr>
          <w:rFonts w:cs="Segoe UI"/>
          <w:szCs w:val="20"/>
        </w:rPr>
        <w:t>. eur pochádzalo zo zdrojov EÚ.</w:t>
      </w:r>
    </w:p>
    <w:p w14:paraId="7561175F" w14:textId="77777777" w:rsidR="00002874" w:rsidRDefault="00002874" w:rsidP="00002874">
      <w:pPr>
        <w:rPr>
          <w:noProof/>
          <w:lang w:eastAsia="sk-SK"/>
        </w:rPr>
      </w:pPr>
      <w:r w:rsidRPr="00DC3D99">
        <w:rPr>
          <w:b/>
          <w:noProof/>
          <w:lang w:eastAsia="sk-SK"/>
        </w:rPr>
        <w:t>Z plánu obnovy sa v roku 2024 čerpali prevažne kapitálové výdavky na realizáciu projektov v sume 785,6 mil. eur.</w:t>
      </w:r>
      <w:r>
        <w:rPr>
          <w:noProof/>
          <w:lang w:eastAsia="sk-SK"/>
        </w:rPr>
        <w:t xml:space="preserve"> Najväčší objem prostriedkov (222,1 mil. eur) bol poskytnutý na výstavbu, rekonštrukciu a vybavenie nemocníc v súvislosti s renováciou alebo vytvorením nových nemocničných lôžok. Slovensku sa zatiaľ podarilo splniť 32 % míľnikov a cieľov.</w:t>
      </w:r>
    </w:p>
    <w:p w14:paraId="64A95AF4" w14:textId="400AAE7A" w:rsidR="00DC3D99" w:rsidRDefault="00002874" w:rsidP="00002874">
      <w:pPr>
        <w:rPr>
          <w:rFonts w:cs="Segoe UI"/>
          <w:color w:val="000000"/>
          <w:szCs w:val="20"/>
        </w:rPr>
      </w:pPr>
      <w:r w:rsidRPr="00DC3D99">
        <w:rPr>
          <w:rFonts w:cs="Segoe UI"/>
          <w:b/>
          <w:color w:val="000000"/>
          <w:szCs w:val="20"/>
        </w:rPr>
        <w:lastRenderedPageBreak/>
        <w:t>Zásadný vplyv na udržateľnosť verejných financií mali aj výdavky na dôchodky, ktoré dosiahli 10,5 mld. eur</w:t>
      </w:r>
      <w:r w:rsidR="005211A9">
        <w:rPr>
          <w:rFonts w:cs="Segoe UI"/>
          <w:b/>
          <w:color w:val="000000"/>
          <w:szCs w:val="20"/>
        </w:rPr>
        <w:t xml:space="preserve"> a medziročne sa zvýšili o 14,8 %.</w:t>
      </w:r>
      <w:r>
        <w:rPr>
          <w:rFonts w:cs="Segoe UI"/>
          <w:b/>
          <w:color w:val="000000"/>
          <w:szCs w:val="20"/>
        </w:rPr>
        <w:t xml:space="preserve"> </w:t>
      </w:r>
      <w:r w:rsidR="00FD2661" w:rsidRPr="00DC3D99">
        <w:rPr>
          <w:b/>
          <w:noProof/>
          <w:lang w:eastAsia="sk-SK"/>
        </w:rPr>
        <w:t>Dôchodková politika spôsobila deficitné hospodárenie Sociálnej poisťovne a nutnosť jeho vyrovnania historicky najvyšším transferom vo výške 2,72 mld. eur zo štátneho rozpočtu.</w:t>
      </w:r>
      <w:r w:rsidR="00FD2661" w:rsidRPr="00417089">
        <w:t xml:space="preserve"> Zvyšný deficit riešila poisťovňa</w:t>
      </w:r>
      <w:r w:rsidR="00FD2661" w:rsidRPr="00417089">
        <w:rPr>
          <w:noProof/>
          <w:lang w:eastAsia="sk-SK"/>
        </w:rPr>
        <w:t xml:space="preserve"> presunmi z</w:t>
      </w:r>
      <w:r w:rsidR="00FD2661">
        <w:rPr>
          <w:noProof/>
          <w:lang w:eastAsia="sk-SK"/>
        </w:rPr>
        <w:t> ostatných základných</w:t>
      </w:r>
      <w:r w:rsidR="00FD2661" w:rsidRPr="00417089">
        <w:rPr>
          <w:noProof/>
          <w:lang w:eastAsia="sk-SK"/>
        </w:rPr>
        <w:t xml:space="preserve"> fondov v sume 2,89 mld. eur.</w:t>
      </w:r>
      <w:r w:rsidR="00FD2661">
        <w:rPr>
          <w:noProof/>
          <w:lang w:eastAsia="sk-SK"/>
        </w:rPr>
        <w:t xml:space="preserve"> </w:t>
      </w:r>
      <w:r w:rsidR="005211A9" w:rsidRPr="005211A9">
        <w:rPr>
          <w:rFonts w:cs="Segoe UI"/>
          <w:color w:val="000000"/>
          <w:szCs w:val="20"/>
        </w:rPr>
        <w:t>Z</w:t>
      </w:r>
      <w:r w:rsidR="005211A9" w:rsidRPr="000D06ED">
        <w:rPr>
          <w:rFonts w:cs="Segoe UI"/>
          <w:color w:val="000000"/>
          <w:szCs w:val="20"/>
        </w:rPr>
        <w:t>aveden</w:t>
      </w:r>
      <w:r w:rsidR="005211A9">
        <w:rPr>
          <w:rFonts w:cs="Segoe UI"/>
          <w:color w:val="000000"/>
          <w:szCs w:val="20"/>
        </w:rPr>
        <w:t>ie</w:t>
      </w:r>
      <w:r w:rsidR="005211A9" w:rsidRPr="000D06ED">
        <w:rPr>
          <w:rFonts w:cs="Segoe UI"/>
          <w:color w:val="000000"/>
          <w:szCs w:val="20"/>
        </w:rPr>
        <w:t xml:space="preserve"> 13. dôchodku</w:t>
      </w:r>
      <w:r w:rsidR="005211A9">
        <w:rPr>
          <w:rFonts w:cs="Segoe UI"/>
          <w:color w:val="000000"/>
          <w:szCs w:val="20"/>
        </w:rPr>
        <w:t xml:space="preserve"> pre všetkých dôchodcov</w:t>
      </w:r>
      <w:r w:rsidR="005211A9" w:rsidRPr="000D06ED">
        <w:rPr>
          <w:rFonts w:cs="Segoe UI"/>
          <w:color w:val="000000"/>
          <w:szCs w:val="20"/>
        </w:rPr>
        <w:t>, vyplaten</w:t>
      </w:r>
      <w:r w:rsidR="005211A9">
        <w:rPr>
          <w:rFonts w:cs="Segoe UI"/>
          <w:color w:val="000000"/>
          <w:szCs w:val="20"/>
        </w:rPr>
        <w:t>ie</w:t>
      </w:r>
      <w:r w:rsidR="005211A9" w:rsidRPr="000D06ED">
        <w:rPr>
          <w:rFonts w:cs="Segoe UI"/>
          <w:color w:val="000000"/>
          <w:szCs w:val="20"/>
        </w:rPr>
        <w:t xml:space="preserve"> rodičovského dôchodku</w:t>
      </w:r>
      <w:r w:rsidR="005211A9">
        <w:rPr>
          <w:rFonts w:cs="Segoe UI"/>
          <w:color w:val="000000"/>
          <w:szCs w:val="20"/>
        </w:rPr>
        <w:t>, valorizácia starobných dôchodkov ako aj vyšší</w:t>
      </w:r>
      <w:r w:rsidR="005211A9" w:rsidRPr="000D06ED">
        <w:rPr>
          <w:rFonts w:cs="Segoe UI"/>
          <w:color w:val="000000"/>
          <w:szCs w:val="20"/>
        </w:rPr>
        <w:t xml:space="preserve"> záuj</w:t>
      </w:r>
      <w:r w:rsidR="005211A9">
        <w:rPr>
          <w:rFonts w:cs="Segoe UI"/>
          <w:color w:val="000000"/>
          <w:szCs w:val="20"/>
        </w:rPr>
        <w:t>e</w:t>
      </w:r>
      <w:r w:rsidR="005211A9" w:rsidRPr="000D06ED">
        <w:rPr>
          <w:rFonts w:cs="Segoe UI"/>
          <w:color w:val="000000"/>
          <w:szCs w:val="20"/>
        </w:rPr>
        <w:t>m o</w:t>
      </w:r>
      <w:r w:rsidR="005211A9">
        <w:rPr>
          <w:rFonts w:cs="Segoe UI"/>
          <w:color w:val="000000"/>
          <w:szCs w:val="20"/>
        </w:rPr>
        <w:t> predčasné starobné dôchodky po odpracovaní 40 rokov tak v</w:t>
      </w:r>
      <w:r>
        <w:rPr>
          <w:rFonts w:cs="Segoe UI"/>
          <w:color w:val="000000"/>
          <w:szCs w:val="20"/>
        </w:rPr>
        <w:t> čase konsolidácie verejných financií</w:t>
      </w:r>
      <w:r w:rsidR="005211A9">
        <w:rPr>
          <w:rFonts w:cs="Segoe UI"/>
          <w:color w:val="000000"/>
          <w:szCs w:val="20"/>
        </w:rPr>
        <w:t xml:space="preserve"> </w:t>
      </w:r>
      <w:r>
        <w:rPr>
          <w:rFonts w:cs="Segoe UI"/>
          <w:color w:val="000000"/>
          <w:szCs w:val="20"/>
        </w:rPr>
        <w:t>vytvoril</w:t>
      </w:r>
      <w:r w:rsidR="005211A9">
        <w:rPr>
          <w:rFonts w:cs="Segoe UI"/>
          <w:color w:val="000000"/>
          <w:szCs w:val="20"/>
        </w:rPr>
        <w:t>i</w:t>
      </w:r>
      <w:r>
        <w:rPr>
          <w:rFonts w:cs="Segoe UI"/>
          <w:color w:val="000000"/>
          <w:szCs w:val="20"/>
        </w:rPr>
        <w:t xml:space="preserve"> tlak na štátny rozpočet. V 2024 dosiahla p</w:t>
      </w:r>
      <w:r>
        <w:rPr>
          <w:noProof/>
          <w:lang w:eastAsia="sk-SK"/>
        </w:rPr>
        <w:t xml:space="preserve">riemerná výška starobných dôchodkov 683,1 eur a predčasných starobných dôchodkov 733,15 eur. </w:t>
      </w:r>
      <w:r w:rsidR="0040672A">
        <w:rPr>
          <w:noProof/>
          <w:lang w:eastAsia="sk-SK"/>
        </w:rPr>
        <w:t xml:space="preserve">Podľa </w:t>
      </w:r>
      <w:r>
        <w:rPr>
          <w:rFonts w:cs="Segoe UI"/>
          <w:color w:val="000000"/>
          <w:szCs w:val="20"/>
        </w:rPr>
        <w:t xml:space="preserve">dostupných ukazovateľov </w:t>
      </w:r>
      <w:r w:rsidR="00DC3D99">
        <w:rPr>
          <w:rFonts w:cs="Segoe UI"/>
          <w:color w:val="000000"/>
          <w:szCs w:val="20"/>
        </w:rPr>
        <w:t xml:space="preserve">sa však </w:t>
      </w:r>
      <w:r>
        <w:rPr>
          <w:rFonts w:cs="Segoe UI"/>
          <w:color w:val="000000"/>
          <w:szCs w:val="20"/>
        </w:rPr>
        <w:t>sociálna situácia dôchodcov nezlepšuje</w:t>
      </w:r>
      <w:r w:rsidRPr="00031BF7">
        <w:rPr>
          <w:rFonts w:cs="Segoe UI"/>
          <w:color w:val="000000"/>
          <w:szCs w:val="20"/>
        </w:rPr>
        <w:t>.</w:t>
      </w:r>
    </w:p>
    <w:p w14:paraId="6145F295" w14:textId="2565BE5A" w:rsidR="00002874" w:rsidRPr="000E7612" w:rsidRDefault="00002874" w:rsidP="00002874">
      <w:pPr>
        <w:rPr>
          <w:b/>
          <w:noProof/>
          <w:lang w:eastAsia="sk-SK"/>
        </w:rPr>
      </w:pPr>
      <w:r w:rsidRPr="00DC3D99">
        <w:rPr>
          <w:b/>
          <w:noProof/>
          <w:lang w:eastAsia="sk-SK"/>
        </w:rPr>
        <w:t>Zdravotníctvo sa dlhodobo potýka s okruhom problémov, ktoré sa nedarí systematicky riešiť.</w:t>
      </w:r>
      <w:r>
        <w:rPr>
          <w:noProof/>
          <w:lang w:eastAsia="sk-SK"/>
        </w:rPr>
        <w:t xml:space="preserve"> Aj napriek tomu, že od roku 2019 rastú výdavky na verejné zdravotné poistenie rýchlejšie ako HDP, zadlženosť zdravotníckych zariadení naďalej rastie. Celkové záväzky </w:t>
      </w:r>
      <w:r w:rsidR="00FD2661">
        <w:rPr>
          <w:noProof/>
          <w:lang w:eastAsia="sk-SK"/>
        </w:rPr>
        <w:t xml:space="preserve">v rezorte </w:t>
      </w:r>
      <w:r>
        <w:rPr>
          <w:noProof/>
          <w:lang w:eastAsia="sk-SK"/>
        </w:rPr>
        <w:t>zdravotníc</w:t>
      </w:r>
      <w:r w:rsidR="00FD2661">
        <w:rPr>
          <w:noProof/>
          <w:lang w:eastAsia="sk-SK"/>
        </w:rPr>
        <w:t>tva</w:t>
      </w:r>
      <w:r>
        <w:rPr>
          <w:noProof/>
          <w:lang w:eastAsia="sk-SK"/>
        </w:rPr>
        <w:t xml:space="preserve"> na úrovni ist</w:t>
      </w:r>
      <w:r w:rsidR="005701FF">
        <w:rPr>
          <w:noProof/>
          <w:lang w:eastAsia="sk-SK"/>
        </w:rPr>
        <w:t>in</w:t>
      </w:r>
      <w:r>
        <w:rPr>
          <w:noProof/>
          <w:lang w:eastAsia="sk-SK"/>
        </w:rPr>
        <w:t xml:space="preserve">y presahujú 2 mld. eur a Slovensko pre </w:t>
      </w:r>
      <w:r w:rsidR="005701FF">
        <w:rPr>
          <w:noProof/>
          <w:lang w:eastAsia="sk-SK"/>
        </w:rPr>
        <w:t>oneskorené úhrady záväzkov</w:t>
      </w:r>
      <w:r>
        <w:rPr>
          <w:noProof/>
          <w:lang w:eastAsia="sk-SK"/>
        </w:rPr>
        <w:t xml:space="preserve"> zdravotníckych zariadení prehralo súdny spor s Európskou komisiou. NKÚ SR počas kontroly záväzkov </w:t>
      </w:r>
      <w:r w:rsidR="005701FF">
        <w:rPr>
          <w:noProof/>
          <w:lang w:eastAsia="sk-SK"/>
        </w:rPr>
        <w:t>zdravotníckych zariadení</w:t>
      </w:r>
      <w:r>
        <w:rPr>
          <w:noProof/>
          <w:lang w:eastAsia="sk-SK"/>
        </w:rPr>
        <w:t xml:space="preserve"> zistil na vzorke zmlúv (41,8. mil. eur), že príslušenstvo predstavuje 82 % hodnoty istiny (34 mil. eur), čo </w:t>
      </w:r>
      <w:r w:rsidR="006220C2">
        <w:rPr>
          <w:noProof/>
          <w:lang w:eastAsia="sk-SK"/>
        </w:rPr>
        <w:t>je</w:t>
      </w:r>
      <w:r>
        <w:rPr>
          <w:noProof/>
          <w:lang w:eastAsia="sk-SK"/>
        </w:rPr>
        <w:t xml:space="preserve"> len vrchol ľadovca zdrojov v zdravotníctve nevyužívaných na zdravotnú starostlivosť. </w:t>
      </w:r>
      <w:r w:rsidR="00FD2661" w:rsidRPr="00FD2661">
        <w:rPr>
          <w:b/>
          <w:noProof/>
          <w:lang w:eastAsia="sk-SK"/>
        </w:rPr>
        <w:t>Na základe série kontrol v</w:t>
      </w:r>
      <w:r w:rsidR="00FD2661">
        <w:rPr>
          <w:b/>
          <w:noProof/>
          <w:lang w:eastAsia="sk-SK"/>
        </w:rPr>
        <w:t> </w:t>
      </w:r>
      <w:r w:rsidR="00FD2661" w:rsidRPr="00FD2661">
        <w:rPr>
          <w:b/>
          <w:noProof/>
          <w:lang w:eastAsia="sk-SK"/>
        </w:rPr>
        <w:t>zdravotníctve NKÚ</w:t>
      </w:r>
      <w:r w:rsidR="00FD2661">
        <w:rPr>
          <w:b/>
          <w:noProof/>
          <w:lang w:eastAsia="sk-SK"/>
        </w:rPr>
        <w:t xml:space="preserve"> SR</w:t>
      </w:r>
      <w:r w:rsidR="00FD2661" w:rsidRPr="00FD2661">
        <w:rPr>
          <w:b/>
          <w:noProof/>
          <w:lang w:eastAsia="sk-SK"/>
        </w:rPr>
        <w:t xml:space="preserve"> zdôrazňuje, že hlavným problémom zdravotníctva nie je nedostatok zdrojov, ale ich neefektívne využívanie.</w:t>
      </w:r>
      <w:r w:rsidR="00FD2661" w:rsidRPr="00FD2661">
        <w:rPr>
          <w:noProof/>
          <w:lang w:eastAsia="sk-SK"/>
        </w:rPr>
        <w:t xml:space="preserve"> </w:t>
      </w:r>
      <w:r w:rsidRPr="000E7612">
        <w:rPr>
          <w:b/>
          <w:noProof/>
          <w:lang w:eastAsia="sk-SK"/>
        </w:rPr>
        <w:t xml:space="preserve">Je preto potrebná celková stabilizácia systému a zabezpečenie dôveryhodného a zodpovedného </w:t>
      </w:r>
      <w:r w:rsidR="00FD2661">
        <w:rPr>
          <w:b/>
          <w:noProof/>
          <w:lang w:eastAsia="sk-SK"/>
        </w:rPr>
        <w:t>finančného riadenia.</w:t>
      </w:r>
    </w:p>
    <w:p w14:paraId="537835F0" w14:textId="4DC406EB" w:rsidR="00002874" w:rsidRDefault="00002874" w:rsidP="00002874">
      <w:pPr>
        <w:rPr>
          <w:noProof/>
          <w:lang w:eastAsia="sk-SK"/>
        </w:rPr>
      </w:pPr>
      <w:r w:rsidRPr="00DC3D99">
        <w:rPr>
          <w:b/>
          <w:noProof/>
          <w:lang w:eastAsia="sk-SK"/>
        </w:rPr>
        <w:t xml:space="preserve">SR sa v roku 2024 podarilo priblížiť záväzku NATO s výdavkami na obranu vo výške 1,98 % HDP, čo zodpovedá 2,57 mld. eur. </w:t>
      </w:r>
      <w:r>
        <w:rPr>
          <w:noProof/>
          <w:lang w:eastAsia="sk-SK"/>
        </w:rPr>
        <w:t>Okrem prebiehajúcich obranných nákupov na stíhacie lietadlá F-16 (2,6 mld. eur) a obrnené bojové vozidlá (2,2 mld eur) začali v roku 2024 investície do</w:t>
      </w:r>
      <w:r w:rsidRPr="0040566C">
        <w:rPr>
          <w:noProof/>
          <w:lang w:eastAsia="sk-SK"/>
        </w:rPr>
        <w:t xml:space="preserve"> </w:t>
      </w:r>
      <w:r>
        <w:rPr>
          <w:noProof/>
          <w:lang w:eastAsia="sk-SK"/>
        </w:rPr>
        <w:t xml:space="preserve">nákladných vozidiel (0,7 mld eur) či protilietadlových systémov (0,6 mld. eur). NKÚ SR v rámci kontrolnej činnosti identifikoval nejasnosti pri oceňovaní vojenského majetku. </w:t>
      </w:r>
    </w:p>
    <w:p w14:paraId="45BA2309" w14:textId="7A23B28A" w:rsidR="00002874" w:rsidRDefault="00002874" w:rsidP="00002874">
      <w:pPr>
        <w:rPr>
          <w:noProof/>
          <w:lang w:eastAsia="sk-SK"/>
        </w:rPr>
      </w:pPr>
      <w:r w:rsidRPr="00DC3D99">
        <w:rPr>
          <w:b/>
          <w:noProof/>
          <w:lang w:eastAsia="sk-SK"/>
        </w:rPr>
        <w:t xml:space="preserve">V oblasti školstva NKÚ SR upozorňuje na problém pretrvávajúceho netransparentného </w:t>
      </w:r>
      <w:r w:rsidR="00DC3D99" w:rsidRPr="00DC3D99">
        <w:rPr>
          <w:b/>
          <w:noProof/>
          <w:lang w:eastAsia="sk-SK"/>
        </w:rPr>
        <w:t xml:space="preserve">programového </w:t>
      </w:r>
      <w:r w:rsidRPr="00DC3D99">
        <w:rPr>
          <w:b/>
          <w:noProof/>
          <w:lang w:eastAsia="sk-SK"/>
        </w:rPr>
        <w:t>rozpočtovania</w:t>
      </w:r>
      <w:r w:rsidR="000E7612">
        <w:rPr>
          <w:b/>
          <w:noProof/>
          <w:lang w:eastAsia="sk-SK"/>
        </w:rPr>
        <w:t xml:space="preserve"> a neplnenie cieľov</w:t>
      </w:r>
      <w:r w:rsidRPr="00DC3D99">
        <w:rPr>
          <w:b/>
          <w:noProof/>
          <w:lang w:eastAsia="sk-SK"/>
        </w:rPr>
        <w:t>.</w:t>
      </w:r>
      <w:r w:rsidRPr="00B62E26">
        <w:rPr>
          <w:noProof/>
          <w:lang w:eastAsia="sk-SK"/>
        </w:rPr>
        <w:t xml:space="preserve"> Aj v roku 2024 bolo približne 70 % výdavkov alokovaných na jeden program, pričom zmena systému financovania predprimárneho vzdelávania od roku 2025 tento balík ešte navýši. </w:t>
      </w:r>
      <w:r w:rsidR="005701FF">
        <w:rPr>
          <w:noProof/>
          <w:lang w:eastAsia="sk-SK"/>
        </w:rPr>
        <w:t>Zároveň NKÚ SR identifikoval množstvo</w:t>
      </w:r>
      <w:r w:rsidR="00FD2661">
        <w:rPr>
          <w:noProof/>
          <w:lang w:eastAsia="sk-SK"/>
        </w:rPr>
        <w:t xml:space="preserve"> o</w:t>
      </w:r>
      <w:r w:rsidRPr="00B62E26">
        <w:rPr>
          <w:noProof/>
          <w:lang w:eastAsia="sk-SK"/>
        </w:rPr>
        <w:t>bc</w:t>
      </w:r>
      <w:r w:rsidR="005701FF">
        <w:rPr>
          <w:noProof/>
          <w:lang w:eastAsia="sk-SK"/>
        </w:rPr>
        <w:t>í</w:t>
      </w:r>
      <w:r w:rsidRPr="00B62E26">
        <w:rPr>
          <w:noProof/>
          <w:lang w:eastAsia="sk-SK"/>
        </w:rPr>
        <w:t xml:space="preserve"> s nízkou dostupnosťou </w:t>
      </w:r>
      <w:r>
        <w:rPr>
          <w:noProof/>
          <w:lang w:eastAsia="sk-SK"/>
        </w:rPr>
        <w:t>materských škôl</w:t>
      </w:r>
      <w:r w:rsidRPr="00B62E26">
        <w:rPr>
          <w:noProof/>
          <w:lang w:eastAsia="sk-SK"/>
        </w:rPr>
        <w:t xml:space="preserve">, v ktorých sa z prostriedkov </w:t>
      </w:r>
      <w:r>
        <w:rPr>
          <w:noProof/>
          <w:lang w:eastAsia="sk-SK"/>
        </w:rPr>
        <w:t>plánu obnovy</w:t>
      </w:r>
      <w:r w:rsidRPr="00B62E26">
        <w:rPr>
          <w:noProof/>
          <w:lang w:eastAsia="sk-SK"/>
        </w:rPr>
        <w:t xml:space="preserve"> nevybudujú žiadne nové kapacity. </w:t>
      </w:r>
      <w:r>
        <w:rPr>
          <w:noProof/>
          <w:lang w:eastAsia="sk-SK"/>
        </w:rPr>
        <w:t>R</w:t>
      </w:r>
      <w:r w:rsidRPr="00B62E26">
        <w:rPr>
          <w:noProof/>
          <w:lang w:eastAsia="sk-SK"/>
        </w:rPr>
        <w:t>egionálneho školstva sa týka veľmi nízke čerpanie prostriedkov na individuálny profesijný rozvoj pedagogických a odborných zamestnancov – priemerné čerpanie z</w:t>
      </w:r>
      <w:r>
        <w:rPr>
          <w:noProof/>
          <w:lang w:eastAsia="sk-SK"/>
        </w:rPr>
        <w:t xml:space="preserve"> plánu obnovy </w:t>
      </w:r>
      <w:r w:rsidR="00FD2661">
        <w:rPr>
          <w:noProof/>
          <w:lang w:eastAsia="sk-SK"/>
        </w:rPr>
        <w:t>bolo 4,2 %.</w:t>
      </w:r>
    </w:p>
    <w:p w14:paraId="10DEEADC" w14:textId="7F6C68AF" w:rsidR="00002874" w:rsidRDefault="00002874" w:rsidP="00002874">
      <w:pPr>
        <w:rPr>
          <w:noProof/>
          <w:lang w:eastAsia="sk-SK"/>
        </w:rPr>
      </w:pPr>
      <w:r w:rsidRPr="00DC3D99">
        <w:rPr>
          <w:b/>
          <w:noProof/>
          <w:lang w:eastAsia="sk-SK"/>
        </w:rPr>
        <w:t>Tlak na verejné financie vytvára aj modernizačný dlh, ktorý narastá nielen v zdravotníctve či pri dopravnej infraštruktúre, ale aj v oblasti životného prostredia a vodárenskej infraštruktúry.</w:t>
      </w:r>
      <w:r>
        <w:rPr>
          <w:noProof/>
          <w:lang w:eastAsia="sk-SK"/>
        </w:rPr>
        <w:t xml:space="preserve"> SR je spomedzi krajín V4 posledná z </w:t>
      </w:r>
      <w:r w:rsidRPr="006A3E13">
        <w:rPr>
          <w:noProof/>
          <w:lang w:eastAsia="sk-SK"/>
        </w:rPr>
        <w:t>hľadiska pripojenia obyvateľov na systém verejnej kanalizácie. Ochrana pred povodňami nie je prioritou. Od roku 2010 štát nepreplatil S</w:t>
      </w:r>
      <w:r w:rsidR="006220C2">
        <w:rPr>
          <w:noProof/>
          <w:lang w:eastAsia="sk-SK"/>
        </w:rPr>
        <w:t>lovenskému vodohospodárskemu podniku</w:t>
      </w:r>
      <w:r w:rsidRPr="006A3E13">
        <w:rPr>
          <w:noProof/>
          <w:lang w:eastAsia="sk-SK"/>
        </w:rPr>
        <w:t xml:space="preserve"> približne 390 mil. eur nákladov na neregulované služby a každoročne sa tento schodok zvyšuje.</w:t>
      </w:r>
      <w:r>
        <w:rPr>
          <w:noProof/>
          <w:lang w:eastAsia="sk-SK"/>
        </w:rPr>
        <w:t xml:space="preserve"> Za rok 2024 bola požiadavka vo výške 57,7 mil. eur krytá na necelých 5 %. Na druhej strane sa kumulujú zdroje z predaja emisných kvót prostredníctvom Environmentálneho fondu, za rok 2024 v celkovej vý</w:t>
      </w:r>
      <w:r w:rsidR="005701FF">
        <w:rPr>
          <w:noProof/>
          <w:lang w:eastAsia="sk-SK"/>
        </w:rPr>
        <w:t>š</w:t>
      </w:r>
      <w:r>
        <w:rPr>
          <w:noProof/>
          <w:lang w:eastAsia="sk-SK"/>
        </w:rPr>
        <w:t xml:space="preserve">ke 2,4 mld. eur. </w:t>
      </w:r>
    </w:p>
    <w:p w14:paraId="1853624C" w14:textId="77777777" w:rsidR="006220C2" w:rsidRDefault="006220C2">
      <w:pPr>
        <w:spacing w:after="160" w:line="259" w:lineRule="auto"/>
        <w:jc w:val="left"/>
        <w:rPr>
          <w:noProof/>
          <w:lang w:eastAsia="sk-SK"/>
        </w:rPr>
      </w:pPr>
      <w:r>
        <w:rPr>
          <w:noProof/>
          <w:lang w:eastAsia="sk-SK"/>
        </w:rPr>
        <w:br w:type="page"/>
      </w:r>
    </w:p>
    <w:p w14:paraId="76F24943" w14:textId="77777777" w:rsidR="006C5C82" w:rsidRPr="00B62E26" w:rsidRDefault="006C5C82" w:rsidP="006C5C82">
      <w:pPr>
        <w:rPr>
          <w:noProof/>
          <w:lang w:eastAsia="sk-SK"/>
        </w:rPr>
        <w:sectPr w:rsidR="006C5C82" w:rsidRPr="00B62E26" w:rsidSect="00962F36">
          <w:headerReference w:type="default" r:id="rId14"/>
          <w:footerReference w:type="default" r:id="rId15"/>
          <w:pgSz w:w="11906" w:h="16838"/>
          <w:pgMar w:top="1418" w:right="1418" w:bottom="1134" w:left="1418" w:header="0" w:footer="709" w:gutter="0"/>
          <w:cols w:space="708"/>
          <w:docGrid w:linePitch="360"/>
        </w:sectPr>
      </w:pPr>
    </w:p>
    <w:p w14:paraId="055AD5BE" w14:textId="445B2885" w:rsidR="006220C2" w:rsidRDefault="005E0FEB" w:rsidP="00962C6D">
      <w:pPr>
        <w:spacing w:line="259" w:lineRule="auto"/>
        <w:rPr>
          <w:noProof/>
          <w:lang w:eastAsia="sk-SK"/>
        </w:rPr>
      </w:pPr>
      <w:r>
        <w:rPr>
          <w:rFonts w:eastAsia="Calibri" w:cs="Segoe UI"/>
          <w:i/>
          <w:noProof/>
          <w:lang w:eastAsia="sk-SK"/>
        </w:rPr>
        <w:lastRenderedPageBreak/>
        <w:drawing>
          <wp:anchor distT="0" distB="0" distL="114300" distR="114300" simplePos="0" relativeHeight="251660288" behindDoc="0" locked="0" layoutInCell="1" allowOverlap="1" wp14:anchorId="29B9B6F3" wp14:editId="4B36DE4B">
            <wp:simplePos x="0" y="0"/>
            <wp:positionH relativeFrom="column">
              <wp:posOffset>-298546</wp:posOffset>
            </wp:positionH>
            <wp:positionV relativeFrom="paragraph">
              <wp:posOffset>80</wp:posOffset>
            </wp:positionV>
            <wp:extent cx="6585994" cy="9007636"/>
            <wp:effectExtent l="0" t="0" r="5715" b="3175"/>
            <wp:wrapSquare wrapText="bothSides"/>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ZU 2024.png"/>
                    <pic:cNvPicPr/>
                  </pic:nvPicPr>
                  <pic:blipFill rotWithShape="1">
                    <a:blip r:embed="rId16" cstate="print">
                      <a:extLst>
                        <a:ext uri="{28A0092B-C50C-407E-A947-70E740481C1C}">
                          <a14:useLocalDpi xmlns:a14="http://schemas.microsoft.com/office/drawing/2010/main" val="0"/>
                        </a:ext>
                      </a:extLst>
                    </a:blip>
                    <a:srcRect t="8619"/>
                    <a:stretch/>
                  </pic:blipFill>
                  <pic:spPr bwMode="auto">
                    <a:xfrm>
                      <a:off x="0" y="0"/>
                      <a:ext cx="6588056" cy="901045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220C2">
        <w:rPr>
          <w:noProof/>
          <w:lang w:eastAsia="sk-SK"/>
        </w:rPr>
        <w:br w:type="page"/>
      </w:r>
    </w:p>
    <w:p w14:paraId="394BC179" w14:textId="09AE5913" w:rsidR="00F974EA" w:rsidRDefault="00F974EA" w:rsidP="00F54413">
      <w:pPr>
        <w:spacing w:after="160" w:line="259" w:lineRule="auto"/>
        <w:jc w:val="left"/>
        <w:rPr>
          <w:rFonts w:eastAsiaTheme="majorEastAsia" w:cstheme="majorBidi"/>
          <w:b/>
          <w:color w:val="314364"/>
          <w:position w:val="10"/>
          <w:sz w:val="32"/>
          <w:szCs w:val="32"/>
        </w:rPr>
        <w:sectPr w:rsidR="00F974EA" w:rsidSect="00962F36">
          <w:headerReference w:type="default" r:id="rId17"/>
          <w:pgSz w:w="11906" w:h="16838"/>
          <w:pgMar w:top="1418" w:right="1418" w:bottom="1134" w:left="1418" w:header="0" w:footer="709" w:gutter="0"/>
          <w:cols w:space="708"/>
          <w:docGrid w:linePitch="360"/>
        </w:sectPr>
      </w:pPr>
    </w:p>
    <w:p w14:paraId="74B9DE58" w14:textId="77777777" w:rsidR="00BA44CD" w:rsidRDefault="00BA44CD" w:rsidP="00BA44CD">
      <w:pPr>
        <w:pStyle w:val="Nadpis1"/>
      </w:pPr>
      <w:bookmarkStart w:id="4" w:name="_Toc198203252"/>
      <w:bookmarkStart w:id="5" w:name="_Toc198637710"/>
      <w:bookmarkEnd w:id="3"/>
      <w:r w:rsidRPr="00611F98">
        <w:lastRenderedPageBreak/>
        <w:t>Ekonomický rámec rozpočtového hospodárenia SR</w:t>
      </w:r>
      <w:bookmarkEnd w:id="4"/>
      <w:bookmarkEnd w:id="5"/>
    </w:p>
    <w:p w14:paraId="1993BA00" w14:textId="74287184" w:rsidR="00BA44CD" w:rsidRDefault="00BA44CD" w:rsidP="00BA44CD">
      <w:r w:rsidRPr="00DF1A99">
        <w:rPr>
          <w:b/>
        </w:rPr>
        <w:t>Slovenská ekonomika v roku 2024 vzrástla medziročne o</w:t>
      </w:r>
      <w:r>
        <w:rPr>
          <w:b/>
        </w:rPr>
        <w:t> </w:t>
      </w:r>
      <w:r w:rsidRPr="00DF1A99">
        <w:rPr>
          <w:b/>
        </w:rPr>
        <w:t>2</w:t>
      </w:r>
      <w:r>
        <w:rPr>
          <w:b/>
        </w:rPr>
        <w:t>,1</w:t>
      </w:r>
      <w:r w:rsidRPr="00DF1A99">
        <w:rPr>
          <w:b/>
        </w:rPr>
        <w:t xml:space="preserve"> %, pričom rast ťahal</w:t>
      </w:r>
      <w:r>
        <w:rPr>
          <w:b/>
        </w:rPr>
        <w:t>a</w:t>
      </w:r>
      <w:r w:rsidRPr="00DF1A99">
        <w:rPr>
          <w:b/>
        </w:rPr>
        <w:t xml:space="preserve"> predovšetkým spotreba domácností.</w:t>
      </w:r>
      <w:r>
        <w:t xml:space="preserve"> K jej rastu prispel stabilný trh práce, miernejšia inflácia a predzásobenie pred zvýšením sadzby DPH od januára 2025. Napriek tomu zostával celkový spotrebiteľský </w:t>
      </w:r>
      <w:proofErr w:type="spellStart"/>
      <w:r>
        <w:t>sentiment</w:t>
      </w:r>
      <w:proofErr w:type="spellEnd"/>
      <w:r>
        <w:t xml:space="preserve"> utlmený v dôsledku vysokej ekonomickej neistoty vyvolanej najmä oznámením fiškálnej konsolidácie v závere roka 2023. Inflácia dosiahla v priemere 2,8 %, pričom významný vplyv na jej spomalenie mali najmä ceny potravín a nealkoholických nápojov</w:t>
      </w:r>
      <w:r w:rsidR="00540B99">
        <w:t>,</w:t>
      </w:r>
      <w:r>
        <w:t xml:space="preserve"> ako aj ceny bývania a energií. Zamestnanosť v roku 2024 mierne klesla </w:t>
      </w:r>
      <w:r w:rsidR="00540B99" w:rsidRPr="00540B99">
        <w:t>–</w:t>
      </w:r>
      <w:r w:rsidR="00540B99">
        <w:t xml:space="preserve"> </w:t>
      </w:r>
      <w:r>
        <w:t>o 0,2 %, a to v dôsledku zvýšených odchodov do predčasného dôchodku. Miera nezamestnanosti zostala na 5,3 %, pričom stabilitu trhu práce podporoval hlavne prí</w:t>
      </w:r>
      <w:r w:rsidR="007F72D9">
        <w:t>lev</w:t>
      </w:r>
      <w:r>
        <w:t xml:space="preserve"> zahraničných pracovníkov.</w:t>
      </w:r>
    </w:p>
    <w:p w14:paraId="5353585B" w14:textId="6C50BA56" w:rsidR="00BA44CD" w:rsidRPr="00216D2D" w:rsidRDefault="00BA44CD" w:rsidP="00BA44CD">
      <w:r>
        <w:rPr>
          <w:b/>
        </w:rPr>
        <w:t xml:space="preserve">Makroekonomický rámec rozpočtu na rok 2024 bol postavený na optimistickejších očakávaniach </w:t>
      </w:r>
      <w:r>
        <w:t>(graf 1)</w:t>
      </w:r>
      <w:r>
        <w:rPr>
          <w:b/>
        </w:rPr>
        <w:t xml:space="preserve">. </w:t>
      </w:r>
      <w:r>
        <w:t>Reálny rast HDP zaostal za rozpočtom najmä</w:t>
      </w:r>
      <w:r w:rsidR="003469BA">
        <w:t xml:space="preserve"> pre</w:t>
      </w:r>
      <w:r>
        <w:t xml:space="preserve"> </w:t>
      </w:r>
      <w:r w:rsidR="003469BA">
        <w:t>pomalšie oživenie globálneho obchodu a</w:t>
      </w:r>
      <w:r>
        <w:t xml:space="preserve"> slabší výkon nemeckého priemyslu</w:t>
      </w:r>
      <w:r w:rsidR="003469BA">
        <w:t xml:space="preserve">, </w:t>
      </w:r>
      <w:r w:rsidR="00482926">
        <w:t xml:space="preserve">od ktorého </w:t>
      </w:r>
      <w:r w:rsidR="003469BA">
        <w:t xml:space="preserve">je veľmi otvorená slovenská ekonomika </w:t>
      </w:r>
      <w:r w:rsidR="00482926">
        <w:t>závislá</w:t>
      </w:r>
      <w:r w:rsidR="003469BA">
        <w:rPr>
          <w:rStyle w:val="Odkaznakomentr"/>
        </w:rPr>
        <w:t>.</w:t>
      </w:r>
      <w:r>
        <w:t xml:space="preserve"> Najvýraznejšia odchýlka nastala pri investíciách, ktoré ovplyvnil pomal</w:t>
      </w:r>
      <w:r w:rsidR="007F72D9">
        <w:t>ší</w:t>
      </w:r>
      <w:r>
        <w:t xml:space="preserve"> nábeh čerpania prostriedkov z POO, ako aj opatrnosť investorov v prostredí zvýšenej neistoty. Zahraničný obchod ovplyvnila najmä stagnácia exportu spôsobená slabým dopytom zo zahraničia a výpadkami v niektorých priemyselných sektoroch. </w:t>
      </w:r>
    </w:p>
    <w:p w14:paraId="3F718A67" w14:textId="1CA5FB80" w:rsidR="00BA44CD" w:rsidRPr="00BC3CA3" w:rsidRDefault="00BA44CD" w:rsidP="00BA44CD">
      <w:pPr>
        <w:pStyle w:val="Popis"/>
        <w:keepNext/>
        <w:rPr>
          <w:color w:val="314364"/>
        </w:rPr>
      </w:pPr>
      <w:r w:rsidRPr="00121099">
        <w:rPr>
          <w:color w:val="314364"/>
        </w:rPr>
        <w:t xml:space="preserve">Graf </w:t>
      </w:r>
      <w:r w:rsidRPr="00121099">
        <w:rPr>
          <w:color w:val="314364"/>
        </w:rPr>
        <w:fldChar w:fldCharType="begin"/>
      </w:r>
      <w:r w:rsidRPr="00121099">
        <w:rPr>
          <w:color w:val="314364"/>
        </w:rPr>
        <w:instrText xml:space="preserve"> SEQ Graf \* ARABIC </w:instrText>
      </w:r>
      <w:r w:rsidRPr="00121099">
        <w:rPr>
          <w:color w:val="314364"/>
        </w:rPr>
        <w:fldChar w:fldCharType="separate"/>
      </w:r>
      <w:r w:rsidR="00D24E68">
        <w:rPr>
          <w:noProof/>
          <w:color w:val="314364"/>
        </w:rPr>
        <w:t>1</w:t>
      </w:r>
      <w:r w:rsidRPr="00121099">
        <w:rPr>
          <w:color w:val="314364"/>
        </w:rPr>
        <w:fldChar w:fldCharType="end"/>
      </w:r>
      <w:r w:rsidRPr="00121099">
        <w:rPr>
          <w:color w:val="314364"/>
        </w:rPr>
        <w:t>: Porovnanie prog</w:t>
      </w:r>
      <w:r w:rsidRPr="00AF5A13">
        <w:rPr>
          <w:color w:val="314364"/>
        </w:rPr>
        <w:t xml:space="preserve">nózy </w:t>
      </w:r>
      <w:proofErr w:type="spellStart"/>
      <w:r w:rsidRPr="00AF5A13">
        <w:rPr>
          <w:color w:val="314364"/>
        </w:rPr>
        <w:t>VpMP</w:t>
      </w:r>
      <w:proofErr w:type="spellEnd"/>
      <w:r w:rsidRPr="00AF5A13">
        <w:rPr>
          <w:color w:val="314364"/>
        </w:rPr>
        <w:t xml:space="preserve"> a skutočnosti za rok 20</w:t>
      </w:r>
      <w:r>
        <w:rPr>
          <w:color w:val="314364"/>
        </w:rPr>
        <w:t>24 (medziročná zmena v %)</w:t>
      </w:r>
    </w:p>
    <w:tbl>
      <w:tblPr>
        <w:tblStyle w:val="Mriekatabuky"/>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95"/>
      </w:tblGrid>
      <w:tr w:rsidR="00BA44CD" w:rsidRPr="00C75134" w14:paraId="3FC1DA15" w14:textId="77777777" w:rsidTr="00AC1F7A">
        <w:trPr>
          <w:trHeight w:val="2983"/>
        </w:trPr>
        <w:tc>
          <w:tcPr>
            <w:tcW w:w="9071" w:type="dxa"/>
            <w:tcBorders>
              <w:top w:val="single" w:sz="4" w:space="0" w:color="314364"/>
              <w:bottom w:val="single" w:sz="4" w:space="0" w:color="314364"/>
            </w:tcBorders>
            <w:shd w:val="clear" w:color="auto" w:fill="FFFFFF" w:themeFill="background1"/>
            <w:vAlign w:val="center"/>
          </w:tcPr>
          <w:p w14:paraId="01D7681D" w14:textId="77777777" w:rsidR="00BA44CD" w:rsidRPr="00C75134" w:rsidRDefault="00BA44CD" w:rsidP="002E1FF0">
            <w:pPr>
              <w:spacing w:after="0"/>
              <w:rPr>
                <w:b/>
                <w:color w:val="576431"/>
              </w:rPr>
            </w:pPr>
            <w:r>
              <w:rPr>
                <w:noProof/>
                <w:lang w:eastAsia="sk-SK"/>
              </w:rPr>
              <w:drawing>
                <wp:inline distT="0" distB="0" distL="0" distR="0" wp14:anchorId="62A1DBBD" wp14:editId="5704E810">
                  <wp:extent cx="5686425" cy="2076450"/>
                  <wp:effectExtent l="0" t="0" r="0" b="0"/>
                  <wp:docPr id="6"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bl>
    <w:p w14:paraId="0AD81E4B" w14:textId="77777777" w:rsidR="00BA44CD" w:rsidRDefault="00BA44CD" w:rsidP="00BA44CD">
      <w:pPr>
        <w:pStyle w:val="Zdroj"/>
      </w:pPr>
      <w:r w:rsidRPr="00627D87">
        <w:t xml:space="preserve">Zdroj: </w:t>
      </w:r>
      <w:r>
        <w:t xml:space="preserve">Návrh RVS 2024, Návrh </w:t>
      </w:r>
      <w:r w:rsidRPr="00AC02EC">
        <w:t>ŠZÚ</w:t>
      </w:r>
      <w:r>
        <w:t xml:space="preserve"> 2024</w:t>
      </w:r>
      <w:r w:rsidRPr="00AC02EC">
        <w:t xml:space="preserve">, </w:t>
      </w:r>
      <w:r>
        <w:t xml:space="preserve">MF SR, </w:t>
      </w:r>
      <w:r w:rsidRPr="00AC02EC">
        <w:t>ŠÚ SR</w:t>
      </w:r>
      <w:r>
        <w:t>.</w:t>
      </w:r>
      <w:r w:rsidRPr="00FE06B8">
        <w:t xml:space="preserve"> </w:t>
      </w:r>
      <w:r>
        <w:t>Viac v tabuľke 1 v prílohe.</w:t>
      </w:r>
    </w:p>
    <w:p w14:paraId="200ED261" w14:textId="77777777" w:rsidR="00BA44CD" w:rsidRPr="00015315" w:rsidRDefault="00BA44CD" w:rsidP="00BA44CD">
      <w:pPr>
        <w:rPr>
          <w:b/>
        </w:rPr>
      </w:pPr>
      <w:r>
        <w:rPr>
          <w:b/>
        </w:rPr>
        <w:t>Z</w:t>
      </w:r>
      <w:r w:rsidRPr="00015315">
        <w:rPr>
          <w:b/>
        </w:rPr>
        <w:t xml:space="preserve"> medzinárodného porovnania rastu reálneho HDP v roku 2024</w:t>
      </w:r>
      <w:r>
        <w:rPr>
          <w:b/>
        </w:rPr>
        <w:t xml:space="preserve"> vyplýva, že</w:t>
      </w:r>
      <w:r w:rsidRPr="00015315">
        <w:rPr>
          <w:b/>
        </w:rPr>
        <w:t xml:space="preserve"> Slovensko </w:t>
      </w:r>
      <w:r>
        <w:rPr>
          <w:b/>
        </w:rPr>
        <w:t xml:space="preserve">patrilo k rýchlejšie rastúcim ekonomikám </w:t>
      </w:r>
      <w:r w:rsidRPr="00015315">
        <w:rPr>
          <w:b/>
        </w:rPr>
        <w:t xml:space="preserve">EÚ </w:t>
      </w:r>
      <w:r w:rsidRPr="00015315">
        <w:t>(graf 2)</w:t>
      </w:r>
      <w:r w:rsidRPr="00CE06BF">
        <w:rPr>
          <w:b/>
        </w:rPr>
        <w:t>.</w:t>
      </w:r>
      <w:r>
        <w:t xml:space="preserve"> Rast slovenskej ekonomiky výrazne prekonal priemer EÚ a bol vyšší ako v Česku či Maďarsku, avšak zaostal za výkonom Poľska, ktoré ťaží z pokračujúceho silného trhu práce a intenzívneho čerpania eurofondov.</w:t>
      </w:r>
    </w:p>
    <w:p w14:paraId="73A99060" w14:textId="4A8E6F29" w:rsidR="00BA44CD" w:rsidRPr="00BC3CA3" w:rsidRDefault="00BA44CD" w:rsidP="00BA44CD">
      <w:pPr>
        <w:pStyle w:val="Popis"/>
        <w:keepNext/>
        <w:rPr>
          <w:color w:val="314364"/>
        </w:rPr>
      </w:pPr>
      <w:r w:rsidRPr="00BC3CA3">
        <w:rPr>
          <w:color w:val="314364"/>
        </w:rPr>
        <w:t xml:space="preserve">Graf </w:t>
      </w:r>
      <w:r w:rsidRPr="00BC3CA3">
        <w:rPr>
          <w:color w:val="314364"/>
        </w:rPr>
        <w:fldChar w:fldCharType="begin"/>
      </w:r>
      <w:r w:rsidRPr="00BC3CA3">
        <w:rPr>
          <w:color w:val="314364"/>
        </w:rPr>
        <w:instrText xml:space="preserve"> SEQ Graf \* ARABIC </w:instrText>
      </w:r>
      <w:r w:rsidRPr="00BC3CA3">
        <w:rPr>
          <w:color w:val="314364"/>
        </w:rPr>
        <w:fldChar w:fldCharType="separate"/>
      </w:r>
      <w:r w:rsidR="00D24E68">
        <w:rPr>
          <w:noProof/>
          <w:color w:val="314364"/>
        </w:rPr>
        <w:t>2</w:t>
      </w:r>
      <w:r w:rsidRPr="00BC3CA3">
        <w:rPr>
          <w:color w:val="314364"/>
        </w:rPr>
        <w:fldChar w:fldCharType="end"/>
      </w:r>
      <w:r w:rsidRPr="00BC3CA3">
        <w:rPr>
          <w:color w:val="314364"/>
        </w:rPr>
        <w:t>:</w:t>
      </w:r>
      <w:r>
        <w:rPr>
          <w:color w:val="314364"/>
        </w:rPr>
        <w:t xml:space="preserve"> </w:t>
      </w:r>
      <w:r w:rsidRPr="00AF5A13">
        <w:rPr>
          <w:color w:val="314364"/>
        </w:rPr>
        <w:t>Medzinárodné porovn</w:t>
      </w:r>
      <w:r>
        <w:rPr>
          <w:color w:val="314364"/>
        </w:rPr>
        <w:t>anie temp rastu reálneho HDP v roku 2024 (</w:t>
      </w:r>
      <w:proofErr w:type="spellStart"/>
      <w:r>
        <w:rPr>
          <w:color w:val="314364"/>
        </w:rPr>
        <w:t>yoy</w:t>
      </w:r>
      <w:proofErr w:type="spellEnd"/>
      <w:r>
        <w:rPr>
          <w:color w:val="314364"/>
        </w:rPr>
        <w:t xml:space="preserve"> zmena v %)</w:t>
      </w:r>
    </w:p>
    <w:tbl>
      <w:tblPr>
        <w:tblStyle w:val="Mriekatabuky"/>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152"/>
      </w:tblGrid>
      <w:tr w:rsidR="00BA44CD" w:rsidRPr="00C75134" w14:paraId="7568C986" w14:textId="77777777" w:rsidTr="00AC1F7A">
        <w:trPr>
          <w:trHeight w:val="2838"/>
        </w:trPr>
        <w:tc>
          <w:tcPr>
            <w:tcW w:w="9071" w:type="dxa"/>
            <w:tcBorders>
              <w:top w:val="single" w:sz="4" w:space="0" w:color="314364"/>
              <w:bottom w:val="single" w:sz="4" w:space="0" w:color="314364"/>
            </w:tcBorders>
            <w:vAlign w:val="center"/>
          </w:tcPr>
          <w:p w14:paraId="4B14BB78" w14:textId="77777777" w:rsidR="00BA44CD" w:rsidRPr="00C75134" w:rsidRDefault="00BA44CD" w:rsidP="002E1FF0">
            <w:pPr>
              <w:spacing w:after="0"/>
              <w:rPr>
                <w:b/>
                <w:color w:val="576431"/>
              </w:rPr>
            </w:pPr>
            <w:r>
              <w:rPr>
                <w:noProof/>
                <w:lang w:eastAsia="sk-SK"/>
              </w:rPr>
              <w:drawing>
                <wp:inline distT="0" distB="0" distL="0" distR="0" wp14:anchorId="6E8B5F30" wp14:editId="72478E3E">
                  <wp:extent cx="5722620" cy="1771048"/>
                  <wp:effectExtent l="0" t="0" r="0" b="635"/>
                  <wp:docPr id="3"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bl>
    <w:p w14:paraId="50081F34" w14:textId="77777777" w:rsidR="00BA44CD" w:rsidRPr="00796BB6" w:rsidRDefault="00BA44CD" w:rsidP="00BA44CD">
      <w:pPr>
        <w:pStyle w:val="Zdroj"/>
      </w:pPr>
      <w:r w:rsidRPr="00627D87">
        <w:t xml:space="preserve">Zdroj: </w:t>
      </w:r>
      <w:r w:rsidRPr="007426EA">
        <w:t>Eurostat</w:t>
      </w:r>
      <w:r>
        <w:t>.</w:t>
      </w:r>
    </w:p>
    <w:p w14:paraId="7F2C20E8" w14:textId="24597BB5" w:rsidR="00BD3507" w:rsidRDefault="0042475D" w:rsidP="002C027A">
      <w:pPr>
        <w:pStyle w:val="Nadpis1"/>
      </w:pPr>
      <w:bookmarkStart w:id="6" w:name="_Toc198637711"/>
      <w:r>
        <w:lastRenderedPageBreak/>
        <w:t xml:space="preserve">Hospodárenie verejnej správy </w:t>
      </w:r>
      <w:r w:rsidR="00FF3AE5">
        <w:t>v</w:t>
      </w:r>
      <w:r>
        <w:t> metodike ESA 2010</w:t>
      </w:r>
      <w:bookmarkEnd w:id="6"/>
    </w:p>
    <w:p w14:paraId="0774F0D9" w14:textId="6CCE5859" w:rsidR="00C6546E" w:rsidRPr="004D7C78" w:rsidRDefault="00C6546E" w:rsidP="00C6546E">
      <w:pPr>
        <w:rPr>
          <w:i/>
        </w:rPr>
      </w:pPr>
      <w:bookmarkStart w:id="7" w:name="_Toc168070795"/>
      <w:r w:rsidRPr="007F23E8">
        <w:rPr>
          <w:i/>
        </w:rPr>
        <w:t xml:space="preserve">V stanovisku k návrhu ŠZÚ hodnotí NKÚ SR hospodárenie VS na základe predbežných výsledkov, ktoré v čase tvorby tohto stanoviska boli k dispozícii, t. j. na základe výsledkov, ktoré sa v metodike ESA 2010 za predchádzajúci rok predkladajú </w:t>
      </w:r>
      <w:proofErr w:type="spellStart"/>
      <w:r w:rsidRPr="007F23E8">
        <w:rPr>
          <w:i/>
        </w:rPr>
        <w:t>Eurostatu</w:t>
      </w:r>
      <w:proofErr w:type="spellEnd"/>
      <w:r w:rsidRPr="007F23E8">
        <w:rPr>
          <w:i/>
        </w:rPr>
        <w:t xml:space="preserve"> do 1. </w:t>
      </w:r>
      <w:r w:rsidR="0068630A">
        <w:rPr>
          <w:i/>
        </w:rPr>
        <w:t>4.</w:t>
      </w:r>
      <w:r w:rsidRPr="007F23E8">
        <w:rPr>
          <w:i/>
        </w:rPr>
        <w:t xml:space="preserve"> bežného roka. Dôvodom je </w:t>
      </w:r>
      <w:r w:rsidR="007F72D9">
        <w:rPr>
          <w:i/>
        </w:rPr>
        <w:t>potreba</w:t>
      </w:r>
      <w:r w:rsidRPr="007F23E8">
        <w:rPr>
          <w:i/>
        </w:rPr>
        <w:t xml:space="preserve"> vykonania auditov finančných výkazov a získanie definitívnych údajov o časovom rozlíšení daní a  poistných odvodov predovšetkým zo strany F</w:t>
      </w:r>
      <w:r w:rsidR="00D7129E">
        <w:rPr>
          <w:i/>
        </w:rPr>
        <w:t>inančného riaditeľstva S</w:t>
      </w:r>
      <w:r w:rsidR="007F72D9">
        <w:rPr>
          <w:i/>
        </w:rPr>
        <w:t>R</w:t>
      </w:r>
      <w:r w:rsidRPr="007F23E8">
        <w:rPr>
          <w:i/>
        </w:rPr>
        <w:t>, S</w:t>
      </w:r>
      <w:r w:rsidR="00D7129E">
        <w:rPr>
          <w:i/>
        </w:rPr>
        <w:t>ociálnej poisťovne</w:t>
      </w:r>
      <w:r w:rsidRPr="007F23E8">
        <w:rPr>
          <w:i/>
        </w:rPr>
        <w:t xml:space="preserve"> a</w:t>
      </w:r>
      <w:r w:rsidR="00D7129E">
        <w:rPr>
          <w:i/>
        </w:rPr>
        <w:t> zdravotných poisťovní</w:t>
      </w:r>
      <w:r w:rsidRPr="007F23E8">
        <w:rPr>
          <w:i/>
        </w:rPr>
        <w:t xml:space="preserve">. Pre definitívne výsledky hospodárenia VS za predchádzajúci rok bude však rozhodujúce stanovisko a notifikácia </w:t>
      </w:r>
      <w:proofErr w:type="spellStart"/>
      <w:r w:rsidRPr="007F23E8">
        <w:rPr>
          <w:i/>
        </w:rPr>
        <w:t>Eurostatu</w:t>
      </w:r>
      <w:proofErr w:type="spellEnd"/>
      <w:r w:rsidRPr="007F23E8">
        <w:rPr>
          <w:i/>
        </w:rPr>
        <w:t xml:space="preserve"> k výsledko</w:t>
      </w:r>
      <w:r>
        <w:rPr>
          <w:i/>
        </w:rPr>
        <w:t xml:space="preserve">m predloženým do 1. </w:t>
      </w:r>
      <w:r w:rsidR="0068630A">
        <w:rPr>
          <w:i/>
        </w:rPr>
        <w:t>10.</w:t>
      </w:r>
      <w:r>
        <w:rPr>
          <w:i/>
        </w:rPr>
        <w:t xml:space="preserve"> 2025</w:t>
      </w:r>
      <w:r w:rsidRPr="007F23E8">
        <w:rPr>
          <w:i/>
        </w:rPr>
        <w:t>.</w:t>
      </w:r>
    </w:p>
    <w:p w14:paraId="2C48628A" w14:textId="77777777" w:rsidR="00C6546E" w:rsidRDefault="00C6546E" w:rsidP="00C6546E">
      <w:pPr>
        <w:pStyle w:val="Nadpis2"/>
      </w:pPr>
      <w:bookmarkStart w:id="8" w:name="_Toc197091780"/>
      <w:bookmarkStart w:id="9" w:name="_Toc198637712"/>
      <w:r w:rsidRPr="00946B24">
        <w:t xml:space="preserve">2.1 </w:t>
      </w:r>
      <w:r>
        <w:t xml:space="preserve"> </w:t>
      </w:r>
      <w:r w:rsidRPr="00946B24">
        <w:t>Saldo verejnej správy</w:t>
      </w:r>
      <w:bookmarkEnd w:id="7"/>
      <w:bookmarkEnd w:id="8"/>
      <w:bookmarkEnd w:id="9"/>
    </w:p>
    <w:p w14:paraId="4C473392" w14:textId="0C08AAA0" w:rsidR="00CE5D40" w:rsidRPr="00853DCE" w:rsidRDefault="00CE5D40" w:rsidP="00CE5D40">
      <w:r w:rsidRPr="001F0A72">
        <w:rPr>
          <w:b/>
        </w:rPr>
        <w:t xml:space="preserve">Deficit VS </w:t>
      </w:r>
      <w:r>
        <w:rPr>
          <w:b/>
        </w:rPr>
        <w:t xml:space="preserve">sa medziročne zhoršil už druhý rok po sebe. Po výraznom náraste z 1,7 % HDP v roku 2022 na 5,2 % HDP v roku 2023 sa v roku 2024 zvýšil na 5,3 % HDP </w:t>
      </w:r>
      <w:r>
        <w:t>(tabuľka 1)</w:t>
      </w:r>
      <w:r w:rsidRPr="002E3E94">
        <w:rPr>
          <w:b/>
        </w:rPr>
        <w:t>.</w:t>
      </w:r>
      <w:r>
        <w:t xml:space="preserve"> V absolútnom vyjadrení to predstavuje nárast o 480 mil. eur oproti predchádzajúcemu roku. Okrem pokračovania výdavkov z predchádzajúceho obdobia vznikli aj nové nároky najmä v oblasti dôchodkov, bývania, sociálnej politiky či na novozriadené M</w:t>
      </w:r>
      <w:r w:rsidR="007F72D9">
        <w:t>CRŠ</w:t>
      </w:r>
      <w:r>
        <w:t xml:space="preserve"> SR. </w:t>
      </w:r>
      <w:r w:rsidRPr="00AF317D">
        <w:t>Napriek lepši</w:t>
      </w:r>
      <w:r w:rsidRPr="007D3345">
        <w:t>emu než rozpočtovanému výsledku,</w:t>
      </w:r>
      <w:r w:rsidRPr="00AF317D">
        <w:t xml:space="preserve"> rok 2024 nepredstavuje významný posun v konsolidácii verejných financií.</w:t>
      </w:r>
      <w:r>
        <w:t xml:space="preserve"> Zámer vlády SR znížiť deficit aspoň o 0,5 % HDP, ktorý deklarovala vo svojom PVV, sa tak nenaplnil.</w:t>
      </w:r>
    </w:p>
    <w:p w14:paraId="4273EC52" w14:textId="7CBAFC53" w:rsidR="00C6546E" w:rsidRDefault="00C6546E" w:rsidP="00C6546E">
      <w:pPr>
        <w:pStyle w:val="Popis"/>
        <w:keepNext/>
      </w:pPr>
      <w:r>
        <w:t xml:space="preserve">Tabuľka </w:t>
      </w:r>
      <w:fldSimple w:instr=" SEQ Tabuľka \* ARABIC ">
        <w:r w:rsidR="00D24E68">
          <w:rPr>
            <w:noProof/>
          </w:rPr>
          <w:t>1</w:t>
        </w:r>
      </w:fldSimple>
      <w:r>
        <w:t xml:space="preserve">: </w:t>
      </w:r>
      <w:r w:rsidRPr="001D2976">
        <w:t>Vývoj schodku VS na akruálnej báze v rokoch 20</w:t>
      </w:r>
      <w:r>
        <w:t>2</w:t>
      </w:r>
      <w:r w:rsidR="007F72D9">
        <w:t>2</w:t>
      </w:r>
      <w:r w:rsidRPr="001D2976">
        <w:t xml:space="preserve"> a</w:t>
      </w:r>
      <w:r w:rsidR="007F72D9">
        <w:t>ž</w:t>
      </w:r>
      <w:r>
        <w:t> </w:t>
      </w:r>
      <w:r w:rsidRPr="001D2976">
        <w:t>20</w:t>
      </w:r>
      <w:r>
        <w:t>24</w:t>
      </w:r>
    </w:p>
    <w:tbl>
      <w:tblPr>
        <w:tblpPr w:leftFromText="141" w:rightFromText="141" w:vertAnchor="text" w:horzAnchor="margin" w:tblpXSpec="right" w:tblpY="118"/>
        <w:tblOverlap w:val="never"/>
        <w:tblW w:w="5000" w:type="pct"/>
        <w:tblCellMar>
          <w:top w:w="28" w:type="dxa"/>
        </w:tblCellMar>
        <w:tblLook w:val="04A0" w:firstRow="1" w:lastRow="0" w:firstColumn="1" w:lastColumn="0" w:noHBand="0" w:noVBand="1"/>
      </w:tblPr>
      <w:tblGrid>
        <w:gridCol w:w="3540"/>
        <w:gridCol w:w="1138"/>
        <w:gridCol w:w="993"/>
        <w:gridCol w:w="992"/>
        <w:gridCol w:w="992"/>
        <w:gridCol w:w="1415"/>
      </w:tblGrid>
      <w:tr w:rsidR="00C6546E" w14:paraId="5D353953" w14:textId="77777777" w:rsidTr="00C6546E">
        <w:trPr>
          <w:trHeight w:val="20"/>
        </w:trPr>
        <w:tc>
          <w:tcPr>
            <w:tcW w:w="1951" w:type="pct"/>
            <w:tcBorders>
              <w:bottom w:val="single" w:sz="4" w:space="0" w:color="314364"/>
            </w:tcBorders>
            <w:shd w:val="clear" w:color="auto" w:fill="314364"/>
            <w:vAlign w:val="center"/>
          </w:tcPr>
          <w:p w14:paraId="743DDD87" w14:textId="77777777" w:rsidR="00C6546E" w:rsidRPr="00AA159B" w:rsidRDefault="00C6546E" w:rsidP="00C6546E">
            <w:pPr>
              <w:spacing w:after="0" w:line="259" w:lineRule="auto"/>
              <w:jc w:val="left"/>
            </w:pPr>
            <w:r>
              <w:rPr>
                <w:b/>
                <w:color w:val="FFFFFF" w:themeColor="background1"/>
                <w:sz w:val="18"/>
              </w:rPr>
              <w:t>Ukazovateľ</w:t>
            </w:r>
          </w:p>
        </w:tc>
        <w:tc>
          <w:tcPr>
            <w:tcW w:w="627" w:type="pct"/>
            <w:tcBorders>
              <w:bottom w:val="single" w:sz="4" w:space="0" w:color="314364"/>
            </w:tcBorders>
            <w:shd w:val="clear" w:color="auto" w:fill="314364"/>
          </w:tcPr>
          <w:p w14:paraId="046878C9" w14:textId="77777777" w:rsidR="00C6546E" w:rsidRDefault="00C6546E" w:rsidP="00C6546E">
            <w:pPr>
              <w:spacing w:after="0" w:line="259" w:lineRule="auto"/>
              <w:jc w:val="right"/>
              <w:rPr>
                <w:b/>
                <w:color w:val="FFFFFF" w:themeColor="background1"/>
                <w:sz w:val="18"/>
              </w:rPr>
            </w:pPr>
            <w:r>
              <w:rPr>
                <w:b/>
                <w:color w:val="FFFFFF" w:themeColor="background1"/>
                <w:sz w:val="18"/>
              </w:rPr>
              <w:t>2022 S</w:t>
            </w:r>
          </w:p>
        </w:tc>
        <w:tc>
          <w:tcPr>
            <w:tcW w:w="547" w:type="pct"/>
            <w:tcBorders>
              <w:bottom w:val="single" w:sz="4" w:space="0" w:color="314364"/>
            </w:tcBorders>
            <w:shd w:val="clear" w:color="auto" w:fill="314364"/>
            <w:vAlign w:val="center"/>
          </w:tcPr>
          <w:p w14:paraId="36EE6A7F" w14:textId="77777777" w:rsidR="00C6546E" w:rsidRDefault="00C6546E" w:rsidP="00C6546E">
            <w:pPr>
              <w:spacing w:after="0" w:line="259" w:lineRule="auto"/>
              <w:jc w:val="right"/>
              <w:rPr>
                <w:b/>
                <w:color w:val="FFFFFF" w:themeColor="background1"/>
                <w:sz w:val="18"/>
              </w:rPr>
            </w:pPr>
            <w:r>
              <w:rPr>
                <w:b/>
                <w:color w:val="FFFFFF" w:themeColor="background1"/>
                <w:sz w:val="18"/>
              </w:rPr>
              <w:t>2023 S</w:t>
            </w:r>
          </w:p>
        </w:tc>
        <w:tc>
          <w:tcPr>
            <w:tcW w:w="547" w:type="pct"/>
            <w:tcBorders>
              <w:bottom w:val="single" w:sz="4" w:space="0" w:color="314364"/>
            </w:tcBorders>
            <w:shd w:val="clear" w:color="auto" w:fill="314364"/>
            <w:vAlign w:val="center"/>
          </w:tcPr>
          <w:p w14:paraId="73785BCE" w14:textId="77777777" w:rsidR="00C6546E" w:rsidRPr="0032280E" w:rsidRDefault="00C6546E" w:rsidP="00C6546E">
            <w:pPr>
              <w:spacing w:after="0" w:line="259" w:lineRule="auto"/>
              <w:jc w:val="right"/>
              <w:rPr>
                <w:b/>
                <w:color w:val="FFFFFF" w:themeColor="background1"/>
                <w:sz w:val="18"/>
              </w:rPr>
            </w:pPr>
            <w:r>
              <w:rPr>
                <w:b/>
                <w:color w:val="FFFFFF" w:themeColor="background1"/>
                <w:sz w:val="18"/>
              </w:rPr>
              <w:t>2024 R</w:t>
            </w:r>
          </w:p>
        </w:tc>
        <w:tc>
          <w:tcPr>
            <w:tcW w:w="547" w:type="pct"/>
            <w:tcBorders>
              <w:bottom w:val="single" w:sz="4" w:space="0" w:color="314364"/>
            </w:tcBorders>
            <w:shd w:val="clear" w:color="auto" w:fill="314364"/>
            <w:vAlign w:val="center"/>
          </w:tcPr>
          <w:p w14:paraId="6B66ED96" w14:textId="77777777" w:rsidR="00C6546E" w:rsidRPr="0032280E" w:rsidRDefault="00C6546E" w:rsidP="00C6546E">
            <w:pPr>
              <w:spacing w:after="0" w:line="259" w:lineRule="auto"/>
              <w:jc w:val="right"/>
              <w:rPr>
                <w:b/>
                <w:color w:val="FFFFFF" w:themeColor="background1"/>
                <w:sz w:val="18"/>
              </w:rPr>
            </w:pPr>
            <w:r>
              <w:rPr>
                <w:b/>
                <w:color w:val="FFFFFF" w:themeColor="background1"/>
                <w:sz w:val="18"/>
              </w:rPr>
              <w:t>2024 S</w:t>
            </w:r>
          </w:p>
        </w:tc>
        <w:tc>
          <w:tcPr>
            <w:tcW w:w="780" w:type="pct"/>
            <w:tcBorders>
              <w:bottom w:val="single" w:sz="4" w:space="0" w:color="314364"/>
            </w:tcBorders>
            <w:shd w:val="clear" w:color="auto" w:fill="314364"/>
            <w:vAlign w:val="center"/>
          </w:tcPr>
          <w:p w14:paraId="66B58827" w14:textId="77777777" w:rsidR="00C6546E" w:rsidRDefault="00C6546E" w:rsidP="00C6546E">
            <w:pPr>
              <w:spacing w:after="0" w:line="259" w:lineRule="auto"/>
              <w:jc w:val="center"/>
              <w:rPr>
                <w:b/>
                <w:color w:val="FFFFFF" w:themeColor="background1"/>
                <w:sz w:val="18"/>
              </w:rPr>
            </w:pPr>
            <w:r>
              <w:rPr>
                <w:b/>
                <w:color w:val="FFFFFF" w:themeColor="background1"/>
                <w:sz w:val="18"/>
              </w:rPr>
              <w:t>Rozdiel S - R</w:t>
            </w:r>
          </w:p>
        </w:tc>
      </w:tr>
      <w:tr w:rsidR="00C6546E" w14:paraId="44EA476D" w14:textId="77777777" w:rsidTr="00C6546E">
        <w:trPr>
          <w:trHeight w:val="20"/>
        </w:trPr>
        <w:tc>
          <w:tcPr>
            <w:tcW w:w="1951" w:type="pct"/>
            <w:tcBorders>
              <w:top w:val="single" w:sz="4" w:space="0" w:color="314364"/>
            </w:tcBorders>
            <w:vAlign w:val="center"/>
          </w:tcPr>
          <w:p w14:paraId="5DE51A57" w14:textId="77777777" w:rsidR="00C6546E" w:rsidRPr="00480C81" w:rsidRDefault="00C6546E" w:rsidP="00C6546E">
            <w:pPr>
              <w:spacing w:after="0" w:line="259" w:lineRule="auto"/>
              <w:jc w:val="left"/>
              <w:rPr>
                <w:sz w:val="18"/>
              </w:rPr>
            </w:pPr>
            <w:r>
              <w:rPr>
                <w:sz w:val="18"/>
              </w:rPr>
              <w:t>Príjmy spolu (v mil. eur)</w:t>
            </w:r>
          </w:p>
        </w:tc>
        <w:tc>
          <w:tcPr>
            <w:tcW w:w="627" w:type="pct"/>
            <w:tcBorders>
              <w:top w:val="single" w:sz="4" w:space="0" w:color="314364"/>
            </w:tcBorders>
          </w:tcPr>
          <w:p w14:paraId="393058BE" w14:textId="77777777" w:rsidR="00C6546E" w:rsidRPr="00480C81" w:rsidRDefault="00C6546E" w:rsidP="00C6546E">
            <w:pPr>
              <w:spacing w:after="0" w:line="259" w:lineRule="auto"/>
              <w:jc w:val="right"/>
              <w:rPr>
                <w:sz w:val="18"/>
              </w:rPr>
            </w:pPr>
            <w:r>
              <w:rPr>
                <w:sz w:val="18"/>
              </w:rPr>
              <w:t>45 492,7</w:t>
            </w:r>
          </w:p>
        </w:tc>
        <w:tc>
          <w:tcPr>
            <w:tcW w:w="547" w:type="pct"/>
            <w:tcBorders>
              <w:top w:val="single" w:sz="4" w:space="0" w:color="314364"/>
            </w:tcBorders>
            <w:vAlign w:val="center"/>
          </w:tcPr>
          <w:p w14:paraId="0EC94266" w14:textId="77777777" w:rsidR="00C6546E" w:rsidRPr="00480C81" w:rsidRDefault="00C6546E" w:rsidP="00C6546E">
            <w:pPr>
              <w:spacing w:after="0" w:line="259" w:lineRule="auto"/>
              <w:jc w:val="right"/>
              <w:rPr>
                <w:sz w:val="18"/>
              </w:rPr>
            </w:pPr>
            <w:r>
              <w:rPr>
                <w:sz w:val="18"/>
              </w:rPr>
              <w:t>53 000,7</w:t>
            </w:r>
          </w:p>
        </w:tc>
        <w:tc>
          <w:tcPr>
            <w:tcW w:w="547" w:type="pct"/>
            <w:tcBorders>
              <w:top w:val="single" w:sz="4" w:space="0" w:color="314364"/>
            </w:tcBorders>
            <w:shd w:val="clear" w:color="auto" w:fill="auto"/>
            <w:vAlign w:val="center"/>
          </w:tcPr>
          <w:p w14:paraId="5A050092" w14:textId="77777777" w:rsidR="00C6546E" w:rsidRPr="00480C81" w:rsidRDefault="00C6546E" w:rsidP="00C6546E">
            <w:pPr>
              <w:spacing w:after="0" w:line="259" w:lineRule="auto"/>
              <w:jc w:val="right"/>
              <w:rPr>
                <w:sz w:val="18"/>
              </w:rPr>
            </w:pPr>
            <w:r>
              <w:rPr>
                <w:sz w:val="18"/>
              </w:rPr>
              <w:t>53 480,5</w:t>
            </w:r>
          </w:p>
        </w:tc>
        <w:tc>
          <w:tcPr>
            <w:tcW w:w="547" w:type="pct"/>
            <w:tcBorders>
              <w:top w:val="single" w:sz="4" w:space="0" w:color="314364"/>
            </w:tcBorders>
            <w:vAlign w:val="center"/>
          </w:tcPr>
          <w:p w14:paraId="0CF3BFC0" w14:textId="77777777" w:rsidR="00C6546E" w:rsidRPr="00480C81" w:rsidRDefault="00C6546E" w:rsidP="00C6546E">
            <w:pPr>
              <w:spacing w:after="0" w:line="259" w:lineRule="auto"/>
              <w:jc w:val="right"/>
              <w:rPr>
                <w:sz w:val="18"/>
              </w:rPr>
            </w:pPr>
            <w:r>
              <w:rPr>
                <w:sz w:val="18"/>
              </w:rPr>
              <w:t>54 807,2</w:t>
            </w:r>
          </w:p>
        </w:tc>
        <w:tc>
          <w:tcPr>
            <w:tcW w:w="780" w:type="pct"/>
            <w:tcBorders>
              <w:top w:val="single" w:sz="4" w:space="0" w:color="314364"/>
            </w:tcBorders>
            <w:vAlign w:val="center"/>
          </w:tcPr>
          <w:p w14:paraId="7E0FF300" w14:textId="77777777" w:rsidR="00C6546E" w:rsidRPr="00480C81" w:rsidRDefault="00C6546E" w:rsidP="00C6546E">
            <w:pPr>
              <w:spacing w:after="0" w:line="259" w:lineRule="auto"/>
              <w:ind w:right="317"/>
              <w:jc w:val="right"/>
              <w:rPr>
                <w:sz w:val="18"/>
              </w:rPr>
            </w:pPr>
            <w:r>
              <w:rPr>
                <w:sz w:val="18"/>
              </w:rPr>
              <w:t>1 326,7</w:t>
            </w:r>
          </w:p>
        </w:tc>
      </w:tr>
      <w:tr w:rsidR="00C6546E" w14:paraId="127997C1" w14:textId="77777777" w:rsidTr="00C6546E">
        <w:trPr>
          <w:trHeight w:val="20"/>
        </w:trPr>
        <w:tc>
          <w:tcPr>
            <w:tcW w:w="1951" w:type="pct"/>
            <w:tcBorders>
              <w:bottom w:val="single" w:sz="4" w:space="0" w:color="314364" w:themeColor="text2"/>
            </w:tcBorders>
            <w:vAlign w:val="center"/>
          </w:tcPr>
          <w:p w14:paraId="6AC30752" w14:textId="77777777" w:rsidR="00C6546E" w:rsidRPr="00480C81" w:rsidRDefault="00C6546E" w:rsidP="00C6546E">
            <w:pPr>
              <w:spacing w:after="0" w:line="259" w:lineRule="auto"/>
              <w:jc w:val="left"/>
              <w:rPr>
                <w:sz w:val="18"/>
              </w:rPr>
            </w:pPr>
            <w:r>
              <w:rPr>
                <w:sz w:val="18"/>
              </w:rPr>
              <w:t>Výdavky spolu (v mil. eur)</w:t>
            </w:r>
          </w:p>
        </w:tc>
        <w:tc>
          <w:tcPr>
            <w:tcW w:w="627" w:type="pct"/>
            <w:tcBorders>
              <w:bottom w:val="single" w:sz="4" w:space="0" w:color="314364" w:themeColor="text2"/>
            </w:tcBorders>
          </w:tcPr>
          <w:p w14:paraId="56FCD61D" w14:textId="77777777" w:rsidR="00C6546E" w:rsidRPr="00480C81" w:rsidRDefault="00C6546E" w:rsidP="00C6546E">
            <w:pPr>
              <w:spacing w:after="0" w:line="259" w:lineRule="auto"/>
              <w:jc w:val="right"/>
              <w:rPr>
                <w:sz w:val="18"/>
              </w:rPr>
            </w:pPr>
            <w:r>
              <w:rPr>
                <w:sz w:val="18"/>
              </w:rPr>
              <w:t>47 328,4</w:t>
            </w:r>
          </w:p>
        </w:tc>
        <w:tc>
          <w:tcPr>
            <w:tcW w:w="547" w:type="pct"/>
            <w:tcBorders>
              <w:bottom w:val="single" w:sz="4" w:space="0" w:color="314364" w:themeColor="text2"/>
            </w:tcBorders>
            <w:vAlign w:val="center"/>
          </w:tcPr>
          <w:p w14:paraId="3CAF0402" w14:textId="77777777" w:rsidR="00C6546E" w:rsidRPr="00480C81" w:rsidRDefault="00C6546E" w:rsidP="00C6546E">
            <w:pPr>
              <w:spacing w:after="0" w:line="259" w:lineRule="auto"/>
              <w:jc w:val="right"/>
              <w:rPr>
                <w:sz w:val="18"/>
              </w:rPr>
            </w:pPr>
            <w:r>
              <w:rPr>
                <w:sz w:val="18"/>
              </w:rPr>
              <w:t>59 427,6</w:t>
            </w:r>
          </w:p>
        </w:tc>
        <w:tc>
          <w:tcPr>
            <w:tcW w:w="547" w:type="pct"/>
            <w:tcBorders>
              <w:bottom w:val="single" w:sz="4" w:space="0" w:color="314364" w:themeColor="text2"/>
            </w:tcBorders>
            <w:shd w:val="clear" w:color="auto" w:fill="auto"/>
            <w:vAlign w:val="center"/>
          </w:tcPr>
          <w:p w14:paraId="213982AA" w14:textId="77777777" w:rsidR="00C6546E" w:rsidRPr="00480C81" w:rsidRDefault="00C6546E" w:rsidP="00C6546E">
            <w:pPr>
              <w:spacing w:after="0" w:line="259" w:lineRule="auto"/>
              <w:jc w:val="right"/>
              <w:rPr>
                <w:sz w:val="18"/>
              </w:rPr>
            </w:pPr>
            <w:r>
              <w:rPr>
                <w:sz w:val="18"/>
              </w:rPr>
              <w:t>61 321,2</w:t>
            </w:r>
          </w:p>
        </w:tc>
        <w:tc>
          <w:tcPr>
            <w:tcW w:w="547" w:type="pct"/>
            <w:tcBorders>
              <w:bottom w:val="single" w:sz="4" w:space="0" w:color="314364" w:themeColor="text2"/>
            </w:tcBorders>
            <w:vAlign w:val="center"/>
          </w:tcPr>
          <w:p w14:paraId="3656879A" w14:textId="77777777" w:rsidR="00C6546E" w:rsidRPr="00480C81" w:rsidRDefault="00C6546E" w:rsidP="00C6546E">
            <w:pPr>
              <w:spacing w:after="0" w:line="259" w:lineRule="auto"/>
              <w:jc w:val="right"/>
              <w:rPr>
                <w:sz w:val="18"/>
              </w:rPr>
            </w:pPr>
            <w:r>
              <w:rPr>
                <w:sz w:val="18"/>
              </w:rPr>
              <w:t>61 714,0</w:t>
            </w:r>
          </w:p>
        </w:tc>
        <w:tc>
          <w:tcPr>
            <w:tcW w:w="780" w:type="pct"/>
            <w:tcBorders>
              <w:bottom w:val="single" w:sz="4" w:space="0" w:color="314364" w:themeColor="text2"/>
            </w:tcBorders>
            <w:vAlign w:val="center"/>
          </w:tcPr>
          <w:p w14:paraId="309D029A" w14:textId="77777777" w:rsidR="00C6546E" w:rsidRPr="00480C81" w:rsidRDefault="00C6546E" w:rsidP="00C6546E">
            <w:pPr>
              <w:spacing w:after="0" w:line="259" w:lineRule="auto"/>
              <w:ind w:right="317"/>
              <w:jc w:val="right"/>
              <w:rPr>
                <w:sz w:val="18"/>
              </w:rPr>
            </w:pPr>
            <w:r>
              <w:rPr>
                <w:sz w:val="18"/>
              </w:rPr>
              <w:t>392,7</w:t>
            </w:r>
          </w:p>
        </w:tc>
      </w:tr>
      <w:tr w:rsidR="00C6546E" w:rsidRPr="00325BDA" w14:paraId="3F176A5A" w14:textId="77777777" w:rsidTr="00C6546E">
        <w:trPr>
          <w:trHeight w:val="20"/>
        </w:trPr>
        <w:tc>
          <w:tcPr>
            <w:tcW w:w="1951" w:type="pct"/>
            <w:tcBorders>
              <w:top w:val="single" w:sz="4" w:space="0" w:color="314364" w:themeColor="text2"/>
            </w:tcBorders>
            <w:vAlign w:val="center"/>
          </w:tcPr>
          <w:p w14:paraId="5DBF775E" w14:textId="77777777" w:rsidR="00C6546E" w:rsidRPr="00DD6B66" w:rsidRDefault="00C6546E" w:rsidP="00C6546E">
            <w:pPr>
              <w:spacing w:after="0" w:line="259" w:lineRule="auto"/>
              <w:jc w:val="left"/>
              <w:rPr>
                <w:b/>
                <w:sz w:val="18"/>
              </w:rPr>
            </w:pPr>
            <w:r>
              <w:rPr>
                <w:b/>
                <w:sz w:val="18"/>
              </w:rPr>
              <w:t xml:space="preserve">Schodok podľa ESA 2010 (v </w:t>
            </w:r>
            <w:r w:rsidRPr="00DD6B66">
              <w:rPr>
                <w:b/>
                <w:sz w:val="18"/>
              </w:rPr>
              <w:t>mil. eur)</w:t>
            </w:r>
          </w:p>
        </w:tc>
        <w:tc>
          <w:tcPr>
            <w:tcW w:w="627" w:type="pct"/>
            <w:tcBorders>
              <w:top w:val="single" w:sz="4" w:space="0" w:color="314364" w:themeColor="text2"/>
            </w:tcBorders>
          </w:tcPr>
          <w:p w14:paraId="15532A17" w14:textId="77777777" w:rsidR="00C6546E" w:rsidRDefault="00C6546E" w:rsidP="00C6546E">
            <w:pPr>
              <w:spacing w:after="0" w:line="259" w:lineRule="auto"/>
              <w:jc w:val="right"/>
              <w:rPr>
                <w:b/>
                <w:sz w:val="18"/>
              </w:rPr>
            </w:pPr>
            <w:r>
              <w:rPr>
                <w:b/>
                <w:sz w:val="18"/>
              </w:rPr>
              <w:t>-1 835,7</w:t>
            </w:r>
          </w:p>
        </w:tc>
        <w:tc>
          <w:tcPr>
            <w:tcW w:w="547" w:type="pct"/>
            <w:tcBorders>
              <w:top w:val="single" w:sz="4" w:space="0" w:color="314364" w:themeColor="text2"/>
            </w:tcBorders>
            <w:vAlign w:val="center"/>
          </w:tcPr>
          <w:p w14:paraId="32827F23" w14:textId="77777777" w:rsidR="00C6546E" w:rsidRPr="00DD6B66" w:rsidRDefault="00C6546E" w:rsidP="00C6546E">
            <w:pPr>
              <w:spacing w:after="0" w:line="259" w:lineRule="auto"/>
              <w:jc w:val="right"/>
              <w:rPr>
                <w:b/>
                <w:sz w:val="18"/>
              </w:rPr>
            </w:pPr>
            <w:r>
              <w:rPr>
                <w:b/>
                <w:sz w:val="18"/>
              </w:rPr>
              <w:t>-6 427,0</w:t>
            </w:r>
          </w:p>
        </w:tc>
        <w:tc>
          <w:tcPr>
            <w:tcW w:w="547" w:type="pct"/>
            <w:tcBorders>
              <w:top w:val="single" w:sz="4" w:space="0" w:color="314364" w:themeColor="text2"/>
            </w:tcBorders>
            <w:shd w:val="clear" w:color="auto" w:fill="auto"/>
            <w:vAlign w:val="center"/>
          </w:tcPr>
          <w:p w14:paraId="53541FD4" w14:textId="77777777" w:rsidR="00C6546E" w:rsidRPr="00DD6B66" w:rsidRDefault="00C6546E" w:rsidP="00C6546E">
            <w:pPr>
              <w:spacing w:after="0" w:line="259" w:lineRule="auto"/>
              <w:jc w:val="right"/>
              <w:rPr>
                <w:b/>
                <w:sz w:val="18"/>
              </w:rPr>
            </w:pPr>
            <w:r>
              <w:rPr>
                <w:b/>
                <w:sz w:val="18"/>
              </w:rPr>
              <w:t>-7 840,7</w:t>
            </w:r>
          </w:p>
        </w:tc>
        <w:tc>
          <w:tcPr>
            <w:tcW w:w="547" w:type="pct"/>
            <w:tcBorders>
              <w:top w:val="single" w:sz="4" w:space="0" w:color="314364" w:themeColor="text2"/>
            </w:tcBorders>
            <w:vAlign w:val="center"/>
          </w:tcPr>
          <w:p w14:paraId="5D55F81B" w14:textId="77777777" w:rsidR="00C6546E" w:rsidRPr="00DD6B66" w:rsidRDefault="00C6546E" w:rsidP="00C6546E">
            <w:pPr>
              <w:spacing w:after="0" w:line="259" w:lineRule="auto"/>
              <w:jc w:val="right"/>
              <w:rPr>
                <w:b/>
                <w:sz w:val="18"/>
              </w:rPr>
            </w:pPr>
            <w:r>
              <w:rPr>
                <w:b/>
                <w:sz w:val="18"/>
              </w:rPr>
              <w:t>-6 906,7</w:t>
            </w:r>
          </w:p>
        </w:tc>
        <w:tc>
          <w:tcPr>
            <w:tcW w:w="780" w:type="pct"/>
            <w:tcBorders>
              <w:top w:val="single" w:sz="4" w:space="0" w:color="314364" w:themeColor="text2"/>
            </w:tcBorders>
            <w:vAlign w:val="center"/>
          </w:tcPr>
          <w:p w14:paraId="461C19D2" w14:textId="77777777" w:rsidR="00C6546E" w:rsidRPr="00DD6B66" w:rsidRDefault="00C6546E" w:rsidP="00C6546E">
            <w:pPr>
              <w:spacing w:after="0" w:line="259" w:lineRule="auto"/>
              <w:ind w:right="317"/>
              <w:jc w:val="right"/>
              <w:rPr>
                <w:b/>
                <w:sz w:val="18"/>
              </w:rPr>
            </w:pPr>
            <w:r>
              <w:rPr>
                <w:b/>
                <w:sz w:val="18"/>
              </w:rPr>
              <w:t>934,0</w:t>
            </w:r>
          </w:p>
        </w:tc>
      </w:tr>
      <w:tr w:rsidR="00C6546E" w:rsidRPr="00480C81" w14:paraId="0A99D886" w14:textId="77777777" w:rsidTr="00C6546E">
        <w:trPr>
          <w:trHeight w:val="20"/>
        </w:trPr>
        <w:tc>
          <w:tcPr>
            <w:tcW w:w="1951" w:type="pct"/>
            <w:tcBorders>
              <w:bottom w:val="single" w:sz="4" w:space="0" w:color="314364" w:themeColor="text2"/>
            </w:tcBorders>
            <w:vAlign w:val="center"/>
          </w:tcPr>
          <w:p w14:paraId="0057C91A" w14:textId="77777777" w:rsidR="00C6546E" w:rsidRPr="00DD6B66" w:rsidRDefault="00C6546E" w:rsidP="00C6546E">
            <w:pPr>
              <w:spacing w:after="0" w:line="259" w:lineRule="auto"/>
              <w:jc w:val="left"/>
              <w:rPr>
                <w:b/>
                <w:sz w:val="18"/>
              </w:rPr>
            </w:pPr>
            <w:r w:rsidRPr="00DD6B66">
              <w:rPr>
                <w:b/>
                <w:sz w:val="18"/>
              </w:rPr>
              <w:t>Schodok podľa ESA 2010 (% HDP)</w:t>
            </w:r>
          </w:p>
        </w:tc>
        <w:tc>
          <w:tcPr>
            <w:tcW w:w="627" w:type="pct"/>
            <w:tcBorders>
              <w:bottom w:val="single" w:sz="4" w:space="0" w:color="314364" w:themeColor="text2"/>
            </w:tcBorders>
          </w:tcPr>
          <w:p w14:paraId="42CAAC15" w14:textId="77777777" w:rsidR="00C6546E" w:rsidRDefault="00C6546E" w:rsidP="00C6546E">
            <w:pPr>
              <w:spacing w:after="0" w:line="259" w:lineRule="auto"/>
              <w:jc w:val="right"/>
              <w:rPr>
                <w:b/>
                <w:sz w:val="18"/>
              </w:rPr>
            </w:pPr>
            <w:r>
              <w:rPr>
                <w:b/>
                <w:sz w:val="18"/>
              </w:rPr>
              <w:t>-1,7</w:t>
            </w:r>
          </w:p>
        </w:tc>
        <w:tc>
          <w:tcPr>
            <w:tcW w:w="547" w:type="pct"/>
            <w:tcBorders>
              <w:bottom w:val="single" w:sz="4" w:space="0" w:color="314364" w:themeColor="text2"/>
            </w:tcBorders>
            <w:vAlign w:val="center"/>
          </w:tcPr>
          <w:p w14:paraId="74387FF6" w14:textId="77777777" w:rsidR="00C6546E" w:rsidRPr="00DD6B66" w:rsidRDefault="00C6546E" w:rsidP="00C6546E">
            <w:pPr>
              <w:spacing w:after="0" w:line="259" w:lineRule="auto"/>
              <w:jc w:val="right"/>
              <w:rPr>
                <w:b/>
                <w:sz w:val="18"/>
              </w:rPr>
            </w:pPr>
            <w:r>
              <w:rPr>
                <w:b/>
                <w:sz w:val="18"/>
              </w:rPr>
              <w:t>-5,2</w:t>
            </w:r>
          </w:p>
        </w:tc>
        <w:tc>
          <w:tcPr>
            <w:tcW w:w="547" w:type="pct"/>
            <w:tcBorders>
              <w:bottom w:val="single" w:sz="4" w:space="0" w:color="314364" w:themeColor="text2"/>
            </w:tcBorders>
            <w:shd w:val="clear" w:color="auto" w:fill="auto"/>
            <w:vAlign w:val="center"/>
          </w:tcPr>
          <w:p w14:paraId="369202E5" w14:textId="77777777" w:rsidR="00C6546E" w:rsidRPr="00DD6B66" w:rsidRDefault="00C6546E" w:rsidP="00C6546E">
            <w:pPr>
              <w:spacing w:after="0" w:line="259" w:lineRule="auto"/>
              <w:jc w:val="right"/>
              <w:rPr>
                <w:b/>
                <w:sz w:val="18"/>
              </w:rPr>
            </w:pPr>
            <w:r>
              <w:rPr>
                <w:b/>
                <w:sz w:val="18"/>
              </w:rPr>
              <w:t>-6,0</w:t>
            </w:r>
          </w:p>
        </w:tc>
        <w:tc>
          <w:tcPr>
            <w:tcW w:w="547" w:type="pct"/>
            <w:tcBorders>
              <w:bottom w:val="single" w:sz="4" w:space="0" w:color="314364" w:themeColor="text2"/>
            </w:tcBorders>
            <w:vAlign w:val="center"/>
          </w:tcPr>
          <w:p w14:paraId="1A85CEDB" w14:textId="77777777" w:rsidR="00C6546E" w:rsidRPr="00DD6B66" w:rsidRDefault="00C6546E" w:rsidP="00C6546E">
            <w:pPr>
              <w:spacing w:after="0" w:line="259" w:lineRule="auto"/>
              <w:jc w:val="right"/>
              <w:rPr>
                <w:b/>
                <w:sz w:val="18"/>
              </w:rPr>
            </w:pPr>
            <w:r>
              <w:rPr>
                <w:b/>
                <w:sz w:val="18"/>
              </w:rPr>
              <w:t>-5,3</w:t>
            </w:r>
          </w:p>
        </w:tc>
        <w:tc>
          <w:tcPr>
            <w:tcW w:w="780" w:type="pct"/>
            <w:tcBorders>
              <w:bottom w:val="single" w:sz="4" w:space="0" w:color="314364" w:themeColor="text2"/>
            </w:tcBorders>
            <w:vAlign w:val="center"/>
          </w:tcPr>
          <w:p w14:paraId="1A5D5BDC" w14:textId="77777777" w:rsidR="00C6546E" w:rsidRPr="00DD6B66" w:rsidRDefault="00C6546E" w:rsidP="00C6546E">
            <w:pPr>
              <w:spacing w:after="0" w:line="259" w:lineRule="auto"/>
              <w:ind w:right="317"/>
              <w:jc w:val="right"/>
              <w:rPr>
                <w:b/>
                <w:sz w:val="18"/>
              </w:rPr>
            </w:pPr>
            <w:r>
              <w:rPr>
                <w:b/>
                <w:sz w:val="18"/>
              </w:rPr>
              <w:t>0,7</w:t>
            </w:r>
          </w:p>
        </w:tc>
      </w:tr>
    </w:tbl>
    <w:p w14:paraId="4B1438BD" w14:textId="77777777" w:rsidR="00C6546E" w:rsidRDefault="00C6546E" w:rsidP="00C6546E">
      <w:pPr>
        <w:pStyle w:val="Zdroj"/>
      </w:pPr>
      <w:r>
        <w:t>Zdroj: Návrh ŠZÚ 2024.</w:t>
      </w:r>
    </w:p>
    <w:p w14:paraId="61D17D01" w14:textId="77777777" w:rsidR="00C6546E" w:rsidRPr="00A86E47" w:rsidRDefault="00C6546E" w:rsidP="00C6546E">
      <w:r w:rsidRPr="00A05D83">
        <w:rPr>
          <w:b/>
        </w:rPr>
        <w:t>V medzinárodn</w:t>
      </w:r>
      <w:r>
        <w:rPr>
          <w:b/>
        </w:rPr>
        <w:t>om</w:t>
      </w:r>
      <w:r w:rsidRPr="00A05D83">
        <w:rPr>
          <w:b/>
        </w:rPr>
        <w:t xml:space="preserve"> porovnan</w:t>
      </w:r>
      <w:r>
        <w:rPr>
          <w:b/>
        </w:rPr>
        <w:t>í salda verejných financií</w:t>
      </w:r>
      <w:r w:rsidRPr="00A05D83">
        <w:rPr>
          <w:b/>
        </w:rPr>
        <w:t xml:space="preserve"> </w:t>
      </w:r>
      <w:r>
        <w:rPr>
          <w:b/>
        </w:rPr>
        <w:t>patrilo</w:t>
      </w:r>
      <w:r w:rsidRPr="00A05D83">
        <w:rPr>
          <w:b/>
        </w:rPr>
        <w:t xml:space="preserve"> Slovensko v roku 2024 </w:t>
      </w:r>
      <w:r>
        <w:rPr>
          <w:b/>
        </w:rPr>
        <w:t xml:space="preserve">ku krajinám s najvyšším deficitom, keď dosiahlo </w:t>
      </w:r>
      <w:r w:rsidRPr="00A05D83">
        <w:rPr>
          <w:b/>
        </w:rPr>
        <w:t>štvrtý najhorší výsledok</w:t>
      </w:r>
      <w:r>
        <w:rPr>
          <w:b/>
        </w:rPr>
        <w:t xml:space="preserve"> spomedzi krajín EÚ </w:t>
      </w:r>
      <w:r w:rsidRPr="00855970">
        <w:t>(graf 3)</w:t>
      </w:r>
      <w:r w:rsidRPr="00A20A4B">
        <w:rPr>
          <w:b/>
        </w:rPr>
        <w:t xml:space="preserve">. </w:t>
      </w:r>
      <w:r>
        <w:t>Relatívne nepriaznivé postavenie Slovenska v rebríčku súvisí najmä s pretrvávajúcim štrukturálnym deficitom verejných financií, ako aj s nákladmi na sociálne opatrenia, ktoré neboli plne kryté dodatočnými príjmami alebo úsporami na strane výdavkov.</w:t>
      </w:r>
    </w:p>
    <w:p w14:paraId="6ECED452" w14:textId="2AD3A7C2" w:rsidR="00BA44CD" w:rsidRPr="00BC3CA3" w:rsidRDefault="00BA44CD" w:rsidP="00BA44CD">
      <w:pPr>
        <w:pStyle w:val="Popis"/>
        <w:keepNext/>
        <w:rPr>
          <w:color w:val="314364"/>
        </w:rPr>
      </w:pPr>
      <w:r w:rsidRPr="00BC3CA3">
        <w:rPr>
          <w:color w:val="314364"/>
        </w:rPr>
        <w:t xml:space="preserve">Graf </w:t>
      </w:r>
      <w:r w:rsidRPr="00BC3CA3">
        <w:rPr>
          <w:color w:val="314364"/>
        </w:rPr>
        <w:fldChar w:fldCharType="begin"/>
      </w:r>
      <w:r w:rsidRPr="00BC3CA3">
        <w:rPr>
          <w:color w:val="314364"/>
        </w:rPr>
        <w:instrText xml:space="preserve"> SEQ Graf \* ARABIC </w:instrText>
      </w:r>
      <w:r w:rsidRPr="00BC3CA3">
        <w:rPr>
          <w:color w:val="314364"/>
        </w:rPr>
        <w:fldChar w:fldCharType="separate"/>
      </w:r>
      <w:r w:rsidR="00D24E68">
        <w:rPr>
          <w:noProof/>
          <w:color w:val="314364"/>
        </w:rPr>
        <w:t>3</w:t>
      </w:r>
      <w:r w:rsidRPr="00BC3CA3">
        <w:rPr>
          <w:color w:val="314364"/>
        </w:rPr>
        <w:fldChar w:fldCharType="end"/>
      </w:r>
      <w:r w:rsidRPr="00BC3CA3">
        <w:rPr>
          <w:color w:val="314364"/>
        </w:rPr>
        <w:t>:</w:t>
      </w:r>
      <w:r>
        <w:rPr>
          <w:color w:val="314364"/>
        </w:rPr>
        <w:t xml:space="preserve"> </w:t>
      </w:r>
      <w:r w:rsidRPr="001D2976">
        <w:rPr>
          <w:color w:val="314364"/>
        </w:rPr>
        <w:t>Medzinárodn</w:t>
      </w:r>
      <w:r>
        <w:rPr>
          <w:color w:val="314364"/>
        </w:rPr>
        <w:t>é porovnanie sáld VS v roku 2024 (</w:t>
      </w:r>
      <w:r w:rsidR="00832BC2">
        <w:rPr>
          <w:color w:val="314364"/>
        </w:rPr>
        <w:t xml:space="preserve">v </w:t>
      </w:r>
      <w:r>
        <w:rPr>
          <w:color w:val="314364"/>
        </w:rPr>
        <w:t>% HDP)</w:t>
      </w:r>
    </w:p>
    <w:tbl>
      <w:tblPr>
        <w:tblStyle w:val="Mriekatabuky"/>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125"/>
      </w:tblGrid>
      <w:tr w:rsidR="00BA44CD" w:rsidRPr="00C75134" w14:paraId="10329CDA" w14:textId="77777777" w:rsidTr="002E1FF0">
        <w:trPr>
          <w:trHeight w:val="2721"/>
        </w:trPr>
        <w:tc>
          <w:tcPr>
            <w:tcW w:w="9071" w:type="dxa"/>
            <w:tcBorders>
              <w:top w:val="single" w:sz="4" w:space="0" w:color="314364"/>
              <w:bottom w:val="single" w:sz="4" w:space="0" w:color="314364"/>
            </w:tcBorders>
            <w:vAlign w:val="center"/>
          </w:tcPr>
          <w:p w14:paraId="0FB43A70" w14:textId="77777777" w:rsidR="00BA44CD" w:rsidRPr="00C75134" w:rsidRDefault="00BA44CD" w:rsidP="002E1FF0">
            <w:pPr>
              <w:spacing w:after="0"/>
              <w:rPr>
                <w:b/>
                <w:color w:val="576431"/>
              </w:rPr>
            </w:pPr>
            <w:r>
              <w:rPr>
                <w:noProof/>
                <w:lang w:eastAsia="sk-SK"/>
              </w:rPr>
              <w:drawing>
                <wp:inline distT="0" distB="0" distL="0" distR="0" wp14:anchorId="31BA406C" wp14:editId="3E28D7F6">
                  <wp:extent cx="5705475" cy="1704975"/>
                  <wp:effectExtent l="0" t="0" r="0" b="0"/>
                  <wp:docPr id="8"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bl>
    <w:p w14:paraId="00B81996" w14:textId="77777777" w:rsidR="00BA44CD" w:rsidRDefault="00BA44CD" w:rsidP="00BA44CD">
      <w:pPr>
        <w:pStyle w:val="Zdroj"/>
      </w:pPr>
      <w:r w:rsidRPr="00CD7042">
        <w:t xml:space="preserve">Zdroj: </w:t>
      </w:r>
      <w:r>
        <w:t>Eurostat.</w:t>
      </w:r>
    </w:p>
    <w:p w14:paraId="10AF7CDD" w14:textId="2B6C2525" w:rsidR="00C6546E" w:rsidRPr="00E351D4" w:rsidRDefault="00C6546E" w:rsidP="00C6546E">
      <w:pPr>
        <w:spacing w:after="0"/>
      </w:pPr>
      <w:r w:rsidRPr="00A20A4B">
        <w:rPr>
          <w:b/>
        </w:rPr>
        <w:lastRenderedPageBreak/>
        <w:t>NKÚ SR odporúča vláde SR prijať dodatočné opatrenia na zníženie štrukturálneho deficitu a zabezpečenie súladu s rozpočtovými pravidlami, vrátane efe</w:t>
      </w:r>
      <w:r w:rsidR="0068630A">
        <w:rPr>
          <w:b/>
        </w:rPr>
        <w:t>ktívneho čerpania zdrojov EÚ</w:t>
      </w:r>
      <w:r w:rsidRPr="00A20A4B">
        <w:rPr>
          <w:b/>
        </w:rPr>
        <w:t>.</w:t>
      </w:r>
      <w:r w:rsidR="00E351D4" w:rsidRPr="00E351D4">
        <w:rPr>
          <w:b/>
        </w:rPr>
        <w:t xml:space="preserve"> </w:t>
      </w:r>
      <w:r w:rsidR="00E351D4" w:rsidRPr="00E351D4">
        <w:t>Podľa RRZ</w:t>
      </w:r>
      <w:r w:rsidR="00E351D4" w:rsidRPr="00E351D4">
        <w:rPr>
          <w:rStyle w:val="Odkaznapoznmkupodiarou"/>
        </w:rPr>
        <w:footnoteReference w:id="1"/>
      </w:r>
      <w:r w:rsidR="00E351D4" w:rsidRPr="00E351D4">
        <w:t xml:space="preserve"> bol štrukturálny primárny deficit na úrovni 2,8 % HDP a je medziročne horší o 0,6 % HDP.</w:t>
      </w:r>
    </w:p>
    <w:p w14:paraId="3755E94E" w14:textId="77777777" w:rsidR="00C6546E" w:rsidRDefault="00C6546E" w:rsidP="00C6546E">
      <w:pPr>
        <w:pStyle w:val="Nadpis2"/>
      </w:pPr>
      <w:bookmarkStart w:id="10" w:name="_Toc197091781"/>
      <w:bookmarkStart w:id="11" w:name="_Toc198637713"/>
      <w:r>
        <w:t>2.2  Príjmy verejnej správy</w:t>
      </w:r>
      <w:bookmarkEnd w:id="10"/>
      <w:bookmarkEnd w:id="11"/>
    </w:p>
    <w:p w14:paraId="75E41698" w14:textId="5615DAD3" w:rsidR="00C6546E" w:rsidRDefault="00C6546E" w:rsidP="00C6546E">
      <w:r>
        <w:rPr>
          <w:b/>
        </w:rPr>
        <w:t xml:space="preserve">V roku 2024 dosiahli celkové príjmy VS v metodike ESA 2010 sumu vyššiu o 1,3 mld. eur oproti rozpočtu, čo predstavuje nárast o 1,1 % HDP. </w:t>
      </w:r>
      <w:r>
        <w:t xml:space="preserve">Tento pozitívny vývoj bol poháňaný vyššími nedaňovými príjmami, príspevkami na sociálne zabezpečenie a grantmi a transfermi, hoci </w:t>
      </w:r>
      <w:r w:rsidR="00650982">
        <w:t xml:space="preserve">príjmy z </w:t>
      </w:r>
      <w:r>
        <w:t>da</w:t>
      </w:r>
      <w:r w:rsidR="00650982">
        <w:t>ní</w:t>
      </w:r>
      <w:r>
        <w:t xml:space="preserve"> zaostal</w:t>
      </w:r>
      <w:r w:rsidR="00650982">
        <w:t>i</w:t>
      </w:r>
      <w:r>
        <w:t xml:space="preserve"> za rozpočtom. Kľúčovými faktormi boli priaznivejší vývoj na trhu s emisnými kvótami, vyššie dividendy zo štátnych podnikov a legislatívne zmeny ako zníženie odvodu do II. dôchodkového piliera a zvýšenie zdravotných odvodov. Naopak, slabší makroekonomický vývoj a nižšie čerpanie zdrojov z</w:t>
      </w:r>
      <w:r w:rsidR="00A20A4B">
        <w:t> </w:t>
      </w:r>
      <w:r>
        <w:t>P</w:t>
      </w:r>
      <w:r w:rsidR="00A20A4B">
        <w:t xml:space="preserve">OO </w:t>
      </w:r>
      <w:r>
        <w:t>čiastočne tlmili potenciálny rast príjmov.</w:t>
      </w:r>
    </w:p>
    <w:p w14:paraId="1D972C70" w14:textId="18A4FA3A" w:rsidR="00273435" w:rsidRDefault="00273435" w:rsidP="00273435">
      <w:pPr>
        <w:spacing w:before="120"/>
      </w:pPr>
      <w:r>
        <w:rPr>
          <w:b/>
        </w:rPr>
        <w:t>D</w:t>
      </w:r>
      <w:r w:rsidRPr="00C539AE">
        <w:rPr>
          <w:b/>
        </w:rPr>
        <w:t xml:space="preserve">aňové príjmy </w:t>
      </w:r>
      <w:r>
        <w:rPr>
          <w:b/>
        </w:rPr>
        <w:t xml:space="preserve">VS v roku 2024 boli oproti rozpočtu nižšie o 90,8 mil. eur </w:t>
      </w:r>
      <w:r w:rsidRPr="00856F6B">
        <w:t>(tabuľka 2)</w:t>
      </w:r>
      <w:r w:rsidRPr="00650982">
        <w:rPr>
          <w:b/>
        </w:rPr>
        <w:t>.</w:t>
      </w:r>
      <w:r>
        <w:rPr>
          <w:b/>
        </w:rPr>
        <w:t xml:space="preserve"> </w:t>
      </w:r>
      <w:r w:rsidRPr="00544D73">
        <w:t xml:space="preserve">Výpadok bol spôsobený predovšetkým nižším výnosom z DPH </w:t>
      </w:r>
      <w:r w:rsidR="007607F3" w:rsidRPr="007607F3">
        <w:t>–</w:t>
      </w:r>
      <w:r w:rsidR="007607F3">
        <w:t xml:space="preserve"> </w:t>
      </w:r>
      <w:r w:rsidRPr="00544D73">
        <w:t>o</w:t>
      </w:r>
      <w:r>
        <w:t> 177,1 mil. eur</w:t>
      </w:r>
      <w:r w:rsidR="007607F3">
        <w:t>,</w:t>
      </w:r>
      <w:r>
        <w:t xml:space="preserve"> a spotrebných daní </w:t>
      </w:r>
      <w:r w:rsidR="007607F3" w:rsidRPr="007607F3">
        <w:t>–</w:t>
      </w:r>
      <w:r w:rsidR="007607F3">
        <w:t xml:space="preserve"> </w:t>
      </w:r>
      <w:r>
        <w:t>o 95,2 mil. eur</w:t>
      </w:r>
      <w:r w:rsidR="00483265">
        <w:t xml:space="preserve"> (graf 4)</w:t>
      </w:r>
      <w:r>
        <w:t xml:space="preserve">, najmä z liehu a tabakových výrobkov, kde legislatívne zvýšenie sadzieb viedlo k predzásobeniu obchodníkov. Naopak, pozitívny vplyv mali vyššie príjmy z dane z príjmov vyberanej zrážkou </w:t>
      </w:r>
      <w:r w:rsidR="007607F3" w:rsidRPr="007607F3">
        <w:t>–</w:t>
      </w:r>
      <w:r w:rsidR="007607F3">
        <w:t xml:space="preserve"> </w:t>
      </w:r>
      <w:r>
        <w:t xml:space="preserve">o 114,1 mil. eur, poháňané rastom úrokových výnosov a dane z príjmu fyzických osôb zo závislej činnosti </w:t>
      </w:r>
      <w:r w:rsidR="007607F3" w:rsidRPr="007607F3">
        <w:t>–</w:t>
      </w:r>
      <w:r w:rsidR="007607F3">
        <w:t xml:space="preserve"> </w:t>
      </w:r>
      <w:r>
        <w:t>o 91,5 mil. eur</w:t>
      </w:r>
      <w:r w:rsidR="00B94E46">
        <w:t xml:space="preserve">, </w:t>
      </w:r>
      <w:r w:rsidR="007607F3">
        <w:t xml:space="preserve">a to </w:t>
      </w:r>
      <w:r>
        <w:t>v dôsledku zvýšeného daňového bonusu na deti. Miestne dane a dane z príjmu právnických osôb prispeli rovnako k zmierneniu celkového poklesu.</w:t>
      </w:r>
    </w:p>
    <w:p w14:paraId="0A4A7BE8" w14:textId="71B38454" w:rsidR="00483265" w:rsidRDefault="00483265" w:rsidP="00483265">
      <w:pPr>
        <w:pStyle w:val="Popis"/>
        <w:keepNext/>
      </w:pPr>
      <w:r>
        <w:t xml:space="preserve">Tabuľka </w:t>
      </w:r>
      <w:fldSimple w:instr=" SEQ Tabuľka \* ARABIC ">
        <w:r w:rsidR="00D24E68">
          <w:rPr>
            <w:noProof/>
          </w:rPr>
          <w:t>2</w:t>
        </w:r>
      </w:fldSimple>
      <w:r>
        <w:t>: Vývoj príjmov VS na akruálnej báze v rokoch 2023 a 2024 (v mil. eur)</w:t>
      </w:r>
    </w:p>
    <w:tbl>
      <w:tblPr>
        <w:tblpPr w:leftFromText="141" w:rightFromText="141" w:vertAnchor="text" w:horzAnchor="margin" w:tblpXSpec="right" w:tblpY="118"/>
        <w:tblOverlap w:val="never"/>
        <w:tblW w:w="5000" w:type="pct"/>
        <w:tblCellMar>
          <w:top w:w="28" w:type="dxa"/>
        </w:tblCellMar>
        <w:tblLook w:val="04A0" w:firstRow="1" w:lastRow="0" w:firstColumn="1" w:lastColumn="0" w:noHBand="0" w:noVBand="1"/>
      </w:tblPr>
      <w:tblGrid>
        <w:gridCol w:w="3716"/>
        <w:gridCol w:w="1154"/>
        <w:gridCol w:w="1154"/>
        <w:gridCol w:w="1154"/>
        <w:gridCol w:w="1892"/>
      </w:tblGrid>
      <w:tr w:rsidR="00483265" w14:paraId="48C0E320" w14:textId="77777777" w:rsidTr="00706298">
        <w:trPr>
          <w:trHeight w:val="20"/>
        </w:trPr>
        <w:tc>
          <w:tcPr>
            <w:tcW w:w="2049" w:type="pct"/>
            <w:tcBorders>
              <w:bottom w:val="single" w:sz="4" w:space="0" w:color="314364"/>
            </w:tcBorders>
            <w:shd w:val="clear" w:color="auto" w:fill="314364"/>
            <w:vAlign w:val="center"/>
          </w:tcPr>
          <w:p w14:paraId="66802256" w14:textId="77777777" w:rsidR="00483265" w:rsidRPr="0032280E" w:rsidRDefault="00483265" w:rsidP="00706298">
            <w:pPr>
              <w:spacing w:after="0" w:line="259" w:lineRule="auto"/>
              <w:jc w:val="left"/>
              <w:rPr>
                <w:b/>
                <w:color w:val="FFFFFF" w:themeColor="background1"/>
                <w:sz w:val="18"/>
              </w:rPr>
            </w:pPr>
            <w:r>
              <w:rPr>
                <w:b/>
                <w:color w:val="FFFFFF" w:themeColor="background1"/>
                <w:sz w:val="18"/>
              </w:rPr>
              <w:t>Ukazovateľ</w:t>
            </w:r>
          </w:p>
        </w:tc>
        <w:tc>
          <w:tcPr>
            <w:tcW w:w="636" w:type="pct"/>
            <w:tcBorders>
              <w:bottom w:val="single" w:sz="4" w:space="0" w:color="314364"/>
            </w:tcBorders>
            <w:shd w:val="clear" w:color="auto" w:fill="314364"/>
            <w:vAlign w:val="center"/>
          </w:tcPr>
          <w:p w14:paraId="5CB219C7" w14:textId="77777777" w:rsidR="00483265" w:rsidRDefault="00483265" w:rsidP="00706298">
            <w:pPr>
              <w:spacing w:after="0" w:line="259" w:lineRule="auto"/>
              <w:jc w:val="right"/>
              <w:rPr>
                <w:b/>
                <w:color w:val="FFFFFF" w:themeColor="background1"/>
                <w:sz w:val="18"/>
              </w:rPr>
            </w:pPr>
            <w:r>
              <w:rPr>
                <w:b/>
                <w:color w:val="FFFFFF" w:themeColor="background1"/>
                <w:sz w:val="18"/>
              </w:rPr>
              <w:t>2023 S</w:t>
            </w:r>
          </w:p>
        </w:tc>
        <w:tc>
          <w:tcPr>
            <w:tcW w:w="636" w:type="pct"/>
            <w:tcBorders>
              <w:bottom w:val="single" w:sz="4" w:space="0" w:color="314364"/>
            </w:tcBorders>
            <w:shd w:val="clear" w:color="auto" w:fill="314364"/>
            <w:vAlign w:val="center"/>
          </w:tcPr>
          <w:p w14:paraId="3793CDA5" w14:textId="77777777" w:rsidR="00483265" w:rsidRPr="0032280E" w:rsidRDefault="00483265" w:rsidP="00706298">
            <w:pPr>
              <w:spacing w:after="0" w:line="259" w:lineRule="auto"/>
              <w:jc w:val="right"/>
              <w:rPr>
                <w:b/>
                <w:color w:val="FFFFFF" w:themeColor="background1"/>
                <w:sz w:val="18"/>
              </w:rPr>
            </w:pPr>
            <w:r>
              <w:rPr>
                <w:b/>
                <w:color w:val="FFFFFF" w:themeColor="background1"/>
                <w:sz w:val="18"/>
              </w:rPr>
              <w:t>2024 R</w:t>
            </w:r>
          </w:p>
        </w:tc>
        <w:tc>
          <w:tcPr>
            <w:tcW w:w="636" w:type="pct"/>
            <w:tcBorders>
              <w:bottom w:val="single" w:sz="4" w:space="0" w:color="314364"/>
            </w:tcBorders>
            <w:shd w:val="clear" w:color="auto" w:fill="314364"/>
            <w:vAlign w:val="center"/>
          </w:tcPr>
          <w:p w14:paraId="3C45116D" w14:textId="77777777" w:rsidR="00483265" w:rsidRPr="0032280E" w:rsidRDefault="00483265" w:rsidP="00706298">
            <w:pPr>
              <w:spacing w:after="0" w:line="259" w:lineRule="auto"/>
              <w:jc w:val="right"/>
              <w:rPr>
                <w:b/>
                <w:color w:val="FFFFFF" w:themeColor="background1"/>
                <w:sz w:val="18"/>
              </w:rPr>
            </w:pPr>
            <w:r>
              <w:rPr>
                <w:b/>
                <w:color w:val="FFFFFF" w:themeColor="background1"/>
                <w:sz w:val="18"/>
              </w:rPr>
              <w:t>2024 S</w:t>
            </w:r>
          </w:p>
        </w:tc>
        <w:tc>
          <w:tcPr>
            <w:tcW w:w="1043" w:type="pct"/>
            <w:tcBorders>
              <w:bottom w:val="single" w:sz="4" w:space="0" w:color="314364"/>
            </w:tcBorders>
            <w:shd w:val="clear" w:color="auto" w:fill="314364"/>
            <w:vAlign w:val="center"/>
          </w:tcPr>
          <w:p w14:paraId="40BA5E4F" w14:textId="77777777" w:rsidR="00483265" w:rsidRDefault="00483265" w:rsidP="00706298">
            <w:pPr>
              <w:spacing w:after="0" w:line="259" w:lineRule="auto"/>
              <w:jc w:val="right"/>
              <w:rPr>
                <w:b/>
                <w:color w:val="FFFFFF" w:themeColor="background1"/>
                <w:sz w:val="18"/>
              </w:rPr>
            </w:pPr>
            <w:r>
              <w:rPr>
                <w:b/>
                <w:color w:val="FFFFFF" w:themeColor="background1"/>
                <w:sz w:val="18"/>
              </w:rPr>
              <w:t>2024 S - 2024 R</w:t>
            </w:r>
          </w:p>
        </w:tc>
      </w:tr>
      <w:tr w:rsidR="00483265" w14:paraId="284835D3" w14:textId="77777777" w:rsidTr="00706298">
        <w:trPr>
          <w:trHeight w:val="20"/>
        </w:trPr>
        <w:tc>
          <w:tcPr>
            <w:tcW w:w="2049" w:type="pct"/>
            <w:tcBorders>
              <w:top w:val="single" w:sz="4" w:space="0" w:color="314364"/>
            </w:tcBorders>
            <w:vAlign w:val="center"/>
          </w:tcPr>
          <w:p w14:paraId="2AD62814" w14:textId="77777777" w:rsidR="00483265" w:rsidRPr="00AC02EC" w:rsidRDefault="00483265" w:rsidP="00706298">
            <w:pPr>
              <w:spacing w:after="0" w:line="259" w:lineRule="auto"/>
              <w:jc w:val="left"/>
              <w:rPr>
                <w:b/>
                <w:sz w:val="18"/>
              </w:rPr>
            </w:pPr>
            <w:r>
              <w:rPr>
                <w:b/>
                <w:sz w:val="18"/>
              </w:rPr>
              <w:t xml:space="preserve">Príjmy spolu </w:t>
            </w:r>
          </w:p>
        </w:tc>
        <w:tc>
          <w:tcPr>
            <w:tcW w:w="636" w:type="pct"/>
            <w:tcBorders>
              <w:top w:val="single" w:sz="4" w:space="0" w:color="314364"/>
            </w:tcBorders>
            <w:vAlign w:val="center"/>
          </w:tcPr>
          <w:p w14:paraId="74CC5EDB" w14:textId="77777777" w:rsidR="00483265" w:rsidRPr="00831FB9" w:rsidRDefault="00483265" w:rsidP="00706298">
            <w:pPr>
              <w:spacing w:after="0" w:line="259" w:lineRule="auto"/>
              <w:jc w:val="right"/>
              <w:rPr>
                <w:b/>
                <w:sz w:val="18"/>
              </w:rPr>
            </w:pPr>
            <w:r>
              <w:rPr>
                <w:b/>
                <w:sz w:val="18"/>
              </w:rPr>
              <w:t>53 000,7</w:t>
            </w:r>
          </w:p>
        </w:tc>
        <w:tc>
          <w:tcPr>
            <w:tcW w:w="636" w:type="pct"/>
            <w:tcBorders>
              <w:top w:val="single" w:sz="4" w:space="0" w:color="314364"/>
            </w:tcBorders>
            <w:shd w:val="clear" w:color="auto" w:fill="auto"/>
            <w:vAlign w:val="center"/>
          </w:tcPr>
          <w:p w14:paraId="5F5FDE5C" w14:textId="77777777" w:rsidR="00483265" w:rsidRPr="00831FB9" w:rsidRDefault="00483265" w:rsidP="00706298">
            <w:pPr>
              <w:spacing w:after="0" w:line="259" w:lineRule="auto"/>
              <w:jc w:val="right"/>
              <w:rPr>
                <w:b/>
                <w:sz w:val="18"/>
              </w:rPr>
            </w:pPr>
            <w:r>
              <w:rPr>
                <w:b/>
                <w:sz w:val="18"/>
              </w:rPr>
              <w:t>53 480,5</w:t>
            </w:r>
          </w:p>
        </w:tc>
        <w:tc>
          <w:tcPr>
            <w:tcW w:w="636" w:type="pct"/>
            <w:tcBorders>
              <w:top w:val="single" w:sz="4" w:space="0" w:color="314364"/>
            </w:tcBorders>
            <w:vAlign w:val="center"/>
          </w:tcPr>
          <w:p w14:paraId="7BE2515A" w14:textId="77777777" w:rsidR="00483265" w:rsidRPr="00831FB9" w:rsidRDefault="00483265" w:rsidP="00706298">
            <w:pPr>
              <w:spacing w:after="0" w:line="259" w:lineRule="auto"/>
              <w:jc w:val="right"/>
              <w:rPr>
                <w:b/>
                <w:sz w:val="18"/>
              </w:rPr>
            </w:pPr>
            <w:r>
              <w:rPr>
                <w:b/>
                <w:sz w:val="18"/>
              </w:rPr>
              <w:t>54 807,2</w:t>
            </w:r>
          </w:p>
        </w:tc>
        <w:tc>
          <w:tcPr>
            <w:tcW w:w="1043" w:type="pct"/>
            <w:tcBorders>
              <w:top w:val="single" w:sz="4" w:space="0" w:color="314364"/>
            </w:tcBorders>
            <w:vAlign w:val="center"/>
          </w:tcPr>
          <w:p w14:paraId="3457D30C" w14:textId="77777777" w:rsidR="00483265" w:rsidRPr="00831FB9" w:rsidRDefault="00483265" w:rsidP="00706298">
            <w:pPr>
              <w:tabs>
                <w:tab w:val="left" w:pos="1303"/>
              </w:tabs>
              <w:spacing w:after="0" w:line="259" w:lineRule="auto"/>
              <w:ind w:right="459"/>
              <w:jc w:val="right"/>
              <w:rPr>
                <w:b/>
                <w:sz w:val="18"/>
              </w:rPr>
            </w:pPr>
            <w:r>
              <w:rPr>
                <w:b/>
                <w:sz w:val="18"/>
              </w:rPr>
              <w:t>1 326,7</w:t>
            </w:r>
          </w:p>
        </w:tc>
      </w:tr>
      <w:tr w:rsidR="00483265" w14:paraId="1B1D223E" w14:textId="77777777" w:rsidTr="00706298">
        <w:trPr>
          <w:trHeight w:val="20"/>
        </w:trPr>
        <w:tc>
          <w:tcPr>
            <w:tcW w:w="2049" w:type="pct"/>
            <w:vAlign w:val="center"/>
          </w:tcPr>
          <w:p w14:paraId="7545978C" w14:textId="77777777" w:rsidR="00483265" w:rsidRPr="00AC02EC" w:rsidRDefault="00483265" w:rsidP="00706298">
            <w:pPr>
              <w:spacing w:after="0" w:line="259" w:lineRule="auto"/>
              <w:jc w:val="left"/>
              <w:rPr>
                <w:sz w:val="18"/>
              </w:rPr>
            </w:pPr>
            <w:r>
              <w:rPr>
                <w:sz w:val="18"/>
              </w:rPr>
              <w:t>Daňové príjmy</w:t>
            </w:r>
          </w:p>
        </w:tc>
        <w:tc>
          <w:tcPr>
            <w:tcW w:w="636" w:type="pct"/>
            <w:vAlign w:val="center"/>
          </w:tcPr>
          <w:p w14:paraId="09D3C309" w14:textId="77777777" w:rsidR="00483265" w:rsidRPr="004B6CBD" w:rsidRDefault="00483265" w:rsidP="00706298">
            <w:pPr>
              <w:spacing w:after="0" w:line="259" w:lineRule="auto"/>
              <w:jc w:val="right"/>
              <w:rPr>
                <w:sz w:val="18"/>
              </w:rPr>
            </w:pPr>
            <w:r w:rsidRPr="004B6CBD">
              <w:rPr>
                <w:sz w:val="18"/>
              </w:rPr>
              <w:t>24 487,4</w:t>
            </w:r>
          </w:p>
        </w:tc>
        <w:tc>
          <w:tcPr>
            <w:tcW w:w="636" w:type="pct"/>
            <w:shd w:val="clear" w:color="auto" w:fill="auto"/>
            <w:vAlign w:val="center"/>
          </w:tcPr>
          <w:p w14:paraId="1BEDD669" w14:textId="77777777" w:rsidR="00483265" w:rsidRPr="004B6CBD" w:rsidRDefault="00483265" w:rsidP="00706298">
            <w:pPr>
              <w:spacing w:after="0" w:line="259" w:lineRule="auto"/>
              <w:jc w:val="right"/>
              <w:rPr>
                <w:sz w:val="18"/>
              </w:rPr>
            </w:pPr>
            <w:r w:rsidRPr="004B6CBD">
              <w:rPr>
                <w:sz w:val="18"/>
              </w:rPr>
              <w:t>25 806,6</w:t>
            </w:r>
          </w:p>
        </w:tc>
        <w:tc>
          <w:tcPr>
            <w:tcW w:w="636" w:type="pct"/>
            <w:vAlign w:val="center"/>
          </w:tcPr>
          <w:p w14:paraId="0E473F15" w14:textId="77777777" w:rsidR="00483265" w:rsidRPr="004B6CBD" w:rsidRDefault="00483265" w:rsidP="00706298">
            <w:pPr>
              <w:spacing w:after="0" w:line="259" w:lineRule="auto"/>
              <w:jc w:val="right"/>
              <w:rPr>
                <w:sz w:val="18"/>
              </w:rPr>
            </w:pPr>
            <w:r w:rsidRPr="004B6CBD">
              <w:rPr>
                <w:sz w:val="18"/>
              </w:rPr>
              <w:t>25 715,8</w:t>
            </w:r>
          </w:p>
        </w:tc>
        <w:tc>
          <w:tcPr>
            <w:tcW w:w="1043" w:type="pct"/>
            <w:vAlign w:val="center"/>
          </w:tcPr>
          <w:p w14:paraId="5E4BC04D" w14:textId="77777777" w:rsidR="00483265" w:rsidRPr="004B6CBD" w:rsidRDefault="00483265" w:rsidP="00706298">
            <w:pPr>
              <w:tabs>
                <w:tab w:val="left" w:pos="1303"/>
              </w:tabs>
              <w:spacing w:after="0" w:line="259" w:lineRule="auto"/>
              <w:ind w:right="459"/>
              <w:jc w:val="right"/>
              <w:rPr>
                <w:sz w:val="18"/>
              </w:rPr>
            </w:pPr>
            <w:r w:rsidRPr="004B6CBD">
              <w:rPr>
                <w:sz w:val="18"/>
              </w:rPr>
              <w:t>-90,8</w:t>
            </w:r>
          </w:p>
        </w:tc>
      </w:tr>
      <w:tr w:rsidR="00483265" w14:paraId="4120C451" w14:textId="77777777" w:rsidTr="00706298">
        <w:trPr>
          <w:trHeight w:val="20"/>
        </w:trPr>
        <w:tc>
          <w:tcPr>
            <w:tcW w:w="2049" w:type="pct"/>
            <w:vAlign w:val="center"/>
          </w:tcPr>
          <w:p w14:paraId="47B756F3" w14:textId="062C7B59" w:rsidR="00483265" w:rsidRDefault="00483265" w:rsidP="00706298">
            <w:pPr>
              <w:spacing w:after="0" w:line="259" w:lineRule="auto"/>
              <w:jc w:val="left"/>
              <w:rPr>
                <w:sz w:val="18"/>
              </w:rPr>
            </w:pPr>
            <w:r>
              <w:rPr>
                <w:sz w:val="18"/>
              </w:rPr>
              <w:t xml:space="preserve">Príspevky na </w:t>
            </w:r>
            <w:r w:rsidR="00FA227F">
              <w:rPr>
                <w:sz w:val="18"/>
              </w:rPr>
              <w:t xml:space="preserve"> sociálne zabezpečenie</w:t>
            </w:r>
          </w:p>
        </w:tc>
        <w:tc>
          <w:tcPr>
            <w:tcW w:w="636" w:type="pct"/>
            <w:vAlign w:val="center"/>
          </w:tcPr>
          <w:p w14:paraId="5F8F8B7B" w14:textId="77777777" w:rsidR="00483265" w:rsidRPr="00D14ECD" w:rsidRDefault="00483265" w:rsidP="00706298">
            <w:pPr>
              <w:spacing w:after="0" w:line="259" w:lineRule="auto"/>
              <w:jc w:val="right"/>
              <w:rPr>
                <w:sz w:val="18"/>
                <w:szCs w:val="18"/>
              </w:rPr>
            </w:pPr>
            <w:r>
              <w:rPr>
                <w:sz w:val="18"/>
                <w:szCs w:val="18"/>
              </w:rPr>
              <w:t>18 945,7</w:t>
            </w:r>
          </w:p>
        </w:tc>
        <w:tc>
          <w:tcPr>
            <w:tcW w:w="636" w:type="pct"/>
            <w:shd w:val="clear" w:color="auto" w:fill="auto"/>
            <w:vAlign w:val="center"/>
          </w:tcPr>
          <w:p w14:paraId="20E6DA68" w14:textId="77777777" w:rsidR="00483265" w:rsidRPr="0032280E" w:rsidRDefault="00483265" w:rsidP="00706298">
            <w:pPr>
              <w:spacing w:after="0" w:line="259" w:lineRule="auto"/>
              <w:jc w:val="right"/>
              <w:rPr>
                <w:sz w:val="18"/>
              </w:rPr>
            </w:pPr>
            <w:r>
              <w:rPr>
                <w:sz w:val="18"/>
              </w:rPr>
              <w:t>20 724,7</w:t>
            </w:r>
          </w:p>
        </w:tc>
        <w:tc>
          <w:tcPr>
            <w:tcW w:w="636" w:type="pct"/>
            <w:vAlign w:val="center"/>
          </w:tcPr>
          <w:p w14:paraId="535590C3" w14:textId="77777777" w:rsidR="00483265" w:rsidRPr="0032280E" w:rsidRDefault="00483265" w:rsidP="00706298">
            <w:pPr>
              <w:spacing w:after="0" w:line="259" w:lineRule="auto"/>
              <w:jc w:val="right"/>
              <w:rPr>
                <w:sz w:val="18"/>
              </w:rPr>
            </w:pPr>
            <w:r>
              <w:rPr>
                <w:sz w:val="18"/>
              </w:rPr>
              <w:t>20 946,3</w:t>
            </w:r>
          </w:p>
        </w:tc>
        <w:tc>
          <w:tcPr>
            <w:tcW w:w="1043" w:type="pct"/>
            <w:vAlign w:val="center"/>
          </w:tcPr>
          <w:p w14:paraId="149F5F89" w14:textId="77777777" w:rsidR="00483265" w:rsidRPr="0032280E" w:rsidRDefault="00483265" w:rsidP="00706298">
            <w:pPr>
              <w:tabs>
                <w:tab w:val="left" w:pos="1303"/>
              </w:tabs>
              <w:spacing w:after="0" w:line="259" w:lineRule="auto"/>
              <w:ind w:right="459"/>
              <w:jc w:val="right"/>
              <w:rPr>
                <w:sz w:val="18"/>
              </w:rPr>
            </w:pPr>
            <w:r>
              <w:rPr>
                <w:sz w:val="18"/>
              </w:rPr>
              <w:t>221,5</w:t>
            </w:r>
          </w:p>
        </w:tc>
      </w:tr>
      <w:tr w:rsidR="00483265" w:rsidRPr="00325BDA" w14:paraId="1EE498E9" w14:textId="77777777" w:rsidTr="00706298">
        <w:trPr>
          <w:trHeight w:val="20"/>
        </w:trPr>
        <w:tc>
          <w:tcPr>
            <w:tcW w:w="2049" w:type="pct"/>
            <w:vAlign w:val="center"/>
          </w:tcPr>
          <w:p w14:paraId="21181E16" w14:textId="77777777" w:rsidR="00483265" w:rsidRPr="006F3809" w:rsidRDefault="00483265" w:rsidP="00706298">
            <w:pPr>
              <w:spacing w:after="0" w:line="259" w:lineRule="auto"/>
              <w:jc w:val="left"/>
              <w:rPr>
                <w:sz w:val="18"/>
              </w:rPr>
            </w:pPr>
            <w:r>
              <w:rPr>
                <w:sz w:val="18"/>
              </w:rPr>
              <w:t>Nedaňové príjmy</w:t>
            </w:r>
          </w:p>
        </w:tc>
        <w:tc>
          <w:tcPr>
            <w:tcW w:w="636" w:type="pct"/>
            <w:vAlign w:val="center"/>
          </w:tcPr>
          <w:p w14:paraId="3546F07C" w14:textId="77777777" w:rsidR="00483265" w:rsidRPr="006F3809" w:rsidRDefault="00483265" w:rsidP="00706298">
            <w:pPr>
              <w:spacing w:after="0" w:line="259" w:lineRule="auto"/>
              <w:jc w:val="right"/>
              <w:rPr>
                <w:sz w:val="18"/>
              </w:rPr>
            </w:pPr>
            <w:r>
              <w:rPr>
                <w:sz w:val="18"/>
              </w:rPr>
              <w:t>4 603,7</w:t>
            </w:r>
          </w:p>
        </w:tc>
        <w:tc>
          <w:tcPr>
            <w:tcW w:w="636" w:type="pct"/>
            <w:shd w:val="clear" w:color="auto" w:fill="auto"/>
            <w:vAlign w:val="center"/>
          </w:tcPr>
          <w:p w14:paraId="7D848B40" w14:textId="77777777" w:rsidR="00483265" w:rsidRPr="006F3809" w:rsidRDefault="00483265" w:rsidP="00706298">
            <w:pPr>
              <w:spacing w:after="0" w:line="259" w:lineRule="auto"/>
              <w:jc w:val="right"/>
              <w:rPr>
                <w:sz w:val="18"/>
              </w:rPr>
            </w:pPr>
            <w:r>
              <w:rPr>
                <w:sz w:val="18"/>
              </w:rPr>
              <w:t>4 444,5</w:t>
            </w:r>
          </w:p>
        </w:tc>
        <w:tc>
          <w:tcPr>
            <w:tcW w:w="636" w:type="pct"/>
            <w:vAlign w:val="center"/>
          </w:tcPr>
          <w:p w14:paraId="60DF1E05" w14:textId="77777777" w:rsidR="00483265" w:rsidRPr="006F3809" w:rsidRDefault="00483265" w:rsidP="00706298">
            <w:pPr>
              <w:spacing w:after="0" w:line="259" w:lineRule="auto"/>
              <w:jc w:val="right"/>
              <w:rPr>
                <w:sz w:val="18"/>
              </w:rPr>
            </w:pPr>
            <w:r>
              <w:rPr>
                <w:sz w:val="18"/>
              </w:rPr>
              <w:t>5 096,5</w:t>
            </w:r>
          </w:p>
        </w:tc>
        <w:tc>
          <w:tcPr>
            <w:tcW w:w="1043" w:type="pct"/>
            <w:vAlign w:val="center"/>
          </w:tcPr>
          <w:p w14:paraId="6A8F84C0" w14:textId="77777777" w:rsidR="00483265" w:rsidRPr="006F3809" w:rsidRDefault="00483265" w:rsidP="00706298">
            <w:pPr>
              <w:tabs>
                <w:tab w:val="left" w:pos="1303"/>
              </w:tabs>
              <w:spacing w:after="0" w:line="259" w:lineRule="auto"/>
              <w:ind w:right="459"/>
              <w:jc w:val="right"/>
              <w:rPr>
                <w:sz w:val="18"/>
              </w:rPr>
            </w:pPr>
            <w:r>
              <w:rPr>
                <w:sz w:val="18"/>
              </w:rPr>
              <w:t>652,0</w:t>
            </w:r>
          </w:p>
        </w:tc>
      </w:tr>
      <w:tr w:rsidR="00483265" w:rsidRPr="00325BDA" w14:paraId="7A8AD6D8" w14:textId="77777777" w:rsidTr="00706298">
        <w:trPr>
          <w:trHeight w:val="227"/>
        </w:trPr>
        <w:tc>
          <w:tcPr>
            <w:tcW w:w="2049" w:type="pct"/>
            <w:tcBorders>
              <w:bottom w:val="single" w:sz="4" w:space="0" w:color="314364" w:themeColor="text2"/>
            </w:tcBorders>
            <w:vAlign w:val="center"/>
          </w:tcPr>
          <w:p w14:paraId="42CAF058" w14:textId="77777777" w:rsidR="00483265" w:rsidRDefault="00483265" w:rsidP="00706298">
            <w:pPr>
              <w:spacing w:after="0" w:line="259" w:lineRule="auto"/>
              <w:jc w:val="left"/>
              <w:rPr>
                <w:sz w:val="18"/>
              </w:rPr>
            </w:pPr>
            <w:r>
              <w:rPr>
                <w:sz w:val="18"/>
              </w:rPr>
              <w:t>Granty a transfery</w:t>
            </w:r>
          </w:p>
        </w:tc>
        <w:tc>
          <w:tcPr>
            <w:tcW w:w="636" w:type="pct"/>
            <w:tcBorders>
              <w:bottom w:val="single" w:sz="4" w:space="0" w:color="314364" w:themeColor="text2"/>
            </w:tcBorders>
            <w:vAlign w:val="center"/>
          </w:tcPr>
          <w:p w14:paraId="7E7347AB" w14:textId="77777777" w:rsidR="00483265" w:rsidRPr="006F3809" w:rsidRDefault="00483265" w:rsidP="00706298">
            <w:pPr>
              <w:spacing w:after="0" w:line="259" w:lineRule="auto"/>
              <w:jc w:val="right"/>
              <w:rPr>
                <w:sz w:val="18"/>
              </w:rPr>
            </w:pPr>
            <w:r>
              <w:rPr>
                <w:sz w:val="18"/>
              </w:rPr>
              <w:t>4 963,8</w:t>
            </w:r>
          </w:p>
        </w:tc>
        <w:tc>
          <w:tcPr>
            <w:tcW w:w="636" w:type="pct"/>
            <w:tcBorders>
              <w:bottom w:val="single" w:sz="4" w:space="0" w:color="314364" w:themeColor="text2"/>
            </w:tcBorders>
            <w:shd w:val="clear" w:color="auto" w:fill="auto"/>
            <w:vAlign w:val="center"/>
          </w:tcPr>
          <w:p w14:paraId="279153F3" w14:textId="77777777" w:rsidR="00483265" w:rsidRPr="006F3809" w:rsidRDefault="00483265" w:rsidP="00706298">
            <w:pPr>
              <w:spacing w:after="0" w:line="259" w:lineRule="auto"/>
              <w:jc w:val="right"/>
              <w:rPr>
                <w:sz w:val="18"/>
              </w:rPr>
            </w:pPr>
            <w:r>
              <w:rPr>
                <w:sz w:val="18"/>
              </w:rPr>
              <w:t>2 504,6</w:t>
            </w:r>
          </w:p>
        </w:tc>
        <w:tc>
          <w:tcPr>
            <w:tcW w:w="636" w:type="pct"/>
            <w:tcBorders>
              <w:bottom w:val="single" w:sz="4" w:space="0" w:color="314364" w:themeColor="text2"/>
            </w:tcBorders>
            <w:vAlign w:val="center"/>
          </w:tcPr>
          <w:p w14:paraId="0D4E4941" w14:textId="77777777" w:rsidR="00483265" w:rsidRPr="006F3809" w:rsidRDefault="00483265" w:rsidP="00706298">
            <w:pPr>
              <w:spacing w:after="0" w:line="259" w:lineRule="auto"/>
              <w:jc w:val="right"/>
              <w:rPr>
                <w:sz w:val="18"/>
              </w:rPr>
            </w:pPr>
            <w:r>
              <w:rPr>
                <w:sz w:val="18"/>
              </w:rPr>
              <w:t>3 048,6</w:t>
            </w:r>
          </w:p>
        </w:tc>
        <w:tc>
          <w:tcPr>
            <w:tcW w:w="1043" w:type="pct"/>
            <w:tcBorders>
              <w:bottom w:val="single" w:sz="4" w:space="0" w:color="314364" w:themeColor="text2"/>
            </w:tcBorders>
            <w:vAlign w:val="center"/>
          </w:tcPr>
          <w:p w14:paraId="0F5CEA07" w14:textId="77777777" w:rsidR="00483265" w:rsidRPr="006F3809" w:rsidRDefault="00483265" w:rsidP="00706298">
            <w:pPr>
              <w:tabs>
                <w:tab w:val="left" w:pos="1303"/>
              </w:tabs>
              <w:spacing w:after="0" w:line="259" w:lineRule="auto"/>
              <w:ind w:right="459"/>
              <w:jc w:val="right"/>
              <w:rPr>
                <w:sz w:val="18"/>
              </w:rPr>
            </w:pPr>
            <w:r>
              <w:rPr>
                <w:sz w:val="18"/>
              </w:rPr>
              <w:t>544,0</w:t>
            </w:r>
          </w:p>
        </w:tc>
      </w:tr>
    </w:tbl>
    <w:p w14:paraId="3B612789" w14:textId="00BB14D1" w:rsidR="00483265" w:rsidRDefault="00483265" w:rsidP="00483265">
      <w:pPr>
        <w:pStyle w:val="Zdroj"/>
      </w:pPr>
      <w:r w:rsidRPr="00AC02EC">
        <w:t xml:space="preserve">Zdroj: </w:t>
      </w:r>
      <w:r>
        <w:t>Návrh ŠZÚ 202</w:t>
      </w:r>
      <w:r w:rsidR="00CE5D40">
        <w:t>4</w:t>
      </w:r>
      <w:r>
        <w:t>.</w:t>
      </w:r>
    </w:p>
    <w:p w14:paraId="0438B65F" w14:textId="77777777" w:rsidR="00BA44CD" w:rsidRPr="00BC3CA3" w:rsidRDefault="00BA44CD" w:rsidP="00BA44CD">
      <w:pPr>
        <w:pStyle w:val="Popis"/>
        <w:keepNext/>
        <w:rPr>
          <w:color w:val="314364"/>
        </w:rPr>
      </w:pPr>
      <w:r w:rsidRPr="00BC3CA3">
        <w:rPr>
          <w:color w:val="314364"/>
        </w:rPr>
        <w:t>Graf</w:t>
      </w:r>
      <w:r>
        <w:rPr>
          <w:color w:val="314364"/>
        </w:rPr>
        <w:t xml:space="preserve"> 4</w:t>
      </w:r>
      <w:r w:rsidRPr="00BC3CA3">
        <w:rPr>
          <w:color w:val="314364"/>
        </w:rPr>
        <w:t>:</w:t>
      </w:r>
      <w:r>
        <w:rPr>
          <w:color w:val="314364"/>
        </w:rPr>
        <w:t xml:space="preserve"> </w:t>
      </w:r>
      <w:r w:rsidRPr="00121099">
        <w:rPr>
          <w:color w:val="314364"/>
        </w:rPr>
        <w:t>Porovnanie prog</w:t>
      </w:r>
      <w:r>
        <w:rPr>
          <w:color w:val="314364"/>
        </w:rPr>
        <w:t xml:space="preserve">nózy </w:t>
      </w:r>
      <w:proofErr w:type="spellStart"/>
      <w:r>
        <w:rPr>
          <w:color w:val="314364"/>
        </w:rPr>
        <w:t>VpD</w:t>
      </w:r>
      <w:r w:rsidRPr="00AF5A13">
        <w:rPr>
          <w:color w:val="314364"/>
        </w:rPr>
        <w:t>P</w:t>
      </w:r>
      <w:proofErr w:type="spellEnd"/>
      <w:r w:rsidRPr="00AF5A13">
        <w:rPr>
          <w:color w:val="314364"/>
        </w:rPr>
        <w:t xml:space="preserve"> a</w:t>
      </w:r>
      <w:r>
        <w:rPr>
          <w:color w:val="314364"/>
        </w:rPr>
        <w:t xml:space="preserve"> očakávanej </w:t>
      </w:r>
      <w:r w:rsidRPr="00AF5A13">
        <w:rPr>
          <w:color w:val="314364"/>
        </w:rPr>
        <w:t>skutočnosti za rok 20</w:t>
      </w:r>
      <w:r>
        <w:rPr>
          <w:color w:val="314364"/>
        </w:rPr>
        <w:t>24 (v mil. eur)</w:t>
      </w:r>
    </w:p>
    <w:tbl>
      <w:tblPr>
        <w:tblStyle w:val="Mriekatabuky"/>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2"/>
      </w:tblGrid>
      <w:tr w:rsidR="00BA44CD" w:rsidRPr="00C75134" w14:paraId="6BC4FB4E" w14:textId="77777777" w:rsidTr="002E1FF0">
        <w:trPr>
          <w:trHeight w:val="3402"/>
        </w:trPr>
        <w:tc>
          <w:tcPr>
            <w:tcW w:w="9071" w:type="dxa"/>
            <w:tcBorders>
              <w:top w:val="single" w:sz="4" w:space="0" w:color="314364"/>
              <w:bottom w:val="single" w:sz="4" w:space="0" w:color="314364"/>
            </w:tcBorders>
            <w:vAlign w:val="center"/>
          </w:tcPr>
          <w:p w14:paraId="0EB90A18" w14:textId="77777777" w:rsidR="00BA44CD" w:rsidRPr="00C75134" w:rsidRDefault="00BA44CD" w:rsidP="002E1FF0">
            <w:pPr>
              <w:spacing w:after="0"/>
              <w:rPr>
                <w:b/>
                <w:color w:val="576431"/>
              </w:rPr>
            </w:pPr>
            <w:r>
              <w:rPr>
                <w:noProof/>
                <w:lang w:eastAsia="sk-SK"/>
              </w:rPr>
              <w:drawing>
                <wp:inline distT="0" distB="0" distL="0" distR="0" wp14:anchorId="6ABEDF12" wp14:editId="3FF1C086">
                  <wp:extent cx="5657850" cy="2133600"/>
                  <wp:effectExtent l="0" t="0" r="0" b="0"/>
                  <wp:docPr id="9"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bl>
    <w:p w14:paraId="4132D030" w14:textId="7EE9CF33" w:rsidR="00C6546E" w:rsidRDefault="00BA44CD" w:rsidP="00C6546E">
      <w:pPr>
        <w:pStyle w:val="Zdroj"/>
        <w:jc w:val="both"/>
      </w:pPr>
      <w:r w:rsidRPr="00CD7042">
        <w:t xml:space="preserve">Zdroj: </w:t>
      </w:r>
      <w:r>
        <w:t>Návrh RVS 2024</w:t>
      </w:r>
      <w:r w:rsidRPr="00EF538E">
        <w:t>;</w:t>
      </w:r>
      <w:r>
        <w:t xml:space="preserve"> Návrh </w:t>
      </w:r>
      <w:r w:rsidRPr="00AC02EC">
        <w:t>ŠZÚ</w:t>
      </w:r>
      <w:r>
        <w:t xml:space="preserve"> 2024</w:t>
      </w:r>
      <w:r w:rsidRPr="00AC02EC">
        <w:t xml:space="preserve">, </w:t>
      </w:r>
      <w:r>
        <w:t>MF SR.</w:t>
      </w:r>
      <w:r w:rsidRPr="00FE06B8">
        <w:t xml:space="preserve"> </w:t>
      </w:r>
      <w:r>
        <w:t>Viac v tabuľke 2 v prílohe.</w:t>
      </w:r>
    </w:p>
    <w:p w14:paraId="4E7CAFB7" w14:textId="7610C059" w:rsidR="00C6546E" w:rsidRPr="00F47AEB" w:rsidRDefault="00C6546E" w:rsidP="00C6546E">
      <w:pPr>
        <w:spacing w:before="120"/>
      </w:pPr>
      <w:r>
        <w:rPr>
          <w:b/>
        </w:rPr>
        <w:t>Výber sociálnych a zdravotných odvodov v roku 2024 vzrástol oproti rozpočtu o 221,5 mil. eur</w:t>
      </w:r>
      <w:r w:rsidR="008314E1">
        <w:rPr>
          <w:b/>
        </w:rPr>
        <w:t xml:space="preserve"> a o 2 mld. eur medziročne</w:t>
      </w:r>
      <w:r>
        <w:rPr>
          <w:b/>
        </w:rPr>
        <w:t xml:space="preserve">. </w:t>
      </w:r>
      <w:r>
        <w:t xml:space="preserve">Sociálne odvody boli pozitívne ovplyvnené oddlžením nemocníc, čo prinieslo dodatočných 167 mil. eur a vyšším výberom dlžného poistného o 49,9 mil. eur. Naopak, </w:t>
      </w:r>
      <w:r>
        <w:lastRenderedPageBreak/>
        <w:t xml:space="preserve">zdravotné odvody zaznamenali slabší výber od ekonomicky aktívneho obyvateľstva </w:t>
      </w:r>
      <w:r w:rsidR="007607F3" w:rsidRPr="007607F3">
        <w:t>–</w:t>
      </w:r>
      <w:r w:rsidR="007607F3">
        <w:t xml:space="preserve"> </w:t>
      </w:r>
      <w:r>
        <w:t>o 34,7 mil. eur</w:t>
      </w:r>
      <w:r w:rsidR="007607F3">
        <w:t>,</w:t>
      </w:r>
      <w:r>
        <w:t xml:space="preserve"> v dôsledku slabšieho makroekonomického vývoja, hoci tento pokles čiastočne kompenzovala zvýšená sadzba odvodu o 1 %. Negatívny vplyv malo aj odpustenie odvodov pre potravinársky sektor (16,7 mil. eur).</w:t>
      </w:r>
    </w:p>
    <w:p w14:paraId="206DE622" w14:textId="30735DB7" w:rsidR="00C6546E" w:rsidRDefault="00C6546E" w:rsidP="00C6546E">
      <w:pPr>
        <w:spacing w:before="120"/>
      </w:pPr>
      <w:r w:rsidRPr="00C539AE">
        <w:rPr>
          <w:b/>
        </w:rPr>
        <w:t xml:space="preserve">Nedaňové príjmy </w:t>
      </w:r>
      <w:r>
        <w:rPr>
          <w:b/>
        </w:rPr>
        <w:t xml:space="preserve">VS v roku 2024 vzrástli oproti rozpočtu o 652 mil. eur. </w:t>
      </w:r>
      <w:r>
        <w:t>K tomuto nárastu výrazne prispeli vyššie príjmy z obchodovania s emisnými kvótami, ktoré vzrástli oproti rozpočtu o 383,9 mil. eur, a to v dôsledku priaznivejšieho vývoja cien kvót na trhu. Dividendy a odvody zo zisku vzrástli oproti rozpočtu o 30,8 mil. eur, a to najmä vďaka Vodohospodárskej výstavbe, š. p.</w:t>
      </w:r>
      <w:r w:rsidR="007607F3">
        <w:t>,</w:t>
      </w:r>
      <w:r>
        <w:t xml:space="preserve"> (21,3 mil. eur) a Slovenskej elektrizačnej prenosovej sústave, a. s.</w:t>
      </w:r>
      <w:r w:rsidR="007607F3">
        <w:t>,</w:t>
      </w:r>
      <w:r>
        <w:t xml:space="preserve"> (10,1 mil. eur). Ďalším faktorom boli príjmy z osobitného odvodu z regulovaných odvetví, ktoré boli poháňané lepšou ziskovosťou energetického sektora (22,2 mil. eur).</w:t>
      </w:r>
    </w:p>
    <w:p w14:paraId="66777775" w14:textId="073E7014" w:rsidR="00C6546E" w:rsidRPr="00483265" w:rsidRDefault="00C6546E" w:rsidP="00C6546E">
      <w:pPr>
        <w:spacing w:before="120"/>
        <w:rPr>
          <w:b/>
        </w:rPr>
      </w:pPr>
      <w:r w:rsidRPr="00E724DF">
        <w:rPr>
          <w:b/>
        </w:rPr>
        <w:t>V roku 2024 dosiahli príjmy VS na Slovensku 4</w:t>
      </w:r>
      <w:r w:rsidR="00320B33">
        <w:rPr>
          <w:b/>
        </w:rPr>
        <w:t>1,8</w:t>
      </w:r>
      <w:r w:rsidRPr="00E724DF">
        <w:rPr>
          <w:b/>
        </w:rPr>
        <w:t xml:space="preserve"> % HDP, čo bolo pod priemerom EÚ</w:t>
      </w:r>
      <w:r>
        <w:rPr>
          <w:b/>
        </w:rPr>
        <w:t xml:space="preserve"> </w:t>
      </w:r>
      <w:r w:rsidRPr="00E724DF">
        <w:t>(graf 5)</w:t>
      </w:r>
      <w:r w:rsidRPr="00483265">
        <w:rPr>
          <w:b/>
        </w:rPr>
        <w:t>.</w:t>
      </w:r>
      <w:r w:rsidRPr="00E724DF">
        <w:rPr>
          <w:b/>
        </w:rPr>
        <w:t xml:space="preserve"> </w:t>
      </w:r>
      <w:r>
        <w:t xml:space="preserve">Príjmová úroveň Slovenska tak dlhodobo zodpovedá regionálnemu priemeru krajín V4. Slovensko má v európskom porovnaní stále nižší podiel verejných príjmov na HDP, pričom značná časť daňového a odvodového zaťaženia je sústredená na príjmy z práce. </w:t>
      </w:r>
      <w:r w:rsidR="00483265" w:rsidRPr="00483265">
        <w:rPr>
          <w:b/>
        </w:rPr>
        <w:t>NKÚ SR upozorňuje, že v</w:t>
      </w:r>
      <w:r w:rsidRPr="00483265">
        <w:rPr>
          <w:b/>
        </w:rPr>
        <w:t>zhľadom na vysoké sadzby DPH a odvodov je priestor na ďalšiu konsolidáciu prostredníctvom celkového daňového zaťaženia obmedzený. Potenciál do budúcnosti by mohol spočívať najmä v zmene štruktúry daňových príjmov alebo musí byť doplnený aj opatreniami na výdavkovej strane.</w:t>
      </w:r>
    </w:p>
    <w:p w14:paraId="102EB8FF" w14:textId="4D1CE6E9" w:rsidR="00C6546E" w:rsidRPr="00BC3CA3" w:rsidRDefault="00C6546E" w:rsidP="00C6546E">
      <w:pPr>
        <w:pStyle w:val="Popis"/>
        <w:keepNext/>
        <w:rPr>
          <w:color w:val="314364"/>
        </w:rPr>
      </w:pPr>
      <w:r w:rsidRPr="00BC3CA3">
        <w:rPr>
          <w:color w:val="314364"/>
        </w:rPr>
        <w:t xml:space="preserve">Graf </w:t>
      </w:r>
      <w:r>
        <w:rPr>
          <w:color w:val="314364"/>
        </w:rPr>
        <w:t>5</w:t>
      </w:r>
      <w:r w:rsidRPr="00BC3CA3">
        <w:rPr>
          <w:color w:val="314364"/>
        </w:rPr>
        <w:t>:</w:t>
      </w:r>
      <w:r>
        <w:rPr>
          <w:color w:val="314364"/>
        </w:rPr>
        <w:t xml:space="preserve"> </w:t>
      </w:r>
      <w:r w:rsidRPr="00C55334">
        <w:rPr>
          <w:color w:val="314364"/>
        </w:rPr>
        <w:t>Medzinárodné p</w:t>
      </w:r>
      <w:r>
        <w:rPr>
          <w:color w:val="314364"/>
        </w:rPr>
        <w:t>orovnanie príjmov VS v roku 2024 (</w:t>
      </w:r>
      <w:r w:rsidR="00832BC2">
        <w:rPr>
          <w:color w:val="314364"/>
        </w:rPr>
        <w:t xml:space="preserve">v </w:t>
      </w:r>
      <w:r>
        <w:rPr>
          <w:color w:val="314364"/>
        </w:rPr>
        <w:t>% HDP)</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C6546E" w:rsidRPr="00C75134" w14:paraId="04BEB0A0" w14:textId="77777777" w:rsidTr="00C6546E">
        <w:trPr>
          <w:trHeight w:val="3402"/>
        </w:trPr>
        <w:tc>
          <w:tcPr>
            <w:tcW w:w="9070" w:type="dxa"/>
            <w:tcBorders>
              <w:top w:val="single" w:sz="4" w:space="0" w:color="314364"/>
              <w:bottom w:val="single" w:sz="4" w:space="0" w:color="314364"/>
            </w:tcBorders>
            <w:vAlign w:val="center"/>
          </w:tcPr>
          <w:p w14:paraId="6B7BBAEB" w14:textId="77777777" w:rsidR="00C6546E" w:rsidRPr="00C75134" w:rsidRDefault="00C6546E" w:rsidP="00C6546E">
            <w:pPr>
              <w:spacing w:after="0"/>
              <w:rPr>
                <w:b/>
                <w:color w:val="576431"/>
              </w:rPr>
            </w:pPr>
            <w:r>
              <w:rPr>
                <w:noProof/>
                <w:lang w:eastAsia="sk-SK"/>
              </w:rPr>
              <w:drawing>
                <wp:inline distT="0" distB="0" distL="0" distR="0" wp14:anchorId="5FE09BFB" wp14:editId="3873AB73">
                  <wp:extent cx="5759450" cy="2125980"/>
                  <wp:effectExtent l="0" t="0" r="0" b="7620"/>
                  <wp:docPr id="1" name="Graf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bl>
    <w:p w14:paraId="228AA94B" w14:textId="77777777" w:rsidR="00C6546E" w:rsidRPr="00A47C1A" w:rsidRDefault="00C6546E" w:rsidP="00C6546E">
      <w:pPr>
        <w:pStyle w:val="Zdroj"/>
        <w:spacing w:after="0"/>
        <w:rPr>
          <w:rFonts w:ascii="Ebrima" w:hAnsi="Ebrima"/>
        </w:rPr>
      </w:pPr>
      <w:r w:rsidRPr="00CD7042">
        <w:t xml:space="preserve">Zdroj: </w:t>
      </w:r>
      <w:r>
        <w:t>Eurostat.</w:t>
      </w:r>
    </w:p>
    <w:p w14:paraId="3C8D5A71" w14:textId="77777777" w:rsidR="00C6546E" w:rsidRDefault="00C6546E" w:rsidP="00C6546E">
      <w:pPr>
        <w:pStyle w:val="Nadpis2"/>
        <w:rPr>
          <w:shd w:val="clear" w:color="auto" w:fill="FFFFFF"/>
        </w:rPr>
      </w:pPr>
      <w:bookmarkStart w:id="12" w:name="_Toc197091782"/>
      <w:bookmarkStart w:id="13" w:name="_Toc198637714"/>
      <w:r>
        <w:rPr>
          <w:shd w:val="clear" w:color="auto" w:fill="FFFFFF"/>
        </w:rPr>
        <w:t>2.3  Výdavky verejnej správy</w:t>
      </w:r>
      <w:bookmarkEnd w:id="12"/>
      <w:bookmarkEnd w:id="13"/>
    </w:p>
    <w:p w14:paraId="6071C698" w14:textId="77777777" w:rsidR="007D5978" w:rsidRDefault="007D5978" w:rsidP="007D5978">
      <w:r>
        <w:rPr>
          <w:b/>
        </w:rPr>
        <w:t>V roku 2024 dosiahli c</w:t>
      </w:r>
      <w:r w:rsidRPr="00113ACD">
        <w:rPr>
          <w:b/>
        </w:rPr>
        <w:t xml:space="preserve">elkové výdavky VS v metodike ESA 2010 </w:t>
      </w:r>
      <w:r>
        <w:rPr>
          <w:b/>
        </w:rPr>
        <w:t xml:space="preserve">hodnotu vyššiu o 392,7 mil. eur oproti rozpočtu, čo predstavuje nárast o 0,4 % HDP </w:t>
      </w:r>
      <w:r>
        <w:t>(tabuľka 3)</w:t>
      </w:r>
      <w:r>
        <w:rPr>
          <w:b/>
        </w:rPr>
        <w:t xml:space="preserve">. </w:t>
      </w:r>
      <w:r>
        <w:t>Výdavky boli čiastočne tlmené pomalším čerpaním zdrojov z POO a nižšou investičnou aktivitou. Konsolidačné opatrenia ako viazanie osobných výdavkov na úrovni 5 % a nulová valorizácia platov mali pomôcť zmierniť tlak na rozpočet, avšak finančný dopad týchto opatrení nie je v návrhu ŠZÚ vyčíslený, čo sťažuje posúdenie ich efektívnosti.</w:t>
      </w:r>
    </w:p>
    <w:p w14:paraId="369D9FE2" w14:textId="26A7C083" w:rsidR="00193316" w:rsidRDefault="00193316" w:rsidP="00193316">
      <w:pPr>
        <w:pStyle w:val="Popis"/>
        <w:keepNext/>
      </w:pPr>
      <w:r>
        <w:t xml:space="preserve">Tabuľka </w:t>
      </w:r>
      <w:fldSimple w:instr=" SEQ Tabuľka \* ARABIC ">
        <w:r w:rsidR="00D24E68">
          <w:rPr>
            <w:noProof/>
          </w:rPr>
          <w:t>3</w:t>
        </w:r>
      </w:fldSimple>
      <w:r>
        <w:t>: Vývoj výdavkov VS na akruálnej báze v rokoch 2023 a 2024 (v mil. eur)</w:t>
      </w:r>
    </w:p>
    <w:tbl>
      <w:tblPr>
        <w:tblpPr w:leftFromText="141" w:rightFromText="141" w:vertAnchor="text" w:horzAnchor="margin" w:tblpXSpec="right" w:tblpY="118"/>
        <w:tblOverlap w:val="never"/>
        <w:tblW w:w="5000" w:type="pct"/>
        <w:tblCellMar>
          <w:top w:w="28" w:type="dxa"/>
        </w:tblCellMar>
        <w:tblLook w:val="04A0" w:firstRow="1" w:lastRow="0" w:firstColumn="1" w:lastColumn="0" w:noHBand="0" w:noVBand="1"/>
      </w:tblPr>
      <w:tblGrid>
        <w:gridCol w:w="2853"/>
        <w:gridCol w:w="1408"/>
        <w:gridCol w:w="1408"/>
        <w:gridCol w:w="1406"/>
        <w:gridCol w:w="1995"/>
      </w:tblGrid>
      <w:tr w:rsidR="00193316" w14:paraId="4851A252" w14:textId="77777777" w:rsidTr="00706298">
        <w:trPr>
          <w:trHeight w:val="255"/>
        </w:trPr>
        <w:tc>
          <w:tcPr>
            <w:tcW w:w="1573" w:type="pct"/>
            <w:tcBorders>
              <w:bottom w:val="single" w:sz="4" w:space="0" w:color="314364"/>
            </w:tcBorders>
            <w:shd w:val="clear" w:color="auto" w:fill="314364"/>
            <w:vAlign w:val="center"/>
          </w:tcPr>
          <w:p w14:paraId="580B752C" w14:textId="77777777" w:rsidR="00193316" w:rsidRPr="0032280E" w:rsidRDefault="00193316" w:rsidP="00706298">
            <w:pPr>
              <w:spacing w:after="0" w:line="259" w:lineRule="auto"/>
              <w:jc w:val="left"/>
              <w:rPr>
                <w:b/>
                <w:color w:val="FFFFFF" w:themeColor="background1"/>
                <w:sz w:val="18"/>
              </w:rPr>
            </w:pPr>
            <w:r>
              <w:rPr>
                <w:b/>
                <w:color w:val="FFFFFF" w:themeColor="background1"/>
                <w:sz w:val="18"/>
              </w:rPr>
              <w:t>Ukazovateľ</w:t>
            </w:r>
          </w:p>
        </w:tc>
        <w:tc>
          <w:tcPr>
            <w:tcW w:w="776" w:type="pct"/>
            <w:tcBorders>
              <w:bottom w:val="single" w:sz="4" w:space="0" w:color="314364"/>
            </w:tcBorders>
            <w:shd w:val="clear" w:color="auto" w:fill="314364"/>
            <w:vAlign w:val="center"/>
          </w:tcPr>
          <w:p w14:paraId="4A9AEB2E" w14:textId="77777777" w:rsidR="00193316" w:rsidRDefault="00193316" w:rsidP="00706298">
            <w:pPr>
              <w:spacing w:after="0" w:line="259" w:lineRule="auto"/>
              <w:jc w:val="right"/>
              <w:rPr>
                <w:b/>
                <w:color w:val="FFFFFF" w:themeColor="background1"/>
                <w:sz w:val="18"/>
              </w:rPr>
            </w:pPr>
            <w:r>
              <w:rPr>
                <w:b/>
                <w:color w:val="FFFFFF" w:themeColor="background1"/>
                <w:sz w:val="18"/>
              </w:rPr>
              <w:t>2023 S</w:t>
            </w:r>
          </w:p>
        </w:tc>
        <w:tc>
          <w:tcPr>
            <w:tcW w:w="776" w:type="pct"/>
            <w:tcBorders>
              <w:bottom w:val="single" w:sz="4" w:space="0" w:color="314364"/>
            </w:tcBorders>
            <w:shd w:val="clear" w:color="auto" w:fill="314364"/>
            <w:vAlign w:val="center"/>
          </w:tcPr>
          <w:p w14:paraId="343D2784" w14:textId="77777777" w:rsidR="00193316" w:rsidRPr="0032280E" w:rsidRDefault="00193316" w:rsidP="00706298">
            <w:pPr>
              <w:spacing w:after="0" w:line="259" w:lineRule="auto"/>
              <w:jc w:val="right"/>
              <w:rPr>
                <w:b/>
                <w:color w:val="FFFFFF" w:themeColor="background1"/>
                <w:sz w:val="18"/>
              </w:rPr>
            </w:pPr>
            <w:r>
              <w:rPr>
                <w:b/>
                <w:color w:val="FFFFFF" w:themeColor="background1"/>
                <w:sz w:val="18"/>
              </w:rPr>
              <w:t>2024 R</w:t>
            </w:r>
          </w:p>
        </w:tc>
        <w:tc>
          <w:tcPr>
            <w:tcW w:w="775" w:type="pct"/>
            <w:tcBorders>
              <w:bottom w:val="single" w:sz="4" w:space="0" w:color="314364"/>
            </w:tcBorders>
            <w:shd w:val="clear" w:color="auto" w:fill="314364"/>
            <w:vAlign w:val="center"/>
          </w:tcPr>
          <w:p w14:paraId="2921CAB2" w14:textId="77777777" w:rsidR="00193316" w:rsidRPr="0032280E" w:rsidRDefault="00193316" w:rsidP="00706298">
            <w:pPr>
              <w:spacing w:after="0" w:line="259" w:lineRule="auto"/>
              <w:jc w:val="right"/>
              <w:rPr>
                <w:b/>
                <w:color w:val="FFFFFF" w:themeColor="background1"/>
                <w:sz w:val="18"/>
              </w:rPr>
            </w:pPr>
            <w:r>
              <w:rPr>
                <w:b/>
                <w:color w:val="FFFFFF" w:themeColor="background1"/>
                <w:sz w:val="18"/>
              </w:rPr>
              <w:t>2024 S</w:t>
            </w:r>
          </w:p>
        </w:tc>
        <w:tc>
          <w:tcPr>
            <w:tcW w:w="1100" w:type="pct"/>
            <w:tcBorders>
              <w:bottom w:val="single" w:sz="4" w:space="0" w:color="314364"/>
            </w:tcBorders>
            <w:shd w:val="clear" w:color="auto" w:fill="314364"/>
            <w:vAlign w:val="center"/>
          </w:tcPr>
          <w:p w14:paraId="1069DD0B" w14:textId="77777777" w:rsidR="00193316" w:rsidRDefault="00193316" w:rsidP="00706298">
            <w:pPr>
              <w:spacing w:after="0" w:line="259" w:lineRule="auto"/>
              <w:jc w:val="right"/>
              <w:rPr>
                <w:b/>
                <w:color w:val="FFFFFF" w:themeColor="background1"/>
                <w:sz w:val="18"/>
              </w:rPr>
            </w:pPr>
            <w:r>
              <w:rPr>
                <w:b/>
                <w:color w:val="FFFFFF" w:themeColor="background1"/>
                <w:sz w:val="18"/>
              </w:rPr>
              <w:t>2024 S - 2024 R</w:t>
            </w:r>
          </w:p>
        </w:tc>
      </w:tr>
      <w:tr w:rsidR="00193316" w14:paraId="71CE05F4" w14:textId="77777777" w:rsidTr="00706298">
        <w:trPr>
          <w:trHeight w:val="255"/>
        </w:trPr>
        <w:tc>
          <w:tcPr>
            <w:tcW w:w="1573" w:type="pct"/>
            <w:tcBorders>
              <w:top w:val="single" w:sz="4" w:space="0" w:color="314364"/>
            </w:tcBorders>
            <w:vAlign w:val="center"/>
          </w:tcPr>
          <w:p w14:paraId="7ECD0DE2" w14:textId="77777777" w:rsidR="00193316" w:rsidRPr="00AC02EC" w:rsidRDefault="00193316" w:rsidP="00706298">
            <w:pPr>
              <w:spacing w:after="0" w:line="259" w:lineRule="auto"/>
              <w:jc w:val="left"/>
              <w:rPr>
                <w:b/>
                <w:sz w:val="18"/>
              </w:rPr>
            </w:pPr>
            <w:r>
              <w:rPr>
                <w:b/>
                <w:sz w:val="18"/>
              </w:rPr>
              <w:t xml:space="preserve">Výdavky spolu </w:t>
            </w:r>
          </w:p>
        </w:tc>
        <w:tc>
          <w:tcPr>
            <w:tcW w:w="776" w:type="pct"/>
            <w:tcBorders>
              <w:top w:val="single" w:sz="4" w:space="0" w:color="314364"/>
            </w:tcBorders>
            <w:vAlign w:val="center"/>
          </w:tcPr>
          <w:p w14:paraId="1B9A9F19" w14:textId="77777777" w:rsidR="00193316" w:rsidRPr="00704E0E" w:rsidRDefault="00193316" w:rsidP="00706298">
            <w:pPr>
              <w:spacing w:after="0" w:line="259" w:lineRule="auto"/>
              <w:jc w:val="right"/>
              <w:rPr>
                <w:b/>
                <w:sz w:val="18"/>
              </w:rPr>
            </w:pPr>
            <w:r>
              <w:rPr>
                <w:b/>
                <w:sz w:val="18"/>
              </w:rPr>
              <w:t>59 427,6</w:t>
            </w:r>
          </w:p>
        </w:tc>
        <w:tc>
          <w:tcPr>
            <w:tcW w:w="776" w:type="pct"/>
            <w:tcBorders>
              <w:top w:val="single" w:sz="4" w:space="0" w:color="314364"/>
            </w:tcBorders>
            <w:shd w:val="clear" w:color="auto" w:fill="auto"/>
            <w:vAlign w:val="center"/>
          </w:tcPr>
          <w:p w14:paraId="15D64FA3" w14:textId="77777777" w:rsidR="00193316" w:rsidRPr="00704E0E" w:rsidRDefault="00193316" w:rsidP="00706298">
            <w:pPr>
              <w:spacing w:after="0" w:line="259" w:lineRule="auto"/>
              <w:jc w:val="right"/>
              <w:rPr>
                <w:b/>
                <w:sz w:val="18"/>
              </w:rPr>
            </w:pPr>
            <w:r>
              <w:rPr>
                <w:b/>
                <w:sz w:val="18"/>
              </w:rPr>
              <w:t>61 321,2</w:t>
            </w:r>
          </w:p>
        </w:tc>
        <w:tc>
          <w:tcPr>
            <w:tcW w:w="775" w:type="pct"/>
            <w:tcBorders>
              <w:top w:val="single" w:sz="4" w:space="0" w:color="314364"/>
            </w:tcBorders>
            <w:vAlign w:val="center"/>
          </w:tcPr>
          <w:p w14:paraId="59B9D39D" w14:textId="77777777" w:rsidR="00193316" w:rsidRPr="00704E0E" w:rsidRDefault="00193316" w:rsidP="00706298">
            <w:pPr>
              <w:spacing w:after="0" w:line="259" w:lineRule="auto"/>
              <w:jc w:val="right"/>
              <w:rPr>
                <w:b/>
                <w:sz w:val="18"/>
              </w:rPr>
            </w:pPr>
            <w:r>
              <w:rPr>
                <w:b/>
                <w:sz w:val="18"/>
              </w:rPr>
              <w:t>61 714,0</w:t>
            </w:r>
          </w:p>
        </w:tc>
        <w:tc>
          <w:tcPr>
            <w:tcW w:w="1100" w:type="pct"/>
            <w:tcBorders>
              <w:top w:val="single" w:sz="4" w:space="0" w:color="314364"/>
            </w:tcBorders>
            <w:vAlign w:val="center"/>
          </w:tcPr>
          <w:p w14:paraId="48F81F1A" w14:textId="77777777" w:rsidR="00193316" w:rsidRPr="00704E0E" w:rsidRDefault="00193316" w:rsidP="00706298">
            <w:pPr>
              <w:spacing w:after="0" w:line="259" w:lineRule="auto"/>
              <w:ind w:right="459"/>
              <w:jc w:val="right"/>
              <w:rPr>
                <w:b/>
                <w:sz w:val="18"/>
              </w:rPr>
            </w:pPr>
            <w:r>
              <w:rPr>
                <w:b/>
                <w:sz w:val="18"/>
              </w:rPr>
              <w:t>392,7</w:t>
            </w:r>
          </w:p>
        </w:tc>
      </w:tr>
      <w:tr w:rsidR="00193316" w14:paraId="1C56102F" w14:textId="77777777" w:rsidTr="00706298">
        <w:trPr>
          <w:trHeight w:val="255"/>
        </w:trPr>
        <w:tc>
          <w:tcPr>
            <w:tcW w:w="1573" w:type="pct"/>
            <w:vAlign w:val="center"/>
          </w:tcPr>
          <w:p w14:paraId="07C755DC" w14:textId="77777777" w:rsidR="00193316" w:rsidRPr="00AC02EC" w:rsidRDefault="00193316" w:rsidP="00706298">
            <w:pPr>
              <w:spacing w:after="0" w:line="259" w:lineRule="auto"/>
              <w:jc w:val="left"/>
              <w:rPr>
                <w:sz w:val="18"/>
              </w:rPr>
            </w:pPr>
            <w:r>
              <w:rPr>
                <w:sz w:val="18"/>
              </w:rPr>
              <w:t>Bežné výdavky</w:t>
            </w:r>
          </w:p>
        </w:tc>
        <w:tc>
          <w:tcPr>
            <w:tcW w:w="776" w:type="pct"/>
            <w:vAlign w:val="center"/>
          </w:tcPr>
          <w:p w14:paraId="053581E9" w14:textId="77777777" w:rsidR="00193316" w:rsidRPr="0032280E" w:rsidRDefault="00193316" w:rsidP="00706298">
            <w:pPr>
              <w:spacing w:after="0" w:line="259" w:lineRule="auto"/>
              <w:jc w:val="right"/>
              <w:rPr>
                <w:sz w:val="18"/>
              </w:rPr>
            </w:pPr>
            <w:r>
              <w:rPr>
                <w:sz w:val="18"/>
              </w:rPr>
              <w:t>52 757,8</w:t>
            </w:r>
          </w:p>
        </w:tc>
        <w:tc>
          <w:tcPr>
            <w:tcW w:w="776" w:type="pct"/>
            <w:shd w:val="clear" w:color="auto" w:fill="auto"/>
            <w:vAlign w:val="center"/>
          </w:tcPr>
          <w:p w14:paraId="70C588D4" w14:textId="77777777" w:rsidR="00193316" w:rsidRPr="0032280E" w:rsidRDefault="00193316" w:rsidP="00706298">
            <w:pPr>
              <w:spacing w:after="0" w:line="259" w:lineRule="auto"/>
              <w:jc w:val="right"/>
              <w:rPr>
                <w:sz w:val="18"/>
              </w:rPr>
            </w:pPr>
            <w:r>
              <w:rPr>
                <w:sz w:val="18"/>
              </w:rPr>
              <w:t>55 915,0</w:t>
            </w:r>
          </w:p>
        </w:tc>
        <w:tc>
          <w:tcPr>
            <w:tcW w:w="775" w:type="pct"/>
            <w:vAlign w:val="center"/>
          </w:tcPr>
          <w:p w14:paraId="651F2E44" w14:textId="77777777" w:rsidR="00193316" w:rsidRPr="0032280E" w:rsidRDefault="00193316" w:rsidP="00706298">
            <w:pPr>
              <w:spacing w:after="0" w:line="259" w:lineRule="auto"/>
              <w:jc w:val="right"/>
              <w:rPr>
                <w:sz w:val="18"/>
              </w:rPr>
            </w:pPr>
            <w:r>
              <w:rPr>
                <w:sz w:val="18"/>
              </w:rPr>
              <w:t>56 352,9</w:t>
            </w:r>
          </w:p>
        </w:tc>
        <w:tc>
          <w:tcPr>
            <w:tcW w:w="1100" w:type="pct"/>
            <w:vAlign w:val="center"/>
          </w:tcPr>
          <w:p w14:paraId="783ECD47" w14:textId="77777777" w:rsidR="00193316" w:rsidRPr="0032280E" w:rsidRDefault="00193316" w:rsidP="00706298">
            <w:pPr>
              <w:spacing w:after="0" w:line="259" w:lineRule="auto"/>
              <w:ind w:right="459"/>
              <w:jc w:val="right"/>
              <w:rPr>
                <w:sz w:val="18"/>
              </w:rPr>
            </w:pPr>
            <w:r>
              <w:rPr>
                <w:sz w:val="18"/>
              </w:rPr>
              <w:t>437,9</w:t>
            </w:r>
          </w:p>
        </w:tc>
      </w:tr>
      <w:tr w:rsidR="00193316" w:rsidRPr="00325BDA" w14:paraId="7569B2BC" w14:textId="77777777" w:rsidTr="00706298">
        <w:trPr>
          <w:trHeight w:val="255"/>
        </w:trPr>
        <w:tc>
          <w:tcPr>
            <w:tcW w:w="1573" w:type="pct"/>
            <w:tcBorders>
              <w:bottom w:val="single" w:sz="4" w:space="0" w:color="314364" w:themeColor="text2"/>
            </w:tcBorders>
            <w:vAlign w:val="center"/>
          </w:tcPr>
          <w:p w14:paraId="2CB7AA6D" w14:textId="77777777" w:rsidR="00193316" w:rsidRPr="006F3809" w:rsidRDefault="00193316" w:rsidP="00706298">
            <w:pPr>
              <w:spacing w:after="0" w:line="259" w:lineRule="auto"/>
              <w:jc w:val="left"/>
              <w:rPr>
                <w:sz w:val="18"/>
              </w:rPr>
            </w:pPr>
            <w:r>
              <w:rPr>
                <w:sz w:val="18"/>
              </w:rPr>
              <w:t>Kapitálové výdavky</w:t>
            </w:r>
          </w:p>
        </w:tc>
        <w:tc>
          <w:tcPr>
            <w:tcW w:w="776" w:type="pct"/>
            <w:tcBorders>
              <w:bottom w:val="single" w:sz="4" w:space="0" w:color="314364" w:themeColor="text2"/>
            </w:tcBorders>
            <w:vAlign w:val="center"/>
          </w:tcPr>
          <w:p w14:paraId="1D11D8CA" w14:textId="77777777" w:rsidR="00193316" w:rsidRPr="006F3809" w:rsidRDefault="00193316" w:rsidP="00706298">
            <w:pPr>
              <w:spacing w:after="0" w:line="259" w:lineRule="auto"/>
              <w:jc w:val="right"/>
              <w:rPr>
                <w:sz w:val="18"/>
              </w:rPr>
            </w:pPr>
            <w:r>
              <w:rPr>
                <w:sz w:val="18"/>
              </w:rPr>
              <w:t>6 669,9</w:t>
            </w:r>
          </w:p>
        </w:tc>
        <w:tc>
          <w:tcPr>
            <w:tcW w:w="776" w:type="pct"/>
            <w:tcBorders>
              <w:bottom w:val="single" w:sz="4" w:space="0" w:color="314364" w:themeColor="text2"/>
            </w:tcBorders>
            <w:shd w:val="clear" w:color="auto" w:fill="auto"/>
            <w:vAlign w:val="center"/>
          </w:tcPr>
          <w:p w14:paraId="50B671E8" w14:textId="77777777" w:rsidR="00193316" w:rsidRPr="006F3809" w:rsidRDefault="00193316" w:rsidP="00706298">
            <w:pPr>
              <w:spacing w:after="0" w:line="259" w:lineRule="auto"/>
              <w:jc w:val="right"/>
              <w:rPr>
                <w:sz w:val="18"/>
              </w:rPr>
            </w:pPr>
            <w:r>
              <w:rPr>
                <w:sz w:val="18"/>
              </w:rPr>
              <w:t>5 406,2</w:t>
            </w:r>
          </w:p>
        </w:tc>
        <w:tc>
          <w:tcPr>
            <w:tcW w:w="775" w:type="pct"/>
            <w:tcBorders>
              <w:bottom w:val="single" w:sz="4" w:space="0" w:color="314364" w:themeColor="text2"/>
            </w:tcBorders>
            <w:vAlign w:val="center"/>
          </w:tcPr>
          <w:p w14:paraId="023CB7CA" w14:textId="77777777" w:rsidR="00193316" w:rsidRPr="006F3809" w:rsidRDefault="00193316" w:rsidP="00706298">
            <w:pPr>
              <w:spacing w:after="0" w:line="259" w:lineRule="auto"/>
              <w:jc w:val="right"/>
              <w:rPr>
                <w:sz w:val="18"/>
              </w:rPr>
            </w:pPr>
            <w:r>
              <w:rPr>
                <w:sz w:val="18"/>
              </w:rPr>
              <w:t>5 361,1</w:t>
            </w:r>
          </w:p>
        </w:tc>
        <w:tc>
          <w:tcPr>
            <w:tcW w:w="1100" w:type="pct"/>
            <w:tcBorders>
              <w:bottom w:val="single" w:sz="4" w:space="0" w:color="314364" w:themeColor="text2"/>
            </w:tcBorders>
            <w:vAlign w:val="center"/>
          </w:tcPr>
          <w:p w14:paraId="6E636013" w14:textId="77777777" w:rsidR="00193316" w:rsidRPr="006F3809" w:rsidRDefault="00193316" w:rsidP="00706298">
            <w:pPr>
              <w:spacing w:after="0" w:line="259" w:lineRule="auto"/>
              <w:ind w:right="459"/>
              <w:jc w:val="right"/>
              <w:rPr>
                <w:sz w:val="18"/>
              </w:rPr>
            </w:pPr>
            <w:r>
              <w:rPr>
                <w:sz w:val="18"/>
              </w:rPr>
              <w:t>-45,1</w:t>
            </w:r>
          </w:p>
        </w:tc>
      </w:tr>
    </w:tbl>
    <w:p w14:paraId="72FAD48C" w14:textId="6CC6BADC" w:rsidR="00193316" w:rsidRDefault="00193316" w:rsidP="00193316">
      <w:pPr>
        <w:pStyle w:val="Zdroj"/>
      </w:pPr>
      <w:r w:rsidRPr="00AC02EC">
        <w:t xml:space="preserve">Zdroj: </w:t>
      </w:r>
      <w:r>
        <w:t>Návrh ŠZÚ 202</w:t>
      </w:r>
      <w:r w:rsidR="002C6C34">
        <w:t>4</w:t>
      </w:r>
      <w:r>
        <w:t>.</w:t>
      </w:r>
    </w:p>
    <w:p w14:paraId="28773C2C" w14:textId="77777777" w:rsidR="007D5978" w:rsidRPr="007D3345" w:rsidRDefault="007D5978" w:rsidP="007D5978">
      <w:pPr>
        <w:rPr>
          <w:b/>
          <w:iCs/>
          <w:color w:val="314364" w:themeColor="text2"/>
          <w:szCs w:val="18"/>
        </w:rPr>
      </w:pPr>
      <w:r>
        <w:rPr>
          <w:b/>
        </w:rPr>
        <w:lastRenderedPageBreak/>
        <w:t>V</w:t>
      </w:r>
      <w:r w:rsidRPr="007D3345">
        <w:rPr>
          <w:b/>
        </w:rPr>
        <w:t xml:space="preserve"> RVS na rok 2024 </w:t>
      </w:r>
      <w:r>
        <w:rPr>
          <w:b/>
        </w:rPr>
        <w:t xml:space="preserve">malo byť </w:t>
      </w:r>
      <w:r w:rsidRPr="007D3345">
        <w:rPr>
          <w:b/>
        </w:rPr>
        <w:t>zohľadnené viazanie výdavkov vo výške 70 mil. eur</w:t>
      </w:r>
      <w:r>
        <w:rPr>
          <w:b/>
        </w:rPr>
        <w:t xml:space="preserve">, avšak na základe dostupných údajov nie je možné tento objem identifikovať ako samostatnú úsporu. </w:t>
      </w:r>
      <w:r w:rsidRPr="007D3345">
        <w:t>O</w:t>
      </w:r>
      <w:r w:rsidRPr="00522DAB">
        <w:t>sobné výdavky vo viacerých kapitolách medziročne rastú</w:t>
      </w:r>
      <w:r>
        <w:t xml:space="preserve"> a vzhľadom na absenciu výpočtovej základne alebo preukázateľnej metodiky nie je zrejmé, ako bolo toto viazanie do rozpočtu reálne premietnuté. Takýto prístup znižuje transparentnosť fiškálnych opatrení a znemožňuje spätné overenie ich účinnosti.</w:t>
      </w:r>
    </w:p>
    <w:p w14:paraId="6E717F3D" w14:textId="34A5E662" w:rsidR="00C6546E" w:rsidRPr="00A60F14" w:rsidRDefault="00C6546E" w:rsidP="00C6546E">
      <w:r w:rsidRPr="00A60F14">
        <w:rPr>
          <w:b/>
        </w:rPr>
        <w:t>Bežné výdavky VS v roku 2024 vzrástli o 437,9 mil. eur oproti rozpočtu, čo bolo spôsobené viacerými faktormi.</w:t>
      </w:r>
      <w:r>
        <w:rPr>
          <w:b/>
        </w:rPr>
        <w:t xml:space="preserve"> </w:t>
      </w:r>
      <w:r>
        <w:t>Kľúčový vplyv mali vyššie výdavky na sociálne dávky, vrátane zavedenia trvalého 13. dôchodku, ktorý bol čerpaný cez S</w:t>
      </w:r>
      <w:r w:rsidR="008314E1">
        <w:t>P</w:t>
      </w:r>
      <w:r>
        <w:t xml:space="preserve">, pričom pôvodne bol rozpočtovaný v kapitole VPS. Ďalej rástli výdavky na mzdy vo verejnom sektore v dôsledku valorizácie z predchádzajúceho roka, hoci nulová valorizácia v roku 2024 čiastočne obmedzila tento nárast. K vyšším bežným výdavkom prispeli taktiež výdavky na kompenzáciu vysokých cien energií pre domácnosti a podporu zraniteľných skupín obyvateľstva. Naopak, viazanie 5 % osobných výdavkov a zníženie podpory STVR </w:t>
      </w:r>
      <w:r w:rsidR="00B15B9A">
        <w:t xml:space="preserve">(Slovenská televízia a rozhlas) </w:t>
      </w:r>
      <w:r>
        <w:t>pomohli zmierniť celkový nárast.</w:t>
      </w:r>
    </w:p>
    <w:p w14:paraId="132B2CFE" w14:textId="45383E4D" w:rsidR="00C6546E" w:rsidRPr="009025F8" w:rsidRDefault="00C6546E" w:rsidP="00C6546E">
      <w:r w:rsidRPr="009025F8">
        <w:rPr>
          <w:b/>
        </w:rPr>
        <w:t>Kapitálové výdavky</w:t>
      </w:r>
      <w:r>
        <w:rPr>
          <w:b/>
        </w:rPr>
        <w:t xml:space="preserve"> VS v roku 2024 poklesli o 45,1 mil. eur oproti rozpočtu, čo odráža pomalší rozbeh investičnej aktivity. </w:t>
      </w:r>
      <w:r>
        <w:t>Hlavným faktorom bolo oneskorené čerpanie prostriedkov z P</w:t>
      </w:r>
      <w:r w:rsidR="00193316">
        <w:t>OO</w:t>
      </w:r>
      <w:r>
        <w:t>, čo negatívne ovplyvnilo realizáciu infraštruktúrnych projektov. Nižšia miera čerpania fondov EÚ v novom programovom období ďalej obmedzila kapitálové investície najmä v oblasti verejnej infraštruktúry a regionálneho rozvoja. Celkovo slabší makroekonomický vývoj a neistota v globálnom obchode tlmili investičnú aktivitu, čo viedlo k nižším kapitálovým výdavkom.</w:t>
      </w:r>
    </w:p>
    <w:p w14:paraId="3C92A79F" w14:textId="77777777" w:rsidR="00C6546E" w:rsidRDefault="00C6546E" w:rsidP="00C6546E">
      <w:r w:rsidRPr="00A21049">
        <w:rPr>
          <w:b/>
        </w:rPr>
        <w:t>Celkové výdavky VS dosiahli v roku 2024 úroveň 47,1 % HDP, čo bolo mierne pod priemerom EÚ</w:t>
      </w:r>
      <w:r>
        <w:t xml:space="preserve"> (graf 6)</w:t>
      </w:r>
      <w:r w:rsidRPr="00193316">
        <w:rPr>
          <w:b/>
        </w:rPr>
        <w:t>.</w:t>
      </w:r>
      <w:r>
        <w:t xml:space="preserve"> V porovnaní so susednými krajinami boli výdavky Slovenska vyššie než v Česku (43 %) a mierne nad úrovňou Maďarska (46,9 %), avšak nižšie ako v Poľsku (49,4 %). Slovensko tak kombinovalo relatívne nižšie príjmy s výdavkami blízkymi priemeru EÚ, čo sa odrazilo v pretrvávajúcom deficite. Tento nepomer poukazuje na dlhodobú štrukturálnu nerovnováhu medzi príjmami a výdavkami verejných financií. </w:t>
      </w:r>
    </w:p>
    <w:p w14:paraId="613562B7" w14:textId="54E78934" w:rsidR="00C6546E" w:rsidRPr="00BC3CA3" w:rsidRDefault="00C6546E" w:rsidP="00C6546E">
      <w:pPr>
        <w:pStyle w:val="Popis"/>
        <w:keepNext/>
        <w:rPr>
          <w:color w:val="314364"/>
        </w:rPr>
      </w:pPr>
      <w:r w:rsidRPr="00BC3CA3">
        <w:rPr>
          <w:color w:val="314364"/>
        </w:rPr>
        <w:t xml:space="preserve">Graf </w:t>
      </w:r>
      <w:r>
        <w:rPr>
          <w:color w:val="314364"/>
        </w:rPr>
        <w:t>6</w:t>
      </w:r>
      <w:r w:rsidRPr="00BC3CA3">
        <w:rPr>
          <w:color w:val="314364"/>
        </w:rPr>
        <w:t>:</w:t>
      </w:r>
      <w:r>
        <w:rPr>
          <w:color w:val="314364"/>
        </w:rPr>
        <w:t xml:space="preserve"> </w:t>
      </w:r>
      <w:r w:rsidRPr="00C55334">
        <w:rPr>
          <w:color w:val="314364"/>
        </w:rPr>
        <w:t>Medzinárodné p</w:t>
      </w:r>
      <w:r>
        <w:rPr>
          <w:color w:val="314364"/>
        </w:rPr>
        <w:t>orovnanie výdavkov VS v roku 2024 (</w:t>
      </w:r>
      <w:r w:rsidR="00DD6CA7">
        <w:rPr>
          <w:color w:val="314364"/>
        </w:rPr>
        <w:t xml:space="preserve">v </w:t>
      </w:r>
      <w:r>
        <w:rPr>
          <w:color w:val="314364"/>
        </w:rPr>
        <w:t>% HDP)</w:t>
      </w:r>
    </w:p>
    <w:tbl>
      <w:tblPr>
        <w:tblStyle w:val="Mriekatabuky"/>
        <w:tblW w:w="495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C6546E" w:rsidRPr="00C75134" w14:paraId="4F28A707" w14:textId="77777777" w:rsidTr="00C6546E">
        <w:trPr>
          <w:trHeight w:val="3402"/>
        </w:trPr>
        <w:tc>
          <w:tcPr>
            <w:tcW w:w="8994" w:type="dxa"/>
            <w:tcBorders>
              <w:top w:val="single" w:sz="4" w:space="0" w:color="314364"/>
              <w:bottom w:val="single" w:sz="4" w:space="0" w:color="314364"/>
            </w:tcBorders>
            <w:vAlign w:val="center"/>
          </w:tcPr>
          <w:p w14:paraId="5818EC28" w14:textId="77777777" w:rsidR="00C6546E" w:rsidRPr="00C75134" w:rsidRDefault="00C6546E" w:rsidP="00C6546E">
            <w:pPr>
              <w:spacing w:after="0"/>
              <w:rPr>
                <w:b/>
                <w:color w:val="576431"/>
              </w:rPr>
            </w:pPr>
            <w:r>
              <w:rPr>
                <w:noProof/>
                <w:lang w:eastAsia="sk-SK"/>
              </w:rPr>
              <w:drawing>
                <wp:inline distT="0" distB="0" distL="0" distR="0" wp14:anchorId="3C22BFD5" wp14:editId="48851B4A">
                  <wp:extent cx="5759450" cy="2143125"/>
                  <wp:effectExtent l="0" t="0" r="0" b="0"/>
                  <wp:docPr id="10"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bl>
    <w:p w14:paraId="659C91FB" w14:textId="77777777" w:rsidR="00C6546E" w:rsidRDefault="00C6546E" w:rsidP="00C6546E">
      <w:pPr>
        <w:pStyle w:val="Zdroj"/>
      </w:pPr>
      <w:r w:rsidRPr="00CD7042">
        <w:t xml:space="preserve">Zdroj: </w:t>
      </w:r>
      <w:r>
        <w:t>Eurostat.</w:t>
      </w:r>
    </w:p>
    <w:p w14:paraId="36A69BFE" w14:textId="3D1C1D61" w:rsidR="001209F4" w:rsidRDefault="002C027A" w:rsidP="00946B24">
      <w:pPr>
        <w:pStyle w:val="Nadpis2"/>
      </w:pPr>
      <w:bookmarkStart w:id="14" w:name="_Toc198637715"/>
      <w:r>
        <w:t xml:space="preserve">2.4 </w:t>
      </w:r>
      <w:r w:rsidR="00E43045">
        <w:t xml:space="preserve"> </w:t>
      </w:r>
      <w:r w:rsidR="001209F4">
        <w:t>Dlh verejnej správy</w:t>
      </w:r>
      <w:bookmarkEnd w:id="14"/>
    </w:p>
    <w:p w14:paraId="3F53AFF2" w14:textId="54101D81" w:rsidR="009E01AC" w:rsidRPr="000732E4" w:rsidRDefault="009E01AC" w:rsidP="009E01AC">
      <w:pPr>
        <w:rPr>
          <w:rFonts w:cs="Segoe UI"/>
          <w:b/>
          <w:szCs w:val="20"/>
        </w:rPr>
      </w:pPr>
      <w:r w:rsidRPr="00323B9D">
        <w:rPr>
          <w:rFonts w:cs="Segoe UI"/>
          <w:b/>
          <w:szCs w:val="20"/>
        </w:rPr>
        <w:t xml:space="preserve">Podľa jarnej notifikácie dlh VS </w:t>
      </w:r>
      <w:r w:rsidRPr="005701FF">
        <w:rPr>
          <w:rFonts w:cs="Segoe UI"/>
          <w:b/>
          <w:szCs w:val="20"/>
        </w:rPr>
        <w:t>za rok 2024 bol</w:t>
      </w:r>
      <w:r w:rsidRPr="00323B9D">
        <w:rPr>
          <w:rFonts w:cs="Segoe UI"/>
          <w:b/>
          <w:szCs w:val="20"/>
        </w:rPr>
        <w:t xml:space="preserve"> na úrovni 59,3 %</w:t>
      </w:r>
      <w:r>
        <w:rPr>
          <w:rFonts w:cs="Segoe UI"/>
          <w:b/>
          <w:szCs w:val="20"/>
        </w:rPr>
        <w:t xml:space="preserve"> HDP</w:t>
      </w:r>
      <w:r w:rsidRPr="00323B9D">
        <w:rPr>
          <w:rFonts w:cs="Segoe UI"/>
          <w:b/>
          <w:szCs w:val="20"/>
        </w:rPr>
        <w:t>, čo predstavuje 77,65 mld. eur</w:t>
      </w:r>
      <w:r>
        <w:rPr>
          <w:rFonts w:cs="Segoe UI"/>
          <w:szCs w:val="20"/>
        </w:rPr>
        <w:t xml:space="preserve"> (graf 7)</w:t>
      </w:r>
      <w:r w:rsidRPr="00F01F9E">
        <w:rPr>
          <w:rFonts w:cs="Segoe UI"/>
          <w:b/>
          <w:szCs w:val="20"/>
        </w:rPr>
        <w:t xml:space="preserve">. </w:t>
      </w:r>
      <w:r>
        <w:rPr>
          <w:rFonts w:cs="Segoe UI"/>
          <w:szCs w:val="20"/>
        </w:rPr>
        <w:t xml:space="preserve">V porovnaní s rozpočtom na rok 2024 je dlh vyšší o 1 p. b., v absolútnej hodnote je vyšší o viac ako 1 mld. eur. Dôvodom zvýšenia dlhu bol najmä nárast emisií dlhopisov nad rámec potrieb krytia hotovostného schodku. Emisie dlhopisov sa počas roka neupravovali podľa očakávaného nižšieho deficitu </w:t>
      </w:r>
      <w:r w:rsidR="000732E4">
        <w:rPr>
          <w:rFonts w:cs="Segoe UI"/>
          <w:szCs w:val="20"/>
        </w:rPr>
        <w:t>ŠR,</w:t>
      </w:r>
      <w:r>
        <w:rPr>
          <w:rFonts w:cs="Segoe UI"/>
          <w:szCs w:val="20"/>
        </w:rPr>
        <w:t xml:space="preserve"> ale ešte </w:t>
      </w:r>
      <w:r w:rsidR="000732E4">
        <w:rPr>
          <w:rFonts w:cs="Segoe UI"/>
          <w:szCs w:val="20"/>
        </w:rPr>
        <w:t xml:space="preserve">sa </w:t>
      </w:r>
      <w:r>
        <w:rPr>
          <w:rFonts w:cs="Segoe UI"/>
          <w:szCs w:val="20"/>
        </w:rPr>
        <w:t xml:space="preserve">zvýšili oproti plánovanej hodnote. </w:t>
      </w:r>
      <w:r w:rsidRPr="00D13C99">
        <w:rPr>
          <w:rFonts w:cs="Segoe UI"/>
          <w:szCs w:val="20"/>
        </w:rPr>
        <w:t>A</w:t>
      </w:r>
      <w:r w:rsidR="000732E4">
        <w:rPr>
          <w:rFonts w:cs="Segoe UI"/>
          <w:szCs w:val="20"/>
        </w:rPr>
        <w:t>RDAL</w:t>
      </w:r>
      <w:r w:rsidRPr="00D13C99">
        <w:rPr>
          <w:rFonts w:cs="Segoe UI"/>
          <w:szCs w:val="20"/>
        </w:rPr>
        <w:t xml:space="preserve"> emitovala v mene MF SR </w:t>
      </w:r>
      <w:r>
        <w:rPr>
          <w:rFonts w:cs="Segoe UI"/>
          <w:szCs w:val="20"/>
        </w:rPr>
        <w:t xml:space="preserve">za rok 2024 </w:t>
      </w:r>
      <w:r>
        <w:rPr>
          <w:rFonts w:cs="Segoe UI"/>
          <w:szCs w:val="20"/>
        </w:rPr>
        <w:lastRenderedPageBreak/>
        <w:t>dlhopisy v celkovej menovitej hodnote za viac ako 13 mld. eur</w:t>
      </w:r>
      <w:r w:rsidR="000732E4">
        <w:rPr>
          <w:rFonts w:cs="Segoe UI"/>
          <w:szCs w:val="20"/>
        </w:rPr>
        <w:t>,</w:t>
      </w:r>
      <w:r>
        <w:rPr>
          <w:rFonts w:cs="Segoe UI"/>
          <w:szCs w:val="20"/>
        </w:rPr>
        <w:t xml:space="preserve"> pričom plánovaná hodnota emisií bola na úrovni 1</w:t>
      </w:r>
      <w:r w:rsidR="00002874">
        <w:rPr>
          <w:rFonts w:cs="Segoe UI"/>
          <w:szCs w:val="20"/>
        </w:rPr>
        <w:t>0</w:t>
      </w:r>
      <w:r>
        <w:rPr>
          <w:rFonts w:cs="Segoe UI"/>
          <w:szCs w:val="20"/>
        </w:rPr>
        <w:t xml:space="preserve"> mld. eur. Využitie zdrojov </w:t>
      </w:r>
      <w:r w:rsidR="00D7129E">
        <w:rPr>
          <w:rFonts w:cs="Segoe UI"/>
          <w:szCs w:val="20"/>
        </w:rPr>
        <w:t>Štátnej pokladnice (</w:t>
      </w:r>
      <w:r w:rsidR="000732E4">
        <w:rPr>
          <w:rFonts w:cs="Segoe UI"/>
          <w:szCs w:val="20"/>
        </w:rPr>
        <w:t>ŠP</w:t>
      </w:r>
      <w:r w:rsidR="00D7129E">
        <w:rPr>
          <w:rFonts w:cs="Segoe UI"/>
          <w:szCs w:val="20"/>
        </w:rPr>
        <w:t>)</w:t>
      </w:r>
      <w:r>
        <w:rPr>
          <w:rFonts w:cs="Segoe UI"/>
          <w:szCs w:val="20"/>
        </w:rPr>
        <w:t xml:space="preserve"> bolo nižšie</w:t>
      </w:r>
      <w:r w:rsidR="000732E4">
        <w:rPr>
          <w:rFonts w:cs="Segoe UI"/>
          <w:szCs w:val="20"/>
        </w:rPr>
        <w:t>,</w:t>
      </w:r>
      <w:r>
        <w:rPr>
          <w:rFonts w:cs="Segoe UI"/>
          <w:szCs w:val="20"/>
        </w:rPr>
        <w:t xml:space="preserve"> než sa predpokladalo, čo viedlo k zvýšeniu hotovostnej rezervy</w:t>
      </w:r>
      <w:r w:rsidR="000732E4">
        <w:rPr>
          <w:rFonts w:cs="Segoe UI"/>
          <w:szCs w:val="20"/>
        </w:rPr>
        <w:t>,</w:t>
      </w:r>
      <w:r>
        <w:rPr>
          <w:rFonts w:cs="Segoe UI"/>
          <w:szCs w:val="20"/>
        </w:rPr>
        <w:t xml:space="preserve"> čiže likvidných finančných aktív a v konečnom dôsledku sa to premietlo do vyššieho dlhu. Mierne n</w:t>
      </w:r>
      <w:r w:rsidRPr="001B63D4">
        <w:rPr>
          <w:rFonts w:cs="Segoe UI"/>
          <w:szCs w:val="20"/>
        </w:rPr>
        <w:t xml:space="preserve">ižší nominálny HDP, než aký predpokladal rozpočet, mal tiež negatívny vplyv na </w:t>
      </w:r>
      <w:r w:rsidR="00FA227F">
        <w:rPr>
          <w:rFonts w:cs="Segoe UI"/>
          <w:szCs w:val="20"/>
        </w:rPr>
        <w:t>rast podielu dlhu k HDP</w:t>
      </w:r>
      <w:r w:rsidRPr="001B63D4">
        <w:rPr>
          <w:rFonts w:cs="Segoe UI"/>
          <w:szCs w:val="20"/>
        </w:rPr>
        <w:t>.</w:t>
      </w:r>
      <w:r w:rsidRPr="00847A75">
        <w:t xml:space="preserve"> </w:t>
      </w:r>
      <w:r w:rsidR="000732E4" w:rsidRPr="000732E4">
        <w:rPr>
          <w:rFonts w:cs="Segoe UI"/>
          <w:b/>
          <w:szCs w:val="20"/>
        </w:rPr>
        <w:t xml:space="preserve">NKÚ SR upozorňuje, že </w:t>
      </w:r>
      <w:r w:rsidRPr="000732E4">
        <w:rPr>
          <w:rFonts w:cs="Segoe UI"/>
          <w:b/>
          <w:szCs w:val="20"/>
        </w:rPr>
        <w:t xml:space="preserve">znižovanie deficitu a verejného dlhu </w:t>
      </w:r>
      <w:r w:rsidR="0034391C">
        <w:rPr>
          <w:rFonts w:cs="Segoe UI"/>
          <w:b/>
          <w:szCs w:val="20"/>
        </w:rPr>
        <w:t xml:space="preserve">je </w:t>
      </w:r>
      <w:r w:rsidRPr="000732E4">
        <w:rPr>
          <w:rFonts w:cs="Segoe UI"/>
          <w:b/>
          <w:szCs w:val="20"/>
        </w:rPr>
        <w:t>nevyhnutné na zlepšenie dlhodobej udržateľnosti verejných financií.</w:t>
      </w:r>
    </w:p>
    <w:p w14:paraId="344B5F4F" w14:textId="77777777" w:rsidR="00571FAB" w:rsidRDefault="00571FAB" w:rsidP="00571FAB">
      <w:pPr>
        <w:spacing w:after="0"/>
      </w:pPr>
      <w:r w:rsidRPr="000D0B76">
        <w:rPr>
          <w:rFonts w:cs="Segoe UI"/>
          <w:b/>
          <w:bCs/>
          <w:color w:val="304363"/>
          <w:szCs w:val="20"/>
        </w:rPr>
        <w:t>Graf 7:</w:t>
      </w:r>
      <w:r w:rsidRPr="005D5B1B">
        <w:rPr>
          <w:rFonts w:cs="Segoe UI"/>
          <w:b/>
          <w:bCs/>
          <w:color w:val="304363"/>
          <w:szCs w:val="20"/>
        </w:rPr>
        <w:t xml:space="preserve"> Vývoj hrubého a čisté</w:t>
      </w:r>
      <w:r>
        <w:rPr>
          <w:rFonts w:cs="Segoe UI"/>
          <w:b/>
          <w:bCs/>
          <w:color w:val="304363"/>
          <w:szCs w:val="20"/>
        </w:rPr>
        <w:t>ho dlhu VS v rokoch 2015 až 2025</w:t>
      </w:r>
      <w:r w:rsidRPr="005D5B1B">
        <w:rPr>
          <w:rFonts w:cs="Segoe UI"/>
          <w:b/>
          <w:bCs/>
          <w:color w:val="304363"/>
          <w:szCs w:val="20"/>
        </w:rPr>
        <w:t xml:space="preserve"> (</w:t>
      </w:r>
      <w:r>
        <w:rPr>
          <w:rFonts w:cs="Segoe UI"/>
          <w:b/>
          <w:bCs/>
          <w:color w:val="304363"/>
          <w:szCs w:val="20"/>
        </w:rPr>
        <w:t xml:space="preserve">v </w:t>
      </w:r>
      <w:r w:rsidRPr="005D5B1B">
        <w:rPr>
          <w:rFonts w:cs="Segoe UI"/>
          <w:b/>
          <w:bCs/>
          <w:color w:val="304363"/>
          <w:szCs w:val="20"/>
        </w:rPr>
        <w:t>% HDP)</w:t>
      </w:r>
    </w:p>
    <w:p w14:paraId="4A941917" w14:textId="77777777" w:rsidR="00571FAB" w:rsidRDefault="00571FAB" w:rsidP="00571FAB">
      <w:pPr>
        <w:keepNext/>
        <w:pBdr>
          <w:top w:val="single" w:sz="4" w:space="1" w:color="auto"/>
          <w:bottom w:val="single" w:sz="4" w:space="1" w:color="auto"/>
        </w:pBdr>
        <w:spacing w:after="0"/>
      </w:pPr>
      <w:r>
        <w:rPr>
          <w:noProof/>
          <w:lang w:eastAsia="sk-SK"/>
        </w:rPr>
        <w:drawing>
          <wp:inline distT="0" distB="0" distL="0" distR="0" wp14:anchorId="651BE2D2" wp14:editId="79D975B7">
            <wp:extent cx="5759450" cy="2053590"/>
            <wp:effectExtent l="0" t="0" r="0" b="3810"/>
            <wp:docPr id="27" name="Graf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E935475" w14:textId="77777777" w:rsidR="00571FAB" w:rsidRPr="00F01F9E" w:rsidRDefault="00571FAB" w:rsidP="00571FAB">
      <w:pPr>
        <w:pStyle w:val="Zdroj"/>
      </w:pPr>
      <w:r w:rsidRPr="00F01F9E">
        <w:t xml:space="preserve">Zdroj: ŠÚ SR, </w:t>
      </w:r>
      <w:r>
        <w:t>*o</w:t>
      </w:r>
      <w:r w:rsidRPr="00F01F9E">
        <w:t>dhad MF SR</w:t>
      </w:r>
      <w:r>
        <w:t>.</w:t>
      </w:r>
    </w:p>
    <w:p w14:paraId="49B5E095" w14:textId="5BCC9DBD" w:rsidR="009E01AC" w:rsidRDefault="009E01AC" w:rsidP="009E01AC">
      <w:pPr>
        <w:rPr>
          <w:rFonts w:cs="Segoe UI"/>
          <w:szCs w:val="20"/>
        </w:rPr>
      </w:pPr>
      <w:r w:rsidRPr="00323B9D">
        <w:rPr>
          <w:rFonts w:cs="Segoe UI"/>
          <w:b/>
          <w:szCs w:val="20"/>
        </w:rPr>
        <w:t>Dlh na obyvateľa v minulom roku</w:t>
      </w:r>
      <w:r>
        <w:rPr>
          <w:rFonts w:cs="Segoe UI"/>
          <w:b/>
          <w:szCs w:val="20"/>
        </w:rPr>
        <w:t xml:space="preserve"> </w:t>
      </w:r>
      <w:r w:rsidR="008314E1">
        <w:rPr>
          <w:rFonts w:cs="Segoe UI"/>
          <w:b/>
          <w:szCs w:val="20"/>
        </w:rPr>
        <w:t>dosiahol</w:t>
      </w:r>
      <w:r>
        <w:rPr>
          <w:rFonts w:cs="Segoe UI"/>
          <w:b/>
          <w:szCs w:val="20"/>
        </w:rPr>
        <w:t xml:space="preserve"> 14 328 eur</w:t>
      </w:r>
      <w:r w:rsidR="008314E1">
        <w:rPr>
          <w:rFonts w:cs="Segoe UI"/>
          <w:b/>
          <w:szCs w:val="20"/>
        </w:rPr>
        <w:t xml:space="preserve"> a medziročne vzrástol o 1 649 eur</w:t>
      </w:r>
      <w:r>
        <w:rPr>
          <w:rFonts w:cs="Segoe UI"/>
          <w:b/>
          <w:szCs w:val="20"/>
        </w:rPr>
        <w:t xml:space="preserve"> </w:t>
      </w:r>
      <w:r w:rsidRPr="00B630F3">
        <w:rPr>
          <w:rFonts w:cs="Segoe UI"/>
          <w:szCs w:val="20"/>
        </w:rPr>
        <w:t xml:space="preserve">(graf </w:t>
      </w:r>
      <w:r w:rsidR="000732E4">
        <w:rPr>
          <w:rFonts w:cs="Segoe UI"/>
          <w:szCs w:val="20"/>
        </w:rPr>
        <w:t>8</w:t>
      </w:r>
      <w:r w:rsidRPr="00B630F3">
        <w:rPr>
          <w:rFonts w:cs="Segoe UI"/>
          <w:szCs w:val="20"/>
        </w:rPr>
        <w:t>)</w:t>
      </w:r>
      <w:r w:rsidRPr="00B630F3">
        <w:rPr>
          <w:rFonts w:cs="Segoe UI"/>
          <w:b/>
          <w:szCs w:val="20"/>
        </w:rPr>
        <w:t>.</w:t>
      </w:r>
      <w:r w:rsidRPr="00323B9D">
        <w:rPr>
          <w:rFonts w:cs="Segoe UI"/>
          <w:szCs w:val="20"/>
        </w:rPr>
        <w:t xml:space="preserve"> Vývoj dlhu v SR v prepočte na jedného obyvateľa neustále rastie a za posledných 10 rokov sa takmer zdvojnásobil. Najvýraznejší nárast </w:t>
      </w:r>
      <w:r w:rsidR="000732E4">
        <w:rPr>
          <w:rFonts w:cs="Segoe UI"/>
          <w:szCs w:val="20"/>
        </w:rPr>
        <w:t>bol</w:t>
      </w:r>
      <w:r w:rsidRPr="00323B9D">
        <w:rPr>
          <w:rFonts w:cs="Segoe UI"/>
          <w:szCs w:val="20"/>
        </w:rPr>
        <w:t xml:space="preserve"> v roku 2020, kedy dlh medziročne vzrástol o 1 764 eur.</w:t>
      </w:r>
    </w:p>
    <w:p w14:paraId="61758367" w14:textId="0568DAE5" w:rsidR="009E01AC" w:rsidRPr="00DB339A" w:rsidRDefault="009E01AC" w:rsidP="009E01AC">
      <w:pPr>
        <w:spacing w:after="0"/>
        <w:rPr>
          <w:rFonts w:cs="Segoe UI"/>
          <w:b/>
          <w:bCs/>
          <w:color w:val="304363"/>
          <w:szCs w:val="20"/>
        </w:rPr>
      </w:pPr>
      <w:r w:rsidRPr="00F449EB">
        <w:rPr>
          <w:rFonts w:cs="Segoe UI"/>
          <w:b/>
          <w:bCs/>
          <w:color w:val="304363"/>
          <w:szCs w:val="20"/>
        </w:rPr>
        <w:t xml:space="preserve">Graf </w:t>
      </w:r>
      <w:r w:rsidR="000732E4">
        <w:rPr>
          <w:rFonts w:cs="Segoe UI"/>
          <w:b/>
          <w:bCs/>
          <w:color w:val="304363"/>
          <w:szCs w:val="20"/>
        </w:rPr>
        <w:t>8</w:t>
      </w:r>
      <w:r w:rsidRPr="00F449EB">
        <w:rPr>
          <w:rFonts w:cs="Segoe UI"/>
          <w:b/>
          <w:bCs/>
          <w:color w:val="304363"/>
          <w:szCs w:val="20"/>
        </w:rPr>
        <w:t>:</w:t>
      </w:r>
      <w:r w:rsidRPr="00DB339A">
        <w:rPr>
          <w:rFonts w:cs="Segoe UI"/>
          <w:b/>
          <w:bCs/>
          <w:color w:val="304363"/>
          <w:szCs w:val="20"/>
        </w:rPr>
        <w:t xml:space="preserve"> Dlh na 1 obyvateľa v rokoch 2014 až 2024 (v eur</w:t>
      </w:r>
      <w:r w:rsidR="000732E4">
        <w:rPr>
          <w:rFonts w:cs="Segoe UI"/>
          <w:b/>
          <w:bCs/>
          <w:color w:val="304363"/>
          <w:szCs w:val="20"/>
        </w:rPr>
        <w:t>ách</w:t>
      </w:r>
      <w:r w:rsidRPr="00DB339A">
        <w:rPr>
          <w:rFonts w:cs="Segoe UI"/>
          <w:b/>
          <w:bCs/>
          <w:color w:val="304363"/>
          <w:szCs w:val="20"/>
        </w:rPr>
        <w:t>)</w:t>
      </w:r>
    </w:p>
    <w:p w14:paraId="743EE6FF" w14:textId="77777777" w:rsidR="009E01AC" w:rsidRPr="00DB339A" w:rsidRDefault="009E01AC" w:rsidP="009E01AC">
      <w:pPr>
        <w:pBdr>
          <w:top w:val="single" w:sz="4" w:space="1" w:color="auto"/>
          <w:bottom w:val="single" w:sz="4" w:space="1" w:color="auto"/>
        </w:pBdr>
        <w:spacing w:after="0"/>
        <w:rPr>
          <w:b/>
        </w:rPr>
      </w:pPr>
      <w:r w:rsidRPr="00DB339A">
        <w:rPr>
          <w:noProof/>
          <w:lang w:eastAsia="sk-SK"/>
        </w:rPr>
        <w:drawing>
          <wp:inline distT="0" distB="0" distL="0" distR="0" wp14:anchorId="5F29AFED" wp14:editId="59F40263">
            <wp:extent cx="5759450" cy="2051825"/>
            <wp:effectExtent l="0" t="0" r="0" b="5715"/>
            <wp:docPr id="41" name="Graf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C30CA03" w14:textId="6A452E14" w:rsidR="009E01AC" w:rsidRPr="00F01F9E" w:rsidRDefault="009E01AC" w:rsidP="00F01F9E">
      <w:pPr>
        <w:pStyle w:val="Zdroj"/>
      </w:pPr>
      <w:r w:rsidRPr="00F01F9E">
        <w:t>Zdroj: ŠÚ SR, MF SR</w:t>
      </w:r>
      <w:r w:rsidR="00F01F9E">
        <w:t>.</w:t>
      </w:r>
    </w:p>
    <w:p w14:paraId="7E16985E" w14:textId="7371A759" w:rsidR="00CD4EE0" w:rsidRPr="00571FB7" w:rsidRDefault="00CD4EE0" w:rsidP="00CD4EE0">
      <w:pPr>
        <w:rPr>
          <w:rFonts w:cs="Segoe UI"/>
          <w:b/>
          <w:szCs w:val="20"/>
        </w:rPr>
      </w:pPr>
      <w:r w:rsidRPr="00267080">
        <w:rPr>
          <w:rFonts w:cs="Segoe UI"/>
          <w:b/>
          <w:szCs w:val="20"/>
        </w:rPr>
        <w:t>E</w:t>
      </w:r>
      <w:r>
        <w:rPr>
          <w:rFonts w:cs="Segoe UI"/>
          <w:b/>
          <w:szCs w:val="20"/>
        </w:rPr>
        <w:t>urópska komisia</w:t>
      </w:r>
      <w:r w:rsidRPr="00267080">
        <w:rPr>
          <w:rFonts w:cs="Segoe UI"/>
          <w:b/>
          <w:szCs w:val="20"/>
        </w:rPr>
        <w:t xml:space="preserve"> negatívne hodnotí dlhodobú udržateľnosť verejných financií na Slovensku.</w:t>
      </w:r>
      <w:r w:rsidR="00D955C2" w:rsidRPr="00D955C2">
        <w:rPr>
          <w:rStyle w:val="Odkaznapoznmkupodiarou"/>
          <w:rFonts w:cs="Segoe UI"/>
          <w:szCs w:val="20"/>
        </w:rPr>
        <w:footnoteReference w:id="2"/>
      </w:r>
      <w:r w:rsidRPr="00D955C2">
        <w:rPr>
          <w:rFonts w:cs="Segoe UI"/>
          <w:szCs w:val="20"/>
        </w:rPr>
        <w:t xml:space="preserve"> </w:t>
      </w:r>
      <w:r w:rsidRPr="007D3345">
        <w:rPr>
          <w:rFonts w:cs="Segoe UI"/>
          <w:szCs w:val="20"/>
        </w:rPr>
        <w:t>Za posledné dva roky je SR jedinou krajinou v pásme vysokého rizika podľa indikátora S1.</w:t>
      </w:r>
      <w:r>
        <w:rPr>
          <w:rFonts w:cs="Segoe UI"/>
          <w:b/>
          <w:szCs w:val="20"/>
        </w:rPr>
        <w:t xml:space="preserve"> </w:t>
      </w:r>
      <w:r>
        <w:rPr>
          <w:rFonts w:cs="Segoe UI"/>
          <w:szCs w:val="20"/>
        </w:rPr>
        <w:t xml:space="preserve">Indikátor S2 </w:t>
      </w:r>
      <w:r w:rsidRPr="00323B9D">
        <w:rPr>
          <w:rFonts w:cs="Segoe UI"/>
          <w:szCs w:val="20"/>
        </w:rPr>
        <w:t xml:space="preserve">za rok 2024 dosahuje 7,8 % a priemer EÚ je na úrovni 3 %. Napriek postupnému </w:t>
      </w:r>
      <w:r>
        <w:rPr>
          <w:rFonts w:cs="Segoe UI"/>
          <w:szCs w:val="20"/>
        </w:rPr>
        <w:t xml:space="preserve">znižovaniu hodnôt indikátora S2 </w:t>
      </w:r>
      <w:r w:rsidR="00E91929">
        <w:rPr>
          <w:rFonts w:cs="Segoe UI"/>
          <w:szCs w:val="20"/>
        </w:rPr>
        <w:t xml:space="preserve">v posledných troch rokoch </w:t>
      </w:r>
      <w:r w:rsidRPr="00323B9D">
        <w:rPr>
          <w:rFonts w:cs="Segoe UI"/>
          <w:szCs w:val="20"/>
        </w:rPr>
        <w:t>sa Slovensko na</w:t>
      </w:r>
      <w:r w:rsidR="00E91929">
        <w:rPr>
          <w:rFonts w:cs="Segoe UI"/>
          <w:szCs w:val="20"/>
        </w:rPr>
        <w:t>ďalej na</w:t>
      </w:r>
      <w:r w:rsidRPr="00323B9D">
        <w:rPr>
          <w:rFonts w:cs="Segoe UI"/>
          <w:szCs w:val="20"/>
        </w:rPr>
        <w:t xml:space="preserve">chádza v pásme vysokého rizika medzi krajinami s najhoršou dlhodobou udržateľnosťou verejných financií v EÚ. </w:t>
      </w:r>
    </w:p>
    <w:p w14:paraId="51D55F23" w14:textId="0C4EBDDD" w:rsidR="009E01AC" w:rsidRPr="00EC1E1C" w:rsidRDefault="00075376" w:rsidP="009E01AC">
      <w:pPr>
        <w:rPr>
          <w:rFonts w:cs="Segoe UI"/>
          <w:szCs w:val="20"/>
        </w:rPr>
      </w:pPr>
      <w:r w:rsidRPr="00EC1E1C">
        <w:rPr>
          <w:rFonts w:cs="Segoe UI"/>
          <w:b/>
          <w:bCs/>
          <w:szCs w:val="20"/>
        </w:rPr>
        <w:t xml:space="preserve">SR dosiahla </w:t>
      </w:r>
      <w:r>
        <w:rPr>
          <w:rFonts w:cs="Segoe UI"/>
          <w:b/>
          <w:bCs/>
          <w:szCs w:val="20"/>
        </w:rPr>
        <w:t xml:space="preserve">v roku 2024 </w:t>
      </w:r>
      <w:r w:rsidRPr="00EC1E1C">
        <w:rPr>
          <w:rFonts w:cs="Segoe UI"/>
          <w:b/>
          <w:bCs/>
          <w:szCs w:val="20"/>
        </w:rPr>
        <w:t>v porovnaní s priemerom EÚ</w:t>
      </w:r>
      <w:r>
        <w:rPr>
          <w:rFonts w:cs="Segoe UI"/>
          <w:b/>
          <w:bCs/>
          <w:szCs w:val="20"/>
        </w:rPr>
        <w:t xml:space="preserve">27 </w:t>
      </w:r>
      <w:r w:rsidRPr="00EC1E1C">
        <w:rPr>
          <w:rFonts w:cs="Segoe UI"/>
          <w:b/>
          <w:bCs/>
          <w:szCs w:val="20"/>
        </w:rPr>
        <w:t>aj eurozóny</w:t>
      </w:r>
      <w:r>
        <w:rPr>
          <w:rFonts w:cs="Segoe UI"/>
          <w:b/>
          <w:bCs/>
          <w:szCs w:val="20"/>
        </w:rPr>
        <w:t xml:space="preserve"> </w:t>
      </w:r>
      <w:r w:rsidRPr="00075376">
        <w:rPr>
          <w:rFonts w:cs="Segoe UI"/>
          <w:bCs/>
          <w:szCs w:val="20"/>
        </w:rPr>
        <w:t>(87,4 % HDP)</w:t>
      </w:r>
      <w:r>
        <w:rPr>
          <w:rFonts w:cs="Segoe UI"/>
          <w:b/>
          <w:bCs/>
          <w:szCs w:val="20"/>
        </w:rPr>
        <w:t xml:space="preserve"> nižšiu</w:t>
      </w:r>
      <w:r w:rsidRPr="00EC1E1C">
        <w:rPr>
          <w:rFonts w:cs="Segoe UI"/>
          <w:b/>
          <w:bCs/>
          <w:szCs w:val="20"/>
        </w:rPr>
        <w:t xml:space="preserve"> hodnot</w:t>
      </w:r>
      <w:r>
        <w:rPr>
          <w:rFonts w:cs="Segoe UI"/>
          <w:b/>
          <w:bCs/>
          <w:szCs w:val="20"/>
        </w:rPr>
        <w:t>u</w:t>
      </w:r>
      <w:r w:rsidRPr="00EC1E1C">
        <w:rPr>
          <w:rFonts w:cs="Segoe UI"/>
          <w:b/>
          <w:bCs/>
          <w:szCs w:val="20"/>
        </w:rPr>
        <w:t xml:space="preserve"> dlhu</w:t>
      </w:r>
      <w:r>
        <w:rPr>
          <w:rFonts w:cs="Segoe UI"/>
          <w:b/>
          <w:bCs/>
          <w:szCs w:val="20"/>
        </w:rPr>
        <w:t xml:space="preserve"> </w:t>
      </w:r>
      <w:r>
        <w:rPr>
          <w:rFonts w:cs="Segoe UI"/>
          <w:bCs/>
          <w:szCs w:val="20"/>
        </w:rPr>
        <w:t>(graf 9)</w:t>
      </w:r>
      <w:r w:rsidRPr="00EC1E1C">
        <w:rPr>
          <w:rFonts w:cs="Segoe UI"/>
          <w:b/>
          <w:bCs/>
          <w:szCs w:val="20"/>
        </w:rPr>
        <w:t xml:space="preserve">. </w:t>
      </w:r>
      <w:r w:rsidRPr="00EC1E1C">
        <w:rPr>
          <w:rFonts w:cs="Segoe UI"/>
          <w:szCs w:val="20"/>
        </w:rPr>
        <w:t>Priemerný</w:t>
      </w:r>
      <w:r>
        <w:rPr>
          <w:rFonts w:cs="Segoe UI"/>
          <w:szCs w:val="20"/>
        </w:rPr>
        <w:t xml:space="preserve"> hrubý dlh VS v EÚ27 dosiahol 81 % HDP</w:t>
      </w:r>
      <w:r w:rsidRPr="00EC1E1C">
        <w:rPr>
          <w:rFonts w:cs="Segoe UI"/>
          <w:szCs w:val="20"/>
        </w:rPr>
        <w:t xml:space="preserve">. </w:t>
      </w:r>
      <w:r w:rsidR="009E01AC" w:rsidRPr="00EC1E1C">
        <w:rPr>
          <w:rFonts w:cs="Segoe UI"/>
          <w:szCs w:val="20"/>
        </w:rPr>
        <w:t>V rámci EÚ27 v roku 2024 dosiahl</w:t>
      </w:r>
      <w:r w:rsidR="003B23D1">
        <w:rPr>
          <w:rFonts w:cs="Segoe UI"/>
          <w:szCs w:val="20"/>
        </w:rPr>
        <w:t>o</w:t>
      </w:r>
      <w:r w:rsidR="009E01AC" w:rsidRPr="00EC1E1C">
        <w:rPr>
          <w:rFonts w:cs="Segoe UI"/>
          <w:szCs w:val="20"/>
        </w:rPr>
        <w:t xml:space="preserve"> 12 krajín vyšší dlh ako SR. </w:t>
      </w:r>
      <w:r w:rsidR="009E01AC" w:rsidRPr="00EC1E1C">
        <w:rPr>
          <w:rStyle w:val="fadeinm1hgl8"/>
          <w:rFonts w:cs="Segoe UI"/>
          <w:szCs w:val="20"/>
        </w:rPr>
        <w:t>S</w:t>
      </w:r>
      <w:r w:rsidR="008314E1">
        <w:rPr>
          <w:rStyle w:val="fadeinm1hgl8"/>
          <w:rFonts w:cs="Segoe UI"/>
          <w:szCs w:val="20"/>
        </w:rPr>
        <w:t>lovensko</w:t>
      </w:r>
      <w:r w:rsidR="009E01AC" w:rsidRPr="00EC1E1C">
        <w:rPr>
          <w:rStyle w:val="fadeinm1hgl8"/>
          <w:rFonts w:cs="Segoe UI"/>
          <w:szCs w:val="20"/>
        </w:rPr>
        <w:t xml:space="preserve"> síce n</w:t>
      </w:r>
      <w:r w:rsidR="00E712A4">
        <w:rPr>
          <w:rStyle w:val="fadeinm1hgl8"/>
          <w:rFonts w:cs="Segoe UI"/>
          <w:szCs w:val="20"/>
        </w:rPr>
        <w:t>epatrí medzi</w:t>
      </w:r>
      <w:r w:rsidR="009E01AC" w:rsidRPr="00EC1E1C">
        <w:rPr>
          <w:rStyle w:val="fadeinm1hgl8"/>
          <w:rFonts w:cs="Segoe UI"/>
          <w:szCs w:val="20"/>
        </w:rPr>
        <w:t xml:space="preserve"> kraj</w:t>
      </w:r>
      <w:r w:rsidR="00E712A4">
        <w:rPr>
          <w:rStyle w:val="fadeinm1hgl8"/>
          <w:rFonts w:cs="Segoe UI"/>
          <w:szCs w:val="20"/>
        </w:rPr>
        <w:t>i</w:t>
      </w:r>
      <w:r w:rsidR="009E01AC" w:rsidRPr="00EC1E1C">
        <w:rPr>
          <w:rStyle w:val="fadeinm1hgl8"/>
          <w:rFonts w:cs="Segoe UI"/>
          <w:szCs w:val="20"/>
        </w:rPr>
        <w:t>n</w:t>
      </w:r>
      <w:r w:rsidR="00E712A4">
        <w:rPr>
          <w:rStyle w:val="fadeinm1hgl8"/>
          <w:rFonts w:cs="Segoe UI"/>
          <w:szCs w:val="20"/>
        </w:rPr>
        <w:t>y</w:t>
      </w:r>
      <w:r w:rsidR="009E01AC" w:rsidRPr="00EC1E1C">
        <w:rPr>
          <w:rStyle w:val="fadeinm1hgl8"/>
          <w:rFonts w:cs="Segoe UI"/>
          <w:szCs w:val="20"/>
        </w:rPr>
        <w:t xml:space="preserve"> s najvyšším dlhom, avšak v období </w:t>
      </w:r>
      <w:r w:rsidR="009E01AC" w:rsidRPr="00EC1E1C">
        <w:rPr>
          <w:rStyle w:val="fadeinm1hgl8"/>
          <w:rFonts w:cs="Segoe UI"/>
          <w:szCs w:val="20"/>
        </w:rPr>
        <w:lastRenderedPageBreak/>
        <w:t>ekonomickej stability nevyužilo príležitosť na jeho zníženie.</w:t>
      </w:r>
      <w:r w:rsidR="009E01AC" w:rsidRPr="00EC1E1C">
        <w:rPr>
          <w:rFonts w:cs="Segoe UI"/>
          <w:szCs w:val="20"/>
        </w:rPr>
        <w:t xml:space="preserve"> Najvyšší dlh VS v roku 2024 malo Grécko (153,6 % HDP) a Taliansko (135,3 % HDP) – krajiny s dlhodobo vysokými dlhmi. Najnižší dlh vykázalo Estónsko (23,6 % HDP) a Bulharsko (24,1 % HDP). Z krajín V4 má vyšší dlh ako Slovensko len Maďarsko.</w:t>
      </w:r>
    </w:p>
    <w:p w14:paraId="36AD3803" w14:textId="54D39862" w:rsidR="00EE36C5" w:rsidRDefault="00EE36C5" w:rsidP="00EE36C5">
      <w:pPr>
        <w:autoSpaceDE w:val="0"/>
        <w:autoSpaceDN w:val="0"/>
        <w:adjustRightInd w:val="0"/>
        <w:spacing w:after="0" w:line="240" w:lineRule="auto"/>
      </w:pPr>
      <w:r w:rsidRPr="000D0B76">
        <w:rPr>
          <w:rFonts w:cs="Segoe UI"/>
          <w:b/>
          <w:bCs/>
          <w:color w:val="304363"/>
          <w:szCs w:val="20"/>
        </w:rPr>
        <w:t xml:space="preserve">Graf </w:t>
      </w:r>
      <w:r>
        <w:rPr>
          <w:rFonts w:cs="Segoe UI"/>
          <w:b/>
          <w:bCs/>
          <w:color w:val="304363"/>
          <w:szCs w:val="20"/>
        </w:rPr>
        <w:t>9</w:t>
      </w:r>
      <w:r w:rsidRPr="000D0B76">
        <w:rPr>
          <w:rFonts w:cs="Segoe UI"/>
          <w:b/>
          <w:bCs/>
          <w:color w:val="304363"/>
          <w:szCs w:val="20"/>
        </w:rPr>
        <w:t>:</w:t>
      </w:r>
      <w:r w:rsidRPr="0019377C">
        <w:rPr>
          <w:rFonts w:cs="Segoe UI"/>
          <w:b/>
          <w:bCs/>
          <w:color w:val="304363"/>
          <w:szCs w:val="20"/>
        </w:rPr>
        <w:t xml:space="preserve"> Medzinárodn</w:t>
      </w:r>
      <w:r>
        <w:rPr>
          <w:rFonts w:cs="Segoe UI"/>
          <w:b/>
          <w:bCs/>
          <w:color w:val="304363"/>
          <w:szCs w:val="20"/>
        </w:rPr>
        <w:t>é porovnanie dlhu VS za rok 2024</w:t>
      </w:r>
      <w:r w:rsidRPr="0019377C">
        <w:rPr>
          <w:rFonts w:cs="Segoe UI"/>
          <w:b/>
          <w:bCs/>
          <w:color w:val="304363"/>
          <w:szCs w:val="20"/>
        </w:rPr>
        <w:t xml:space="preserve"> (</w:t>
      </w:r>
      <w:r w:rsidR="00832BC2">
        <w:rPr>
          <w:rFonts w:cs="Segoe UI"/>
          <w:b/>
          <w:bCs/>
          <w:color w:val="304363"/>
          <w:szCs w:val="20"/>
        </w:rPr>
        <w:t xml:space="preserve">v </w:t>
      </w:r>
      <w:r w:rsidRPr="0019377C">
        <w:rPr>
          <w:rFonts w:cs="Segoe UI"/>
          <w:b/>
          <w:bCs/>
          <w:color w:val="304363"/>
          <w:szCs w:val="20"/>
        </w:rPr>
        <w:t>% HDP)</w:t>
      </w:r>
    </w:p>
    <w:p w14:paraId="2E4A9D4A" w14:textId="77777777" w:rsidR="00EE36C5" w:rsidRDefault="00EE36C5" w:rsidP="00EE36C5">
      <w:pPr>
        <w:pBdr>
          <w:top w:val="single" w:sz="4" w:space="1" w:color="auto"/>
          <w:bottom w:val="single" w:sz="4" w:space="1" w:color="auto"/>
        </w:pBdr>
        <w:spacing w:after="0"/>
      </w:pPr>
      <w:r w:rsidRPr="007D3345">
        <w:rPr>
          <w:noProof/>
          <w:color w:val="F55648"/>
          <w:lang w:eastAsia="sk-SK"/>
        </w:rPr>
        <w:drawing>
          <wp:inline distT="0" distB="0" distL="0" distR="0" wp14:anchorId="0DB790E6" wp14:editId="57497F18">
            <wp:extent cx="5759450" cy="2160000"/>
            <wp:effectExtent l="0" t="0" r="0" b="0"/>
            <wp:docPr id="52" name="Graf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F80DD52" w14:textId="77777777" w:rsidR="00EE36C5" w:rsidRPr="00F01F9E" w:rsidRDefault="00EE36C5" w:rsidP="00EE36C5">
      <w:pPr>
        <w:pStyle w:val="Zdroj"/>
      </w:pPr>
      <w:r w:rsidRPr="00F01F9E">
        <w:t>Zdroj: Eurostat</w:t>
      </w:r>
      <w:r>
        <w:t>.</w:t>
      </w:r>
    </w:p>
    <w:p w14:paraId="1FDAC01C" w14:textId="0F9B6AF7" w:rsidR="009E01AC" w:rsidRPr="008F2ECD" w:rsidRDefault="009E01AC" w:rsidP="009E01AC">
      <w:pPr>
        <w:rPr>
          <w:rFonts w:eastAsia="Times New Roman" w:cs="Segoe UI"/>
          <w:szCs w:val="20"/>
          <w:lang w:eastAsia="sk-SK"/>
        </w:rPr>
      </w:pPr>
      <w:r w:rsidRPr="00D9056A">
        <w:rPr>
          <w:rFonts w:cs="Segoe UI"/>
          <w:b/>
          <w:bCs/>
          <w:szCs w:val="20"/>
        </w:rPr>
        <w:t xml:space="preserve">Štátny dlh v správe MF SR dosiahol v menovitej hodnote ku koncu roka 2024 výšku 75,3 mld. eur. </w:t>
      </w:r>
      <w:r w:rsidRPr="00D9056A">
        <w:rPr>
          <w:rFonts w:cs="Segoe UI"/>
          <w:szCs w:val="20"/>
        </w:rPr>
        <w:t xml:space="preserve">V porovnaní s predchádzajúcim rokom vzrástol o 8,8 mld. eur (13,2 %). V roku 2024 predstavoval štátny dlh 97 % celkového dlhu VS a dlh ostatných subjektov VS tvoril 3 %. </w:t>
      </w:r>
      <w:r w:rsidR="004B552F">
        <w:rPr>
          <w:rFonts w:cs="Segoe UI"/>
          <w:szCs w:val="20"/>
        </w:rPr>
        <w:t>D</w:t>
      </w:r>
      <w:r w:rsidR="004B552F" w:rsidRPr="0045325A">
        <w:rPr>
          <w:rFonts w:cs="Segoe UI"/>
          <w:szCs w:val="20"/>
        </w:rPr>
        <w:t xml:space="preserve">lh </w:t>
      </w:r>
      <w:r w:rsidR="004B552F">
        <w:rPr>
          <w:rFonts w:cs="Segoe UI"/>
          <w:szCs w:val="20"/>
        </w:rPr>
        <w:t>VS</w:t>
      </w:r>
      <w:r w:rsidR="004B552F" w:rsidRPr="0045325A">
        <w:rPr>
          <w:rFonts w:cs="Segoe UI"/>
          <w:szCs w:val="20"/>
        </w:rPr>
        <w:t xml:space="preserve"> podľa jednotlivých subjektov</w:t>
      </w:r>
      <w:r w:rsidR="004B552F">
        <w:rPr>
          <w:rFonts w:cs="Segoe UI"/>
          <w:szCs w:val="20"/>
        </w:rPr>
        <w:t xml:space="preserve"> je v tabuľke 3 v prílohe. </w:t>
      </w:r>
      <w:r w:rsidR="003B23D1">
        <w:rPr>
          <w:rFonts w:cs="Segoe UI"/>
          <w:szCs w:val="20"/>
        </w:rPr>
        <w:t>Takmer 92 % š</w:t>
      </w:r>
      <w:r w:rsidRPr="00320719">
        <w:rPr>
          <w:rFonts w:eastAsia="Times New Roman" w:cs="Segoe UI"/>
          <w:szCs w:val="20"/>
          <w:lang w:eastAsia="sk-SK"/>
        </w:rPr>
        <w:t>tátn</w:t>
      </w:r>
      <w:r w:rsidR="003B23D1">
        <w:rPr>
          <w:rFonts w:eastAsia="Times New Roman" w:cs="Segoe UI"/>
          <w:szCs w:val="20"/>
          <w:lang w:eastAsia="sk-SK"/>
        </w:rPr>
        <w:t>eho</w:t>
      </w:r>
      <w:r w:rsidRPr="00320719">
        <w:rPr>
          <w:rFonts w:eastAsia="Times New Roman" w:cs="Segoe UI"/>
          <w:szCs w:val="20"/>
          <w:lang w:eastAsia="sk-SK"/>
        </w:rPr>
        <w:t xml:space="preserve"> dlh</w:t>
      </w:r>
      <w:r w:rsidR="003B23D1">
        <w:rPr>
          <w:rFonts w:eastAsia="Times New Roman" w:cs="Segoe UI"/>
          <w:szCs w:val="20"/>
          <w:lang w:eastAsia="sk-SK"/>
        </w:rPr>
        <w:t>u tvoria najmä</w:t>
      </w:r>
      <w:r w:rsidRPr="00320719">
        <w:rPr>
          <w:rFonts w:eastAsia="Times New Roman" w:cs="Segoe UI"/>
          <w:szCs w:val="20"/>
          <w:lang w:eastAsia="sk-SK"/>
        </w:rPr>
        <w:t xml:space="preserve"> záväzk</w:t>
      </w:r>
      <w:r w:rsidR="003B23D1">
        <w:rPr>
          <w:rFonts w:eastAsia="Times New Roman" w:cs="Segoe UI"/>
          <w:szCs w:val="20"/>
          <w:lang w:eastAsia="sk-SK"/>
        </w:rPr>
        <w:t>y</w:t>
      </w:r>
      <w:r w:rsidRPr="00320719">
        <w:rPr>
          <w:rFonts w:eastAsia="Times New Roman" w:cs="Segoe UI"/>
          <w:szCs w:val="20"/>
          <w:lang w:eastAsia="sk-SK"/>
        </w:rPr>
        <w:t xml:space="preserve"> vyplývajúc</w:t>
      </w:r>
      <w:r w:rsidR="003B23D1">
        <w:rPr>
          <w:rFonts w:eastAsia="Times New Roman" w:cs="Segoe UI"/>
          <w:szCs w:val="20"/>
          <w:lang w:eastAsia="sk-SK"/>
        </w:rPr>
        <w:t>e</w:t>
      </w:r>
      <w:r w:rsidRPr="00320719">
        <w:rPr>
          <w:rFonts w:eastAsia="Times New Roman" w:cs="Segoe UI"/>
          <w:szCs w:val="20"/>
          <w:lang w:eastAsia="sk-SK"/>
        </w:rPr>
        <w:t xml:space="preserve"> z emisie štátnych dlhopis</w:t>
      </w:r>
      <w:r w:rsidRPr="00D9056A">
        <w:rPr>
          <w:rFonts w:eastAsia="Times New Roman" w:cs="Segoe UI"/>
          <w:szCs w:val="20"/>
          <w:lang w:eastAsia="sk-SK"/>
        </w:rPr>
        <w:t>ov v celkovej sume 68,9 mld.</w:t>
      </w:r>
      <w:r w:rsidRPr="00320719">
        <w:rPr>
          <w:rFonts w:eastAsia="Times New Roman" w:cs="Segoe UI"/>
          <w:szCs w:val="20"/>
          <w:lang w:eastAsia="sk-SK"/>
        </w:rPr>
        <w:t xml:space="preserve"> eur, ako aj z prijatých bankových úverov, zábezpek, záväzkov voči nástroju EFSF a záväzkov z vkladov v Š</w:t>
      </w:r>
      <w:r w:rsidR="003B23D1">
        <w:rPr>
          <w:rFonts w:eastAsia="Times New Roman" w:cs="Segoe UI"/>
          <w:szCs w:val="20"/>
          <w:lang w:eastAsia="sk-SK"/>
        </w:rPr>
        <w:t>P</w:t>
      </w:r>
      <w:r w:rsidRPr="00320719">
        <w:rPr>
          <w:rFonts w:eastAsia="Times New Roman" w:cs="Segoe UI"/>
          <w:szCs w:val="20"/>
          <w:lang w:eastAsia="sk-SK"/>
        </w:rPr>
        <w:t>.</w:t>
      </w:r>
      <w:r>
        <w:rPr>
          <w:rFonts w:eastAsia="Times New Roman" w:cs="Segoe UI"/>
          <w:szCs w:val="20"/>
          <w:lang w:eastAsia="sk-SK"/>
        </w:rPr>
        <w:t xml:space="preserve"> Na strednodobé riadenie štátneho dlhu a likvidity sa </w:t>
      </w:r>
      <w:r w:rsidR="003B23D1">
        <w:rPr>
          <w:rFonts w:eastAsia="Times New Roman" w:cs="Segoe UI"/>
          <w:szCs w:val="20"/>
          <w:lang w:eastAsia="sk-SK"/>
        </w:rPr>
        <w:t xml:space="preserve">NKÚ SR </w:t>
      </w:r>
      <w:r>
        <w:rPr>
          <w:rFonts w:eastAsia="Times New Roman" w:cs="Segoe UI"/>
          <w:szCs w:val="20"/>
          <w:lang w:eastAsia="sk-SK"/>
        </w:rPr>
        <w:t>zameral v nedávnej kontrole (box 1).</w:t>
      </w:r>
    </w:p>
    <w:tbl>
      <w:tblPr>
        <w:tblStyle w:val="Mriekatabuky1"/>
        <w:tblW w:w="0" w:type="auto"/>
        <w:tblBorders>
          <w:top w:val="single" w:sz="4" w:space="0" w:color="314364"/>
          <w:left w:val="single" w:sz="4" w:space="0" w:color="314364"/>
          <w:bottom w:val="single" w:sz="4" w:space="0" w:color="314364"/>
          <w:right w:val="single" w:sz="4" w:space="0" w:color="314364"/>
          <w:insideH w:val="none" w:sz="0" w:space="0" w:color="auto"/>
          <w:insideV w:val="none" w:sz="0" w:space="0" w:color="auto"/>
        </w:tblBorders>
        <w:shd w:val="clear" w:color="auto" w:fill="EBF0FB"/>
        <w:tblLook w:val="04A0" w:firstRow="1" w:lastRow="0" w:firstColumn="1" w:lastColumn="0" w:noHBand="0" w:noVBand="1"/>
      </w:tblPr>
      <w:tblGrid>
        <w:gridCol w:w="9060"/>
      </w:tblGrid>
      <w:tr w:rsidR="007707AF" w:rsidRPr="00181D27" w14:paraId="69F68ABB" w14:textId="77777777" w:rsidTr="00706298">
        <w:tc>
          <w:tcPr>
            <w:tcW w:w="9060" w:type="dxa"/>
            <w:shd w:val="clear" w:color="auto" w:fill="EBF0FB"/>
          </w:tcPr>
          <w:p w14:paraId="7930F6C1" w14:textId="367821DE" w:rsidR="007707AF" w:rsidRPr="00181D27" w:rsidRDefault="007707AF" w:rsidP="00706298">
            <w:pPr>
              <w:spacing w:before="120"/>
              <w:ind w:right="163"/>
              <w:rPr>
                <w:rFonts w:cs="Times New Roman"/>
                <w:b/>
              </w:rPr>
            </w:pPr>
            <w:r>
              <w:rPr>
                <w:rFonts w:cs="Times New Roman"/>
                <w:b/>
              </w:rPr>
              <w:t>BOX 1</w:t>
            </w:r>
            <w:r w:rsidRPr="00181D27">
              <w:rPr>
                <w:rFonts w:cs="Times New Roman"/>
                <w:b/>
              </w:rPr>
              <w:t xml:space="preserve">: </w:t>
            </w:r>
            <w:r>
              <w:rPr>
                <w:rFonts w:cs="Times New Roman"/>
                <w:b/>
              </w:rPr>
              <w:t>K</w:t>
            </w:r>
            <w:r w:rsidRPr="00181D27">
              <w:rPr>
                <w:rFonts w:cs="Times New Roman"/>
                <w:b/>
              </w:rPr>
              <w:t>ontrol</w:t>
            </w:r>
            <w:r>
              <w:rPr>
                <w:rFonts w:cs="Times New Roman"/>
                <w:b/>
              </w:rPr>
              <w:t>a</w:t>
            </w:r>
            <w:r w:rsidRPr="00181D27">
              <w:rPr>
                <w:rFonts w:cs="Times New Roman"/>
                <w:b/>
              </w:rPr>
              <w:t xml:space="preserve"> strednodobého riadenia štátneho dlhu a</w:t>
            </w:r>
            <w:r>
              <w:rPr>
                <w:rFonts w:cs="Times New Roman"/>
                <w:b/>
              </w:rPr>
              <w:t> </w:t>
            </w:r>
            <w:r w:rsidRPr="00181D27">
              <w:rPr>
                <w:rFonts w:cs="Times New Roman"/>
                <w:b/>
              </w:rPr>
              <w:t>likvidity</w:t>
            </w:r>
            <w:r>
              <w:rPr>
                <w:rFonts w:cs="Times New Roman"/>
                <w:b/>
              </w:rPr>
              <w:t xml:space="preserve"> </w:t>
            </w:r>
          </w:p>
          <w:p w14:paraId="66773928" w14:textId="76BA8933" w:rsidR="007707AF" w:rsidRPr="00693DB2" w:rsidRDefault="007707AF" w:rsidP="00706298">
            <w:pPr>
              <w:spacing w:before="120"/>
              <w:ind w:right="163"/>
              <w:rPr>
                <w:rFonts w:cs="Times New Roman"/>
                <w:b/>
                <w:sz w:val="18"/>
              </w:rPr>
            </w:pPr>
            <w:r w:rsidRPr="00420DA9">
              <w:rPr>
                <w:rFonts w:cs="Times New Roman"/>
                <w:b/>
                <w:sz w:val="18"/>
              </w:rPr>
              <w:t>Dlhodobé deficitné hospodárenie a riziká vo fiškálnej politike</w:t>
            </w:r>
            <w:r w:rsidR="00CD2FA7">
              <w:rPr>
                <w:rFonts w:cs="Times New Roman"/>
                <w:b/>
                <w:sz w:val="18"/>
              </w:rPr>
              <w:t>,</w:t>
            </w:r>
            <w:r w:rsidRPr="00420DA9">
              <w:rPr>
                <w:rFonts w:cs="Times New Roman"/>
                <w:b/>
                <w:sz w:val="18"/>
              </w:rPr>
              <w:t xml:space="preserve"> odzrkadľujúce sa v horšom medzinárodnom ratingu</w:t>
            </w:r>
            <w:r w:rsidR="00CD2FA7">
              <w:rPr>
                <w:rFonts w:cs="Times New Roman"/>
                <w:b/>
                <w:sz w:val="18"/>
              </w:rPr>
              <w:t>,</w:t>
            </w:r>
            <w:r w:rsidRPr="00420DA9">
              <w:rPr>
                <w:rFonts w:cs="Times New Roman"/>
                <w:b/>
                <w:sz w:val="18"/>
              </w:rPr>
              <w:t xml:space="preserve"> vytvárajú priestor na vyššiu rizikovú prirážku slovenských dlhopisov a tým aj vyššie náklady na financovanie dlhu.</w:t>
            </w:r>
            <w:r>
              <w:rPr>
                <w:rFonts w:cs="Times New Roman"/>
                <w:sz w:val="18"/>
              </w:rPr>
              <w:t xml:space="preserve"> </w:t>
            </w:r>
            <w:r w:rsidRPr="00693DB2">
              <w:rPr>
                <w:rFonts w:cs="Times New Roman"/>
                <w:b/>
                <w:sz w:val="18"/>
              </w:rPr>
              <w:t>NKÚ SR preto v roku 2024 vykonal kontrolu zameranú na strednodobé riadenie dlhu a likvidity</w:t>
            </w:r>
            <w:r w:rsidR="0024075E" w:rsidRPr="0024075E">
              <w:rPr>
                <w:rStyle w:val="Odkaznapoznmkupodiarou"/>
                <w:rFonts w:cs="Times New Roman"/>
                <w:sz w:val="18"/>
              </w:rPr>
              <w:footnoteReference w:id="3"/>
            </w:r>
            <w:r w:rsidRPr="00693DB2">
              <w:rPr>
                <w:rFonts w:cs="Times New Roman"/>
                <w:b/>
                <w:sz w:val="18"/>
              </w:rPr>
              <w:t xml:space="preserve">. Počas kontroly zistil, že problémom nie je ani tak riadenie dlhu, ako dlhodobé deficitné hospodárenie, ktoré vytvára potrebu tento dlh riadiť. </w:t>
            </w:r>
            <w:r w:rsidR="000B3D3D">
              <w:rPr>
                <w:rFonts w:cs="Times New Roman"/>
                <w:b/>
                <w:sz w:val="18"/>
              </w:rPr>
              <w:t xml:space="preserve">NKÚ SR odporúčal </w:t>
            </w:r>
            <w:r w:rsidRPr="00693DB2">
              <w:rPr>
                <w:rFonts w:cs="Times New Roman"/>
                <w:b/>
                <w:sz w:val="18"/>
              </w:rPr>
              <w:t>MF SR zabezpečiť vypracovanie a schválenie strednodobej stratégie riadenia štátneho dlhu. Zároveň odpor</w:t>
            </w:r>
            <w:r w:rsidR="000B3D3D">
              <w:rPr>
                <w:rFonts w:cs="Times New Roman"/>
                <w:b/>
                <w:sz w:val="18"/>
              </w:rPr>
              <w:t>účal</w:t>
            </w:r>
            <w:r w:rsidRPr="00693DB2">
              <w:rPr>
                <w:rFonts w:cs="Times New Roman"/>
                <w:b/>
                <w:sz w:val="18"/>
              </w:rPr>
              <w:t xml:space="preserve"> vypracovávať a zverejňovať každoročný odpočet stratégie riadenia štátneho dlhu, poskytujúci komplexné informácie a písaný prístupným jazykom. </w:t>
            </w:r>
          </w:p>
          <w:p w14:paraId="06D894DE" w14:textId="10EFD5E7" w:rsidR="007707AF" w:rsidRPr="0055678A" w:rsidRDefault="007707AF" w:rsidP="00706298">
            <w:pPr>
              <w:spacing w:before="120"/>
              <w:ind w:right="163"/>
              <w:rPr>
                <w:rFonts w:cs="Times New Roman"/>
                <w:sz w:val="18"/>
              </w:rPr>
            </w:pPr>
            <w:r w:rsidRPr="0055678A">
              <w:rPr>
                <w:rFonts w:cs="Times New Roman"/>
                <w:sz w:val="18"/>
              </w:rPr>
              <w:t xml:space="preserve">Rámce pre strednodobé riadenie dlhu a likvidity sú ukotvené v stratégii pre riadenie dlhu a likvidity na príslušné strategické obdobia, spravidla </w:t>
            </w:r>
            <w:r w:rsidR="000B3D3D">
              <w:rPr>
                <w:rFonts w:cs="Times New Roman"/>
                <w:sz w:val="18"/>
              </w:rPr>
              <w:t>štyri</w:t>
            </w:r>
            <w:r w:rsidRPr="0055678A">
              <w:rPr>
                <w:rFonts w:cs="Times New Roman"/>
                <w:sz w:val="18"/>
              </w:rPr>
              <w:t xml:space="preserve"> roky. Podľa zákona o</w:t>
            </w:r>
            <w:r w:rsidR="000B3D3D">
              <w:rPr>
                <w:rFonts w:cs="Times New Roman"/>
                <w:sz w:val="18"/>
              </w:rPr>
              <w:t> </w:t>
            </w:r>
            <w:r w:rsidRPr="0055678A">
              <w:rPr>
                <w:rFonts w:cs="Times New Roman"/>
                <w:sz w:val="18"/>
              </w:rPr>
              <w:t>Š</w:t>
            </w:r>
            <w:r w:rsidR="000B3D3D">
              <w:rPr>
                <w:rFonts w:cs="Times New Roman"/>
                <w:sz w:val="18"/>
              </w:rPr>
              <w:t>tátnej pokladnici</w:t>
            </w:r>
            <w:r w:rsidRPr="0055678A">
              <w:rPr>
                <w:rFonts w:cs="Times New Roman"/>
                <w:sz w:val="18"/>
              </w:rPr>
              <w:t xml:space="preserve"> túto stratégiu vypracováva ARDAL a schvaľuje MF SR. Od roku 2003 sa zaviedla prax zvyšujúca dôveryhodnosť v podobe schvaľovania stratégie vládou SR. </w:t>
            </w:r>
            <w:r>
              <w:rPr>
                <w:rFonts w:cs="Times New Roman"/>
                <w:sz w:val="18"/>
              </w:rPr>
              <w:t>P</w:t>
            </w:r>
            <w:r w:rsidRPr="0055678A">
              <w:rPr>
                <w:rFonts w:cs="Times New Roman"/>
                <w:sz w:val="18"/>
              </w:rPr>
              <w:t>očas kontrolovaného obdobia sa predlžovala platnosť stratégie na roky 2015</w:t>
            </w:r>
            <w:r w:rsidR="000B3D3D">
              <w:rPr>
                <w:rFonts w:cs="Times New Roman"/>
                <w:sz w:val="18"/>
              </w:rPr>
              <w:t xml:space="preserve"> až </w:t>
            </w:r>
            <w:r w:rsidRPr="0055678A">
              <w:rPr>
                <w:rFonts w:cs="Times New Roman"/>
                <w:sz w:val="18"/>
              </w:rPr>
              <w:t xml:space="preserve">2018 jej prikladaním k návrhu </w:t>
            </w:r>
            <w:r w:rsidR="000B3D3D">
              <w:rPr>
                <w:rFonts w:cs="Times New Roman"/>
                <w:sz w:val="18"/>
              </w:rPr>
              <w:t>RVS</w:t>
            </w:r>
            <w:r w:rsidRPr="0055678A">
              <w:rPr>
                <w:rFonts w:cs="Times New Roman"/>
                <w:sz w:val="18"/>
              </w:rPr>
              <w:t>. Stratégia na obdobie 2019</w:t>
            </w:r>
            <w:r w:rsidR="000B3D3D">
              <w:rPr>
                <w:rFonts w:cs="Times New Roman"/>
                <w:sz w:val="18"/>
              </w:rPr>
              <w:t xml:space="preserve"> až </w:t>
            </w:r>
            <w:r w:rsidRPr="0055678A">
              <w:rPr>
                <w:rFonts w:cs="Times New Roman"/>
                <w:sz w:val="18"/>
              </w:rPr>
              <w:t xml:space="preserve">2022 bola pripravená, no z rokovania vlády SR vypustená a v ďalšom období nebola preukázaná snaha o prípravu ďalšej verzie stratégie. </w:t>
            </w:r>
          </w:p>
          <w:p w14:paraId="3DD3BA40" w14:textId="586ADB2A" w:rsidR="007707AF" w:rsidRPr="0055678A" w:rsidRDefault="007707AF" w:rsidP="00706298">
            <w:pPr>
              <w:spacing w:before="120"/>
              <w:ind w:right="163"/>
              <w:rPr>
                <w:rFonts w:cs="Times New Roman"/>
                <w:sz w:val="18"/>
              </w:rPr>
            </w:pPr>
            <w:r w:rsidRPr="0055678A">
              <w:rPr>
                <w:rFonts w:cs="Times New Roman"/>
                <w:sz w:val="18"/>
              </w:rPr>
              <w:t>Verejný odpočet stratégie chýba. Do roku 2014 bol odpočet súčasťou výročnej správy ARDAL, do 2017 správy o činnosti ARDAL a za nasledujúce obdobia komplexný každoročný odpočet nebol zverejňovaný. Pripravovaná bola len sumarizácia v angličtine primárne pre investorov a pár strán v texte Súhrnnej výročnej správy S</w:t>
            </w:r>
            <w:r w:rsidR="000B3D3D">
              <w:rPr>
                <w:rFonts w:cs="Times New Roman"/>
                <w:sz w:val="18"/>
              </w:rPr>
              <w:t>R</w:t>
            </w:r>
            <w:r w:rsidRPr="0055678A">
              <w:rPr>
                <w:rFonts w:cs="Times New Roman"/>
                <w:sz w:val="18"/>
              </w:rPr>
              <w:t xml:space="preserve">. ARDAL odpočet stratégie pripravoval, no nezverejňoval, keďže obsahoval aj interné, citlivé informácie. </w:t>
            </w:r>
          </w:p>
          <w:p w14:paraId="7E9D0C87" w14:textId="0308F554" w:rsidR="007707AF" w:rsidRPr="00181D27" w:rsidRDefault="007707AF" w:rsidP="00706298">
            <w:pPr>
              <w:spacing w:before="120"/>
              <w:ind w:right="163"/>
              <w:rPr>
                <w:rFonts w:cs="Times New Roman"/>
                <w:color w:val="314364"/>
                <w:sz w:val="16"/>
              </w:rPr>
            </w:pPr>
            <w:r w:rsidRPr="0051455E">
              <w:rPr>
                <w:rFonts w:cs="Times New Roman"/>
                <w:sz w:val="18"/>
              </w:rPr>
              <w:lastRenderedPageBreak/>
              <w:t>ARDAL, ako agent zodpovedný za činnosti v oblasti riadenia dlhu, predstavuje samostatnú organizáciu, ktorej celkové náklady možno považovať za náklady spojené s riadením dlhu. ŠP a MF SR majú aj iné úlohy a ich náklady na správu dlhu by sa nedali jednoducho oddeliť. Celkové náklady ARDAL stúpli z 1,8 mil. eur v roku 2018 na 2,2 mil. eur v roku 2023, čo predstavuje 0,2 % hotovostných nákladov na dlh. Najväčší podiel na celkových nákladoch majú osobné náklady, ktoré dosahovali priem</w:t>
            </w:r>
            <w:r>
              <w:rPr>
                <w:rFonts w:cs="Times New Roman"/>
                <w:sz w:val="18"/>
              </w:rPr>
              <w:t xml:space="preserve">erne 57,3 % </w:t>
            </w:r>
            <w:r w:rsidRPr="00ED1392">
              <w:rPr>
                <w:rFonts w:cs="Times New Roman"/>
                <w:sz w:val="18"/>
              </w:rPr>
              <w:t>(1,4 mil. eur</w:t>
            </w:r>
            <w:r>
              <w:rPr>
                <w:rFonts w:cs="Times New Roman"/>
                <w:sz w:val="18"/>
              </w:rPr>
              <w:t xml:space="preserve"> v 2023</w:t>
            </w:r>
            <w:r w:rsidRPr="00ED1392">
              <w:rPr>
                <w:rFonts w:cs="Times New Roman"/>
                <w:sz w:val="18"/>
              </w:rPr>
              <w:t>)</w:t>
            </w:r>
            <w:r w:rsidRPr="0051455E">
              <w:rPr>
                <w:rFonts w:cs="Times New Roman"/>
                <w:sz w:val="18"/>
              </w:rPr>
              <w:t>. Druhou najväčšou položkou sú ostatné služby zodpovedajúce v priemere 30,7 %</w:t>
            </w:r>
            <w:r>
              <w:rPr>
                <w:rFonts w:cs="Times New Roman"/>
                <w:sz w:val="18"/>
              </w:rPr>
              <w:t xml:space="preserve"> </w:t>
            </w:r>
            <w:r w:rsidRPr="00ED1392">
              <w:rPr>
                <w:rFonts w:cs="Times New Roman"/>
                <w:sz w:val="18"/>
              </w:rPr>
              <w:t>(0,7 mil. eur</w:t>
            </w:r>
            <w:r>
              <w:rPr>
                <w:rFonts w:cs="Times New Roman"/>
                <w:sz w:val="18"/>
              </w:rPr>
              <w:t xml:space="preserve"> v 2023</w:t>
            </w:r>
            <w:r w:rsidRPr="00ED1392">
              <w:rPr>
                <w:rFonts w:cs="Times New Roman"/>
                <w:sz w:val="18"/>
              </w:rPr>
              <w:t>)</w:t>
            </w:r>
            <w:r w:rsidRPr="0051455E">
              <w:rPr>
                <w:rFonts w:cs="Times New Roman"/>
                <w:sz w:val="18"/>
              </w:rPr>
              <w:t xml:space="preserve"> zo všetkých nákladov, pričom s rastom osobných n</w:t>
            </w:r>
            <w:r>
              <w:rPr>
                <w:rFonts w:cs="Times New Roman"/>
                <w:sz w:val="18"/>
              </w:rPr>
              <w:t>ákladov sa ich podiel znižoval a boli to p</w:t>
            </w:r>
            <w:r w:rsidRPr="0055678A">
              <w:rPr>
                <w:rFonts w:cs="Times New Roman"/>
                <w:sz w:val="18"/>
              </w:rPr>
              <w:t>redovšetkým platby za informačné systémy a prístupy do databáz potrebných pre výkon hlavnej činnosti.</w:t>
            </w:r>
          </w:p>
        </w:tc>
      </w:tr>
    </w:tbl>
    <w:p w14:paraId="1F57A69F" w14:textId="2D6BA1D6" w:rsidR="00F01F9E" w:rsidRPr="00F449EB" w:rsidRDefault="00F01F9E" w:rsidP="00F01F9E">
      <w:pPr>
        <w:spacing w:before="120"/>
        <w:rPr>
          <w:rFonts w:cs="Segoe UI"/>
          <w:b/>
          <w:szCs w:val="20"/>
          <w:highlight w:val="yellow"/>
        </w:rPr>
      </w:pPr>
      <w:r w:rsidRPr="00832BC2">
        <w:rPr>
          <w:rFonts w:cs="Segoe UI"/>
          <w:b/>
          <w:szCs w:val="20"/>
        </w:rPr>
        <w:lastRenderedPageBreak/>
        <w:t>Výdavky na financovanie dlhu za rok 2024 boli nižšie o 168 mil. eur ako boli pôvodne</w:t>
      </w:r>
      <w:r w:rsidRPr="00E37063">
        <w:rPr>
          <w:rFonts w:cs="Segoe UI"/>
          <w:b/>
          <w:szCs w:val="20"/>
        </w:rPr>
        <w:t xml:space="preserve"> rozpočtované. </w:t>
      </w:r>
      <w:r w:rsidRPr="00F449EB">
        <w:rPr>
          <w:rFonts w:cs="Segoe UI"/>
          <w:szCs w:val="20"/>
        </w:rPr>
        <w:t xml:space="preserve">V posledných rokoch zaznamenávame </w:t>
      </w:r>
      <w:r w:rsidR="003B23D1">
        <w:rPr>
          <w:rFonts w:cs="Segoe UI"/>
          <w:szCs w:val="20"/>
        </w:rPr>
        <w:t>nárast</w:t>
      </w:r>
      <w:r w:rsidRPr="00F449EB">
        <w:rPr>
          <w:rFonts w:cs="Segoe UI"/>
          <w:szCs w:val="20"/>
        </w:rPr>
        <w:t xml:space="preserve"> výdavkov spojených so správou štátneho dlhu. V roku 2024 boli celkové výdavky na úrovni takmer 1,2 mld. eur a medziročne sa zvýšili o 116 mil. eur (graf </w:t>
      </w:r>
      <w:r w:rsidR="005B2244">
        <w:rPr>
          <w:rFonts w:cs="Segoe UI"/>
          <w:szCs w:val="20"/>
        </w:rPr>
        <w:t>10</w:t>
      </w:r>
      <w:r w:rsidRPr="00F449EB">
        <w:rPr>
          <w:rFonts w:cs="Segoe UI"/>
          <w:szCs w:val="20"/>
        </w:rPr>
        <w:t>).</w:t>
      </w:r>
      <w:r>
        <w:rPr>
          <w:rFonts w:cs="Segoe UI"/>
          <w:b/>
          <w:szCs w:val="20"/>
        </w:rPr>
        <w:t xml:space="preserve"> </w:t>
      </w:r>
      <w:r w:rsidRPr="00042078">
        <w:rPr>
          <w:rFonts w:cs="Segoe UI"/>
          <w:szCs w:val="20"/>
        </w:rPr>
        <w:t>Slovensko</w:t>
      </w:r>
      <w:r w:rsidRPr="00E37063">
        <w:rPr>
          <w:rFonts w:cs="Segoe UI"/>
          <w:szCs w:val="20"/>
        </w:rPr>
        <w:t xml:space="preserve"> malo v roku 2024 jedny z najvyšších nákladov na financovanie dlhu v eurozóne</w:t>
      </w:r>
      <w:r w:rsidRPr="0076041E">
        <w:rPr>
          <w:rFonts w:cs="Segoe UI"/>
          <w:szCs w:val="20"/>
        </w:rPr>
        <w:t>.</w:t>
      </w:r>
      <w:r w:rsidRPr="00323B9D">
        <w:rPr>
          <w:rFonts w:cs="Segoe UI"/>
          <w:szCs w:val="20"/>
        </w:rPr>
        <w:t xml:space="preserve"> </w:t>
      </w:r>
      <w:r w:rsidRPr="00A23EBE">
        <w:rPr>
          <w:rFonts w:cs="Segoe UI"/>
          <w:szCs w:val="20"/>
        </w:rPr>
        <w:t>Dôvodom sú pret</w:t>
      </w:r>
      <w:r>
        <w:rPr>
          <w:rFonts w:cs="Segoe UI"/>
          <w:szCs w:val="20"/>
        </w:rPr>
        <w:t xml:space="preserve">rvávajúce vyššie úrokové sadzby, </w:t>
      </w:r>
      <w:r w:rsidRPr="00A23EBE">
        <w:rPr>
          <w:rFonts w:cs="Segoe UI"/>
          <w:szCs w:val="20"/>
        </w:rPr>
        <w:t xml:space="preserve">ktoré vplývajú na nové emisie štátnych cenných papierov. </w:t>
      </w:r>
      <w:r w:rsidRPr="00323B9D">
        <w:rPr>
          <w:rFonts w:cs="Segoe UI"/>
          <w:szCs w:val="20"/>
        </w:rPr>
        <w:t>V</w:t>
      </w:r>
      <w:r>
        <w:rPr>
          <w:rFonts w:cs="Segoe UI"/>
          <w:szCs w:val="20"/>
        </w:rPr>
        <w:t> priebehu roka</w:t>
      </w:r>
      <w:r w:rsidRPr="00323B9D">
        <w:rPr>
          <w:rFonts w:cs="Segoe UI"/>
          <w:szCs w:val="20"/>
        </w:rPr>
        <w:t xml:space="preserve"> 2024 došlo k postupnému poklesu úrokových sadzieb na slovenských dlhopisoch, čo reflektovalo zmiernenie inflačných tlakov v ekonomike. Napriek tomu bola riziková prirážka slovenských dlhopisov v porovnaní s nemeckými dlhopismi jednou z najvyšších v eurozóne, čo negatívne ovplyvnilo náklady na financovanie dlhu. Priemerná výška úrokovej sadzby na slovenských dlhopisoch v roku 2024 bola na úrovni 3,48 </w:t>
      </w:r>
      <w:r w:rsidR="005B2244">
        <w:rPr>
          <w:rFonts w:cs="Segoe UI"/>
          <w:szCs w:val="20"/>
        </w:rPr>
        <w:t xml:space="preserve">%, </w:t>
      </w:r>
      <w:r w:rsidRPr="00323B9D">
        <w:rPr>
          <w:rFonts w:cs="Segoe UI"/>
          <w:szCs w:val="20"/>
        </w:rPr>
        <w:t>v porovnaní s minulým rokom je nižšia o 0,3 p. b.</w:t>
      </w:r>
      <w:r>
        <w:rPr>
          <w:rFonts w:cs="Segoe UI"/>
          <w:szCs w:val="20"/>
        </w:rPr>
        <w:t xml:space="preserve"> Ratingová agentúra</w:t>
      </w:r>
      <w:r w:rsidRPr="00323B9D">
        <w:rPr>
          <w:rFonts w:cs="Segoe UI"/>
          <w:szCs w:val="20"/>
        </w:rPr>
        <w:t xml:space="preserve"> </w:t>
      </w:r>
      <w:proofErr w:type="spellStart"/>
      <w:r w:rsidRPr="00323B9D">
        <w:rPr>
          <w:rFonts w:cs="Segoe UI"/>
          <w:szCs w:val="20"/>
        </w:rPr>
        <w:t>Moody’s</w:t>
      </w:r>
      <w:proofErr w:type="spellEnd"/>
      <w:r w:rsidRPr="00323B9D">
        <w:rPr>
          <w:rFonts w:cs="Segoe UI"/>
          <w:szCs w:val="20"/>
        </w:rPr>
        <w:t xml:space="preserve"> v decembri 2024 znížila hodnotenie Slovenska o jeden stupeň na A3 so stabilným výhľadom. Hodnotenia od ratingových agentúr Standard &amp; </w:t>
      </w:r>
      <w:proofErr w:type="spellStart"/>
      <w:r w:rsidRPr="00323B9D">
        <w:rPr>
          <w:rFonts w:cs="Segoe UI"/>
          <w:szCs w:val="20"/>
        </w:rPr>
        <w:t>Poor’s</w:t>
      </w:r>
      <w:proofErr w:type="spellEnd"/>
      <w:r w:rsidRPr="00323B9D">
        <w:rPr>
          <w:rFonts w:cs="Segoe UI"/>
          <w:szCs w:val="20"/>
        </w:rPr>
        <w:t xml:space="preserve"> a </w:t>
      </w:r>
      <w:proofErr w:type="spellStart"/>
      <w:r w:rsidRPr="00323B9D">
        <w:rPr>
          <w:rFonts w:cs="Segoe UI"/>
          <w:szCs w:val="20"/>
        </w:rPr>
        <w:t>Fitch</w:t>
      </w:r>
      <w:proofErr w:type="spellEnd"/>
      <w:r w:rsidRPr="00323B9D">
        <w:rPr>
          <w:rFonts w:cs="Segoe UI"/>
          <w:szCs w:val="20"/>
        </w:rPr>
        <w:t xml:space="preserve"> zostali v roku 2024 nezmenené. Zníženie ratingu vplýva na drahšie financovanie štátneho dlhu v dôsledku vyššej rizikovej prirážky.</w:t>
      </w:r>
    </w:p>
    <w:p w14:paraId="009FE713" w14:textId="1C2E3D41" w:rsidR="00F01F9E" w:rsidRPr="001C4380" w:rsidRDefault="00F01F9E" w:rsidP="00F01F9E">
      <w:pPr>
        <w:autoSpaceDE w:val="0"/>
        <w:autoSpaceDN w:val="0"/>
        <w:adjustRightInd w:val="0"/>
        <w:spacing w:after="0" w:line="240" w:lineRule="auto"/>
        <w:rPr>
          <w:rFonts w:cs="Segoe UI"/>
          <w:b/>
          <w:bCs/>
          <w:color w:val="304363"/>
          <w:szCs w:val="20"/>
        </w:rPr>
      </w:pPr>
      <w:r w:rsidRPr="0066045B">
        <w:rPr>
          <w:rFonts w:cs="Segoe UI"/>
          <w:b/>
          <w:bCs/>
          <w:color w:val="304363"/>
          <w:szCs w:val="20"/>
        </w:rPr>
        <w:t xml:space="preserve">Graf </w:t>
      </w:r>
      <w:r w:rsidR="00FA5818">
        <w:rPr>
          <w:rFonts w:cs="Segoe UI"/>
          <w:b/>
          <w:bCs/>
          <w:color w:val="304363"/>
          <w:szCs w:val="20"/>
        </w:rPr>
        <w:t>10</w:t>
      </w:r>
      <w:r w:rsidRPr="00F449EB">
        <w:rPr>
          <w:rFonts w:cs="Segoe UI"/>
          <w:b/>
          <w:bCs/>
          <w:color w:val="304363"/>
          <w:szCs w:val="20"/>
        </w:rPr>
        <w:t>:</w:t>
      </w:r>
      <w:r w:rsidRPr="001C4380">
        <w:rPr>
          <w:rFonts w:cs="Segoe UI"/>
          <w:b/>
          <w:bCs/>
          <w:color w:val="304363"/>
          <w:szCs w:val="20"/>
        </w:rPr>
        <w:t xml:space="preserve"> Výdavky spojené so spr</w:t>
      </w:r>
      <w:r>
        <w:rPr>
          <w:rFonts w:cs="Segoe UI"/>
          <w:b/>
          <w:bCs/>
          <w:color w:val="304363"/>
          <w:szCs w:val="20"/>
        </w:rPr>
        <w:t>ávou štátneho dlhu v rokoch 2014 až 2024</w:t>
      </w:r>
      <w:r w:rsidRPr="001C4380">
        <w:rPr>
          <w:rFonts w:cs="Segoe UI"/>
          <w:b/>
          <w:bCs/>
          <w:color w:val="304363"/>
          <w:szCs w:val="20"/>
        </w:rPr>
        <w:t xml:space="preserve"> (v mil. eur)</w:t>
      </w:r>
    </w:p>
    <w:p w14:paraId="22BA74C0" w14:textId="77777777" w:rsidR="00F01F9E" w:rsidRDefault="00F01F9E" w:rsidP="00F01F9E">
      <w:pPr>
        <w:keepNext/>
        <w:pBdr>
          <w:top w:val="single" w:sz="4" w:space="1" w:color="auto"/>
          <w:bottom w:val="single" w:sz="4" w:space="1" w:color="auto"/>
        </w:pBdr>
        <w:autoSpaceDE w:val="0"/>
        <w:autoSpaceDN w:val="0"/>
        <w:adjustRightInd w:val="0"/>
        <w:spacing w:after="0" w:line="240" w:lineRule="auto"/>
      </w:pPr>
      <w:r>
        <w:rPr>
          <w:noProof/>
          <w:lang w:eastAsia="sk-SK"/>
        </w:rPr>
        <w:drawing>
          <wp:inline distT="0" distB="0" distL="0" distR="0" wp14:anchorId="1AFE6678" wp14:editId="3574CEC9">
            <wp:extent cx="5759450" cy="1800000"/>
            <wp:effectExtent l="0" t="0" r="0" b="0"/>
            <wp:docPr id="43" name="Graf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61DA98D" w14:textId="312FA93C" w:rsidR="00F01F9E" w:rsidRPr="00F01F9E" w:rsidRDefault="00F01F9E" w:rsidP="00F01F9E">
      <w:pPr>
        <w:pStyle w:val="Zdroj"/>
      </w:pPr>
      <w:r w:rsidRPr="00F01F9E">
        <w:t>Zdroj: MF SR</w:t>
      </w:r>
      <w:r>
        <w:t>.</w:t>
      </w:r>
    </w:p>
    <w:p w14:paraId="7419E298" w14:textId="20BB85B7" w:rsidR="00722EEA" w:rsidRDefault="00722EEA" w:rsidP="00722EEA">
      <w:pPr>
        <w:pStyle w:val="Nadpis2"/>
      </w:pPr>
      <w:bookmarkStart w:id="15" w:name="_Toc198637716"/>
      <w:r>
        <w:t>2.5  Limit verejných výdavkov</w:t>
      </w:r>
      <w:bookmarkEnd w:id="15"/>
    </w:p>
    <w:p w14:paraId="4F295797" w14:textId="28441ADB" w:rsidR="007707AF" w:rsidRPr="00046FA3" w:rsidRDefault="007707AF" w:rsidP="007707AF">
      <w:pPr>
        <w:rPr>
          <w:rFonts w:eastAsia="Times New Roman" w:cs="Segoe UI"/>
          <w:szCs w:val="20"/>
        </w:rPr>
      </w:pPr>
      <w:r w:rsidRPr="00046FA3">
        <w:rPr>
          <w:rFonts w:eastAsia="Times New Roman" w:cs="Segoe UI"/>
          <w:b/>
          <w:szCs w:val="20"/>
        </w:rPr>
        <w:t xml:space="preserve">Rozpočet na rok 2024 bol schválený bez uplatňovania limitu verejných výdavkov </w:t>
      </w:r>
      <w:r w:rsidRPr="00706298">
        <w:rPr>
          <w:rFonts w:eastAsia="Times New Roman" w:cs="Segoe UI"/>
          <w:szCs w:val="20"/>
        </w:rPr>
        <w:t>(LVV)</w:t>
      </w:r>
      <w:r w:rsidRPr="00046FA3">
        <w:rPr>
          <w:rFonts w:eastAsia="Times New Roman" w:cs="Segoe UI"/>
          <w:b/>
          <w:szCs w:val="20"/>
        </w:rPr>
        <w:t>, keďže bol</w:t>
      </w:r>
      <w:r w:rsidR="008C4A7D">
        <w:rPr>
          <w:rFonts w:eastAsia="Times New Roman" w:cs="Segoe UI"/>
          <w:b/>
          <w:szCs w:val="20"/>
        </w:rPr>
        <w:t>,</w:t>
      </w:r>
      <w:r w:rsidRPr="00046FA3">
        <w:rPr>
          <w:rFonts w:eastAsia="Times New Roman" w:cs="Segoe UI"/>
          <w:b/>
          <w:szCs w:val="20"/>
        </w:rPr>
        <w:t xml:space="preserve"> podľa vyjadrenia MF SR ako predkladateľa</w:t>
      </w:r>
      <w:r w:rsidR="008C4A7D">
        <w:rPr>
          <w:rFonts w:eastAsia="Times New Roman" w:cs="Segoe UI"/>
          <w:b/>
          <w:szCs w:val="20"/>
        </w:rPr>
        <w:t>,</w:t>
      </w:r>
      <w:r w:rsidRPr="00046FA3">
        <w:rPr>
          <w:rFonts w:eastAsia="Times New Roman" w:cs="Segoe UI"/>
          <w:b/>
          <w:szCs w:val="20"/>
        </w:rPr>
        <w:t xml:space="preserve"> postavený na rozdielnych kľúčových predpokladoch </w:t>
      </w:r>
      <w:r>
        <w:rPr>
          <w:rFonts w:eastAsia="Times New Roman" w:cs="Segoe UI"/>
          <w:szCs w:val="20"/>
        </w:rPr>
        <w:t>(v </w:t>
      </w:r>
      <w:r w:rsidRPr="00046FA3">
        <w:rPr>
          <w:rFonts w:eastAsia="Times New Roman" w:cs="Segoe UI"/>
          <w:szCs w:val="20"/>
        </w:rPr>
        <w:t>porovnaní s</w:t>
      </w:r>
      <w:r w:rsidR="00192722">
        <w:rPr>
          <w:rFonts w:eastAsia="Times New Roman" w:cs="Segoe UI"/>
          <w:szCs w:val="20"/>
        </w:rPr>
        <w:t xml:space="preserve"> platným </w:t>
      </w:r>
      <w:r w:rsidRPr="00046FA3">
        <w:rPr>
          <w:rFonts w:eastAsia="Times New Roman" w:cs="Segoe UI"/>
          <w:szCs w:val="20"/>
        </w:rPr>
        <w:t>LVV schváleným vo februári 2023)</w:t>
      </w:r>
      <w:r w:rsidRPr="00046FA3">
        <w:rPr>
          <w:rFonts w:eastAsia="Times New Roman" w:cs="Segoe UI"/>
          <w:b/>
          <w:szCs w:val="20"/>
        </w:rPr>
        <w:t xml:space="preserve">. </w:t>
      </w:r>
      <w:r w:rsidRPr="00046FA3">
        <w:rPr>
          <w:rFonts w:eastAsia="Times New Roman" w:cs="Segoe UI"/>
          <w:szCs w:val="20"/>
        </w:rPr>
        <w:t>Zároveň však vláda deklarovala záujem dodržiavať LVV</w:t>
      </w:r>
      <w:r w:rsidR="008C4A7D">
        <w:rPr>
          <w:rFonts w:eastAsia="Times New Roman" w:cs="Segoe UI"/>
          <w:szCs w:val="20"/>
        </w:rPr>
        <w:t>,</w:t>
      </w:r>
      <w:r w:rsidRPr="00046FA3">
        <w:rPr>
          <w:rFonts w:eastAsia="Times New Roman" w:cs="Segoe UI"/>
          <w:szCs w:val="20"/>
        </w:rPr>
        <w:t xml:space="preserve"> schválené v priebehu roka, čo sa aj stalo. Novela zákona o rozpočtových pravidlách </w:t>
      </w:r>
      <w:r w:rsidR="00706298">
        <w:rPr>
          <w:rFonts w:eastAsia="Times New Roman" w:cs="Segoe UI"/>
          <w:szCs w:val="20"/>
        </w:rPr>
        <w:t>VS</w:t>
      </w:r>
      <w:r w:rsidR="008C4A7D">
        <w:rPr>
          <w:rFonts w:eastAsia="Times New Roman" w:cs="Segoe UI"/>
          <w:szCs w:val="20"/>
        </w:rPr>
        <w:t>,</w:t>
      </w:r>
      <w:r w:rsidRPr="00046FA3">
        <w:rPr>
          <w:rFonts w:eastAsia="Times New Roman" w:cs="Segoe UI"/>
          <w:szCs w:val="20"/>
        </w:rPr>
        <w:t xml:space="preserve"> schválená 9. mája 2024</w:t>
      </w:r>
      <w:r w:rsidR="008C4A7D">
        <w:rPr>
          <w:rFonts w:eastAsia="Times New Roman" w:cs="Segoe UI"/>
          <w:szCs w:val="20"/>
        </w:rPr>
        <w:t>,</w:t>
      </w:r>
      <w:r w:rsidRPr="00046FA3">
        <w:rPr>
          <w:rFonts w:eastAsia="Times New Roman" w:cs="Segoe UI"/>
          <w:szCs w:val="20"/>
        </w:rPr>
        <w:t xml:space="preserve"> zaviedla</w:t>
      </w:r>
      <w:r w:rsidR="008C4A7D">
        <w:rPr>
          <w:rFonts w:eastAsia="Times New Roman" w:cs="Segoe UI"/>
          <w:szCs w:val="20"/>
        </w:rPr>
        <w:t>,</w:t>
      </w:r>
      <w:r w:rsidRPr="00046FA3">
        <w:rPr>
          <w:rFonts w:eastAsia="Times New Roman" w:cs="Segoe UI"/>
          <w:szCs w:val="20"/>
        </w:rPr>
        <w:t xml:space="preserve"> okrem iného</w:t>
      </w:r>
      <w:r w:rsidR="008C4A7D">
        <w:rPr>
          <w:rFonts w:eastAsia="Times New Roman" w:cs="Segoe UI"/>
          <w:szCs w:val="20"/>
        </w:rPr>
        <w:t>,</w:t>
      </w:r>
      <w:r w:rsidRPr="00046FA3">
        <w:rPr>
          <w:rFonts w:eastAsia="Times New Roman" w:cs="Segoe UI"/>
          <w:szCs w:val="20"/>
        </w:rPr>
        <w:t xml:space="preserve"> aj zmenený výpočet LVV</w:t>
      </w:r>
      <w:r w:rsidR="00F4001C">
        <w:rPr>
          <w:rStyle w:val="Odkaznapoznmkupodiarou"/>
          <w:rFonts w:eastAsia="Times New Roman" w:cs="Segoe UI"/>
          <w:szCs w:val="20"/>
        </w:rPr>
        <w:footnoteReference w:id="4"/>
      </w:r>
      <w:r w:rsidR="00F4001C" w:rsidRPr="00046FA3">
        <w:rPr>
          <w:rFonts w:eastAsia="Times New Roman" w:cs="Segoe UI"/>
          <w:szCs w:val="20"/>
        </w:rPr>
        <w:t xml:space="preserve"> </w:t>
      </w:r>
      <w:r w:rsidRPr="00046FA3">
        <w:rPr>
          <w:rFonts w:eastAsia="Times New Roman" w:cs="Segoe UI"/>
          <w:szCs w:val="20"/>
        </w:rPr>
        <w:t>a stanovila LVV na rok 2024 vo výške 57 717 010 807 eur. MF SR následne oznámilo rozpočtovým kapitolám a ostatným zložkám VS</w:t>
      </w:r>
      <w:r w:rsidR="008C4A7D">
        <w:rPr>
          <w:rFonts w:eastAsia="Times New Roman" w:cs="Segoe UI"/>
          <w:szCs w:val="20"/>
        </w:rPr>
        <w:t>,</w:t>
      </w:r>
      <w:r w:rsidRPr="00046FA3">
        <w:rPr>
          <w:rFonts w:eastAsia="Times New Roman" w:cs="Segoe UI"/>
          <w:szCs w:val="20"/>
        </w:rPr>
        <w:t xml:space="preserve"> spadajúcim pod LVV</w:t>
      </w:r>
      <w:r w:rsidR="008C4A7D">
        <w:rPr>
          <w:rFonts w:eastAsia="Times New Roman" w:cs="Segoe UI"/>
          <w:szCs w:val="20"/>
        </w:rPr>
        <w:t>,</w:t>
      </w:r>
      <w:r w:rsidRPr="00046FA3">
        <w:rPr>
          <w:rFonts w:eastAsia="Times New Roman" w:cs="Segoe UI"/>
          <w:szCs w:val="20"/>
        </w:rPr>
        <w:t xml:space="preserve"> ich limity na rok 2024. </w:t>
      </w:r>
    </w:p>
    <w:p w14:paraId="00120F68" w14:textId="259D842A" w:rsidR="007707AF" w:rsidRPr="00046FA3" w:rsidRDefault="007707AF" w:rsidP="007707AF">
      <w:pPr>
        <w:rPr>
          <w:rFonts w:eastAsia="Times New Roman" w:cs="Segoe UI"/>
          <w:szCs w:val="20"/>
        </w:rPr>
      </w:pPr>
      <w:r w:rsidRPr="00046FA3">
        <w:rPr>
          <w:rFonts w:eastAsia="Times New Roman" w:cs="Segoe UI"/>
          <w:szCs w:val="20"/>
        </w:rPr>
        <w:lastRenderedPageBreak/>
        <w:t>MF SR v auguste zverejnilo správu o </w:t>
      </w:r>
      <w:r w:rsidR="00F4001C">
        <w:rPr>
          <w:rFonts w:eastAsia="Times New Roman" w:cs="Segoe UI"/>
          <w:szCs w:val="20"/>
        </w:rPr>
        <w:t>OS</w:t>
      </w:r>
      <w:r w:rsidRPr="00046FA3">
        <w:rPr>
          <w:rFonts w:eastAsia="Times New Roman" w:cs="Segoe UI"/>
          <w:szCs w:val="20"/>
        </w:rPr>
        <w:t xml:space="preserve"> za rok 2024, v ktorej bolo uvedené tiež očakávané dodržanie LVV (tabuľka </w:t>
      </w:r>
      <w:r w:rsidR="00FA5818">
        <w:rPr>
          <w:rFonts w:eastAsia="Times New Roman" w:cs="Segoe UI"/>
          <w:szCs w:val="20"/>
        </w:rPr>
        <w:t>4</w:t>
      </w:r>
      <w:r w:rsidRPr="00046FA3">
        <w:rPr>
          <w:rFonts w:eastAsia="Times New Roman" w:cs="Segoe UI"/>
          <w:szCs w:val="20"/>
        </w:rPr>
        <w:t xml:space="preserve">). Údaje v správe aj v ŠZÚ sú predbežné a informácia o plnení LVV za 2024 bude zverejnená v Súhrnnej výročnej správe SR, ktorú zostavuje MF SR do konca októbra 2025. </w:t>
      </w:r>
    </w:p>
    <w:p w14:paraId="719F0E30" w14:textId="08AA3844" w:rsidR="00BA44CD" w:rsidRPr="00046FA3" w:rsidRDefault="00BA44CD" w:rsidP="00BA44CD">
      <w:pPr>
        <w:spacing w:after="0"/>
        <w:rPr>
          <w:rFonts w:eastAsia="Calibri" w:cs="Times New Roman"/>
          <w:b/>
          <w:iCs/>
          <w:color w:val="314364"/>
          <w:szCs w:val="18"/>
        </w:rPr>
      </w:pPr>
      <w:r w:rsidRPr="00046FA3">
        <w:rPr>
          <w:rFonts w:eastAsia="Calibri" w:cs="Times New Roman"/>
          <w:b/>
          <w:iCs/>
          <w:color w:val="314364"/>
          <w:szCs w:val="18"/>
        </w:rPr>
        <w:t xml:space="preserve">Tabuľka </w:t>
      </w:r>
      <w:r>
        <w:rPr>
          <w:rFonts w:eastAsia="Calibri" w:cs="Times New Roman"/>
          <w:b/>
          <w:iCs/>
          <w:color w:val="314364"/>
          <w:szCs w:val="18"/>
        </w:rPr>
        <w:t>4</w:t>
      </w:r>
      <w:r w:rsidRPr="00046FA3">
        <w:rPr>
          <w:rFonts w:eastAsia="Calibri" w:cs="Times New Roman"/>
          <w:b/>
          <w:iCs/>
          <w:color w:val="314364"/>
          <w:szCs w:val="18"/>
        </w:rPr>
        <w:t xml:space="preserve">: </w:t>
      </w:r>
      <w:r>
        <w:rPr>
          <w:rFonts w:eastAsia="Calibri" w:cs="Times New Roman"/>
          <w:b/>
          <w:iCs/>
          <w:color w:val="314364"/>
          <w:szCs w:val="18"/>
        </w:rPr>
        <w:t>Dodržanie</w:t>
      </w:r>
      <w:r w:rsidRPr="00046FA3">
        <w:rPr>
          <w:rFonts w:eastAsia="Calibri" w:cs="Times New Roman"/>
          <w:b/>
          <w:iCs/>
          <w:color w:val="314364"/>
          <w:szCs w:val="18"/>
        </w:rPr>
        <w:t xml:space="preserve"> </w:t>
      </w:r>
      <w:r>
        <w:rPr>
          <w:rFonts w:eastAsia="Calibri" w:cs="Times New Roman"/>
          <w:b/>
          <w:iCs/>
          <w:color w:val="314364"/>
          <w:szCs w:val="18"/>
        </w:rPr>
        <w:t xml:space="preserve">očakávaní plnenia </w:t>
      </w:r>
      <w:r w:rsidRPr="00046FA3">
        <w:rPr>
          <w:rFonts w:eastAsia="Calibri" w:cs="Times New Roman"/>
          <w:b/>
          <w:iCs/>
          <w:color w:val="314364"/>
          <w:szCs w:val="18"/>
        </w:rPr>
        <w:t>LVV (v mil. eur</w:t>
      </w:r>
      <w:r w:rsidR="00832BC2">
        <w:rPr>
          <w:rFonts w:eastAsia="Calibri" w:cs="Times New Roman"/>
          <w:b/>
          <w:iCs/>
          <w:color w:val="314364"/>
          <w:szCs w:val="18"/>
        </w:rPr>
        <w:t>;</w:t>
      </w:r>
      <w:r w:rsidRPr="00046FA3">
        <w:rPr>
          <w:rFonts w:eastAsia="Calibri" w:cs="Times New Roman"/>
          <w:b/>
          <w:iCs/>
          <w:color w:val="314364"/>
          <w:szCs w:val="18"/>
        </w:rPr>
        <w:t xml:space="preserve"> na akruálnej a konsolidovanej báze)</w:t>
      </w:r>
    </w:p>
    <w:tbl>
      <w:tblPr>
        <w:tblW w:w="5000" w:type="pct"/>
        <w:tblBorders>
          <w:bottom w:val="single" w:sz="4" w:space="0" w:color="314364" w:themeColor="text2"/>
        </w:tblBorders>
        <w:tblLayout w:type="fixed"/>
        <w:tblCellMar>
          <w:left w:w="70" w:type="dxa"/>
          <w:right w:w="70" w:type="dxa"/>
        </w:tblCellMar>
        <w:tblLook w:val="04A0" w:firstRow="1" w:lastRow="0" w:firstColumn="1" w:lastColumn="0" w:noHBand="0" w:noVBand="1"/>
      </w:tblPr>
      <w:tblGrid>
        <w:gridCol w:w="4939"/>
        <w:gridCol w:w="1377"/>
        <w:gridCol w:w="1377"/>
        <w:gridCol w:w="1377"/>
      </w:tblGrid>
      <w:tr w:rsidR="00BA44CD" w:rsidRPr="0023153B" w14:paraId="26A4C9EE" w14:textId="77777777" w:rsidTr="002E1FF0">
        <w:trPr>
          <w:trHeight w:val="282"/>
        </w:trPr>
        <w:tc>
          <w:tcPr>
            <w:tcW w:w="2723" w:type="pct"/>
            <w:shd w:val="clear" w:color="auto" w:fill="314364"/>
            <w:vAlign w:val="center"/>
            <w:hideMark/>
          </w:tcPr>
          <w:p w14:paraId="7DF03355" w14:textId="77777777" w:rsidR="00BA44CD" w:rsidRPr="007D3345" w:rsidRDefault="00BA44CD" w:rsidP="002E1FF0">
            <w:pPr>
              <w:spacing w:after="0"/>
              <w:jc w:val="left"/>
              <w:rPr>
                <w:rFonts w:eastAsia="Times New Roman" w:cs="Segoe UI"/>
                <w:b/>
                <w:bCs/>
                <w:color w:val="FFFFFF"/>
                <w:sz w:val="18"/>
                <w:szCs w:val="16"/>
                <w:lang w:eastAsia="sk-SK"/>
              </w:rPr>
            </w:pPr>
            <w:r w:rsidRPr="007D3345">
              <w:rPr>
                <w:rFonts w:eastAsia="Times New Roman" w:cs="Segoe UI"/>
                <w:b/>
                <w:bCs/>
                <w:color w:val="FFFFFF"/>
                <w:sz w:val="18"/>
                <w:szCs w:val="16"/>
                <w:lang w:eastAsia="sk-SK"/>
              </w:rPr>
              <w:t>Položka</w:t>
            </w:r>
          </w:p>
        </w:tc>
        <w:tc>
          <w:tcPr>
            <w:tcW w:w="759" w:type="pct"/>
            <w:shd w:val="clear" w:color="auto" w:fill="314364"/>
            <w:vAlign w:val="center"/>
          </w:tcPr>
          <w:p w14:paraId="02EE4A61" w14:textId="77777777" w:rsidR="00BA44CD" w:rsidRPr="007D3345" w:rsidRDefault="00BA44CD" w:rsidP="002E1FF0">
            <w:pPr>
              <w:spacing w:after="0"/>
              <w:jc w:val="right"/>
              <w:rPr>
                <w:rFonts w:eastAsia="Times New Roman" w:cs="Segoe UI"/>
                <w:b/>
                <w:bCs/>
                <w:color w:val="FFFFFF"/>
                <w:sz w:val="18"/>
                <w:szCs w:val="16"/>
                <w:lang w:eastAsia="sk-SK"/>
              </w:rPr>
            </w:pPr>
            <w:r w:rsidRPr="007D3345">
              <w:rPr>
                <w:rFonts w:eastAsia="Times New Roman" w:cs="Segoe UI"/>
                <w:b/>
                <w:bCs/>
                <w:color w:val="FFFFFF"/>
                <w:sz w:val="18"/>
                <w:szCs w:val="16"/>
                <w:lang w:eastAsia="sk-SK"/>
              </w:rPr>
              <w:t>2024 SOS*</w:t>
            </w:r>
          </w:p>
        </w:tc>
        <w:tc>
          <w:tcPr>
            <w:tcW w:w="759" w:type="pct"/>
            <w:shd w:val="clear" w:color="auto" w:fill="314364"/>
            <w:vAlign w:val="center"/>
            <w:hideMark/>
          </w:tcPr>
          <w:p w14:paraId="0AA82084" w14:textId="77777777" w:rsidR="00BA44CD" w:rsidRPr="007D3345" w:rsidRDefault="00BA44CD" w:rsidP="002E1FF0">
            <w:pPr>
              <w:spacing w:after="0"/>
              <w:jc w:val="right"/>
              <w:rPr>
                <w:rFonts w:eastAsia="Times New Roman" w:cs="Segoe UI"/>
                <w:b/>
                <w:bCs/>
                <w:color w:val="FFFFFF"/>
                <w:sz w:val="18"/>
                <w:szCs w:val="16"/>
                <w:lang w:eastAsia="sk-SK"/>
              </w:rPr>
            </w:pPr>
            <w:r w:rsidRPr="007D3345">
              <w:rPr>
                <w:rFonts w:eastAsia="Times New Roman" w:cs="Segoe UI"/>
                <w:b/>
                <w:bCs/>
                <w:color w:val="FFFFFF"/>
                <w:sz w:val="18"/>
                <w:szCs w:val="16"/>
                <w:lang w:eastAsia="sk-SK"/>
              </w:rPr>
              <w:t>2024 ŠZÚ **</w:t>
            </w:r>
          </w:p>
        </w:tc>
        <w:tc>
          <w:tcPr>
            <w:tcW w:w="759" w:type="pct"/>
            <w:shd w:val="clear" w:color="auto" w:fill="314364"/>
            <w:vAlign w:val="center"/>
            <w:hideMark/>
          </w:tcPr>
          <w:p w14:paraId="6EF4210C" w14:textId="77777777" w:rsidR="00BA44CD" w:rsidRPr="007D3345" w:rsidRDefault="00BA44CD" w:rsidP="002E1FF0">
            <w:pPr>
              <w:spacing w:after="0"/>
              <w:jc w:val="right"/>
              <w:rPr>
                <w:rFonts w:eastAsia="Times New Roman" w:cs="Segoe UI"/>
                <w:b/>
                <w:bCs/>
                <w:color w:val="FFFFFF"/>
                <w:sz w:val="18"/>
                <w:szCs w:val="16"/>
                <w:lang w:eastAsia="sk-SK"/>
              </w:rPr>
            </w:pPr>
            <w:r w:rsidRPr="007D3345">
              <w:rPr>
                <w:rFonts w:eastAsia="Times New Roman" w:cs="Segoe UI"/>
                <w:b/>
                <w:bCs/>
                <w:color w:val="FFFFFF"/>
                <w:sz w:val="18"/>
                <w:szCs w:val="16"/>
                <w:lang w:eastAsia="sk-SK"/>
              </w:rPr>
              <w:t>Rozdiel</w:t>
            </w:r>
          </w:p>
        </w:tc>
      </w:tr>
      <w:tr w:rsidR="00BA44CD" w:rsidRPr="0023153B" w14:paraId="63883375" w14:textId="77777777" w:rsidTr="002E1FF0">
        <w:trPr>
          <w:trHeight w:val="282"/>
        </w:trPr>
        <w:tc>
          <w:tcPr>
            <w:tcW w:w="2723" w:type="pct"/>
            <w:shd w:val="clear" w:color="000000" w:fill="FFFFFF"/>
            <w:noWrap/>
            <w:vAlign w:val="center"/>
            <w:hideMark/>
          </w:tcPr>
          <w:p w14:paraId="1AE36E7A" w14:textId="77777777" w:rsidR="00BA44CD" w:rsidRPr="007D3345" w:rsidRDefault="00BA44CD" w:rsidP="002E1FF0">
            <w:pPr>
              <w:spacing w:after="0"/>
              <w:jc w:val="left"/>
              <w:rPr>
                <w:rFonts w:eastAsia="Times New Roman" w:cs="Segoe UI"/>
                <w:b/>
                <w:color w:val="000000"/>
                <w:sz w:val="18"/>
                <w:szCs w:val="16"/>
                <w:lang w:eastAsia="sk-SK"/>
              </w:rPr>
            </w:pPr>
            <w:r w:rsidRPr="007D3345">
              <w:rPr>
                <w:rFonts w:eastAsia="Times New Roman" w:cs="Segoe UI"/>
                <w:b/>
                <w:sz w:val="18"/>
                <w:lang w:eastAsia="sk-SK"/>
              </w:rPr>
              <w:t>Výdavky rozpočtu verejnej správy</w:t>
            </w:r>
          </w:p>
        </w:tc>
        <w:tc>
          <w:tcPr>
            <w:tcW w:w="759" w:type="pct"/>
            <w:shd w:val="clear" w:color="000000" w:fill="FFFFFF"/>
            <w:noWrap/>
            <w:vAlign w:val="center"/>
          </w:tcPr>
          <w:p w14:paraId="22120EF2" w14:textId="77777777" w:rsidR="00BA44CD" w:rsidRPr="007D3345" w:rsidRDefault="00BA44CD" w:rsidP="002E1FF0">
            <w:pPr>
              <w:spacing w:after="0"/>
              <w:jc w:val="right"/>
              <w:rPr>
                <w:rFonts w:eastAsia="Calibri" w:cs="Segoe UI"/>
                <w:b/>
                <w:sz w:val="18"/>
                <w:szCs w:val="16"/>
              </w:rPr>
            </w:pPr>
            <w:r w:rsidRPr="007D3345">
              <w:rPr>
                <w:rFonts w:eastAsia="Times New Roman" w:cs="Segoe UI"/>
                <w:b/>
                <w:sz w:val="18"/>
                <w:lang w:eastAsia="sk-SK"/>
              </w:rPr>
              <w:t>62 397</w:t>
            </w:r>
          </w:p>
        </w:tc>
        <w:tc>
          <w:tcPr>
            <w:tcW w:w="759" w:type="pct"/>
            <w:shd w:val="clear" w:color="000000" w:fill="FFFFFF"/>
            <w:noWrap/>
            <w:vAlign w:val="center"/>
          </w:tcPr>
          <w:p w14:paraId="29D41E7A" w14:textId="77777777" w:rsidR="00BA44CD" w:rsidRPr="007D3345" w:rsidRDefault="00BA44CD" w:rsidP="002E1FF0">
            <w:pPr>
              <w:spacing w:after="0"/>
              <w:jc w:val="right"/>
              <w:rPr>
                <w:rFonts w:eastAsia="Calibri" w:cs="Segoe UI"/>
                <w:b/>
                <w:sz w:val="18"/>
                <w:szCs w:val="16"/>
              </w:rPr>
            </w:pPr>
            <w:r w:rsidRPr="007D3345">
              <w:rPr>
                <w:rFonts w:eastAsia="Times New Roman" w:cs="Segoe UI"/>
                <w:b/>
                <w:sz w:val="18"/>
                <w:lang w:eastAsia="sk-SK"/>
              </w:rPr>
              <w:t>61 714</w:t>
            </w:r>
          </w:p>
        </w:tc>
        <w:tc>
          <w:tcPr>
            <w:tcW w:w="759" w:type="pct"/>
            <w:shd w:val="clear" w:color="auto" w:fill="F2F2F2"/>
            <w:vAlign w:val="center"/>
            <w:hideMark/>
          </w:tcPr>
          <w:p w14:paraId="49A1E983" w14:textId="77777777" w:rsidR="00BA44CD" w:rsidRPr="007D3345" w:rsidRDefault="00BA44CD" w:rsidP="002E1FF0">
            <w:pPr>
              <w:spacing w:after="0"/>
              <w:jc w:val="right"/>
              <w:rPr>
                <w:rFonts w:eastAsia="Calibri" w:cs="Segoe UI"/>
                <w:b/>
                <w:sz w:val="18"/>
                <w:szCs w:val="16"/>
              </w:rPr>
            </w:pPr>
            <w:r w:rsidRPr="007D3345">
              <w:rPr>
                <w:rFonts w:eastAsia="Times New Roman" w:cs="Segoe UI"/>
                <w:b/>
                <w:sz w:val="18"/>
                <w:lang w:eastAsia="sk-SK"/>
              </w:rPr>
              <w:t>683</w:t>
            </w:r>
          </w:p>
        </w:tc>
      </w:tr>
      <w:tr w:rsidR="00BA44CD" w:rsidRPr="0023153B" w14:paraId="36B38EF8" w14:textId="77777777" w:rsidTr="002E1FF0">
        <w:trPr>
          <w:trHeight w:val="282"/>
        </w:trPr>
        <w:tc>
          <w:tcPr>
            <w:tcW w:w="2723" w:type="pct"/>
            <w:shd w:val="clear" w:color="000000" w:fill="FFFFFF"/>
            <w:noWrap/>
            <w:vAlign w:val="center"/>
          </w:tcPr>
          <w:p w14:paraId="7B2B0CC8" w14:textId="77777777" w:rsidR="00BA44CD" w:rsidRPr="007D3345" w:rsidRDefault="00BA44CD" w:rsidP="002E1FF0">
            <w:pPr>
              <w:spacing w:after="0"/>
              <w:jc w:val="left"/>
              <w:rPr>
                <w:rFonts w:eastAsia="Times New Roman" w:cs="Segoe UI"/>
                <w:color w:val="000000"/>
                <w:sz w:val="18"/>
                <w:szCs w:val="16"/>
                <w:lang w:eastAsia="sk-SK"/>
              </w:rPr>
            </w:pPr>
            <w:r w:rsidRPr="007D3345">
              <w:rPr>
                <w:rFonts w:eastAsia="Times New Roman" w:cs="Segoe UI"/>
                <w:sz w:val="18"/>
                <w:lang w:eastAsia="sk-SK"/>
              </w:rPr>
              <w:t>Úrokové náklady</w:t>
            </w:r>
          </w:p>
        </w:tc>
        <w:tc>
          <w:tcPr>
            <w:tcW w:w="759" w:type="pct"/>
            <w:shd w:val="clear" w:color="000000" w:fill="FFFFFF"/>
            <w:noWrap/>
            <w:vAlign w:val="center"/>
          </w:tcPr>
          <w:p w14:paraId="3D964978"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-1 880</w:t>
            </w:r>
          </w:p>
        </w:tc>
        <w:tc>
          <w:tcPr>
            <w:tcW w:w="759" w:type="pct"/>
            <w:shd w:val="clear" w:color="000000" w:fill="FFFFFF"/>
            <w:noWrap/>
            <w:vAlign w:val="center"/>
          </w:tcPr>
          <w:p w14:paraId="498D6153"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-1 849</w:t>
            </w:r>
          </w:p>
        </w:tc>
        <w:tc>
          <w:tcPr>
            <w:tcW w:w="759" w:type="pct"/>
            <w:shd w:val="clear" w:color="auto" w:fill="F2F2F2"/>
            <w:vAlign w:val="center"/>
          </w:tcPr>
          <w:p w14:paraId="4FDB9A19"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-31</w:t>
            </w:r>
          </w:p>
        </w:tc>
      </w:tr>
      <w:tr w:rsidR="00BA44CD" w:rsidRPr="0023153B" w14:paraId="7992FE82" w14:textId="77777777" w:rsidTr="002E1FF0">
        <w:trPr>
          <w:trHeight w:val="282"/>
        </w:trPr>
        <w:tc>
          <w:tcPr>
            <w:tcW w:w="2723" w:type="pct"/>
            <w:shd w:val="clear" w:color="000000" w:fill="FFFFFF"/>
            <w:noWrap/>
            <w:vAlign w:val="center"/>
          </w:tcPr>
          <w:p w14:paraId="21808A6D" w14:textId="77777777" w:rsidR="00BA44CD" w:rsidRPr="007D3345" w:rsidRDefault="00BA44CD" w:rsidP="002E1FF0">
            <w:pPr>
              <w:spacing w:after="0"/>
              <w:jc w:val="left"/>
              <w:rPr>
                <w:rFonts w:eastAsia="Times New Roman" w:cs="Segoe UI"/>
                <w:color w:val="000000"/>
                <w:sz w:val="18"/>
                <w:szCs w:val="16"/>
                <w:lang w:eastAsia="sk-SK"/>
              </w:rPr>
            </w:pPr>
            <w:r w:rsidRPr="007D3345">
              <w:rPr>
                <w:rFonts w:eastAsia="Times New Roman" w:cs="Segoe UI"/>
                <w:sz w:val="18"/>
                <w:lang w:eastAsia="sk-SK"/>
              </w:rPr>
              <w:t>Prostriedky z rozpočtu Európskej únie</w:t>
            </w:r>
          </w:p>
        </w:tc>
        <w:tc>
          <w:tcPr>
            <w:tcW w:w="759" w:type="pct"/>
            <w:shd w:val="clear" w:color="000000" w:fill="FFFFFF"/>
            <w:noWrap/>
            <w:vAlign w:val="center"/>
          </w:tcPr>
          <w:p w14:paraId="5B4B3244"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-1 074</w:t>
            </w:r>
          </w:p>
        </w:tc>
        <w:tc>
          <w:tcPr>
            <w:tcW w:w="759" w:type="pct"/>
            <w:shd w:val="clear" w:color="000000" w:fill="FFFFFF"/>
            <w:noWrap/>
            <w:vAlign w:val="center"/>
          </w:tcPr>
          <w:p w14:paraId="6ED43D28"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-1 395</w:t>
            </w:r>
          </w:p>
        </w:tc>
        <w:tc>
          <w:tcPr>
            <w:tcW w:w="759" w:type="pct"/>
            <w:shd w:val="clear" w:color="auto" w:fill="F2F2F2"/>
            <w:vAlign w:val="center"/>
          </w:tcPr>
          <w:p w14:paraId="5F3B1B4B"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321</w:t>
            </w:r>
          </w:p>
        </w:tc>
      </w:tr>
      <w:tr w:rsidR="00BA44CD" w:rsidRPr="0023153B" w14:paraId="768052DE" w14:textId="77777777" w:rsidTr="002E1FF0">
        <w:trPr>
          <w:trHeight w:val="282"/>
        </w:trPr>
        <w:tc>
          <w:tcPr>
            <w:tcW w:w="2723" w:type="pct"/>
            <w:shd w:val="clear" w:color="000000" w:fill="FFFFFF"/>
            <w:noWrap/>
            <w:vAlign w:val="center"/>
            <w:hideMark/>
          </w:tcPr>
          <w:p w14:paraId="173AC182" w14:textId="77777777" w:rsidR="00BA44CD" w:rsidRPr="007D3345" w:rsidRDefault="00BA44CD" w:rsidP="002E1FF0">
            <w:pPr>
              <w:spacing w:after="0"/>
              <w:jc w:val="left"/>
              <w:rPr>
                <w:rFonts w:eastAsia="Times New Roman" w:cs="Segoe UI"/>
                <w:color w:val="000000"/>
                <w:sz w:val="18"/>
                <w:szCs w:val="16"/>
                <w:lang w:eastAsia="sk-SK"/>
              </w:rPr>
            </w:pPr>
            <w:r w:rsidRPr="007D3345">
              <w:rPr>
                <w:rFonts w:eastAsia="Times New Roman" w:cs="Segoe UI"/>
                <w:sz w:val="18"/>
                <w:lang w:eastAsia="sk-SK"/>
              </w:rPr>
              <w:t>Prostriedky mechanizmu na podporu obnovy a odolnosti</w:t>
            </w:r>
          </w:p>
        </w:tc>
        <w:tc>
          <w:tcPr>
            <w:tcW w:w="759" w:type="pct"/>
            <w:shd w:val="clear" w:color="000000" w:fill="FFFFFF"/>
            <w:noWrap/>
            <w:vAlign w:val="center"/>
          </w:tcPr>
          <w:p w14:paraId="441E4A81"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-1 494</w:t>
            </w:r>
          </w:p>
        </w:tc>
        <w:tc>
          <w:tcPr>
            <w:tcW w:w="759" w:type="pct"/>
            <w:shd w:val="clear" w:color="000000" w:fill="FFFFFF"/>
            <w:noWrap/>
            <w:vAlign w:val="center"/>
          </w:tcPr>
          <w:p w14:paraId="591D0C21"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-860</w:t>
            </w:r>
          </w:p>
        </w:tc>
        <w:tc>
          <w:tcPr>
            <w:tcW w:w="759" w:type="pct"/>
            <w:shd w:val="clear" w:color="auto" w:fill="F2F2F2"/>
            <w:vAlign w:val="center"/>
            <w:hideMark/>
          </w:tcPr>
          <w:p w14:paraId="4A6742F3"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-634</w:t>
            </w:r>
          </w:p>
        </w:tc>
      </w:tr>
      <w:tr w:rsidR="00BA44CD" w:rsidRPr="0023153B" w14:paraId="700A3410" w14:textId="77777777" w:rsidTr="002E1FF0">
        <w:trPr>
          <w:trHeight w:val="282"/>
        </w:trPr>
        <w:tc>
          <w:tcPr>
            <w:tcW w:w="2723" w:type="pct"/>
            <w:shd w:val="clear" w:color="000000" w:fill="FFFFFF"/>
            <w:noWrap/>
            <w:vAlign w:val="center"/>
          </w:tcPr>
          <w:p w14:paraId="33F812C0" w14:textId="77777777" w:rsidR="00BA44CD" w:rsidRPr="007D3345" w:rsidRDefault="00BA44CD" w:rsidP="002E1FF0">
            <w:pPr>
              <w:spacing w:after="0"/>
              <w:jc w:val="left"/>
              <w:rPr>
                <w:rFonts w:eastAsia="Times New Roman" w:cs="Segoe UI"/>
                <w:color w:val="000000"/>
                <w:sz w:val="18"/>
                <w:szCs w:val="16"/>
                <w:lang w:eastAsia="sk-SK"/>
              </w:rPr>
            </w:pPr>
            <w:r w:rsidRPr="007D3345">
              <w:rPr>
                <w:rFonts w:eastAsia="Times New Roman" w:cs="Segoe UI"/>
                <w:sz w:val="18"/>
                <w:lang w:eastAsia="sk-SK"/>
              </w:rPr>
              <w:t xml:space="preserve">Cyklické výdavky na dávky v nezamestnanosti </w:t>
            </w:r>
          </w:p>
        </w:tc>
        <w:tc>
          <w:tcPr>
            <w:tcW w:w="759" w:type="pct"/>
            <w:shd w:val="clear" w:color="000000" w:fill="FFFFFF"/>
            <w:noWrap/>
            <w:vAlign w:val="center"/>
          </w:tcPr>
          <w:p w14:paraId="4EF40C37"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-6</w:t>
            </w:r>
          </w:p>
        </w:tc>
        <w:tc>
          <w:tcPr>
            <w:tcW w:w="759" w:type="pct"/>
            <w:shd w:val="clear" w:color="000000" w:fill="FFFFFF"/>
            <w:noWrap/>
            <w:vAlign w:val="center"/>
          </w:tcPr>
          <w:p w14:paraId="03858A3A"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-5</w:t>
            </w:r>
          </w:p>
        </w:tc>
        <w:tc>
          <w:tcPr>
            <w:tcW w:w="759" w:type="pct"/>
            <w:shd w:val="clear" w:color="auto" w:fill="F2F2F2"/>
            <w:vAlign w:val="center"/>
          </w:tcPr>
          <w:p w14:paraId="35148A4B"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-1</w:t>
            </w:r>
          </w:p>
        </w:tc>
      </w:tr>
      <w:tr w:rsidR="00BA44CD" w:rsidRPr="0023153B" w14:paraId="0C3BDAD9" w14:textId="77777777" w:rsidTr="002E1FF0">
        <w:trPr>
          <w:trHeight w:val="282"/>
        </w:trPr>
        <w:tc>
          <w:tcPr>
            <w:tcW w:w="2723" w:type="pct"/>
            <w:shd w:val="clear" w:color="000000" w:fill="FFFFFF"/>
            <w:noWrap/>
            <w:vAlign w:val="center"/>
            <w:hideMark/>
          </w:tcPr>
          <w:p w14:paraId="527C3B54" w14:textId="77777777" w:rsidR="00BA44CD" w:rsidRPr="007D3345" w:rsidRDefault="00BA44CD" w:rsidP="002E1FF0">
            <w:pPr>
              <w:spacing w:after="0"/>
              <w:jc w:val="left"/>
              <w:rPr>
                <w:rFonts w:eastAsia="Times New Roman" w:cs="Segoe UI"/>
                <w:color w:val="000000"/>
                <w:sz w:val="18"/>
                <w:szCs w:val="16"/>
                <w:lang w:eastAsia="sk-SK"/>
              </w:rPr>
            </w:pPr>
            <w:r w:rsidRPr="007D3345">
              <w:rPr>
                <w:rFonts w:eastAsia="Times New Roman" w:cs="Segoe UI"/>
                <w:sz w:val="18"/>
                <w:lang w:eastAsia="sk-SK"/>
              </w:rPr>
              <w:t>Jednorazové výdavky</w:t>
            </w:r>
          </w:p>
        </w:tc>
        <w:tc>
          <w:tcPr>
            <w:tcW w:w="759" w:type="pct"/>
            <w:shd w:val="clear" w:color="000000" w:fill="FFFFFF"/>
            <w:noWrap/>
            <w:vAlign w:val="center"/>
          </w:tcPr>
          <w:p w14:paraId="02FCE68D"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0</w:t>
            </w:r>
          </w:p>
        </w:tc>
        <w:tc>
          <w:tcPr>
            <w:tcW w:w="759" w:type="pct"/>
            <w:shd w:val="clear" w:color="auto" w:fill="auto"/>
            <w:noWrap/>
            <w:vAlign w:val="center"/>
          </w:tcPr>
          <w:p w14:paraId="3B256B51"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0</w:t>
            </w:r>
          </w:p>
        </w:tc>
        <w:tc>
          <w:tcPr>
            <w:tcW w:w="759" w:type="pct"/>
            <w:shd w:val="clear" w:color="auto" w:fill="F2F2F2"/>
            <w:vAlign w:val="center"/>
            <w:hideMark/>
          </w:tcPr>
          <w:p w14:paraId="2592CFD5"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0</w:t>
            </w:r>
          </w:p>
        </w:tc>
      </w:tr>
      <w:tr w:rsidR="00BA44CD" w:rsidRPr="0023153B" w14:paraId="3AE9D76A" w14:textId="77777777" w:rsidTr="002E1FF0">
        <w:trPr>
          <w:trHeight w:val="282"/>
        </w:trPr>
        <w:tc>
          <w:tcPr>
            <w:tcW w:w="2723" w:type="pct"/>
            <w:shd w:val="clear" w:color="000000" w:fill="FFFFFF"/>
            <w:noWrap/>
            <w:vAlign w:val="center"/>
            <w:hideMark/>
          </w:tcPr>
          <w:p w14:paraId="6F4780B5" w14:textId="77777777" w:rsidR="00BA44CD" w:rsidRPr="007D3345" w:rsidRDefault="00BA44CD" w:rsidP="002E1FF0">
            <w:pPr>
              <w:spacing w:after="0"/>
              <w:jc w:val="left"/>
              <w:rPr>
                <w:rFonts w:eastAsia="Times New Roman" w:cs="Segoe UI"/>
                <w:b/>
                <w:color w:val="000000"/>
                <w:sz w:val="18"/>
                <w:szCs w:val="16"/>
                <w:lang w:eastAsia="sk-SK"/>
              </w:rPr>
            </w:pPr>
            <w:r w:rsidRPr="007D3345">
              <w:rPr>
                <w:rFonts w:eastAsia="Times New Roman" w:cs="Segoe UI"/>
                <w:b/>
                <w:sz w:val="18"/>
                <w:lang w:eastAsia="sk-SK"/>
              </w:rPr>
              <w:t>Výdavky verejnej správy spadajúce pod LVV</w:t>
            </w:r>
          </w:p>
        </w:tc>
        <w:tc>
          <w:tcPr>
            <w:tcW w:w="759" w:type="pct"/>
            <w:shd w:val="clear" w:color="000000" w:fill="FFFFFF"/>
            <w:noWrap/>
            <w:vAlign w:val="center"/>
          </w:tcPr>
          <w:p w14:paraId="2521A3B4" w14:textId="77777777" w:rsidR="00BA44CD" w:rsidRPr="007D3345" w:rsidRDefault="00BA44CD" w:rsidP="002E1FF0">
            <w:pPr>
              <w:spacing w:after="0"/>
              <w:jc w:val="right"/>
              <w:rPr>
                <w:rFonts w:eastAsia="Calibri" w:cs="Segoe UI"/>
                <w:b/>
                <w:sz w:val="18"/>
                <w:szCs w:val="16"/>
              </w:rPr>
            </w:pPr>
            <w:r w:rsidRPr="007D3345">
              <w:rPr>
                <w:rFonts w:eastAsia="Times New Roman" w:cs="Segoe UI"/>
                <w:b/>
                <w:sz w:val="18"/>
                <w:lang w:eastAsia="sk-SK"/>
              </w:rPr>
              <w:t>57 943</w:t>
            </w:r>
          </w:p>
        </w:tc>
        <w:tc>
          <w:tcPr>
            <w:tcW w:w="759" w:type="pct"/>
            <w:shd w:val="clear" w:color="000000" w:fill="FFFFFF"/>
            <w:noWrap/>
            <w:vAlign w:val="center"/>
          </w:tcPr>
          <w:p w14:paraId="1692054A" w14:textId="77777777" w:rsidR="00BA44CD" w:rsidRPr="007D3345" w:rsidRDefault="00BA44CD" w:rsidP="002E1FF0">
            <w:pPr>
              <w:spacing w:after="0"/>
              <w:jc w:val="right"/>
              <w:rPr>
                <w:rFonts w:eastAsia="Calibri" w:cs="Segoe UI"/>
                <w:b/>
                <w:sz w:val="18"/>
                <w:szCs w:val="16"/>
              </w:rPr>
            </w:pPr>
            <w:r w:rsidRPr="007D3345">
              <w:rPr>
                <w:rFonts w:eastAsia="Times New Roman" w:cs="Segoe UI"/>
                <w:b/>
                <w:sz w:val="18"/>
                <w:lang w:eastAsia="sk-SK"/>
              </w:rPr>
              <w:t>57 605</w:t>
            </w:r>
          </w:p>
        </w:tc>
        <w:tc>
          <w:tcPr>
            <w:tcW w:w="759" w:type="pct"/>
            <w:shd w:val="clear" w:color="auto" w:fill="F2F2F2"/>
            <w:vAlign w:val="center"/>
            <w:hideMark/>
          </w:tcPr>
          <w:p w14:paraId="7AE193A3" w14:textId="77777777" w:rsidR="00BA44CD" w:rsidRPr="007D3345" w:rsidRDefault="00BA44CD" w:rsidP="002E1FF0">
            <w:pPr>
              <w:spacing w:after="0"/>
              <w:jc w:val="right"/>
              <w:rPr>
                <w:rFonts w:eastAsia="Calibri" w:cs="Segoe UI"/>
                <w:b/>
                <w:sz w:val="18"/>
                <w:szCs w:val="16"/>
              </w:rPr>
            </w:pPr>
            <w:r w:rsidRPr="007D3345">
              <w:rPr>
                <w:rFonts w:eastAsia="Times New Roman" w:cs="Segoe UI"/>
                <w:b/>
                <w:sz w:val="18"/>
                <w:lang w:eastAsia="sk-SK"/>
              </w:rPr>
              <w:t>338</w:t>
            </w:r>
          </w:p>
        </w:tc>
      </w:tr>
      <w:tr w:rsidR="00BA44CD" w:rsidRPr="0023153B" w14:paraId="02297BB2" w14:textId="77777777" w:rsidTr="002E1FF0">
        <w:trPr>
          <w:trHeight w:val="282"/>
        </w:trPr>
        <w:tc>
          <w:tcPr>
            <w:tcW w:w="2723" w:type="pct"/>
            <w:shd w:val="clear" w:color="000000" w:fill="FFFFFF"/>
            <w:noWrap/>
            <w:vAlign w:val="center"/>
            <w:hideMark/>
          </w:tcPr>
          <w:p w14:paraId="37F9D972" w14:textId="73420F7F" w:rsidR="00BA44CD" w:rsidRPr="007D3345" w:rsidRDefault="00BA44CD" w:rsidP="00BA44CD">
            <w:pPr>
              <w:spacing w:after="0"/>
              <w:jc w:val="left"/>
              <w:rPr>
                <w:rFonts w:eastAsia="Times New Roman" w:cs="Segoe UI"/>
                <w:color w:val="000000"/>
                <w:sz w:val="18"/>
                <w:szCs w:val="16"/>
                <w:lang w:eastAsia="sk-SK"/>
              </w:rPr>
            </w:pPr>
            <w:r w:rsidRPr="007D3345">
              <w:rPr>
                <w:rFonts w:eastAsia="Times New Roman" w:cs="Segoe UI"/>
                <w:sz w:val="18"/>
                <w:lang w:eastAsia="sk-SK"/>
              </w:rPr>
              <w:t xml:space="preserve">Zákonom stanovený </w:t>
            </w:r>
            <w:r>
              <w:rPr>
                <w:rFonts w:eastAsia="Times New Roman" w:cs="Segoe UI"/>
                <w:sz w:val="18"/>
                <w:lang w:eastAsia="sk-SK"/>
              </w:rPr>
              <w:t>LVV</w:t>
            </w:r>
            <w:r w:rsidRPr="007D3345">
              <w:rPr>
                <w:rFonts w:eastAsia="Times New Roman" w:cs="Segoe UI"/>
                <w:sz w:val="18"/>
                <w:lang w:eastAsia="sk-SK"/>
              </w:rPr>
              <w:t xml:space="preserve"> na rok 2024</w:t>
            </w:r>
          </w:p>
        </w:tc>
        <w:tc>
          <w:tcPr>
            <w:tcW w:w="759" w:type="pct"/>
            <w:shd w:val="clear" w:color="000000" w:fill="FFFFFF"/>
            <w:noWrap/>
            <w:vAlign w:val="center"/>
          </w:tcPr>
          <w:p w14:paraId="0717BF63"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57 717</w:t>
            </w:r>
          </w:p>
        </w:tc>
        <w:tc>
          <w:tcPr>
            <w:tcW w:w="759" w:type="pct"/>
            <w:shd w:val="clear" w:color="000000" w:fill="FFFFFF"/>
            <w:noWrap/>
            <w:vAlign w:val="center"/>
          </w:tcPr>
          <w:p w14:paraId="3515EBB1"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57 717</w:t>
            </w:r>
          </w:p>
        </w:tc>
        <w:tc>
          <w:tcPr>
            <w:tcW w:w="759" w:type="pct"/>
            <w:shd w:val="clear" w:color="auto" w:fill="F2F2F2"/>
            <w:vAlign w:val="center"/>
            <w:hideMark/>
          </w:tcPr>
          <w:p w14:paraId="24FFBE05" w14:textId="77777777" w:rsidR="00BA44CD" w:rsidRPr="007D3345" w:rsidRDefault="00BA44CD" w:rsidP="002E1FF0">
            <w:pPr>
              <w:spacing w:after="0"/>
              <w:jc w:val="right"/>
              <w:rPr>
                <w:rFonts w:eastAsia="Calibri" w:cs="Segoe UI"/>
                <w:sz w:val="18"/>
                <w:szCs w:val="16"/>
              </w:rPr>
            </w:pPr>
            <w:r w:rsidRPr="007D3345">
              <w:rPr>
                <w:rFonts w:eastAsia="Times New Roman" w:cs="Segoe UI"/>
                <w:sz w:val="18"/>
                <w:lang w:eastAsia="sk-SK"/>
              </w:rPr>
              <w:t>0</w:t>
            </w:r>
          </w:p>
        </w:tc>
      </w:tr>
      <w:tr w:rsidR="00BA44CD" w:rsidRPr="0023153B" w14:paraId="0C3DCBB2" w14:textId="77777777" w:rsidTr="002E1FF0">
        <w:trPr>
          <w:trHeight w:val="282"/>
        </w:trPr>
        <w:tc>
          <w:tcPr>
            <w:tcW w:w="2723" w:type="pct"/>
            <w:shd w:val="clear" w:color="000000" w:fill="FFFFFF"/>
            <w:noWrap/>
            <w:vAlign w:val="center"/>
            <w:hideMark/>
          </w:tcPr>
          <w:p w14:paraId="0C7AFFC8" w14:textId="77777777" w:rsidR="00BA44CD" w:rsidRPr="007D3345" w:rsidRDefault="00BA44CD" w:rsidP="002E1FF0">
            <w:pPr>
              <w:spacing w:after="0"/>
              <w:jc w:val="left"/>
              <w:rPr>
                <w:rFonts w:eastAsia="Times New Roman" w:cs="Segoe UI"/>
                <w:b/>
                <w:color w:val="000000"/>
                <w:sz w:val="18"/>
                <w:szCs w:val="16"/>
                <w:lang w:eastAsia="sk-SK"/>
              </w:rPr>
            </w:pPr>
            <w:r w:rsidRPr="007D3345">
              <w:rPr>
                <w:rFonts w:eastAsia="Times New Roman" w:cs="Segoe UI"/>
                <w:sz w:val="18"/>
                <w:lang w:eastAsia="sk-SK"/>
              </w:rPr>
              <w:t>Rozdiel (+/-)</w:t>
            </w:r>
          </w:p>
        </w:tc>
        <w:tc>
          <w:tcPr>
            <w:tcW w:w="759" w:type="pct"/>
            <w:shd w:val="clear" w:color="000000" w:fill="FFFFFF"/>
            <w:noWrap/>
            <w:vAlign w:val="center"/>
          </w:tcPr>
          <w:p w14:paraId="65B36443" w14:textId="77777777" w:rsidR="00BA44CD" w:rsidRPr="007D3345" w:rsidRDefault="00BA44CD" w:rsidP="002E1FF0">
            <w:pPr>
              <w:spacing w:after="0"/>
              <w:jc w:val="right"/>
              <w:rPr>
                <w:rFonts w:eastAsia="Calibri" w:cs="Segoe UI"/>
                <w:b/>
                <w:sz w:val="18"/>
                <w:szCs w:val="16"/>
              </w:rPr>
            </w:pPr>
            <w:r w:rsidRPr="007D3345">
              <w:rPr>
                <w:rFonts w:eastAsia="Times New Roman" w:cs="Segoe UI"/>
                <w:sz w:val="18"/>
                <w:lang w:eastAsia="sk-SK"/>
              </w:rPr>
              <w:t>226</w:t>
            </w:r>
          </w:p>
        </w:tc>
        <w:tc>
          <w:tcPr>
            <w:tcW w:w="759" w:type="pct"/>
            <w:shd w:val="clear" w:color="000000" w:fill="FFFFFF"/>
            <w:noWrap/>
            <w:vAlign w:val="center"/>
          </w:tcPr>
          <w:p w14:paraId="2E1A4F8C" w14:textId="77777777" w:rsidR="00BA44CD" w:rsidRPr="007D3345" w:rsidRDefault="00BA44CD" w:rsidP="002E1FF0">
            <w:pPr>
              <w:spacing w:after="0"/>
              <w:jc w:val="right"/>
              <w:rPr>
                <w:rFonts w:eastAsia="Calibri" w:cs="Segoe UI"/>
                <w:b/>
                <w:sz w:val="18"/>
                <w:szCs w:val="16"/>
              </w:rPr>
            </w:pPr>
            <w:r w:rsidRPr="007D3345">
              <w:rPr>
                <w:rFonts w:eastAsia="Times New Roman" w:cs="Segoe UI"/>
                <w:sz w:val="18"/>
                <w:lang w:eastAsia="sk-SK"/>
              </w:rPr>
              <w:t>-112</w:t>
            </w:r>
          </w:p>
        </w:tc>
        <w:tc>
          <w:tcPr>
            <w:tcW w:w="759" w:type="pct"/>
            <w:shd w:val="clear" w:color="auto" w:fill="F2F2F2"/>
            <w:noWrap/>
            <w:vAlign w:val="center"/>
            <w:hideMark/>
          </w:tcPr>
          <w:p w14:paraId="426A8A05" w14:textId="77777777" w:rsidR="00BA44CD" w:rsidRPr="007D3345" w:rsidRDefault="00BA44CD" w:rsidP="002E1FF0">
            <w:pPr>
              <w:spacing w:after="0"/>
              <w:jc w:val="right"/>
              <w:rPr>
                <w:rFonts w:eastAsia="Calibri" w:cs="Segoe UI"/>
                <w:b/>
                <w:sz w:val="18"/>
                <w:szCs w:val="16"/>
              </w:rPr>
            </w:pPr>
            <w:r w:rsidRPr="007D3345">
              <w:rPr>
                <w:rFonts w:eastAsia="Times New Roman" w:cs="Segoe UI"/>
                <w:sz w:val="18"/>
                <w:lang w:eastAsia="sk-SK"/>
              </w:rPr>
              <w:t>338</w:t>
            </w:r>
          </w:p>
        </w:tc>
      </w:tr>
    </w:tbl>
    <w:p w14:paraId="39BC1207" w14:textId="40A97D00" w:rsidR="00BA44CD" w:rsidRPr="00046FA3" w:rsidRDefault="00BA44CD" w:rsidP="00BA44CD">
      <w:pPr>
        <w:spacing w:line="240" w:lineRule="auto"/>
        <w:jc w:val="left"/>
        <w:rPr>
          <w:rFonts w:eastAsia="Calibri" w:cs="Times New Roman"/>
          <w:i/>
          <w:color w:val="314364"/>
          <w:sz w:val="16"/>
        </w:rPr>
      </w:pPr>
      <w:r>
        <w:rPr>
          <w:rFonts w:eastAsia="Calibri" w:cs="Times New Roman"/>
          <w:i/>
          <w:color w:val="314364"/>
          <w:sz w:val="16"/>
        </w:rPr>
        <w:t xml:space="preserve">Zdroj: MF SR. </w:t>
      </w:r>
      <w:r w:rsidRPr="00046FA3">
        <w:rPr>
          <w:rFonts w:eastAsia="Calibri" w:cs="Times New Roman"/>
          <w:i/>
          <w:color w:val="314364"/>
          <w:sz w:val="16"/>
        </w:rPr>
        <w:t>* Správ</w:t>
      </w:r>
      <w:r>
        <w:rPr>
          <w:rFonts w:eastAsia="Calibri" w:cs="Times New Roman"/>
          <w:i/>
          <w:color w:val="314364"/>
          <w:sz w:val="16"/>
        </w:rPr>
        <w:t>a</w:t>
      </w:r>
      <w:r w:rsidRPr="00046FA3">
        <w:rPr>
          <w:rFonts w:eastAsia="Calibri" w:cs="Times New Roman"/>
          <w:i/>
          <w:color w:val="314364"/>
          <w:sz w:val="16"/>
        </w:rPr>
        <w:t xml:space="preserve"> o </w:t>
      </w:r>
      <w:r>
        <w:rPr>
          <w:rFonts w:eastAsia="Calibri" w:cs="Times New Roman"/>
          <w:i/>
          <w:color w:val="314364"/>
          <w:sz w:val="16"/>
        </w:rPr>
        <w:t>OS</w:t>
      </w:r>
      <w:r w:rsidRPr="00046FA3">
        <w:rPr>
          <w:rFonts w:eastAsia="Calibri" w:cs="Times New Roman"/>
          <w:i/>
          <w:color w:val="314364"/>
          <w:sz w:val="16"/>
        </w:rPr>
        <w:t xml:space="preserve"> za rok 2024 (vydaná v </w:t>
      </w:r>
      <w:r>
        <w:rPr>
          <w:rFonts w:eastAsia="Calibri" w:cs="Times New Roman"/>
          <w:i/>
          <w:color w:val="314364"/>
          <w:sz w:val="16"/>
        </w:rPr>
        <w:t xml:space="preserve">auguste s údajmi ku koncu júna), </w:t>
      </w:r>
      <w:r w:rsidRPr="00046FA3">
        <w:rPr>
          <w:rFonts w:eastAsia="Calibri" w:cs="Times New Roman"/>
          <w:i/>
          <w:color w:val="314364"/>
          <w:sz w:val="16"/>
        </w:rPr>
        <w:t>** návrh ŠZÚ, po jarnej notifikácii</w:t>
      </w:r>
      <w:r w:rsidR="00601FB5">
        <w:rPr>
          <w:rFonts w:eastAsia="Calibri" w:cs="Times New Roman"/>
          <w:i/>
          <w:color w:val="314364"/>
          <w:sz w:val="16"/>
        </w:rPr>
        <w:t>.</w:t>
      </w:r>
      <w:r w:rsidRPr="00046FA3">
        <w:rPr>
          <w:rFonts w:eastAsia="Calibri" w:cs="Times New Roman"/>
          <w:i/>
          <w:color w:val="314364"/>
          <w:sz w:val="16"/>
        </w:rPr>
        <w:t xml:space="preserve"> </w:t>
      </w:r>
    </w:p>
    <w:p w14:paraId="6F35541E" w14:textId="7EF456EC" w:rsidR="007707AF" w:rsidRPr="00046FA3" w:rsidRDefault="007707AF" w:rsidP="007707AF">
      <w:pPr>
        <w:rPr>
          <w:rFonts w:eastAsia="Times New Roman" w:cs="Segoe UI"/>
          <w:szCs w:val="20"/>
        </w:rPr>
      </w:pPr>
      <w:r w:rsidRPr="00046FA3">
        <w:rPr>
          <w:rFonts w:eastAsia="Times New Roman" w:cs="Segoe UI"/>
          <w:b/>
          <w:szCs w:val="20"/>
        </w:rPr>
        <w:t>Podľa aktuálnych údajov by mal byť LVV za rok 2024 dodržaný, výdavky VS spadajúce pod LVV boli predbežne 57</w:t>
      </w:r>
      <w:r w:rsidR="00F53E08">
        <w:rPr>
          <w:rFonts w:eastAsia="Times New Roman" w:cs="Segoe UI"/>
          <w:b/>
          <w:szCs w:val="20"/>
        </w:rPr>
        <w:t>,</w:t>
      </w:r>
      <w:r w:rsidRPr="00046FA3">
        <w:rPr>
          <w:rFonts w:eastAsia="Times New Roman" w:cs="Segoe UI"/>
          <w:b/>
          <w:szCs w:val="20"/>
        </w:rPr>
        <w:t>6 ml</w:t>
      </w:r>
      <w:r w:rsidR="00F53E08">
        <w:rPr>
          <w:rFonts w:eastAsia="Times New Roman" w:cs="Segoe UI"/>
          <w:b/>
          <w:szCs w:val="20"/>
        </w:rPr>
        <w:t>d</w:t>
      </w:r>
      <w:r w:rsidRPr="00046FA3">
        <w:rPr>
          <w:rFonts w:eastAsia="Times New Roman" w:cs="Segoe UI"/>
          <w:b/>
          <w:szCs w:val="20"/>
        </w:rPr>
        <w:t xml:space="preserve">. eur, čo je o 112 mil. eur menej, ako bol stanovený LVV. </w:t>
      </w:r>
      <w:r w:rsidRPr="00046FA3">
        <w:rPr>
          <w:rFonts w:eastAsia="Times New Roman" w:cs="Segoe UI"/>
          <w:szCs w:val="20"/>
        </w:rPr>
        <w:t>Polročná správa o </w:t>
      </w:r>
      <w:r w:rsidR="00920BC1">
        <w:rPr>
          <w:rFonts w:eastAsia="Times New Roman" w:cs="Segoe UI"/>
          <w:szCs w:val="20"/>
        </w:rPr>
        <w:t>OS</w:t>
      </w:r>
      <w:r w:rsidRPr="00046FA3">
        <w:rPr>
          <w:rFonts w:eastAsia="Times New Roman" w:cs="Segoe UI"/>
          <w:szCs w:val="20"/>
        </w:rPr>
        <w:t xml:space="preserve"> predpokladala prekročenie o 226 mil. eur, najmä pre rast záväzkov ZZ po splatnosti. </w:t>
      </w:r>
      <w:r w:rsidR="00706298">
        <w:rPr>
          <w:rFonts w:eastAsia="Times New Roman" w:cs="Segoe UI"/>
          <w:szCs w:val="20"/>
        </w:rPr>
        <w:t xml:space="preserve">Návrh </w:t>
      </w:r>
      <w:r w:rsidRPr="00046FA3">
        <w:rPr>
          <w:rFonts w:eastAsia="Times New Roman" w:cs="Segoe UI"/>
          <w:szCs w:val="20"/>
        </w:rPr>
        <w:t xml:space="preserve">ŠZÚ uvádza viaceré faktory vplývajúce na dodržanie LVV </w:t>
      </w:r>
      <w:r w:rsidR="00920BC1">
        <w:rPr>
          <w:rFonts w:eastAsia="Times New Roman" w:cs="Segoe UI"/>
          <w:szCs w:val="20"/>
        </w:rPr>
        <w:t>ako</w:t>
      </w:r>
      <w:r w:rsidR="008C4A7D">
        <w:rPr>
          <w:rFonts w:eastAsia="Times New Roman" w:cs="Segoe UI"/>
          <w:szCs w:val="20"/>
        </w:rPr>
        <w:t xml:space="preserve"> –</w:t>
      </w:r>
      <w:r w:rsidR="00920BC1">
        <w:rPr>
          <w:rFonts w:eastAsia="Times New Roman" w:cs="Segoe UI"/>
          <w:szCs w:val="20"/>
        </w:rPr>
        <w:t xml:space="preserve"> </w:t>
      </w:r>
      <w:r w:rsidRPr="00046FA3">
        <w:rPr>
          <w:rFonts w:eastAsia="Times New Roman" w:cs="Segoe UI"/>
          <w:szCs w:val="20"/>
        </w:rPr>
        <w:t xml:space="preserve">časové rozlíšenie výdavkov na vojenskú techniku v </w:t>
      </w:r>
      <w:r w:rsidR="00920BC1">
        <w:rPr>
          <w:rFonts w:eastAsia="Times New Roman" w:cs="Segoe UI"/>
          <w:szCs w:val="20"/>
        </w:rPr>
        <w:t>sum</w:t>
      </w:r>
      <w:r w:rsidRPr="00046FA3">
        <w:rPr>
          <w:rFonts w:eastAsia="Times New Roman" w:cs="Segoe UI"/>
          <w:szCs w:val="20"/>
        </w:rPr>
        <w:t xml:space="preserve">e 606,5 mil. eur, nižší odvod do rozpočtu EÚ o 250,2 mil. eur, nižšie výdavky nemocenského poistenia o 104,5 mil. eur či výdavky VÚC nižšie o 47,9 mil. eur než mali stanovený limit. </w:t>
      </w:r>
      <w:r w:rsidR="00870E68">
        <w:rPr>
          <w:rFonts w:eastAsia="Times New Roman" w:cs="Segoe UI"/>
          <w:szCs w:val="20"/>
        </w:rPr>
        <w:t>N</w:t>
      </w:r>
      <w:r w:rsidRPr="00046FA3">
        <w:rPr>
          <w:rFonts w:eastAsia="Times New Roman" w:cs="Segoe UI"/>
          <w:szCs w:val="20"/>
        </w:rPr>
        <w:t>egatívne pôsobili napríklad vyššie výdavky na predčasné starobné dôchodky o 184,5 mil. eur, riadne starobné dôchodky o 130 mil. eur</w:t>
      </w:r>
      <w:r w:rsidR="008C4A7D">
        <w:rPr>
          <w:rFonts w:eastAsia="Times New Roman" w:cs="Segoe UI"/>
          <w:szCs w:val="20"/>
        </w:rPr>
        <w:t>,</w:t>
      </w:r>
      <w:r w:rsidRPr="00046FA3">
        <w:rPr>
          <w:rFonts w:eastAsia="Times New Roman" w:cs="Segoe UI"/>
          <w:szCs w:val="20"/>
        </w:rPr>
        <w:t xml:space="preserve"> či nedodržanie čiastkového </w:t>
      </w:r>
      <w:r w:rsidR="00870E68">
        <w:rPr>
          <w:rFonts w:eastAsia="Times New Roman" w:cs="Segoe UI"/>
          <w:szCs w:val="20"/>
        </w:rPr>
        <w:t>LVV</w:t>
      </w:r>
      <w:r w:rsidRPr="00046FA3">
        <w:rPr>
          <w:rFonts w:eastAsia="Times New Roman" w:cs="Segoe UI"/>
          <w:szCs w:val="20"/>
        </w:rPr>
        <w:t xml:space="preserve"> obcami o 311,7 mil. eur. Ostatné miestne jednotky (napr. záujmové združenia, neziskové organizácie) spadajúce pod LVV</w:t>
      </w:r>
      <w:r w:rsidR="008C4A7D">
        <w:rPr>
          <w:rFonts w:eastAsia="Times New Roman" w:cs="Segoe UI"/>
          <w:szCs w:val="20"/>
        </w:rPr>
        <w:t>,</w:t>
      </w:r>
      <w:r w:rsidRPr="00046FA3">
        <w:rPr>
          <w:rFonts w:eastAsia="Times New Roman" w:cs="Segoe UI"/>
          <w:szCs w:val="20"/>
        </w:rPr>
        <w:t xml:space="preserve"> avšak nezahrnuté do rozpočtu</w:t>
      </w:r>
      <w:r w:rsidR="008C4A7D">
        <w:rPr>
          <w:rFonts w:eastAsia="Times New Roman" w:cs="Segoe UI"/>
          <w:szCs w:val="20"/>
        </w:rPr>
        <w:t>,</w:t>
      </w:r>
      <w:r w:rsidRPr="00046FA3">
        <w:rPr>
          <w:rFonts w:eastAsia="Times New Roman" w:cs="Segoe UI"/>
          <w:szCs w:val="20"/>
        </w:rPr>
        <w:t xml:space="preserve"> negatívne ovplyvnili </w:t>
      </w:r>
      <w:r w:rsidR="00706298">
        <w:rPr>
          <w:rFonts w:eastAsia="Times New Roman" w:cs="Segoe UI"/>
          <w:szCs w:val="20"/>
        </w:rPr>
        <w:t>dodržanie LVV o 182,3 mil. eur.</w:t>
      </w:r>
    </w:p>
    <w:p w14:paraId="3D356140" w14:textId="6EB7E9E0" w:rsidR="00722EEA" w:rsidRDefault="007707AF" w:rsidP="00192722">
      <w:pPr>
        <w:rPr>
          <w:rFonts w:cs="Segoe UI"/>
          <w:color w:val="000000" w:themeColor="text1"/>
          <w:szCs w:val="20"/>
        </w:rPr>
      </w:pPr>
      <w:r w:rsidRPr="00046FA3">
        <w:rPr>
          <w:rFonts w:eastAsia="Times New Roman" w:cs="Segoe UI"/>
          <w:b/>
          <w:szCs w:val="20"/>
        </w:rPr>
        <w:t>NKÚ SR zistil, že viaceré kapitoly nedodržali príslušné ustanovenia smernice na vypracovanie ZÚ</w:t>
      </w:r>
      <w:r w:rsidR="00D7129E">
        <w:rPr>
          <w:rFonts w:eastAsia="Times New Roman" w:cs="Segoe UI"/>
          <w:b/>
          <w:szCs w:val="20"/>
        </w:rPr>
        <w:t xml:space="preserve"> kapitol</w:t>
      </w:r>
      <w:r w:rsidR="008C4A7D">
        <w:rPr>
          <w:rFonts w:eastAsia="Times New Roman" w:cs="Segoe UI"/>
          <w:b/>
          <w:szCs w:val="20"/>
        </w:rPr>
        <w:t>,</w:t>
      </w:r>
      <w:r w:rsidRPr="00046FA3">
        <w:rPr>
          <w:rFonts w:eastAsia="Times New Roman" w:cs="Segoe UI"/>
          <w:b/>
          <w:szCs w:val="20"/>
        </w:rPr>
        <w:t xml:space="preserve"> týkajúce sa LVV</w:t>
      </w:r>
      <w:r w:rsidR="008C4A7D">
        <w:rPr>
          <w:rFonts w:eastAsia="Times New Roman" w:cs="Segoe UI"/>
          <w:b/>
          <w:szCs w:val="20"/>
        </w:rPr>
        <w:t>,</w:t>
      </w:r>
      <w:r w:rsidRPr="00046FA3">
        <w:rPr>
          <w:rFonts w:eastAsia="Times New Roman" w:cs="Segoe UI"/>
          <w:b/>
          <w:szCs w:val="20"/>
        </w:rPr>
        <w:t xml:space="preserve"> a odporúča MF SR ich metodicky usmerniť.</w:t>
      </w:r>
      <w:r w:rsidRPr="00046FA3">
        <w:rPr>
          <w:rFonts w:eastAsia="Times New Roman" w:cs="Segoe UI"/>
          <w:szCs w:val="20"/>
        </w:rPr>
        <w:t xml:space="preserve"> Od rozpočtového roku 2024 je povinnou súčasťou </w:t>
      </w:r>
      <w:r w:rsidR="00706298">
        <w:rPr>
          <w:rFonts w:eastAsia="Times New Roman" w:cs="Segoe UI"/>
          <w:szCs w:val="20"/>
        </w:rPr>
        <w:t>ZÚK</w:t>
      </w:r>
      <w:r w:rsidRPr="00046FA3">
        <w:rPr>
          <w:rFonts w:eastAsia="Times New Roman" w:cs="Segoe UI"/>
          <w:szCs w:val="20"/>
        </w:rPr>
        <w:t xml:space="preserve"> aj hodnotenie dodržania LVV, pričom ich vypovedacia hodnota je rôzn</w:t>
      </w:r>
      <w:r w:rsidR="00706298">
        <w:rPr>
          <w:rFonts w:eastAsia="Times New Roman" w:cs="Segoe UI"/>
          <w:szCs w:val="20"/>
        </w:rPr>
        <w:t>a</w:t>
      </w:r>
      <w:r w:rsidRPr="00046FA3">
        <w:rPr>
          <w:rFonts w:eastAsia="Times New Roman" w:cs="Segoe UI"/>
          <w:szCs w:val="20"/>
        </w:rPr>
        <w:t>. Väčšina kapitol uvádza stručné informácie ohľadom LVV, jedna kapitola</w:t>
      </w:r>
      <w:r>
        <w:rPr>
          <w:rFonts w:eastAsia="Times New Roman" w:cs="Segoe UI"/>
          <w:szCs w:val="20"/>
        </w:rPr>
        <w:t xml:space="preserve"> (K NR </w:t>
      </w:r>
      <w:r w:rsidRPr="00046FA3">
        <w:rPr>
          <w:rFonts w:eastAsia="Times New Roman" w:cs="Segoe UI"/>
          <w:szCs w:val="20"/>
        </w:rPr>
        <w:t>SR) túto časť vynechala a viaceré uvádzajú nekonzistentné údaje. MS SR uviedlo namiesto údajov za celú kapitolu tabuľku za Z</w:t>
      </w:r>
      <w:r w:rsidR="00D7129E">
        <w:rPr>
          <w:rFonts w:eastAsia="Times New Roman" w:cs="Segoe UI"/>
          <w:szCs w:val="20"/>
        </w:rPr>
        <w:t>bor väzenskej a justičnej stráže</w:t>
      </w:r>
      <w:r w:rsidRPr="00046FA3">
        <w:rPr>
          <w:rFonts w:eastAsia="Times New Roman" w:cs="Segoe UI"/>
          <w:szCs w:val="20"/>
        </w:rPr>
        <w:t xml:space="preserve">, niektoré kapitoly poskytli len stručné konštatovanie, že LVV dodržali. MZ SR </w:t>
      </w:r>
      <w:r w:rsidR="00F53E08">
        <w:rPr>
          <w:rFonts w:eastAsia="Times New Roman" w:cs="Segoe UI"/>
          <w:szCs w:val="20"/>
        </w:rPr>
        <w:t>zase</w:t>
      </w:r>
      <w:r w:rsidRPr="00046FA3">
        <w:rPr>
          <w:rFonts w:eastAsia="Times New Roman" w:cs="Segoe UI"/>
          <w:szCs w:val="20"/>
        </w:rPr>
        <w:t xml:space="preserve"> podrobne popisuje problémy pri plnení a vykazovaní plnenia LVV. Niekoľko kapitol (napr. MF SR, MV SR, MŽP SR) má túto časť </w:t>
      </w:r>
      <w:r>
        <w:rPr>
          <w:rFonts w:eastAsia="Times New Roman" w:cs="Segoe UI"/>
          <w:szCs w:val="20"/>
        </w:rPr>
        <w:t xml:space="preserve">príkladne </w:t>
      </w:r>
      <w:r w:rsidR="00192722">
        <w:rPr>
          <w:rFonts w:eastAsia="Times New Roman" w:cs="Segoe UI"/>
          <w:szCs w:val="20"/>
        </w:rPr>
        <w:t>spracovanú.</w:t>
      </w:r>
    </w:p>
    <w:p w14:paraId="45D5488E" w14:textId="51434453" w:rsidR="000D05F7" w:rsidRDefault="001209F4" w:rsidP="002C027A">
      <w:pPr>
        <w:pStyle w:val="Nadpis1"/>
      </w:pPr>
      <w:bookmarkStart w:id="16" w:name="_Toc198637717"/>
      <w:r>
        <w:lastRenderedPageBreak/>
        <w:t xml:space="preserve">Hospodárenie </w:t>
      </w:r>
      <w:r w:rsidR="00465964">
        <w:t>verejnej správy</w:t>
      </w:r>
      <w:r>
        <w:t xml:space="preserve"> na hotovostnej báze</w:t>
      </w:r>
      <w:bookmarkEnd w:id="16"/>
    </w:p>
    <w:p w14:paraId="648DB69C" w14:textId="06D77403" w:rsidR="00444782" w:rsidRDefault="00444782" w:rsidP="00444782">
      <w:pPr>
        <w:rPr>
          <w:rFonts w:eastAsia="Times New Roman" w:cs="Segoe UI"/>
          <w:szCs w:val="20"/>
        </w:rPr>
      </w:pPr>
      <w:r w:rsidRPr="004B14D5">
        <w:rPr>
          <w:rFonts w:eastAsia="Times New Roman" w:cs="Segoe UI"/>
          <w:szCs w:val="20"/>
        </w:rPr>
        <w:t>Návrh ŠZÚ SR za rok 202</w:t>
      </w:r>
      <w:r>
        <w:rPr>
          <w:rFonts w:eastAsia="Times New Roman" w:cs="Segoe UI"/>
          <w:szCs w:val="20"/>
        </w:rPr>
        <w:t>4</w:t>
      </w:r>
      <w:r w:rsidRPr="004B14D5">
        <w:rPr>
          <w:rFonts w:eastAsia="Times New Roman" w:cs="Segoe UI"/>
          <w:szCs w:val="20"/>
        </w:rPr>
        <w:t xml:space="preserve"> obsahuje aj údaje o príjmoch, výdavkoch a výsledku hospodárenia ŠR na hotovostnom pr</w:t>
      </w:r>
      <w:r>
        <w:rPr>
          <w:rFonts w:eastAsia="Times New Roman" w:cs="Segoe UI"/>
          <w:szCs w:val="20"/>
        </w:rPr>
        <w:t>incípe. Rozpočet VS na roky 2024 až 2026</w:t>
      </w:r>
      <w:r w:rsidRPr="004B14D5">
        <w:rPr>
          <w:rFonts w:eastAsia="Times New Roman" w:cs="Segoe UI"/>
          <w:szCs w:val="20"/>
        </w:rPr>
        <w:t xml:space="preserve"> </w:t>
      </w:r>
      <w:r>
        <w:rPr>
          <w:rFonts w:eastAsia="Times New Roman" w:cs="Segoe UI"/>
          <w:szCs w:val="20"/>
        </w:rPr>
        <w:t>vznikal v</w:t>
      </w:r>
      <w:r w:rsidR="00DD5A54">
        <w:rPr>
          <w:rFonts w:eastAsia="Times New Roman" w:cs="Segoe UI"/>
          <w:szCs w:val="20"/>
        </w:rPr>
        <w:t> náročných podmienkach</w:t>
      </w:r>
      <w:r>
        <w:rPr>
          <w:rFonts w:eastAsia="Times New Roman" w:cs="Segoe UI"/>
          <w:szCs w:val="20"/>
        </w:rPr>
        <w:t xml:space="preserve">, keď jesenný termín volieb skrátil čas potrebný na jeho zostavenie. Zároveň bolo potrebné zosúladiť nevyhnutnú fiškálnu konsolidáciu s politickým záväzkom zachovania sociálneho štandardu. </w:t>
      </w:r>
    </w:p>
    <w:p w14:paraId="2E06E3DF" w14:textId="10E13C30" w:rsidR="00DD5A54" w:rsidRPr="004310EE" w:rsidRDefault="00DD5A54" w:rsidP="00DD5A54">
      <w:pPr>
        <w:rPr>
          <w:rFonts w:eastAsia="Times New Roman" w:cs="Segoe UI"/>
          <w:szCs w:val="20"/>
        </w:rPr>
      </w:pPr>
      <w:r w:rsidRPr="004310EE">
        <w:rPr>
          <w:rFonts w:eastAsia="Times New Roman" w:cs="Segoe UI"/>
          <w:b/>
          <w:szCs w:val="20"/>
        </w:rPr>
        <w:t xml:space="preserve">Schodok ŠR na hotovostnom princípe vo výške 6,4 mld. eur bol o 1,2 mld. eur nižší, než predpokladal rozpočet a o 17 % nižší ako v roku 2023 </w:t>
      </w:r>
      <w:r w:rsidRPr="004310EE">
        <w:rPr>
          <w:rFonts w:eastAsia="Times New Roman" w:cs="Segoe UI"/>
          <w:szCs w:val="20"/>
        </w:rPr>
        <w:t xml:space="preserve">(tabuľka </w:t>
      </w:r>
      <w:r w:rsidR="00140A29">
        <w:rPr>
          <w:rFonts w:eastAsia="Times New Roman" w:cs="Segoe UI"/>
          <w:szCs w:val="20"/>
        </w:rPr>
        <w:t>5</w:t>
      </w:r>
      <w:r w:rsidRPr="004310EE">
        <w:rPr>
          <w:rFonts w:eastAsia="Times New Roman" w:cs="Segoe UI"/>
          <w:szCs w:val="20"/>
        </w:rPr>
        <w:t>)</w:t>
      </w:r>
      <w:r w:rsidRPr="004310EE">
        <w:rPr>
          <w:rFonts w:eastAsia="Times New Roman" w:cs="Segoe UI"/>
          <w:b/>
          <w:szCs w:val="20"/>
        </w:rPr>
        <w:t>.</w:t>
      </w:r>
      <w:r w:rsidRPr="004310EE">
        <w:rPr>
          <w:rFonts w:eastAsia="Times New Roman" w:cs="Segoe UI"/>
          <w:szCs w:val="20"/>
        </w:rPr>
        <w:t xml:space="preserve"> Celkové hotovostné príjmy ŠR dosiahli 24,5 mld. eur, čo je o 1,8 mld. eur viac ako v rozpočte, o 0,8 mld. viac ako v roku 2023 a o 5,4 mld. eur viac ako v 2022. Hotovostné výdavky ŠR na úrovni 30,8 mld. eur boli o 0,5 mld. vyššie ako uvádzal rozpočet, o 0,3 mld. eur vyššie než v 2023 a o 6,1 mld. vyššie ako v roku 2022. Výrazné rozdiely oproti roku 2022 sú spôsobené viacerými faktormi, ako je využívanie zdrojov EÚ, fiškálna konsolidácia a sociálne opatrenia. </w:t>
      </w:r>
    </w:p>
    <w:p w14:paraId="5960BDA6" w14:textId="1DE0C6FC" w:rsidR="00DD5A54" w:rsidRPr="004310EE" w:rsidRDefault="00DD5A54" w:rsidP="00DD5A54">
      <w:pPr>
        <w:keepNext/>
        <w:spacing w:after="0" w:line="240" w:lineRule="auto"/>
        <w:rPr>
          <w:rFonts w:eastAsia="Calibri" w:cs="Times New Roman"/>
          <w:b/>
          <w:iCs/>
          <w:color w:val="314364"/>
          <w:szCs w:val="18"/>
        </w:rPr>
      </w:pPr>
      <w:r w:rsidRPr="004310EE">
        <w:rPr>
          <w:rFonts w:eastAsia="Calibri" w:cs="Times New Roman"/>
          <w:b/>
          <w:iCs/>
          <w:color w:val="314364"/>
          <w:szCs w:val="18"/>
        </w:rPr>
        <w:t xml:space="preserve">Tabuľka </w:t>
      </w:r>
      <w:r w:rsidR="00140A29">
        <w:rPr>
          <w:rFonts w:eastAsia="Calibri" w:cs="Times New Roman"/>
          <w:b/>
          <w:iCs/>
          <w:color w:val="314364"/>
          <w:szCs w:val="18"/>
        </w:rPr>
        <w:t>5</w:t>
      </w:r>
      <w:r w:rsidRPr="004310EE">
        <w:rPr>
          <w:rFonts w:eastAsia="Calibri" w:cs="Times New Roman"/>
          <w:b/>
          <w:iCs/>
          <w:color w:val="314364"/>
          <w:szCs w:val="18"/>
        </w:rPr>
        <w:t>: Základné rozpočtové ukazovatele (v tis. eur)</w:t>
      </w:r>
    </w:p>
    <w:tbl>
      <w:tblPr>
        <w:tblW w:w="5000" w:type="pct"/>
        <w:tblLook w:val="04A0" w:firstRow="1" w:lastRow="0" w:firstColumn="1" w:lastColumn="0" w:noHBand="0" w:noVBand="1"/>
      </w:tblPr>
      <w:tblGrid>
        <w:gridCol w:w="1695"/>
        <w:gridCol w:w="1123"/>
        <w:gridCol w:w="1125"/>
        <w:gridCol w:w="1125"/>
        <w:gridCol w:w="1125"/>
        <w:gridCol w:w="1125"/>
        <w:gridCol w:w="1092"/>
        <w:gridCol w:w="660"/>
      </w:tblGrid>
      <w:tr w:rsidR="00DD5A54" w:rsidRPr="004310EE" w14:paraId="1CBDB9F7" w14:textId="77777777" w:rsidTr="00F53E08">
        <w:trPr>
          <w:trHeight w:val="283"/>
        </w:trPr>
        <w:tc>
          <w:tcPr>
            <w:tcW w:w="935" w:type="pct"/>
            <w:shd w:val="clear" w:color="auto" w:fill="314364"/>
            <w:vAlign w:val="center"/>
          </w:tcPr>
          <w:p w14:paraId="6F5868C3" w14:textId="77777777" w:rsidR="00DD5A54" w:rsidRPr="004310EE" w:rsidRDefault="00DD5A54" w:rsidP="00F53E08">
            <w:pPr>
              <w:spacing w:after="0"/>
              <w:jc w:val="center"/>
              <w:rPr>
                <w:rFonts w:eastAsia="Calibri" w:cs="Segoe UI"/>
                <w:b/>
                <w:color w:val="FFFFFF"/>
                <w:sz w:val="16"/>
                <w:szCs w:val="16"/>
              </w:rPr>
            </w:pPr>
            <w:r w:rsidRPr="004310EE">
              <w:rPr>
                <w:rFonts w:eastAsia="Calibri" w:cs="Segoe UI"/>
                <w:b/>
                <w:bCs/>
                <w:color w:val="FFFFFF"/>
                <w:sz w:val="16"/>
                <w:szCs w:val="16"/>
              </w:rPr>
              <w:t>Ukazovateľ</w:t>
            </w:r>
          </w:p>
        </w:tc>
        <w:tc>
          <w:tcPr>
            <w:tcW w:w="619" w:type="pct"/>
            <w:shd w:val="clear" w:color="auto" w:fill="314364"/>
            <w:vAlign w:val="center"/>
          </w:tcPr>
          <w:p w14:paraId="2DB7EA6A" w14:textId="77777777" w:rsidR="00DD5A54" w:rsidRPr="004310EE" w:rsidRDefault="00DD5A54" w:rsidP="00F53E08">
            <w:pPr>
              <w:spacing w:after="0"/>
              <w:jc w:val="center"/>
              <w:rPr>
                <w:rFonts w:eastAsia="Calibri" w:cs="Segoe UI"/>
                <w:b/>
                <w:bCs/>
                <w:color w:val="FFFFFF"/>
                <w:sz w:val="16"/>
                <w:szCs w:val="16"/>
              </w:rPr>
            </w:pPr>
            <w:r w:rsidRPr="004310EE">
              <w:rPr>
                <w:rFonts w:eastAsia="Calibri" w:cs="Segoe UI"/>
                <w:b/>
                <w:bCs/>
                <w:color w:val="FFFFFF"/>
                <w:sz w:val="16"/>
                <w:szCs w:val="16"/>
              </w:rPr>
              <w:t>2022 S</w:t>
            </w:r>
          </w:p>
        </w:tc>
        <w:tc>
          <w:tcPr>
            <w:tcW w:w="620" w:type="pct"/>
            <w:shd w:val="clear" w:color="auto" w:fill="314364"/>
            <w:vAlign w:val="center"/>
          </w:tcPr>
          <w:p w14:paraId="03A8BBCE" w14:textId="77777777" w:rsidR="00DD5A54" w:rsidRPr="004310EE" w:rsidRDefault="00DD5A54" w:rsidP="00F53E08">
            <w:pPr>
              <w:spacing w:after="0"/>
              <w:jc w:val="center"/>
              <w:rPr>
                <w:rFonts w:eastAsia="Calibri" w:cs="Segoe UI"/>
                <w:b/>
                <w:bCs/>
                <w:color w:val="FFFFFF"/>
                <w:sz w:val="16"/>
                <w:szCs w:val="16"/>
              </w:rPr>
            </w:pPr>
            <w:r w:rsidRPr="004310EE">
              <w:rPr>
                <w:rFonts w:eastAsia="Calibri" w:cs="Segoe UI"/>
                <w:b/>
                <w:bCs/>
                <w:color w:val="FFFFFF"/>
                <w:sz w:val="16"/>
                <w:szCs w:val="16"/>
              </w:rPr>
              <w:t>2023 S</w:t>
            </w:r>
          </w:p>
        </w:tc>
        <w:tc>
          <w:tcPr>
            <w:tcW w:w="620" w:type="pct"/>
            <w:shd w:val="clear" w:color="auto" w:fill="314364"/>
            <w:vAlign w:val="center"/>
          </w:tcPr>
          <w:p w14:paraId="7B397266" w14:textId="77777777" w:rsidR="00DD5A54" w:rsidRPr="004310EE" w:rsidRDefault="00DD5A54" w:rsidP="00F53E08">
            <w:pPr>
              <w:spacing w:after="0"/>
              <w:jc w:val="center"/>
              <w:rPr>
                <w:rFonts w:eastAsia="Calibri" w:cs="Segoe UI"/>
                <w:b/>
                <w:bCs/>
                <w:color w:val="FFFFFF"/>
                <w:sz w:val="16"/>
                <w:szCs w:val="16"/>
              </w:rPr>
            </w:pPr>
            <w:r w:rsidRPr="004310EE">
              <w:rPr>
                <w:rFonts w:eastAsia="Calibri" w:cs="Segoe UI"/>
                <w:b/>
                <w:bCs/>
                <w:color w:val="FFFFFF"/>
                <w:sz w:val="16"/>
                <w:szCs w:val="16"/>
              </w:rPr>
              <w:t>2024 R</w:t>
            </w:r>
          </w:p>
        </w:tc>
        <w:tc>
          <w:tcPr>
            <w:tcW w:w="620" w:type="pct"/>
            <w:shd w:val="clear" w:color="auto" w:fill="314364"/>
            <w:vAlign w:val="center"/>
          </w:tcPr>
          <w:p w14:paraId="65E6A578" w14:textId="77777777" w:rsidR="00DD5A54" w:rsidRPr="004310EE" w:rsidRDefault="00DD5A54" w:rsidP="00F53E08">
            <w:pPr>
              <w:spacing w:after="0"/>
              <w:jc w:val="center"/>
              <w:rPr>
                <w:rFonts w:eastAsia="Calibri" w:cs="Segoe UI"/>
                <w:b/>
                <w:bCs/>
                <w:color w:val="FFFFFF"/>
                <w:sz w:val="16"/>
                <w:szCs w:val="16"/>
              </w:rPr>
            </w:pPr>
            <w:r w:rsidRPr="004310EE">
              <w:rPr>
                <w:rFonts w:eastAsia="Calibri" w:cs="Segoe UI"/>
                <w:b/>
                <w:bCs/>
                <w:color w:val="FFFFFF"/>
                <w:sz w:val="16"/>
                <w:szCs w:val="16"/>
              </w:rPr>
              <w:t>2024 UR</w:t>
            </w:r>
          </w:p>
        </w:tc>
        <w:tc>
          <w:tcPr>
            <w:tcW w:w="620" w:type="pct"/>
            <w:shd w:val="clear" w:color="auto" w:fill="314364"/>
            <w:vAlign w:val="center"/>
          </w:tcPr>
          <w:p w14:paraId="5C66D485" w14:textId="77777777" w:rsidR="00DD5A54" w:rsidRPr="004310EE" w:rsidRDefault="00DD5A54" w:rsidP="00F53E08">
            <w:pPr>
              <w:spacing w:after="0"/>
              <w:jc w:val="center"/>
              <w:rPr>
                <w:rFonts w:eastAsia="Calibri" w:cs="Segoe UI"/>
                <w:b/>
                <w:bCs/>
                <w:color w:val="FFFFFF"/>
                <w:sz w:val="16"/>
                <w:szCs w:val="16"/>
              </w:rPr>
            </w:pPr>
            <w:r w:rsidRPr="004310EE">
              <w:rPr>
                <w:rFonts w:eastAsia="Calibri" w:cs="Segoe UI"/>
                <w:b/>
                <w:bCs/>
                <w:color w:val="FFFFFF"/>
                <w:sz w:val="16"/>
                <w:szCs w:val="16"/>
              </w:rPr>
              <w:t>2024 S</w:t>
            </w:r>
          </w:p>
        </w:tc>
        <w:tc>
          <w:tcPr>
            <w:tcW w:w="602" w:type="pct"/>
            <w:shd w:val="clear" w:color="auto" w:fill="314364"/>
            <w:vAlign w:val="center"/>
          </w:tcPr>
          <w:p w14:paraId="6FF3C9AE" w14:textId="77777777" w:rsidR="00DD5A54" w:rsidRPr="004310EE" w:rsidRDefault="00DD5A54" w:rsidP="00F53E08">
            <w:pPr>
              <w:spacing w:after="0"/>
              <w:jc w:val="center"/>
              <w:rPr>
                <w:rFonts w:eastAsia="Calibri" w:cs="Segoe UI"/>
                <w:b/>
                <w:bCs/>
                <w:color w:val="FFFFFF"/>
                <w:sz w:val="16"/>
                <w:szCs w:val="16"/>
              </w:rPr>
            </w:pPr>
            <w:r w:rsidRPr="004310EE">
              <w:rPr>
                <w:rFonts w:eastAsia="Calibri" w:cs="Segoe UI"/>
                <w:b/>
                <w:bCs/>
                <w:color w:val="FFFFFF"/>
                <w:sz w:val="16"/>
                <w:szCs w:val="16"/>
              </w:rPr>
              <w:t>24S-24R</w:t>
            </w:r>
          </w:p>
        </w:tc>
        <w:tc>
          <w:tcPr>
            <w:tcW w:w="364" w:type="pct"/>
            <w:shd w:val="clear" w:color="auto" w:fill="314364"/>
            <w:vAlign w:val="center"/>
          </w:tcPr>
          <w:p w14:paraId="768D1078" w14:textId="77777777" w:rsidR="00DD5A54" w:rsidRPr="004310EE" w:rsidRDefault="00DD5A54" w:rsidP="00F53E08">
            <w:pPr>
              <w:spacing w:after="0"/>
              <w:jc w:val="center"/>
              <w:rPr>
                <w:rFonts w:eastAsia="Calibri" w:cs="Segoe UI"/>
                <w:b/>
                <w:bCs/>
                <w:color w:val="FFFFFF"/>
                <w:sz w:val="16"/>
                <w:szCs w:val="16"/>
              </w:rPr>
            </w:pPr>
            <w:proofErr w:type="spellStart"/>
            <w:r w:rsidRPr="004310EE">
              <w:rPr>
                <w:rFonts w:eastAsia="Calibri" w:cs="Segoe UI"/>
                <w:b/>
                <w:bCs/>
                <w:color w:val="FFFFFF"/>
                <w:sz w:val="16"/>
                <w:szCs w:val="16"/>
              </w:rPr>
              <w:t>YoY</w:t>
            </w:r>
            <w:proofErr w:type="spellEnd"/>
          </w:p>
        </w:tc>
      </w:tr>
      <w:tr w:rsidR="00DD5A54" w:rsidRPr="004310EE" w14:paraId="3097A3CF" w14:textId="77777777" w:rsidTr="00F53E08">
        <w:trPr>
          <w:trHeight w:val="283"/>
        </w:trPr>
        <w:tc>
          <w:tcPr>
            <w:tcW w:w="935" w:type="pct"/>
            <w:shd w:val="clear" w:color="auto" w:fill="auto"/>
            <w:vAlign w:val="center"/>
          </w:tcPr>
          <w:p w14:paraId="359401A3" w14:textId="77777777" w:rsidR="00DD5A54" w:rsidRPr="004310EE" w:rsidRDefault="00DD5A54" w:rsidP="00F53E08">
            <w:pPr>
              <w:spacing w:after="0"/>
              <w:jc w:val="left"/>
              <w:rPr>
                <w:rFonts w:eastAsia="Calibri" w:cs="Segoe UI"/>
                <w:b/>
                <w:bCs/>
                <w:sz w:val="16"/>
                <w:szCs w:val="16"/>
              </w:rPr>
            </w:pPr>
            <w:r w:rsidRPr="004310EE">
              <w:rPr>
                <w:rFonts w:eastAsia="Calibri" w:cs="Segoe UI"/>
                <w:b/>
                <w:bCs/>
                <w:sz w:val="16"/>
                <w:szCs w:val="16"/>
              </w:rPr>
              <w:t>Celkové príjmy</w:t>
            </w:r>
          </w:p>
        </w:tc>
        <w:tc>
          <w:tcPr>
            <w:tcW w:w="619" w:type="pct"/>
            <w:vAlign w:val="center"/>
          </w:tcPr>
          <w:p w14:paraId="0A0F99F1"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19 029 702</w:t>
            </w:r>
          </w:p>
        </w:tc>
        <w:tc>
          <w:tcPr>
            <w:tcW w:w="620" w:type="pct"/>
            <w:shd w:val="clear" w:color="auto" w:fill="auto"/>
            <w:vAlign w:val="center"/>
          </w:tcPr>
          <w:p w14:paraId="13917038"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23 688 646</w:t>
            </w:r>
          </w:p>
        </w:tc>
        <w:tc>
          <w:tcPr>
            <w:tcW w:w="620" w:type="pct"/>
            <w:shd w:val="clear" w:color="auto" w:fill="auto"/>
            <w:vAlign w:val="center"/>
          </w:tcPr>
          <w:p w14:paraId="4D8ADAA0"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22 701 961</w:t>
            </w:r>
          </w:p>
        </w:tc>
        <w:tc>
          <w:tcPr>
            <w:tcW w:w="620" w:type="pct"/>
            <w:vAlign w:val="center"/>
          </w:tcPr>
          <w:p w14:paraId="62F21480"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24 266 662</w:t>
            </w:r>
          </w:p>
        </w:tc>
        <w:tc>
          <w:tcPr>
            <w:tcW w:w="620" w:type="pct"/>
            <w:shd w:val="clear" w:color="auto" w:fill="auto"/>
            <w:vAlign w:val="center"/>
          </w:tcPr>
          <w:p w14:paraId="7C094D4F"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24 457 784</w:t>
            </w:r>
          </w:p>
        </w:tc>
        <w:tc>
          <w:tcPr>
            <w:tcW w:w="602" w:type="pct"/>
            <w:shd w:val="clear" w:color="auto" w:fill="auto"/>
            <w:vAlign w:val="center"/>
          </w:tcPr>
          <w:p w14:paraId="0BE7D599"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1 755 823</w:t>
            </w:r>
          </w:p>
        </w:tc>
        <w:tc>
          <w:tcPr>
            <w:tcW w:w="364" w:type="pct"/>
            <w:shd w:val="clear" w:color="auto" w:fill="auto"/>
            <w:vAlign w:val="center"/>
          </w:tcPr>
          <w:p w14:paraId="57FA18D6"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103,2</w:t>
            </w:r>
          </w:p>
        </w:tc>
      </w:tr>
      <w:tr w:rsidR="00DD5A54" w:rsidRPr="004310EE" w14:paraId="410411DB" w14:textId="77777777" w:rsidTr="00F53E08">
        <w:trPr>
          <w:trHeight w:val="283"/>
        </w:trPr>
        <w:tc>
          <w:tcPr>
            <w:tcW w:w="935" w:type="pct"/>
            <w:shd w:val="clear" w:color="auto" w:fill="auto"/>
            <w:vAlign w:val="center"/>
          </w:tcPr>
          <w:p w14:paraId="4473FC6A" w14:textId="77777777" w:rsidR="00DD5A54" w:rsidRPr="004310EE" w:rsidRDefault="00DD5A54" w:rsidP="00F53E08">
            <w:pPr>
              <w:spacing w:after="0"/>
              <w:jc w:val="left"/>
              <w:rPr>
                <w:rFonts w:eastAsia="Calibri" w:cs="Segoe UI"/>
                <w:bCs/>
                <w:sz w:val="16"/>
                <w:szCs w:val="16"/>
              </w:rPr>
            </w:pPr>
            <w:r w:rsidRPr="004310EE">
              <w:rPr>
                <w:rFonts w:eastAsia="Calibri" w:cs="Segoe UI"/>
                <w:bCs/>
                <w:sz w:val="16"/>
                <w:szCs w:val="16"/>
              </w:rPr>
              <w:t>Daňové príjmy</w:t>
            </w:r>
          </w:p>
        </w:tc>
        <w:tc>
          <w:tcPr>
            <w:tcW w:w="619" w:type="pct"/>
            <w:vAlign w:val="center"/>
          </w:tcPr>
          <w:p w14:paraId="30A73B89"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15 517 036</w:t>
            </w:r>
          </w:p>
        </w:tc>
        <w:tc>
          <w:tcPr>
            <w:tcW w:w="620" w:type="pct"/>
            <w:shd w:val="clear" w:color="auto" w:fill="auto"/>
            <w:vAlign w:val="center"/>
          </w:tcPr>
          <w:p w14:paraId="1AA3C61F"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17 440 976</w:t>
            </w:r>
          </w:p>
        </w:tc>
        <w:tc>
          <w:tcPr>
            <w:tcW w:w="620" w:type="pct"/>
            <w:shd w:val="clear" w:color="auto" w:fill="auto"/>
            <w:vAlign w:val="center"/>
          </w:tcPr>
          <w:p w14:paraId="17F45474"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18 633 856</w:t>
            </w:r>
          </w:p>
        </w:tc>
        <w:tc>
          <w:tcPr>
            <w:tcW w:w="620" w:type="pct"/>
            <w:vAlign w:val="center"/>
          </w:tcPr>
          <w:p w14:paraId="13589AAB"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18 633 856</w:t>
            </w:r>
          </w:p>
        </w:tc>
        <w:tc>
          <w:tcPr>
            <w:tcW w:w="620" w:type="pct"/>
            <w:shd w:val="clear" w:color="auto" w:fill="auto"/>
            <w:vAlign w:val="center"/>
          </w:tcPr>
          <w:p w14:paraId="49325242"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18 350 788</w:t>
            </w:r>
          </w:p>
        </w:tc>
        <w:tc>
          <w:tcPr>
            <w:tcW w:w="602" w:type="pct"/>
            <w:shd w:val="clear" w:color="auto" w:fill="auto"/>
            <w:vAlign w:val="center"/>
          </w:tcPr>
          <w:p w14:paraId="2A8A9A66"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-283 068</w:t>
            </w:r>
          </w:p>
        </w:tc>
        <w:tc>
          <w:tcPr>
            <w:tcW w:w="364" w:type="pct"/>
            <w:shd w:val="clear" w:color="auto" w:fill="auto"/>
            <w:vAlign w:val="center"/>
          </w:tcPr>
          <w:p w14:paraId="22520E87"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105,2</w:t>
            </w:r>
          </w:p>
        </w:tc>
      </w:tr>
      <w:tr w:rsidR="00DD5A54" w:rsidRPr="004310EE" w14:paraId="087C0B6D" w14:textId="77777777" w:rsidTr="00F53E08">
        <w:trPr>
          <w:trHeight w:val="283"/>
        </w:trPr>
        <w:tc>
          <w:tcPr>
            <w:tcW w:w="935" w:type="pct"/>
            <w:shd w:val="clear" w:color="auto" w:fill="auto"/>
            <w:vAlign w:val="center"/>
          </w:tcPr>
          <w:p w14:paraId="542DDCF8" w14:textId="77777777" w:rsidR="00DD5A54" w:rsidRPr="004310EE" w:rsidRDefault="00DD5A54" w:rsidP="00F53E08">
            <w:pPr>
              <w:spacing w:after="0"/>
              <w:jc w:val="left"/>
              <w:rPr>
                <w:rFonts w:eastAsia="Calibri" w:cs="Segoe UI"/>
                <w:bCs/>
                <w:sz w:val="16"/>
                <w:szCs w:val="16"/>
              </w:rPr>
            </w:pPr>
            <w:r w:rsidRPr="004310EE">
              <w:rPr>
                <w:rFonts w:eastAsia="Calibri" w:cs="Segoe UI"/>
                <w:bCs/>
                <w:sz w:val="16"/>
                <w:szCs w:val="16"/>
              </w:rPr>
              <w:t>Nedaňové príjmy</w:t>
            </w:r>
          </w:p>
        </w:tc>
        <w:tc>
          <w:tcPr>
            <w:tcW w:w="619" w:type="pct"/>
            <w:vAlign w:val="center"/>
          </w:tcPr>
          <w:p w14:paraId="7E82EAD6"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1 285 089</w:t>
            </w:r>
          </w:p>
        </w:tc>
        <w:tc>
          <w:tcPr>
            <w:tcW w:w="620" w:type="pct"/>
            <w:shd w:val="clear" w:color="auto" w:fill="auto"/>
            <w:vAlign w:val="center"/>
          </w:tcPr>
          <w:p w14:paraId="7F77FE49"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1 738 326</w:t>
            </w:r>
          </w:p>
        </w:tc>
        <w:tc>
          <w:tcPr>
            <w:tcW w:w="620" w:type="pct"/>
            <w:shd w:val="clear" w:color="auto" w:fill="auto"/>
            <w:vAlign w:val="center"/>
          </w:tcPr>
          <w:p w14:paraId="3963421D"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1 549 566</w:t>
            </w:r>
          </w:p>
        </w:tc>
        <w:tc>
          <w:tcPr>
            <w:tcW w:w="620" w:type="pct"/>
            <w:vAlign w:val="center"/>
          </w:tcPr>
          <w:p w14:paraId="2FEC154C"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1 549 739</w:t>
            </w:r>
          </w:p>
        </w:tc>
        <w:tc>
          <w:tcPr>
            <w:tcW w:w="620" w:type="pct"/>
            <w:shd w:val="clear" w:color="auto" w:fill="auto"/>
            <w:vAlign w:val="center"/>
          </w:tcPr>
          <w:p w14:paraId="0EF9D862"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1 909 893</w:t>
            </w:r>
          </w:p>
        </w:tc>
        <w:tc>
          <w:tcPr>
            <w:tcW w:w="602" w:type="pct"/>
            <w:shd w:val="clear" w:color="auto" w:fill="auto"/>
            <w:vAlign w:val="center"/>
          </w:tcPr>
          <w:p w14:paraId="21EEDDED"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360 327</w:t>
            </w:r>
          </w:p>
        </w:tc>
        <w:tc>
          <w:tcPr>
            <w:tcW w:w="364" w:type="pct"/>
            <w:shd w:val="clear" w:color="auto" w:fill="auto"/>
            <w:vAlign w:val="center"/>
          </w:tcPr>
          <w:p w14:paraId="63C49B05"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109,9</w:t>
            </w:r>
          </w:p>
        </w:tc>
      </w:tr>
      <w:tr w:rsidR="00DD5A54" w:rsidRPr="004310EE" w14:paraId="4EFE39BE" w14:textId="77777777" w:rsidTr="00F53E08">
        <w:trPr>
          <w:trHeight w:val="283"/>
        </w:trPr>
        <w:tc>
          <w:tcPr>
            <w:tcW w:w="935" w:type="pct"/>
            <w:shd w:val="clear" w:color="auto" w:fill="auto"/>
            <w:vAlign w:val="center"/>
          </w:tcPr>
          <w:p w14:paraId="19CF0AB3" w14:textId="77777777" w:rsidR="00DD5A54" w:rsidRPr="004310EE" w:rsidRDefault="00DD5A54" w:rsidP="00F53E08">
            <w:pPr>
              <w:spacing w:after="0"/>
              <w:jc w:val="left"/>
              <w:rPr>
                <w:rFonts w:eastAsia="Calibri" w:cs="Segoe UI"/>
                <w:bCs/>
                <w:sz w:val="16"/>
                <w:szCs w:val="16"/>
              </w:rPr>
            </w:pPr>
            <w:r w:rsidRPr="004310EE">
              <w:rPr>
                <w:rFonts w:eastAsia="Calibri" w:cs="Segoe UI"/>
                <w:bCs/>
                <w:sz w:val="16"/>
                <w:szCs w:val="16"/>
              </w:rPr>
              <w:t>Granty a transfery</w:t>
            </w:r>
          </w:p>
        </w:tc>
        <w:tc>
          <w:tcPr>
            <w:tcW w:w="619" w:type="pct"/>
            <w:vAlign w:val="center"/>
          </w:tcPr>
          <w:p w14:paraId="36DA2E0C"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2 227 577</w:t>
            </w:r>
          </w:p>
        </w:tc>
        <w:tc>
          <w:tcPr>
            <w:tcW w:w="620" w:type="pct"/>
            <w:shd w:val="clear" w:color="auto" w:fill="auto"/>
            <w:vAlign w:val="center"/>
          </w:tcPr>
          <w:p w14:paraId="6B2564F6"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4 509 344</w:t>
            </w:r>
          </w:p>
        </w:tc>
        <w:tc>
          <w:tcPr>
            <w:tcW w:w="620" w:type="pct"/>
            <w:shd w:val="clear" w:color="auto" w:fill="auto"/>
            <w:vAlign w:val="center"/>
          </w:tcPr>
          <w:p w14:paraId="149F3312"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2 518 539</w:t>
            </w:r>
          </w:p>
        </w:tc>
        <w:tc>
          <w:tcPr>
            <w:tcW w:w="620" w:type="pct"/>
            <w:vAlign w:val="center"/>
          </w:tcPr>
          <w:p w14:paraId="3A76FD33"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4 083 067</w:t>
            </w:r>
          </w:p>
        </w:tc>
        <w:tc>
          <w:tcPr>
            <w:tcW w:w="620" w:type="pct"/>
            <w:shd w:val="clear" w:color="auto" w:fill="auto"/>
            <w:vAlign w:val="center"/>
          </w:tcPr>
          <w:p w14:paraId="01DC6832"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4 197 103</w:t>
            </w:r>
          </w:p>
        </w:tc>
        <w:tc>
          <w:tcPr>
            <w:tcW w:w="602" w:type="pct"/>
            <w:shd w:val="clear" w:color="auto" w:fill="auto"/>
            <w:vAlign w:val="center"/>
          </w:tcPr>
          <w:p w14:paraId="7F95F165"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1 678 564</w:t>
            </w:r>
          </w:p>
        </w:tc>
        <w:tc>
          <w:tcPr>
            <w:tcW w:w="364" w:type="pct"/>
            <w:shd w:val="clear" w:color="auto" w:fill="auto"/>
            <w:vAlign w:val="center"/>
          </w:tcPr>
          <w:p w14:paraId="365AA87B"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93,1</w:t>
            </w:r>
          </w:p>
        </w:tc>
      </w:tr>
      <w:tr w:rsidR="00DD5A54" w:rsidRPr="004310EE" w14:paraId="61F8C5BA" w14:textId="77777777" w:rsidTr="00F53E08">
        <w:trPr>
          <w:trHeight w:val="283"/>
        </w:trPr>
        <w:tc>
          <w:tcPr>
            <w:tcW w:w="935" w:type="pct"/>
            <w:shd w:val="clear" w:color="auto" w:fill="auto"/>
            <w:vAlign w:val="center"/>
          </w:tcPr>
          <w:p w14:paraId="09FA1DAC" w14:textId="77777777" w:rsidR="00DD5A54" w:rsidRPr="004310EE" w:rsidRDefault="00DD5A54" w:rsidP="00F53E08">
            <w:pPr>
              <w:spacing w:after="0"/>
              <w:jc w:val="left"/>
              <w:rPr>
                <w:rFonts w:eastAsia="Calibri" w:cs="Segoe UI"/>
                <w:b/>
                <w:bCs/>
                <w:sz w:val="16"/>
                <w:szCs w:val="16"/>
              </w:rPr>
            </w:pPr>
            <w:r w:rsidRPr="004310EE">
              <w:rPr>
                <w:rFonts w:eastAsia="Calibri" w:cs="Segoe UI"/>
                <w:b/>
                <w:bCs/>
                <w:sz w:val="16"/>
                <w:szCs w:val="16"/>
              </w:rPr>
              <w:t>Celkové výdavky</w:t>
            </w:r>
          </w:p>
        </w:tc>
        <w:tc>
          <w:tcPr>
            <w:tcW w:w="619" w:type="pct"/>
            <w:vAlign w:val="center"/>
          </w:tcPr>
          <w:p w14:paraId="5B50F552"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23 554 555</w:t>
            </w:r>
          </w:p>
        </w:tc>
        <w:tc>
          <w:tcPr>
            <w:tcW w:w="620" w:type="pct"/>
            <w:shd w:val="clear" w:color="auto" w:fill="auto"/>
            <w:vAlign w:val="center"/>
          </w:tcPr>
          <w:p w14:paraId="4BE04093"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31 363 983</w:t>
            </w:r>
          </w:p>
        </w:tc>
        <w:tc>
          <w:tcPr>
            <w:tcW w:w="620" w:type="pct"/>
            <w:shd w:val="clear" w:color="auto" w:fill="auto"/>
            <w:vAlign w:val="center"/>
          </w:tcPr>
          <w:p w14:paraId="751A35EB"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30 317 892</w:t>
            </w:r>
          </w:p>
        </w:tc>
        <w:tc>
          <w:tcPr>
            <w:tcW w:w="620" w:type="pct"/>
            <w:vAlign w:val="center"/>
          </w:tcPr>
          <w:p w14:paraId="09937581"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31 943 853</w:t>
            </w:r>
          </w:p>
        </w:tc>
        <w:tc>
          <w:tcPr>
            <w:tcW w:w="620" w:type="pct"/>
            <w:shd w:val="clear" w:color="auto" w:fill="auto"/>
            <w:vAlign w:val="center"/>
          </w:tcPr>
          <w:p w14:paraId="790F9686"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30 823 904</w:t>
            </w:r>
          </w:p>
        </w:tc>
        <w:tc>
          <w:tcPr>
            <w:tcW w:w="602" w:type="pct"/>
            <w:shd w:val="clear" w:color="auto" w:fill="auto"/>
            <w:vAlign w:val="center"/>
          </w:tcPr>
          <w:p w14:paraId="660E8984"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506 012</w:t>
            </w:r>
          </w:p>
        </w:tc>
        <w:tc>
          <w:tcPr>
            <w:tcW w:w="364" w:type="pct"/>
            <w:shd w:val="clear" w:color="auto" w:fill="auto"/>
            <w:vAlign w:val="center"/>
          </w:tcPr>
          <w:p w14:paraId="56BE6A17"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98,3</w:t>
            </w:r>
          </w:p>
        </w:tc>
      </w:tr>
      <w:tr w:rsidR="00DD5A54" w:rsidRPr="004310EE" w14:paraId="1BEB201C" w14:textId="77777777" w:rsidTr="00F53E08">
        <w:trPr>
          <w:trHeight w:val="283"/>
        </w:trPr>
        <w:tc>
          <w:tcPr>
            <w:tcW w:w="935" w:type="pct"/>
            <w:shd w:val="clear" w:color="auto" w:fill="auto"/>
            <w:vAlign w:val="center"/>
          </w:tcPr>
          <w:p w14:paraId="1FC65474" w14:textId="77777777" w:rsidR="00DD5A54" w:rsidRPr="004310EE" w:rsidRDefault="00DD5A54" w:rsidP="00F53E08">
            <w:pPr>
              <w:spacing w:after="0"/>
              <w:jc w:val="left"/>
              <w:rPr>
                <w:rFonts w:eastAsia="Calibri" w:cs="Segoe UI"/>
                <w:bCs/>
                <w:sz w:val="16"/>
                <w:szCs w:val="16"/>
              </w:rPr>
            </w:pPr>
            <w:r w:rsidRPr="004310EE">
              <w:rPr>
                <w:rFonts w:eastAsia="Calibri" w:cs="Segoe UI"/>
                <w:bCs/>
                <w:sz w:val="16"/>
                <w:szCs w:val="16"/>
              </w:rPr>
              <w:t>Bežné výdavky</w:t>
            </w:r>
          </w:p>
        </w:tc>
        <w:tc>
          <w:tcPr>
            <w:tcW w:w="619" w:type="pct"/>
            <w:vAlign w:val="center"/>
          </w:tcPr>
          <w:p w14:paraId="16A29E7D"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20 847 550</w:t>
            </w:r>
          </w:p>
        </w:tc>
        <w:tc>
          <w:tcPr>
            <w:tcW w:w="620" w:type="pct"/>
            <w:shd w:val="clear" w:color="auto" w:fill="auto"/>
            <w:vAlign w:val="center"/>
          </w:tcPr>
          <w:p w14:paraId="77A6EBA9"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26 649 828</w:t>
            </w:r>
          </w:p>
        </w:tc>
        <w:tc>
          <w:tcPr>
            <w:tcW w:w="620" w:type="pct"/>
            <w:shd w:val="clear" w:color="auto" w:fill="auto"/>
            <w:vAlign w:val="center"/>
          </w:tcPr>
          <w:p w14:paraId="59ABB2D2"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27 190 658</w:t>
            </w:r>
          </w:p>
        </w:tc>
        <w:tc>
          <w:tcPr>
            <w:tcW w:w="620" w:type="pct"/>
            <w:vAlign w:val="center"/>
          </w:tcPr>
          <w:p w14:paraId="2AF80904"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28 045 294</w:t>
            </w:r>
          </w:p>
        </w:tc>
        <w:tc>
          <w:tcPr>
            <w:tcW w:w="620" w:type="pct"/>
            <w:shd w:val="clear" w:color="auto" w:fill="auto"/>
            <w:vAlign w:val="center"/>
          </w:tcPr>
          <w:p w14:paraId="087EB96B"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26 985 766</w:t>
            </w:r>
          </w:p>
        </w:tc>
        <w:tc>
          <w:tcPr>
            <w:tcW w:w="602" w:type="pct"/>
            <w:shd w:val="clear" w:color="auto" w:fill="auto"/>
            <w:vAlign w:val="center"/>
          </w:tcPr>
          <w:p w14:paraId="009C04FB"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-204 892</w:t>
            </w:r>
          </w:p>
        </w:tc>
        <w:tc>
          <w:tcPr>
            <w:tcW w:w="364" w:type="pct"/>
            <w:shd w:val="clear" w:color="auto" w:fill="auto"/>
            <w:vAlign w:val="center"/>
          </w:tcPr>
          <w:p w14:paraId="7C77D31E"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101,3</w:t>
            </w:r>
          </w:p>
        </w:tc>
      </w:tr>
      <w:tr w:rsidR="00DD5A54" w:rsidRPr="004310EE" w14:paraId="07FE4ABE" w14:textId="77777777" w:rsidTr="00F53E08">
        <w:trPr>
          <w:trHeight w:val="283"/>
        </w:trPr>
        <w:tc>
          <w:tcPr>
            <w:tcW w:w="935" w:type="pct"/>
            <w:shd w:val="clear" w:color="auto" w:fill="auto"/>
            <w:vAlign w:val="center"/>
          </w:tcPr>
          <w:p w14:paraId="263B9B14" w14:textId="77777777" w:rsidR="00DD5A54" w:rsidRPr="004310EE" w:rsidRDefault="00DD5A54" w:rsidP="00F53E08">
            <w:pPr>
              <w:spacing w:after="0"/>
              <w:ind w:right="-93"/>
              <w:jc w:val="left"/>
              <w:rPr>
                <w:rFonts w:eastAsia="Calibri" w:cs="Segoe UI"/>
                <w:bCs/>
                <w:sz w:val="16"/>
                <w:szCs w:val="16"/>
              </w:rPr>
            </w:pPr>
            <w:r w:rsidRPr="004310EE">
              <w:rPr>
                <w:rFonts w:eastAsia="Calibri" w:cs="Segoe UI"/>
                <w:bCs/>
                <w:sz w:val="16"/>
                <w:szCs w:val="16"/>
              </w:rPr>
              <w:t>Kapitálové výdavky</w:t>
            </w:r>
          </w:p>
        </w:tc>
        <w:tc>
          <w:tcPr>
            <w:tcW w:w="619" w:type="pct"/>
            <w:vAlign w:val="center"/>
          </w:tcPr>
          <w:p w14:paraId="57B91DFD"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2 707 004</w:t>
            </w:r>
          </w:p>
        </w:tc>
        <w:tc>
          <w:tcPr>
            <w:tcW w:w="620" w:type="pct"/>
            <w:shd w:val="clear" w:color="auto" w:fill="auto"/>
            <w:vAlign w:val="center"/>
          </w:tcPr>
          <w:p w14:paraId="73C056F0"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4 714 155</w:t>
            </w:r>
          </w:p>
        </w:tc>
        <w:tc>
          <w:tcPr>
            <w:tcW w:w="620" w:type="pct"/>
            <w:shd w:val="clear" w:color="auto" w:fill="auto"/>
            <w:vAlign w:val="center"/>
          </w:tcPr>
          <w:p w14:paraId="34D421D6"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3 127 234</w:t>
            </w:r>
          </w:p>
        </w:tc>
        <w:tc>
          <w:tcPr>
            <w:tcW w:w="620" w:type="pct"/>
            <w:vAlign w:val="center"/>
          </w:tcPr>
          <w:p w14:paraId="4922D0E7"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3 898 559</w:t>
            </w:r>
          </w:p>
        </w:tc>
        <w:tc>
          <w:tcPr>
            <w:tcW w:w="620" w:type="pct"/>
            <w:shd w:val="clear" w:color="auto" w:fill="auto"/>
            <w:vAlign w:val="center"/>
          </w:tcPr>
          <w:p w14:paraId="57B516AB"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3 838 138</w:t>
            </w:r>
          </w:p>
        </w:tc>
        <w:tc>
          <w:tcPr>
            <w:tcW w:w="602" w:type="pct"/>
            <w:shd w:val="clear" w:color="auto" w:fill="auto"/>
            <w:vAlign w:val="center"/>
          </w:tcPr>
          <w:p w14:paraId="59337569"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710 904</w:t>
            </w:r>
          </w:p>
        </w:tc>
        <w:tc>
          <w:tcPr>
            <w:tcW w:w="364" w:type="pct"/>
            <w:shd w:val="clear" w:color="auto" w:fill="auto"/>
            <w:vAlign w:val="center"/>
          </w:tcPr>
          <w:p w14:paraId="262C2E70" w14:textId="77777777" w:rsidR="00DD5A54" w:rsidRPr="004310EE" w:rsidRDefault="00DD5A54" w:rsidP="00F53E08">
            <w:pPr>
              <w:spacing w:after="0"/>
              <w:jc w:val="right"/>
              <w:rPr>
                <w:rFonts w:eastAsia="Calibri" w:cs="Segoe UI"/>
                <w:bCs/>
                <w:sz w:val="16"/>
                <w:szCs w:val="16"/>
              </w:rPr>
            </w:pPr>
            <w:r w:rsidRPr="004310EE">
              <w:rPr>
                <w:rFonts w:eastAsia="Times New Roman" w:cs="Segoe UI"/>
                <w:sz w:val="16"/>
                <w:szCs w:val="16"/>
                <w:lang w:eastAsia="sk-SK"/>
              </w:rPr>
              <w:t>81,4</w:t>
            </w:r>
          </w:p>
        </w:tc>
      </w:tr>
      <w:tr w:rsidR="00DD5A54" w:rsidRPr="004310EE" w14:paraId="04382903" w14:textId="77777777" w:rsidTr="00F53E08">
        <w:trPr>
          <w:trHeight w:val="283"/>
        </w:trPr>
        <w:tc>
          <w:tcPr>
            <w:tcW w:w="935" w:type="pct"/>
            <w:tcBorders>
              <w:bottom w:val="single" w:sz="4" w:space="0" w:color="314364"/>
            </w:tcBorders>
            <w:shd w:val="clear" w:color="auto" w:fill="auto"/>
            <w:vAlign w:val="center"/>
          </w:tcPr>
          <w:p w14:paraId="41861C83" w14:textId="77777777" w:rsidR="00DD5A54" w:rsidRPr="004310EE" w:rsidRDefault="00DD5A54" w:rsidP="00F53E08">
            <w:pPr>
              <w:spacing w:after="0"/>
              <w:jc w:val="left"/>
              <w:rPr>
                <w:rFonts w:eastAsia="Calibri" w:cs="Segoe UI"/>
                <w:b/>
                <w:bCs/>
                <w:sz w:val="16"/>
                <w:szCs w:val="16"/>
              </w:rPr>
            </w:pPr>
            <w:r w:rsidRPr="004310EE">
              <w:rPr>
                <w:rFonts w:eastAsia="Calibri" w:cs="Segoe UI"/>
                <w:b/>
                <w:bCs/>
                <w:sz w:val="16"/>
                <w:szCs w:val="16"/>
              </w:rPr>
              <w:t>Schodok ŠR</w:t>
            </w:r>
          </w:p>
        </w:tc>
        <w:tc>
          <w:tcPr>
            <w:tcW w:w="619" w:type="pct"/>
            <w:tcBorders>
              <w:bottom w:val="single" w:sz="4" w:space="0" w:color="314364"/>
            </w:tcBorders>
            <w:vAlign w:val="center"/>
          </w:tcPr>
          <w:p w14:paraId="51009DFD"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-4 524 853</w:t>
            </w:r>
          </w:p>
        </w:tc>
        <w:tc>
          <w:tcPr>
            <w:tcW w:w="620" w:type="pct"/>
            <w:tcBorders>
              <w:bottom w:val="single" w:sz="4" w:space="0" w:color="314364"/>
            </w:tcBorders>
            <w:shd w:val="clear" w:color="auto" w:fill="auto"/>
            <w:vAlign w:val="center"/>
          </w:tcPr>
          <w:p w14:paraId="1FB9C8EE"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-7 675 337</w:t>
            </w:r>
          </w:p>
        </w:tc>
        <w:tc>
          <w:tcPr>
            <w:tcW w:w="620" w:type="pct"/>
            <w:tcBorders>
              <w:bottom w:val="single" w:sz="4" w:space="0" w:color="314364"/>
            </w:tcBorders>
            <w:shd w:val="clear" w:color="auto" w:fill="auto"/>
            <w:vAlign w:val="center"/>
          </w:tcPr>
          <w:p w14:paraId="355E1A05"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-7 615 931</w:t>
            </w:r>
          </w:p>
        </w:tc>
        <w:tc>
          <w:tcPr>
            <w:tcW w:w="620" w:type="pct"/>
            <w:tcBorders>
              <w:bottom w:val="single" w:sz="4" w:space="0" w:color="314364"/>
            </w:tcBorders>
            <w:vAlign w:val="center"/>
          </w:tcPr>
          <w:p w14:paraId="7618F732"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-7 677 191</w:t>
            </w:r>
          </w:p>
        </w:tc>
        <w:tc>
          <w:tcPr>
            <w:tcW w:w="620" w:type="pct"/>
            <w:tcBorders>
              <w:bottom w:val="single" w:sz="4" w:space="0" w:color="314364"/>
            </w:tcBorders>
            <w:shd w:val="clear" w:color="auto" w:fill="auto"/>
            <w:vAlign w:val="center"/>
          </w:tcPr>
          <w:p w14:paraId="36D04103"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-6 366 120</w:t>
            </w:r>
          </w:p>
        </w:tc>
        <w:tc>
          <w:tcPr>
            <w:tcW w:w="602" w:type="pct"/>
            <w:tcBorders>
              <w:bottom w:val="single" w:sz="4" w:space="0" w:color="314364"/>
            </w:tcBorders>
            <w:shd w:val="clear" w:color="auto" w:fill="auto"/>
            <w:vAlign w:val="center"/>
          </w:tcPr>
          <w:p w14:paraId="6E5ACFB4"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1 249 811</w:t>
            </w:r>
          </w:p>
        </w:tc>
        <w:tc>
          <w:tcPr>
            <w:tcW w:w="364" w:type="pct"/>
            <w:tcBorders>
              <w:bottom w:val="single" w:sz="4" w:space="0" w:color="314364"/>
            </w:tcBorders>
            <w:shd w:val="clear" w:color="auto" w:fill="auto"/>
            <w:vAlign w:val="center"/>
          </w:tcPr>
          <w:p w14:paraId="2CDF0E66" w14:textId="77777777" w:rsidR="00DD5A54" w:rsidRPr="004310EE" w:rsidRDefault="00DD5A54" w:rsidP="00F53E08">
            <w:pPr>
              <w:spacing w:after="0"/>
              <w:jc w:val="right"/>
              <w:rPr>
                <w:rFonts w:eastAsia="Calibri" w:cs="Segoe UI"/>
                <w:b/>
                <w:bCs/>
                <w:sz w:val="16"/>
                <w:szCs w:val="16"/>
              </w:rPr>
            </w:pPr>
            <w:r w:rsidRPr="004310EE">
              <w:rPr>
                <w:rFonts w:eastAsia="Times New Roman" w:cs="Segoe UI"/>
                <w:b/>
                <w:sz w:val="16"/>
                <w:szCs w:val="16"/>
                <w:lang w:eastAsia="sk-SK"/>
              </w:rPr>
              <w:t>82,9</w:t>
            </w:r>
          </w:p>
        </w:tc>
      </w:tr>
    </w:tbl>
    <w:p w14:paraId="798A1647" w14:textId="3396E63B" w:rsidR="00DD5A54" w:rsidRPr="004310EE" w:rsidRDefault="00DD5A54" w:rsidP="00DD5A54">
      <w:pPr>
        <w:spacing w:line="240" w:lineRule="auto"/>
        <w:jc w:val="left"/>
        <w:rPr>
          <w:rFonts w:eastAsia="Calibri" w:cs="Times New Roman"/>
          <w:i/>
          <w:color w:val="314364"/>
          <w:sz w:val="16"/>
        </w:rPr>
      </w:pPr>
      <w:r w:rsidRPr="004310EE">
        <w:rPr>
          <w:rFonts w:eastAsia="Calibri" w:cs="Times New Roman"/>
          <w:i/>
          <w:color w:val="314364"/>
          <w:sz w:val="16"/>
        </w:rPr>
        <w:t>Zdroj: Návrh ŠZÚ 2024.</w:t>
      </w:r>
      <w:r w:rsidRPr="004310EE">
        <w:rPr>
          <w:rFonts w:eastAsia="Calibri" w:cs="Times New Roman"/>
          <w:i/>
          <w:color w:val="314364"/>
          <w:sz w:val="16"/>
        </w:rPr>
        <w:br/>
        <w:t xml:space="preserve">S – skutočnosť, R – rozpočet, UR – upravený rozpočet, </w:t>
      </w:r>
      <w:proofErr w:type="spellStart"/>
      <w:r w:rsidRPr="004310EE">
        <w:rPr>
          <w:rFonts w:eastAsia="Calibri" w:cs="Times New Roman"/>
          <w:i/>
          <w:color w:val="314364"/>
          <w:sz w:val="16"/>
        </w:rPr>
        <w:t>YoY</w:t>
      </w:r>
      <w:proofErr w:type="spellEnd"/>
      <w:r w:rsidRPr="004310EE">
        <w:rPr>
          <w:rFonts w:eastAsia="Calibri" w:cs="Times New Roman"/>
          <w:i/>
          <w:color w:val="314364"/>
          <w:sz w:val="16"/>
        </w:rPr>
        <w:t xml:space="preserve"> – medziročná zmena</w:t>
      </w:r>
      <w:r w:rsidR="00601FB5">
        <w:rPr>
          <w:rFonts w:eastAsia="Calibri" w:cs="Times New Roman"/>
          <w:i/>
          <w:color w:val="314364"/>
          <w:sz w:val="16"/>
        </w:rPr>
        <w:t>.</w:t>
      </w:r>
    </w:p>
    <w:p w14:paraId="094126DE" w14:textId="663D7299" w:rsidR="00DD5A54" w:rsidRDefault="00DD5A54" w:rsidP="00DD5A54">
      <w:pPr>
        <w:rPr>
          <w:rFonts w:eastAsia="Times New Roman" w:cs="Segoe UI"/>
        </w:rPr>
      </w:pPr>
      <w:r w:rsidRPr="004310EE">
        <w:rPr>
          <w:rFonts w:eastAsia="Times New Roman" w:cs="Segoe UI"/>
          <w:b/>
        </w:rPr>
        <w:t xml:space="preserve">Zámery vo vybraných výdavkových položkách sa v predchádzajúcom roku darilo napĺňať s výnimkou POO a nutnosti transferu do SP </w:t>
      </w:r>
      <w:r w:rsidRPr="004310EE">
        <w:rPr>
          <w:rFonts w:eastAsia="Times New Roman" w:cs="Segoe UI"/>
        </w:rPr>
        <w:t xml:space="preserve">(tabuľka </w:t>
      </w:r>
      <w:r w:rsidR="00F53E08">
        <w:rPr>
          <w:rFonts w:eastAsia="Times New Roman" w:cs="Segoe UI"/>
        </w:rPr>
        <w:t>6</w:t>
      </w:r>
      <w:r w:rsidRPr="004310EE">
        <w:rPr>
          <w:rFonts w:eastAsia="Times New Roman" w:cs="Segoe UI"/>
        </w:rPr>
        <w:t>)</w:t>
      </w:r>
      <w:r w:rsidRPr="00B94E46">
        <w:rPr>
          <w:rFonts w:eastAsia="Times New Roman" w:cs="Segoe UI"/>
          <w:b/>
          <w:bCs/>
        </w:rPr>
        <w:t>.</w:t>
      </w:r>
      <w:r w:rsidRPr="004310EE">
        <w:rPr>
          <w:rFonts w:eastAsia="Times New Roman" w:cs="Segoe UI"/>
        </w:rPr>
        <w:t xml:space="preserve"> Výdavky na obsluhu štátneho dlhu </w:t>
      </w:r>
      <w:r w:rsidR="00182616">
        <w:rPr>
          <w:rFonts w:eastAsia="Times New Roman" w:cs="Segoe UI"/>
        </w:rPr>
        <w:t xml:space="preserve">(ŠD) </w:t>
      </w:r>
      <w:r w:rsidRPr="004310EE">
        <w:rPr>
          <w:rFonts w:eastAsia="Times New Roman" w:cs="Segoe UI"/>
        </w:rPr>
        <w:t xml:space="preserve">boli oproti rozpočtu nižšie o 167,5 mil. eur, čo bolo dosiahnuté aj optimalizáciou voľnej likvidity v ŠP. Výdavky na POO (vrátane DPH) boli </w:t>
      </w:r>
      <w:r w:rsidR="0005277C">
        <w:rPr>
          <w:rFonts w:eastAsia="Times New Roman" w:cs="Segoe UI"/>
        </w:rPr>
        <w:t xml:space="preserve">medziročne </w:t>
      </w:r>
      <w:r w:rsidRPr="004310EE">
        <w:rPr>
          <w:rFonts w:eastAsia="Times New Roman" w:cs="Segoe UI"/>
        </w:rPr>
        <w:t>takmer trojnásobné</w:t>
      </w:r>
      <w:r w:rsidR="0005277C">
        <w:rPr>
          <w:rFonts w:eastAsia="Times New Roman" w:cs="Segoe UI"/>
        </w:rPr>
        <w:t>, n</w:t>
      </w:r>
      <w:r w:rsidRPr="004310EE">
        <w:rPr>
          <w:rFonts w:eastAsia="Times New Roman" w:cs="Segoe UI"/>
        </w:rPr>
        <w:t>o stále o 302,8 mil. eur nižšie než v</w:t>
      </w:r>
      <w:r w:rsidR="0005277C">
        <w:rPr>
          <w:rFonts w:eastAsia="Times New Roman" w:cs="Segoe UI"/>
        </w:rPr>
        <w:t xml:space="preserve"> schválenom </w:t>
      </w:r>
      <w:r w:rsidRPr="004310EE">
        <w:rPr>
          <w:rFonts w:eastAsia="Times New Roman" w:cs="Segoe UI"/>
        </w:rPr>
        <w:t xml:space="preserve">rozpočte na 2024 </w:t>
      </w:r>
      <w:r w:rsidR="0005277C">
        <w:rPr>
          <w:rFonts w:eastAsia="Times New Roman" w:cs="Segoe UI"/>
        </w:rPr>
        <w:t>(t</w:t>
      </w:r>
      <w:r w:rsidRPr="004310EE">
        <w:rPr>
          <w:rFonts w:eastAsia="Times New Roman" w:cs="Segoe UI"/>
        </w:rPr>
        <w:t>ýmto aj ostatným zdrojom EÚ sa venujeme v</w:t>
      </w:r>
      <w:r w:rsidR="001767FE">
        <w:rPr>
          <w:rFonts w:eastAsia="Times New Roman" w:cs="Segoe UI"/>
        </w:rPr>
        <w:t>o</w:t>
      </w:r>
      <w:r w:rsidRPr="004310EE">
        <w:rPr>
          <w:rFonts w:eastAsia="Times New Roman" w:cs="Segoe UI"/>
        </w:rPr>
        <w:t> štvrtej kapitole</w:t>
      </w:r>
      <w:r w:rsidR="0005277C">
        <w:rPr>
          <w:rFonts w:eastAsia="Times New Roman" w:cs="Segoe UI"/>
        </w:rPr>
        <w:t>)</w:t>
      </w:r>
      <w:r w:rsidRPr="004310EE">
        <w:rPr>
          <w:rFonts w:eastAsia="Times New Roman" w:cs="Segoe UI"/>
        </w:rPr>
        <w:t>. Transfer SP ďalej narastá pod vplyvom úprav pri 13. dôchodkoch, predčasných starobných dôchodkoch a valorizácii. Na rok 2024 bol rozpočtovaný transfer vo výške 1</w:t>
      </w:r>
      <w:r w:rsidR="0005277C">
        <w:rPr>
          <w:rFonts w:eastAsia="Times New Roman" w:cs="Segoe UI"/>
        </w:rPr>
        <w:t>,</w:t>
      </w:r>
      <w:r w:rsidRPr="004310EE">
        <w:rPr>
          <w:rFonts w:eastAsia="Times New Roman" w:cs="Segoe UI"/>
        </w:rPr>
        <w:t>6 ml</w:t>
      </w:r>
      <w:r w:rsidR="0005277C">
        <w:rPr>
          <w:rFonts w:eastAsia="Times New Roman" w:cs="Segoe UI"/>
        </w:rPr>
        <w:t>d</w:t>
      </w:r>
      <w:r w:rsidRPr="004310EE">
        <w:rPr>
          <w:rFonts w:eastAsia="Times New Roman" w:cs="Segoe UI"/>
        </w:rPr>
        <w:t>. eur, pričom v priebehu roka ho bolo potrebné navýš</w:t>
      </w:r>
      <w:r>
        <w:rPr>
          <w:rFonts w:eastAsia="Times New Roman" w:cs="Segoe UI"/>
        </w:rPr>
        <w:t>iť na konečných 2</w:t>
      </w:r>
      <w:r w:rsidR="0005277C">
        <w:rPr>
          <w:rFonts w:eastAsia="Times New Roman" w:cs="Segoe UI"/>
        </w:rPr>
        <w:t>,</w:t>
      </w:r>
      <w:r>
        <w:rPr>
          <w:rFonts w:eastAsia="Times New Roman" w:cs="Segoe UI"/>
        </w:rPr>
        <w:t>72 ml. eur.</w:t>
      </w:r>
    </w:p>
    <w:p w14:paraId="001F3A0D" w14:textId="77777777" w:rsidR="00BA44CD" w:rsidRPr="004310EE" w:rsidRDefault="00BA44CD" w:rsidP="00BA44CD">
      <w:pPr>
        <w:keepNext/>
        <w:spacing w:after="0" w:line="240" w:lineRule="auto"/>
        <w:rPr>
          <w:rFonts w:eastAsia="Calibri" w:cs="Times New Roman"/>
          <w:b/>
          <w:iCs/>
          <w:color w:val="314364"/>
          <w:szCs w:val="18"/>
        </w:rPr>
      </w:pPr>
      <w:bookmarkStart w:id="17" w:name="_Toc105414678"/>
      <w:r w:rsidRPr="004310EE">
        <w:rPr>
          <w:rFonts w:eastAsia="Calibri" w:cs="Times New Roman"/>
          <w:b/>
          <w:iCs/>
          <w:color w:val="314364"/>
          <w:szCs w:val="18"/>
        </w:rPr>
        <w:t xml:space="preserve">Tabuľka </w:t>
      </w:r>
      <w:r>
        <w:rPr>
          <w:rFonts w:eastAsia="Calibri" w:cs="Times New Roman"/>
          <w:b/>
          <w:iCs/>
          <w:color w:val="314364"/>
          <w:szCs w:val="18"/>
        </w:rPr>
        <w:t>6</w:t>
      </w:r>
      <w:r w:rsidRPr="004310EE">
        <w:rPr>
          <w:rFonts w:eastAsia="Calibri" w:cs="Times New Roman"/>
          <w:b/>
          <w:iCs/>
          <w:color w:val="314364"/>
          <w:szCs w:val="18"/>
        </w:rPr>
        <w:t>: Čerpanie vybraných výdavkov ŠR (v tis. eur)</w:t>
      </w:r>
    </w:p>
    <w:tbl>
      <w:tblPr>
        <w:tblW w:w="5000" w:type="pct"/>
        <w:jc w:val="center"/>
        <w:tblCellMar>
          <w:top w:w="28" w:type="dxa"/>
        </w:tblCellMar>
        <w:tblLook w:val="04A0" w:firstRow="1" w:lastRow="0" w:firstColumn="1" w:lastColumn="0" w:noHBand="0" w:noVBand="1"/>
      </w:tblPr>
      <w:tblGrid>
        <w:gridCol w:w="2083"/>
        <w:gridCol w:w="1188"/>
        <w:gridCol w:w="1190"/>
        <w:gridCol w:w="1339"/>
        <w:gridCol w:w="1288"/>
        <w:gridCol w:w="1059"/>
        <w:gridCol w:w="923"/>
      </w:tblGrid>
      <w:tr w:rsidR="00BA44CD" w:rsidRPr="004310EE" w14:paraId="4DB6DDB8" w14:textId="77777777" w:rsidTr="002E1FF0">
        <w:trPr>
          <w:trHeight w:val="283"/>
          <w:jc w:val="center"/>
        </w:trPr>
        <w:tc>
          <w:tcPr>
            <w:tcW w:w="1148" w:type="pct"/>
            <w:shd w:val="clear" w:color="auto" w:fill="314364"/>
            <w:vAlign w:val="center"/>
          </w:tcPr>
          <w:p w14:paraId="4902B5A7" w14:textId="77777777" w:rsidR="00BA44CD" w:rsidRPr="004310EE" w:rsidRDefault="00BA44CD" w:rsidP="002E1FF0">
            <w:pPr>
              <w:spacing w:after="0" w:line="259" w:lineRule="auto"/>
              <w:jc w:val="left"/>
              <w:rPr>
                <w:rFonts w:eastAsia="Calibri" w:cs="Segoe UI"/>
                <w:color w:val="000000"/>
                <w:sz w:val="16"/>
                <w:szCs w:val="16"/>
              </w:rPr>
            </w:pPr>
            <w:r w:rsidRPr="004310EE">
              <w:rPr>
                <w:rFonts w:eastAsia="Calibri" w:cs="Segoe UI"/>
                <w:b/>
                <w:bCs/>
                <w:color w:val="FFFFFF"/>
                <w:sz w:val="16"/>
                <w:szCs w:val="16"/>
              </w:rPr>
              <w:t>Ukazovateľ</w:t>
            </w:r>
          </w:p>
        </w:tc>
        <w:tc>
          <w:tcPr>
            <w:tcW w:w="655" w:type="pct"/>
            <w:shd w:val="clear" w:color="auto" w:fill="314364"/>
            <w:vAlign w:val="center"/>
          </w:tcPr>
          <w:p w14:paraId="07FF929A"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2022 S</w:t>
            </w:r>
          </w:p>
        </w:tc>
        <w:tc>
          <w:tcPr>
            <w:tcW w:w="656" w:type="pct"/>
            <w:shd w:val="clear" w:color="auto" w:fill="314364"/>
            <w:vAlign w:val="center"/>
          </w:tcPr>
          <w:p w14:paraId="72A7D205"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2023 S</w:t>
            </w:r>
          </w:p>
        </w:tc>
        <w:tc>
          <w:tcPr>
            <w:tcW w:w="738" w:type="pct"/>
            <w:shd w:val="clear" w:color="auto" w:fill="314364"/>
            <w:vAlign w:val="center"/>
          </w:tcPr>
          <w:p w14:paraId="2B30ECE0"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2024 R</w:t>
            </w:r>
          </w:p>
        </w:tc>
        <w:tc>
          <w:tcPr>
            <w:tcW w:w="710" w:type="pct"/>
            <w:shd w:val="clear" w:color="auto" w:fill="314364"/>
            <w:vAlign w:val="center"/>
          </w:tcPr>
          <w:p w14:paraId="0EFC05F3"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2024 S</w:t>
            </w:r>
          </w:p>
        </w:tc>
        <w:tc>
          <w:tcPr>
            <w:tcW w:w="584" w:type="pct"/>
            <w:shd w:val="clear" w:color="auto" w:fill="314364"/>
            <w:vAlign w:val="center"/>
          </w:tcPr>
          <w:p w14:paraId="757CF412"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24S-24R</w:t>
            </w:r>
          </w:p>
        </w:tc>
        <w:tc>
          <w:tcPr>
            <w:tcW w:w="509" w:type="pct"/>
            <w:shd w:val="clear" w:color="auto" w:fill="314364"/>
            <w:vAlign w:val="center"/>
          </w:tcPr>
          <w:p w14:paraId="55AC4A9A" w14:textId="77777777" w:rsidR="00BA44CD" w:rsidRPr="004310EE" w:rsidRDefault="00BA44CD" w:rsidP="002E1FF0">
            <w:pPr>
              <w:spacing w:after="0" w:line="259" w:lineRule="auto"/>
              <w:jc w:val="right"/>
              <w:rPr>
                <w:rFonts w:eastAsia="Calibri" w:cs="Segoe UI"/>
                <w:b/>
                <w:bCs/>
                <w:color w:val="FFFFFF"/>
                <w:sz w:val="16"/>
                <w:szCs w:val="16"/>
              </w:rPr>
            </w:pPr>
            <w:proofErr w:type="spellStart"/>
            <w:r w:rsidRPr="004310EE">
              <w:rPr>
                <w:rFonts w:eastAsia="Calibri" w:cs="Segoe UI"/>
                <w:b/>
                <w:bCs/>
                <w:color w:val="FFFFFF"/>
                <w:sz w:val="16"/>
                <w:szCs w:val="16"/>
              </w:rPr>
              <w:t>YoY</w:t>
            </w:r>
            <w:proofErr w:type="spellEnd"/>
          </w:p>
        </w:tc>
      </w:tr>
      <w:tr w:rsidR="00BA44CD" w:rsidRPr="004310EE" w14:paraId="1D1B4324" w14:textId="77777777" w:rsidTr="002E1FF0">
        <w:trPr>
          <w:trHeight w:val="283"/>
          <w:jc w:val="center"/>
        </w:trPr>
        <w:tc>
          <w:tcPr>
            <w:tcW w:w="1148" w:type="pct"/>
            <w:vAlign w:val="center"/>
          </w:tcPr>
          <w:p w14:paraId="7B64CBA2" w14:textId="77777777" w:rsidR="00BA44CD" w:rsidRPr="004310EE" w:rsidRDefault="00BA44CD" w:rsidP="002E1FF0">
            <w:pPr>
              <w:spacing w:after="0"/>
              <w:jc w:val="left"/>
              <w:rPr>
                <w:rFonts w:eastAsia="Times New Roman" w:cs="Segoe UI"/>
                <w:b/>
                <w:color w:val="000000"/>
                <w:sz w:val="16"/>
                <w:szCs w:val="16"/>
                <w:lang w:eastAsia="sk-SK"/>
              </w:rPr>
            </w:pPr>
            <w:r w:rsidRPr="004310EE">
              <w:rPr>
                <w:rFonts w:eastAsia="Times New Roman" w:cs="Segoe UI"/>
                <w:b/>
                <w:color w:val="000000"/>
                <w:sz w:val="16"/>
                <w:szCs w:val="16"/>
                <w:lang w:eastAsia="sk-SK"/>
              </w:rPr>
              <w:t>Výdavky ŠR spolu</w:t>
            </w:r>
          </w:p>
        </w:tc>
        <w:tc>
          <w:tcPr>
            <w:tcW w:w="655" w:type="pct"/>
          </w:tcPr>
          <w:p w14:paraId="64E5065A"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23 554 555</w:t>
            </w:r>
          </w:p>
        </w:tc>
        <w:tc>
          <w:tcPr>
            <w:tcW w:w="656" w:type="pct"/>
          </w:tcPr>
          <w:p w14:paraId="41319851"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31 363 983</w:t>
            </w:r>
          </w:p>
        </w:tc>
        <w:tc>
          <w:tcPr>
            <w:tcW w:w="738" w:type="pct"/>
          </w:tcPr>
          <w:p w14:paraId="26AD2B4D"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30 317 892</w:t>
            </w:r>
          </w:p>
        </w:tc>
        <w:tc>
          <w:tcPr>
            <w:tcW w:w="710" w:type="pct"/>
          </w:tcPr>
          <w:p w14:paraId="5C62F493"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30 823 904</w:t>
            </w:r>
          </w:p>
        </w:tc>
        <w:tc>
          <w:tcPr>
            <w:tcW w:w="584" w:type="pct"/>
          </w:tcPr>
          <w:p w14:paraId="5B4D8FCE"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506 012</w:t>
            </w:r>
          </w:p>
        </w:tc>
        <w:tc>
          <w:tcPr>
            <w:tcW w:w="509" w:type="pct"/>
          </w:tcPr>
          <w:p w14:paraId="4992BAF6"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98,3</w:t>
            </w:r>
          </w:p>
        </w:tc>
      </w:tr>
      <w:tr w:rsidR="00BA44CD" w:rsidRPr="004310EE" w14:paraId="2FA2EE30" w14:textId="77777777" w:rsidTr="002E1FF0">
        <w:trPr>
          <w:trHeight w:val="283"/>
          <w:jc w:val="center"/>
        </w:trPr>
        <w:tc>
          <w:tcPr>
            <w:tcW w:w="1148" w:type="pct"/>
            <w:vAlign w:val="center"/>
          </w:tcPr>
          <w:p w14:paraId="39EB7267"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 xml:space="preserve">Výdavky na obsluhu </w:t>
            </w:r>
            <w:r>
              <w:rPr>
                <w:rFonts w:eastAsia="Times New Roman" w:cs="Segoe UI"/>
                <w:color w:val="000000"/>
                <w:sz w:val="16"/>
                <w:szCs w:val="16"/>
                <w:lang w:eastAsia="sk-SK"/>
              </w:rPr>
              <w:t>ŠD</w:t>
            </w:r>
          </w:p>
        </w:tc>
        <w:tc>
          <w:tcPr>
            <w:tcW w:w="655" w:type="pct"/>
          </w:tcPr>
          <w:p w14:paraId="1890A759"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1 059 061</w:t>
            </w:r>
          </w:p>
        </w:tc>
        <w:tc>
          <w:tcPr>
            <w:tcW w:w="656" w:type="pct"/>
          </w:tcPr>
          <w:p w14:paraId="0070B13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1 073 190</w:t>
            </w:r>
          </w:p>
        </w:tc>
        <w:tc>
          <w:tcPr>
            <w:tcW w:w="738" w:type="pct"/>
          </w:tcPr>
          <w:p w14:paraId="7E4B4113"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1 356 768</w:t>
            </w:r>
          </w:p>
        </w:tc>
        <w:tc>
          <w:tcPr>
            <w:tcW w:w="710" w:type="pct"/>
          </w:tcPr>
          <w:p w14:paraId="280C7BA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1 189 226</w:t>
            </w:r>
          </w:p>
        </w:tc>
        <w:tc>
          <w:tcPr>
            <w:tcW w:w="584" w:type="pct"/>
          </w:tcPr>
          <w:p w14:paraId="01F07D8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-167 542</w:t>
            </w:r>
          </w:p>
        </w:tc>
        <w:tc>
          <w:tcPr>
            <w:tcW w:w="509" w:type="pct"/>
          </w:tcPr>
          <w:p w14:paraId="020C5EF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110,8</w:t>
            </w:r>
          </w:p>
        </w:tc>
      </w:tr>
      <w:tr w:rsidR="00BA44CD" w:rsidRPr="004310EE" w14:paraId="339A9C3D" w14:textId="77777777" w:rsidTr="002E1FF0">
        <w:trPr>
          <w:trHeight w:val="283"/>
          <w:jc w:val="center"/>
        </w:trPr>
        <w:tc>
          <w:tcPr>
            <w:tcW w:w="1148" w:type="pct"/>
            <w:vAlign w:val="center"/>
          </w:tcPr>
          <w:p w14:paraId="18987F7A"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POO – výdavky</w:t>
            </w:r>
          </w:p>
        </w:tc>
        <w:tc>
          <w:tcPr>
            <w:tcW w:w="655" w:type="pct"/>
          </w:tcPr>
          <w:p w14:paraId="2D5F2790"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48 966</w:t>
            </w:r>
          </w:p>
        </w:tc>
        <w:tc>
          <w:tcPr>
            <w:tcW w:w="656" w:type="pct"/>
          </w:tcPr>
          <w:p w14:paraId="367D9AA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374 178</w:t>
            </w:r>
          </w:p>
        </w:tc>
        <w:tc>
          <w:tcPr>
            <w:tcW w:w="738" w:type="pct"/>
          </w:tcPr>
          <w:p w14:paraId="0BA2BC42"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1 215 402</w:t>
            </w:r>
          </w:p>
        </w:tc>
        <w:tc>
          <w:tcPr>
            <w:tcW w:w="710" w:type="pct"/>
          </w:tcPr>
          <w:p w14:paraId="7D1CDD4E"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936 294</w:t>
            </w:r>
          </w:p>
        </w:tc>
        <w:tc>
          <w:tcPr>
            <w:tcW w:w="584" w:type="pct"/>
          </w:tcPr>
          <w:p w14:paraId="5762F56B"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-279 108</w:t>
            </w:r>
          </w:p>
        </w:tc>
        <w:tc>
          <w:tcPr>
            <w:tcW w:w="509" w:type="pct"/>
          </w:tcPr>
          <w:p w14:paraId="0A6DDBEC"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250,2</w:t>
            </w:r>
          </w:p>
        </w:tc>
      </w:tr>
      <w:tr w:rsidR="00BA44CD" w:rsidRPr="004310EE" w14:paraId="0B01831B" w14:textId="77777777" w:rsidTr="002E1FF0">
        <w:trPr>
          <w:trHeight w:val="283"/>
          <w:jc w:val="center"/>
        </w:trPr>
        <w:tc>
          <w:tcPr>
            <w:tcW w:w="1148" w:type="pct"/>
            <w:vAlign w:val="center"/>
          </w:tcPr>
          <w:p w14:paraId="4D68B025"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POO – výdavky na DPH</w:t>
            </w:r>
          </w:p>
        </w:tc>
        <w:tc>
          <w:tcPr>
            <w:tcW w:w="655" w:type="pct"/>
          </w:tcPr>
          <w:p w14:paraId="443A491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2 954</w:t>
            </w:r>
          </w:p>
        </w:tc>
        <w:tc>
          <w:tcPr>
            <w:tcW w:w="656" w:type="pct"/>
          </w:tcPr>
          <w:p w14:paraId="0B11F1E9"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15 742</w:t>
            </w:r>
          </w:p>
        </w:tc>
        <w:tc>
          <w:tcPr>
            <w:tcW w:w="738" w:type="pct"/>
          </w:tcPr>
          <w:p w14:paraId="4A7A3E3A"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156 821</w:t>
            </w:r>
          </w:p>
        </w:tc>
        <w:tc>
          <w:tcPr>
            <w:tcW w:w="710" w:type="pct"/>
          </w:tcPr>
          <w:p w14:paraId="4EB214F4"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133 143</w:t>
            </w:r>
          </w:p>
        </w:tc>
        <w:tc>
          <w:tcPr>
            <w:tcW w:w="584" w:type="pct"/>
          </w:tcPr>
          <w:p w14:paraId="20DAC556"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-23 678</w:t>
            </w:r>
          </w:p>
        </w:tc>
        <w:tc>
          <w:tcPr>
            <w:tcW w:w="509" w:type="pct"/>
          </w:tcPr>
          <w:p w14:paraId="03D12EEA"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845,8</w:t>
            </w:r>
          </w:p>
        </w:tc>
      </w:tr>
      <w:tr w:rsidR="00BA44CD" w:rsidRPr="004310EE" w14:paraId="2AC14791" w14:textId="77777777" w:rsidTr="002E1FF0">
        <w:trPr>
          <w:trHeight w:val="283"/>
          <w:jc w:val="center"/>
        </w:trPr>
        <w:tc>
          <w:tcPr>
            <w:tcW w:w="1148" w:type="pct"/>
            <w:vAlign w:val="center"/>
          </w:tcPr>
          <w:p w14:paraId="540F49D8"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EÚ výdavky</w:t>
            </w:r>
          </w:p>
        </w:tc>
        <w:tc>
          <w:tcPr>
            <w:tcW w:w="655" w:type="pct"/>
          </w:tcPr>
          <w:p w14:paraId="6990D5A8"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2 203 315</w:t>
            </w:r>
          </w:p>
        </w:tc>
        <w:tc>
          <w:tcPr>
            <w:tcW w:w="656" w:type="pct"/>
          </w:tcPr>
          <w:p w14:paraId="74618756"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4 906 961</w:t>
            </w:r>
          </w:p>
        </w:tc>
        <w:tc>
          <w:tcPr>
            <w:tcW w:w="738" w:type="pct"/>
          </w:tcPr>
          <w:p w14:paraId="5C91F15E"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1 237 239</w:t>
            </w:r>
          </w:p>
        </w:tc>
        <w:tc>
          <w:tcPr>
            <w:tcW w:w="710" w:type="pct"/>
          </w:tcPr>
          <w:p w14:paraId="65E5783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3 009 659</w:t>
            </w:r>
          </w:p>
        </w:tc>
        <w:tc>
          <w:tcPr>
            <w:tcW w:w="584" w:type="pct"/>
          </w:tcPr>
          <w:p w14:paraId="2F40CFDC"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1 772 420</w:t>
            </w:r>
          </w:p>
        </w:tc>
        <w:tc>
          <w:tcPr>
            <w:tcW w:w="509" w:type="pct"/>
          </w:tcPr>
          <w:p w14:paraId="6472FF84"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61,3</w:t>
            </w:r>
          </w:p>
        </w:tc>
      </w:tr>
      <w:tr w:rsidR="00BA44CD" w:rsidRPr="004310EE" w14:paraId="68A2869C" w14:textId="77777777" w:rsidTr="002E1FF0">
        <w:trPr>
          <w:trHeight w:val="283"/>
          <w:jc w:val="center"/>
        </w:trPr>
        <w:tc>
          <w:tcPr>
            <w:tcW w:w="1148" w:type="pct"/>
            <w:vAlign w:val="center"/>
          </w:tcPr>
          <w:p w14:paraId="53E34CA2"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Spolufinancovanie</w:t>
            </w:r>
          </w:p>
        </w:tc>
        <w:tc>
          <w:tcPr>
            <w:tcW w:w="655" w:type="pct"/>
          </w:tcPr>
          <w:p w14:paraId="51FFBD3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404 819</w:t>
            </w:r>
          </w:p>
        </w:tc>
        <w:tc>
          <w:tcPr>
            <w:tcW w:w="656" w:type="pct"/>
          </w:tcPr>
          <w:p w14:paraId="5B0AC31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731 264</w:t>
            </w:r>
          </w:p>
        </w:tc>
        <w:tc>
          <w:tcPr>
            <w:tcW w:w="738" w:type="pct"/>
          </w:tcPr>
          <w:p w14:paraId="46EA4615"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325 158</w:t>
            </w:r>
          </w:p>
        </w:tc>
        <w:tc>
          <w:tcPr>
            <w:tcW w:w="710" w:type="pct"/>
          </w:tcPr>
          <w:p w14:paraId="248F647B"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538 592</w:t>
            </w:r>
          </w:p>
        </w:tc>
        <w:tc>
          <w:tcPr>
            <w:tcW w:w="584" w:type="pct"/>
          </w:tcPr>
          <w:p w14:paraId="2C0E75C9"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213 434</w:t>
            </w:r>
          </w:p>
        </w:tc>
        <w:tc>
          <w:tcPr>
            <w:tcW w:w="509" w:type="pct"/>
          </w:tcPr>
          <w:p w14:paraId="41C9753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73,7</w:t>
            </w:r>
          </w:p>
        </w:tc>
      </w:tr>
      <w:tr w:rsidR="00BA44CD" w:rsidRPr="004310EE" w14:paraId="62B2C6FD" w14:textId="77777777" w:rsidTr="002E1FF0">
        <w:trPr>
          <w:trHeight w:val="283"/>
          <w:jc w:val="center"/>
        </w:trPr>
        <w:tc>
          <w:tcPr>
            <w:tcW w:w="1148" w:type="pct"/>
            <w:vAlign w:val="center"/>
          </w:tcPr>
          <w:p w14:paraId="3E130163"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Odvod do rozpočtu EÚ</w:t>
            </w:r>
          </w:p>
        </w:tc>
        <w:tc>
          <w:tcPr>
            <w:tcW w:w="655" w:type="pct"/>
          </w:tcPr>
          <w:p w14:paraId="7A291053"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940 226</w:t>
            </w:r>
          </w:p>
        </w:tc>
        <w:tc>
          <w:tcPr>
            <w:tcW w:w="656" w:type="pct"/>
          </w:tcPr>
          <w:p w14:paraId="1464266F"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943 226</w:t>
            </w:r>
          </w:p>
        </w:tc>
        <w:tc>
          <w:tcPr>
            <w:tcW w:w="738" w:type="pct"/>
          </w:tcPr>
          <w:p w14:paraId="6123218D"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1 064 710</w:t>
            </w:r>
          </w:p>
        </w:tc>
        <w:tc>
          <w:tcPr>
            <w:tcW w:w="710" w:type="pct"/>
          </w:tcPr>
          <w:p w14:paraId="1BCB050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826 119</w:t>
            </w:r>
          </w:p>
        </w:tc>
        <w:tc>
          <w:tcPr>
            <w:tcW w:w="584" w:type="pct"/>
          </w:tcPr>
          <w:p w14:paraId="568C991C"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-238 591</w:t>
            </w:r>
          </w:p>
        </w:tc>
        <w:tc>
          <w:tcPr>
            <w:tcW w:w="509" w:type="pct"/>
          </w:tcPr>
          <w:p w14:paraId="6ADAB085"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87,6</w:t>
            </w:r>
          </w:p>
        </w:tc>
      </w:tr>
      <w:tr w:rsidR="00BA44CD" w:rsidRPr="004310EE" w14:paraId="4CA3BE79" w14:textId="77777777" w:rsidTr="002E1FF0">
        <w:trPr>
          <w:trHeight w:val="283"/>
          <w:jc w:val="center"/>
        </w:trPr>
        <w:tc>
          <w:tcPr>
            <w:tcW w:w="1148" w:type="pct"/>
            <w:tcBorders>
              <w:bottom w:val="single" w:sz="4" w:space="0" w:color="314364"/>
            </w:tcBorders>
            <w:vAlign w:val="center"/>
          </w:tcPr>
          <w:p w14:paraId="7F88CEAB"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Transfer S</w:t>
            </w:r>
            <w:r>
              <w:rPr>
                <w:rFonts w:eastAsia="Times New Roman" w:cs="Segoe UI"/>
                <w:color w:val="000000"/>
                <w:sz w:val="16"/>
                <w:szCs w:val="16"/>
                <w:lang w:eastAsia="sk-SK"/>
              </w:rPr>
              <w:t>P</w:t>
            </w:r>
            <w:r w:rsidRPr="004310EE">
              <w:rPr>
                <w:rFonts w:eastAsia="Times New Roman" w:cs="Segoe UI"/>
                <w:color w:val="000000"/>
                <w:sz w:val="16"/>
                <w:szCs w:val="16"/>
                <w:lang w:eastAsia="sk-SK"/>
              </w:rPr>
              <w:t> </w:t>
            </w:r>
          </w:p>
        </w:tc>
        <w:tc>
          <w:tcPr>
            <w:tcW w:w="655" w:type="pct"/>
            <w:tcBorders>
              <w:bottom w:val="single" w:sz="4" w:space="0" w:color="314364"/>
            </w:tcBorders>
          </w:tcPr>
          <w:p w14:paraId="3E6D728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103 488</w:t>
            </w:r>
          </w:p>
        </w:tc>
        <w:tc>
          <w:tcPr>
            <w:tcW w:w="656" w:type="pct"/>
            <w:tcBorders>
              <w:bottom w:val="single" w:sz="4" w:space="0" w:color="314364"/>
            </w:tcBorders>
          </w:tcPr>
          <w:p w14:paraId="07CE866C"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1 160 000</w:t>
            </w:r>
          </w:p>
        </w:tc>
        <w:tc>
          <w:tcPr>
            <w:tcW w:w="738" w:type="pct"/>
            <w:tcBorders>
              <w:bottom w:val="single" w:sz="4" w:space="0" w:color="314364"/>
            </w:tcBorders>
          </w:tcPr>
          <w:p w14:paraId="1907A29F"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1 600 000</w:t>
            </w:r>
          </w:p>
        </w:tc>
        <w:tc>
          <w:tcPr>
            <w:tcW w:w="710" w:type="pct"/>
            <w:tcBorders>
              <w:bottom w:val="single" w:sz="4" w:space="0" w:color="314364"/>
            </w:tcBorders>
          </w:tcPr>
          <w:p w14:paraId="54F668E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2 720 000</w:t>
            </w:r>
          </w:p>
        </w:tc>
        <w:tc>
          <w:tcPr>
            <w:tcW w:w="584" w:type="pct"/>
            <w:tcBorders>
              <w:bottom w:val="single" w:sz="4" w:space="0" w:color="314364"/>
            </w:tcBorders>
          </w:tcPr>
          <w:p w14:paraId="0C2265A5"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1 120 000</w:t>
            </w:r>
          </w:p>
        </w:tc>
        <w:tc>
          <w:tcPr>
            <w:tcW w:w="509" w:type="pct"/>
            <w:tcBorders>
              <w:bottom w:val="single" w:sz="4" w:space="0" w:color="314364"/>
            </w:tcBorders>
          </w:tcPr>
          <w:p w14:paraId="1EA21F9E"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234,5</w:t>
            </w:r>
          </w:p>
        </w:tc>
      </w:tr>
    </w:tbl>
    <w:p w14:paraId="40CF0C23" w14:textId="4C283BA4" w:rsidR="00BA44CD" w:rsidRPr="004310EE" w:rsidRDefault="00BA44CD" w:rsidP="00BA44CD">
      <w:pPr>
        <w:pStyle w:val="Zdroj"/>
      </w:pPr>
      <w:r w:rsidRPr="004310EE">
        <w:t>Zdroj: Návrh ŠZÚ 2024.</w:t>
      </w:r>
      <w:r w:rsidRPr="004310EE">
        <w:br/>
        <w:t xml:space="preserve">S – skutočnosť, R – rozpočet, </w:t>
      </w:r>
      <w:proofErr w:type="spellStart"/>
      <w:r w:rsidRPr="004310EE">
        <w:t>YoY</w:t>
      </w:r>
      <w:proofErr w:type="spellEnd"/>
      <w:r w:rsidRPr="004310EE">
        <w:t xml:space="preserve"> – medziročná zmena</w:t>
      </w:r>
      <w:r w:rsidR="00601FB5">
        <w:t>.</w:t>
      </w:r>
    </w:p>
    <w:p w14:paraId="688ECC03" w14:textId="7EB798C7" w:rsidR="005E65E6" w:rsidRPr="004D12E2" w:rsidRDefault="004D12E2" w:rsidP="004D12E2">
      <w:pPr>
        <w:pStyle w:val="Nadpis2"/>
      </w:pPr>
      <w:bookmarkStart w:id="18" w:name="_Toc198637718"/>
      <w:r>
        <w:lastRenderedPageBreak/>
        <w:t xml:space="preserve">3.1  </w:t>
      </w:r>
      <w:r w:rsidR="005E65E6" w:rsidRPr="004D12E2">
        <w:t>Príjmy</w:t>
      </w:r>
      <w:r w:rsidR="00FA5818" w:rsidRPr="004D12E2">
        <w:t xml:space="preserve"> </w:t>
      </w:r>
      <w:r w:rsidR="005E65E6" w:rsidRPr="004D12E2">
        <w:t>štátneho rozpočtu</w:t>
      </w:r>
      <w:bookmarkEnd w:id="17"/>
      <w:bookmarkEnd w:id="18"/>
    </w:p>
    <w:p w14:paraId="40BA412D" w14:textId="77777777" w:rsidR="00140A29" w:rsidRPr="004310EE" w:rsidRDefault="00140A29" w:rsidP="00140A29">
      <w:pPr>
        <w:rPr>
          <w:rFonts w:eastAsia="Calibri" w:cs="Segoe UI"/>
          <w:szCs w:val="20"/>
        </w:rPr>
      </w:pPr>
      <w:r w:rsidRPr="004310EE">
        <w:rPr>
          <w:rFonts w:eastAsia="Calibri" w:cs="Segoe UI"/>
          <w:b/>
          <w:szCs w:val="20"/>
        </w:rPr>
        <w:t xml:space="preserve">Daňové príjmy na hotovostnej báze boli v roku 2024 o 283,1 mil. eur nižšie než predpokladal rozpočet a vyššie o 909,8 mil. eur medziročne </w:t>
      </w:r>
      <w:r w:rsidRPr="004310EE">
        <w:rPr>
          <w:rFonts w:eastAsia="Calibri" w:cs="Segoe UI"/>
          <w:szCs w:val="20"/>
        </w:rPr>
        <w:t>(tabuľka 4 v prílohe)</w:t>
      </w:r>
      <w:r w:rsidRPr="004310EE">
        <w:rPr>
          <w:rFonts w:eastAsia="Calibri" w:cs="Segoe UI"/>
          <w:b/>
          <w:szCs w:val="20"/>
        </w:rPr>
        <w:t xml:space="preserve">. </w:t>
      </w:r>
      <w:r w:rsidRPr="004310EE">
        <w:rPr>
          <w:rFonts w:eastAsia="Calibri" w:cs="Segoe UI"/>
          <w:szCs w:val="20"/>
        </w:rPr>
        <w:t xml:space="preserve">Nižšie hotovostné plnenie daňových príjmov išlo najmä na vrub ostatných daní, konkrétne solidárneho príspevku z činností v odvetviach ropy, zemného plynu, uhlia a rafinérií. Nižší než očakávaný bol tiež výber spotrebných daní, zapríčinený nižšou spotrebou a predzásobením. Hotovostný výnos je nižší aj pri DPPO, kde bol nadhodnotený predpokladaný objem preddavkov o 190,1 mil. eur a opätovne prebehol aj prevod časti výnosu dane samosprávam vo výške 337,9 mil. eur. </w:t>
      </w:r>
    </w:p>
    <w:p w14:paraId="08E314CC" w14:textId="77777777" w:rsidR="00A07FE5" w:rsidRDefault="00140A29" w:rsidP="00140A29">
      <w:pPr>
        <w:rPr>
          <w:rFonts w:eastAsia="Calibri" w:cs="Segoe UI"/>
          <w:szCs w:val="20"/>
        </w:rPr>
      </w:pPr>
      <w:r w:rsidRPr="004310EE">
        <w:rPr>
          <w:rFonts w:eastAsia="Calibri" w:cs="Segoe UI"/>
          <w:b/>
          <w:szCs w:val="20"/>
        </w:rPr>
        <w:t>Najvýznamnejšou daňou je DPH, ktorá pri výnose 9 815,4 mil. eur zodpovedala 53,5 % celkových hotovostných daňových príjmov ŠR.</w:t>
      </w:r>
      <w:r w:rsidRPr="004310EE">
        <w:rPr>
          <w:rFonts w:eastAsia="Calibri" w:cs="Segoe UI"/>
          <w:szCs w:val="20"/>
        </w:rPr>
        <w:t xml:space="preserve"> Skutočný výber sa len mierne líšil od predpokladov v </w:t>
      </w:r>
      <w:r w:rsidR="00AE42B7">
        <w:rPr>
          <w:rFonts w:eastAsia="Calibri" w:cs="Segoe UI"/>
          <w:szCs w:val="20"/>
        </w:rPr>
        <w:t>ŠR</w:t>
      </w:r>
      <w:r w:rsidRPr="004310EE">
        <w:rPr>
          <w:rFonts w:eastAsia="Calibri" w:cs="Segoe UI"/>
          <w:szCs w:val="20"/>
        </w:rPr>
        <w:t xml:space="preserve">, pričom naň pozitívne vplýval rast efektívnej daňovej sadzby a negatívne nižšie čerpanie POO, než sa čakalo. DPFO je podielovou daňou rozdeľovanou medzi obce a VÚC v pomere 70:30 a hodnoty v tabuľke 4 v prílohe súvisia s hotovostnými tokmi pri ich prevode samosprávam. Skutočný výnos dane zo závislej činnosti bol 3 622 mil. eur, pričom bol o 5 mil. nižší oproti rozpočtu z dôvodu nižšieho rastu miezd, vývoja zamestnanosti a nárastu nezdaniteľných častí základu dane. </w:t>
      </w:r>
      <w:r w:rsidR="00A07FE5" w:rsidRPr="00A07FE5">
        <w:rPr>
          <w:rFonts w:eastAsia="Calibri" w:cs="Segoe UI"/>
          <w:szCs w:val="20"/>
        </w:rPr>
        <w:t>Prevod podielu dane (spolu za DPFO a DPPO) na osobitný účel (tzv. 2 %) bol v rok</w:t>
      </w:r>
      <w:r w:rsidR="00A07FE5">
        <w:rPr>
          <w:rFonts w:eastAsia="Calibri" w:cs="Segoe UI"/>
          <w:szCs w:val="20"/>
        </w:rPr>
        <w:t>u 2024 vo výške 105,3 mil. eur.</w:t>
      </w:r>
    </w:p>
    <w:p w14:paraId="33354856" w14:textId="77777777" w:rsidR="00A07FE5" w:rsidRDefault="00140A29" w:rsidP="00A07FE5">
      <w:pPr>
        <w:rPr>
          <w:rFonts w:cs="Segoe UI"/>
          <w:szCs w:val="20"/>
        </w:rPr>
      </w:pPr>
      <w:r w:rsidRPr="004310EE">
        <w:rPr>
          <w:rFonts w:eastAsia="Times New Roman" w:cs="Segoe UI"/>
          <w:b/>
        </w:rPr>
        <w:t>Medzi najvýraznejšie prekvapenia na príjmovej str</w:t>
      </w:r>
      <w:r w:rsidR="00AE42B7">
        <w:rPr>
          <w:rFonts w:eastAsia="Times New Roman" w:cs="Segoe UI"/>
          <w:b/>
        </w:rPr>
        <w:t>ane</w:t>
      </w:r>
      <w:r w:rsidRPr="004310EE">
        <w:rPr>
          <w:rFonts w:eastAsia="Times New Roman" w:cs="Segoe UI"/>
          <w:b/>
        </w:rPr>
        <w:t xml:space="preserve"> patrí nenaplnenie očakávaného výnosu zo solidárneho príspevku vo výške 354 mil. eur.</w:t>
      </w:r>
      <w:r w:rsidRPr="004310EE">
        <w:rPr>
          <w:rFonts w:eastAsia="Times New Roman" w:cs="Segoe UI"/>
        </w:rPr>
        <w:t xml:space="preserve"> V roku 2024 nebol za zdaňovacie obdobie 2023 tento príspevok zaplatený. Neboli totiž splnené zákonné kritériá na jeho zaplatenie v podobe dosiahnutia viac ako 75 % obratu z činnosti, ktorá spadá do výroby rafinovaných ropných produktov. </w:t>
      </w:r>
      <w:r w:rsidR="00A07FE5" w:rsidRPr="00A07FE5">
        <w:rPr>
          <w:rFonts w:cs="Segoe UI"/>
          <w:szCs w:val="20"/>
        </w:rPr>
        <w:t>Medziročne sa zmenila klasifikácia týchto príjmov, bez vplyvu na ich výnos. V roku 2023 boli rozpočtované ako nedaňové, no vykázané boli ako daňové a následne sa na rok 2024 tak aj rozpočtovali.</w:t>
      </w:r>
      <w:r w:rsidR="00A07FE5">
        <w:rPr>
          <w:rFonts w:cs="Segoe UI"/>
          <w:szCs w:val="20"/>
        </w:rPr>
        <w:t xml:space="preserve"> </w:t>
      </w:r>
    </w:p>
    <w:p w14:paraId="3A4C6C6D" w14:textId="12C88F7C" w:rsidR="00140A29" w:rsidRDefault="00140A29" w:rsidP="00140A29">
      <w:pPr>
        <w:rPr>
          <w:rFonts w:eastAsia="Times New Roman" w:cs="Segoe UI"/>
          <w:szCs w:val="20"/>
        </w:rPr>
      </w:pPr>
      <w:r w:rsidRPr="004310EE">
        <w:rPr>
          <w:rFonts w:eastAsia="Times New Roman" w:cs="Segoe UI"/>
          <w:b/>
          <w:szCs w:val="20"/>
        </w:rPr>
        <w:t xml:space="preserve">Nedaňové príjmy na hotovostnej báze boli v roku 2024 </w:t>
      </w:r>
      <w:r w:rsidR="00C940A0">
        <w:rPr>
          <w:rFonts w:eastAsia="Times New Roman" w:cs="Segoe UI"/>
          <w:b/>
          <w:szCs w:val="20"/>
        </w:rPr>
        <w:t xml:space="preserve">vyššie oproti rozpočtu </w:t>
      </w:r>
      <w:r w:rsidRPr="004310EE">
        <w:rPr>
          <w:rFonts w:eastAsia="Times New Roman" w:cs="Segoe UI"/>
          <w:b/>
          <w:szCs w:val="20"/>
        </w:rPr>
        <w:t>o 360</w:t>
      </w:r>
      <w:r w:rsidR="00C940A0">
        <w:rPr>
          <w:rFonts w:eastAsia="Times New Roman" w:cs="Segoe UI"/>
          <w:b/>
          <w:szCs w:val="20"/>
        </w:rPr>
        <w:t xml:space="preserve"> mil. eur </w:t>
      </w:r>
      <w:r w:rsidRPr="004310EE">
        <w:rPr>
          <w:rFonts w:eastAsia="Times New Roman" w:cs="Segoe UI"/>
          <w:b/>
          <w:szCs w:val="20"/>
        </w:rPr>
        <w:t xml:space="preserve"> a</w:t>
      </w:r>
      <w:r w:rsidR="00AE42B7">
        <w:rPr>
          <w:rFonts w:eastAsia="Times New Roman" w:cs="Segoe UI"/>
          <w:b/>
          <w:szCs w:val="20"/>
        </w:rPr>
        <w:t xml:space="preserve"> medziročne </w:t>
      </w:r>
      <w:r w:rsidRPr="004310EE">
        <w:rPr>
          <w:rFonts w:eastAsia="Times New Roman" w:cs="Segoe UI"/>
          <w:b/>
          <w:szCs w:val="20"/>
        </w:rPr>
        <w:t>o 171,6 mil. eur</w:t>
      </w:r>
      <w:r w:rsidRPr="004310EE">
        <w:rPr>
          <w:rFonts w:eastAsia="Times New Roman" w:cs="Segoe UI"/>
          <w:szCs w:val="20"/>
        </w:rPr>
        <w:t xml:space="preserve"> (tabuľka </w:t>
      </w:r>
      <w:r w:rsidR="00C940A0">
        <w:rPr>
          <w:rFonts w:eastAsia="Times New Roman" w:cs="Segoe UI"/>
          <w:szCs w:val="20"/>
        </w:rPr>
        <w:t>7</w:t>
      </w:r>
      <w:r w:rsidRPr="004310EE">
        <w:rPr>
          <w:rFonts w:eastAsia="Times New Roman" w:cs="Segoe UI"/>
          <w:szCs w:val="20"/>
        </w:rPr>
        <w:t>)</w:t>
      </w:r>
      <w:r w:rsidRPr="004310EE">
        <w:rPr>
          <w:rFonts w:eastAsia="Times New Roman" w:cs="Segoe UI"/>
          <w:b/>
          <w:szCs w:val="20"/>
        </w:rPr>
        <w:t>.</w:t>
      </w:r>
      <w:r w:rsidRPr="004310EE">
        <w:rPr>
          <w:rFonts w:eastAsia="Times New Roman" w:cs="Segoe UI"/>
          <w:szCs w:val="20"/>
        </w:rPr>
        <w:t xml:space="preserve"> Významná časť nedaňových príjmov je naviazaná na energetiku, k</w:t>
      </w:r>
      <w:r w:rsidR="00630F3B">
        <w:rPr>
          <w:rFonts w:eastAsia="Times New Roman" w:cs="Segoe UI"/>
          <w:szCs w:val="20"/>
        </w:rPr>
        <w:t>d</w:t>
      </w:r>
      <w:r w:rsidRPr="004310EE">
        <w:rPr>
          <w:rFonts w:eastAsia="Times New Roman" w:cs="Segoe UI"/>
          <w:szCs w:val="20"/>
        </w:rPr>
        <w:t>e podiel majú dividendy energetických spoločností (SPP – 290,3 mil. eur</w:t>
      </w:r>
      <w:r w:rsidR="001767FE">
        <w:rPr>
          <w:rFonts w:eastAsia="Times New Roman" w:cs="Segoe UI"/>
          <w:szCs w:val="20"/>
        </w:rPr>
        <w:t>;</w:t>
      </w:r>
      <w:r w:rsidRPr="004310EE">
        <w:rPr>
          <w:rFonts w:eastAsia="Times New Roman" w:cs="Segoe UI"/>
          <w:szCs w:val="20"/>
        </w:rPr>
        <w:t xml:space="preserve"> ZSE – 53,9 mil. eur</w:t>
      </w:r>
      <w:r w:rsidR="001767FE">
        <w:rPr>
          <w:rFonts w:eastAsia="Times New Roman" w:cs="Segoe UI"/>
          <w:szCs w:val="20"/>
        </w:rPr>
        <w:t>;</w:t>
      </w:r>
      <w:r w:rsidRPr="004310EE">
        <w:rPr>
          <w:rFonts w:eastAsia="Times New Roman" w:cs="Segoe UI"/>
          <w:szCs w:val="20"/>
        </w:rPr>
        <w:t xml:space="preserve"> SEPS – 45,8 mil. eur</w:t>
      </w:r>
      <w:r w:rsidR="001767FE">
        <w:rPr>
          <w:rFonts w:eastAsia="Times New Roman" w:cs="Segoe UI"/>
          <w:szCs w:val="20"/>
        </w:rPr>
        <w:t>;</w:t>
      </w:r>
      <w:r w:rsidRPr="004310EE">
        <w:rPr>
          <w:rFonts w:eastAsia="Times New Roman" w:cs="Segoe UI"/>
          <w:szCs w:val="20"/>
        </w:rPr>
        <w:t xml:space="preserve"> SSE – 33,1 mil. eur), odvod zo zisku podniku Vodohospodárska výstavba (prevádzkuje Vodnú elektráreň Gabčíkovo) vo výške 80 mil. eur a tiež </w:t>
      </w:r>
      <w:proofErr w:type="spellStart"/>
      <w:r w:rsidRPr="004310EE">
        <w:rPr>
          <w:rFonts w:eastAsia="Times New Roman" w:cs="Segoe UI"/>
          <w:szCs w:val="20"/>
        </w:rPr>
        <w:t>vratky</w:t>
      </w:r>
      <w:proofErr w:type="spellEnd"/>
      <w:r w:rsidRPr="004310EE">
        <w:rPr>
          <w:rFonts w:eastAsia="Times New Roman" w:cs="Segoe UI"/>
          <w:szCs w:val="20"/>
        </w:rPr>
        <w:t xml:space="preserve"> z </w:t>
      </w:r>
      <w:proofErr w:type="spellStart"/>
      <w:r w:rsidRPr="004310EE">
        <w:rPr>
          <w:rFonts w:eastAsia="Times New Roman" w:cs="Segoe UI"/>
          <w:szCs w:val="20"/>
        </w:rPr>
        <w:t>energopomoci</w:t>
      </w:r>
      <w:proofErr w:type="spellEnd"/>
      <w:r w:rsidRPr="004310EE">
        <w:rPr>
          <w:rFonts w:eastAsia="Times New Roman" w:cs="Segoe UI"/>
          <w:szCs w:val="20"/>
        </w:rPr>
        <w:t xml:space="preserve"> </w:t>
      </w:r>
      <w:r w:rsidR="00C940A0">
        <w:rPr>
          <w:rFonts w:eastAsia="Times New Roman" w:cs="Segoe UI"/>
          <w:szCs w:val="20"/>
        </w:rPr>
        <w:t>cez MH SR v sume 96,3 mil. eur.</w:t>
      </w:r>
    </w:p>
    <w:p w14:paraId="1DDA32EA" w14:textId="77777777" w:rsidR="00BA44CD" w:rsidRPr="004310EE" w:rsidRDefault="00BA44CD" w:rsidP="00BA44CD">
      <w:pPr>
        <w:keepNext/>
        <w:spacing w:after="0"/>
        <w:rPr>
          <w:rFonts w:eastAsia="Calibri" w:cs="Times New Roman"/>
          <w:b/>
          <w:iCs/>
          <w:color w:val="314364"/>
          <w:szCs w:val="18"/>
        </w:rPr>
      </w:pPr>
      <w:r w:rsidRPr="004310EE">
        <w:rPr>
          <w:rFonts w:eastAsia="Calibri" w:cs="Times New Roman"/>
          <w:b/>
          <w:iCs/>
          <w:color w:val="314364"/>
          <w:szCs w:val="18"/>
        </w:rPr>
        <w:t xml:space="preserve">Tabuľka </w:t>
      </w:r>
      <w:r>
        <w:rPr>
          <w:rFonts w:eastAsia="Calibri" w:cs="Times New Roman"/>
          <w:b/>
          <w:iCs/>
          <w:color w:val="314364"/>
          <w:szCs w:val="18"/>
        </w:rPr>
        <w:t>7</w:t>
      </w:r>
      <w:r w:rsidRPr="004310EE">
        <w:rPr>
          <w:rFonts w:eastAsia="Calibri" w:cs="Times New Roman"/>
          <w:b/>
          <w:iCs/>
          <w:color w:val="314364"/>
          <w:szCs w:val="18"/>
        </w:rPr>
        <w:t xml:space="preserve">: Prehľad o plnení nedaňových príjmov </w:t>
      </w:r>
      <w:r>
        <w:rPr>
          <w:rFonts w:eastAsia="Calibri" w:cs="Times New Roman"/>
          <w:b/>
          <w:iCs/>
          <w:color w:val="314364"/>
          <w:szCs w:val="18"/>
        </w:rPr>
        <w:t>štátneho rozpočtu</w:t>
      </w:r>
      <w:r w:rsidRPr="004310EE">
        <w:rPr>
          <w:rFonts w:eastAsia="Calibri" w:cs="Times New Roman"/>
          <w:b/>
          <w:iCs/>
          <w:color w:val="314364"/>
          <w:szCs w:val="18"/>
        </w:rPr>
        <w:t xml:space="preserve"> (v tis. eur)</w:t>
      </w:r>
    </w:p>
    <w:tbl>
      <w:tblPr>
        <w:tblW w:w="5000" w:type="pct"/>
        <w:jc w:val="right"/>
        <w:tblCellMar>
          <w:top w:w="28" w:type="dxa"/>
        </w:tblCellMar>
        <w:tblLook w:val="04A0" w:firstRow="1" w:lastRow="0" w:firstColumn="1" w:lastColumn="0" w:noHBand="0" w:noVBand="1"/>
      </w:tblPr>
      <w:tblGrid>
        <w:gridCol w:w="3462"/>
        <w:gridCol w:w="998"/>
        <w:gridCol w:w="873"/>
        <w:gridCol w:w="1061"/>
        <w:gridCol w:w="1041"/>
        <w:gridCol w:w="891"/>
        <w:gridCol w:w="744"/>
      </w:tblGrid>
      <w:tr w:rsidR="00BA44CD" w:rsidRPr="004310EE" w14:paraId="7DD7A059" w14:textId="77777777" w:rsidTr="002E1FF0">
        <w:trPr>
          <w:trHeight w:val="283"/>
          <w:jc w:val="right"/>
        </w:trPr>
        <w:tc>
          <w:tcPr>
            <w:tcW w:w="1909" w:type="pct"/>
            <w:tcBorders>
              <w:bottom w:val="single" w:sz="4" w:space="0" w:color="314364"/>
            </w:tcBorders>
            <w:shd w:val="clear" w:color="auto" w:fill="314364"/>
            <w:vAlign w:val="center"/>
          </w:tcPr>
          <w:p w14:paraId="56DFF96C" w14:textId="77777777" w:rsidR="00BA44CD" w:rsidRPr="004310EE" w:rsidRDefault="00BA44CD" w:rsidP="002E1FF0">
            <w:pPr>
              <w:spacing w:after="0" w:line="259" w:lineRule="auto"/>
              <w:jc w:val="left"/>
              <w:rPr>
                <w:rFonts w:eastAsia="Calibri" w:cs="Segoe UI"/>
                <w:b/>
                <w:bCs/>
                <w:color w:val="FFFFFF"/>
                <w:sz w:val="16"/>
                <w:szCs w:val="16"/>
              </w:rPr>
            </w:pPr>
            <w:r w:rsidRPr="004310EE">
              <w:rPr>
                <w:rFonts w:eastAsia="Calibri" w:cs="Segoe UI"/>
                <w:b/>
                <w:bCs/>
                <w:color w:val="FFFFFF"/>
                <w:sz w:val="16"/>
                <w:szCs w:val="16"/>
              </w:rPr>
              <w:t xml:space="preserve">Ukazovateľ </w:t>
            </w:r>
          </w:p>
        </w:tc>
        <w:tc>
          <w:tcPr>
            <w:tcW w:w="550" w:type="pct"/>
            <w:tcBorders>
              <w:bottom w:val="single" w:sz="4" w:space="0" w:color="314364"/>
            </w:tcBorders>
            <w:shd w:val="clear" w:color="auto" w:fill="314364"/>
            <w:vAlign w:val="center"/>
          </w:tcPr>
          <w:p w14:paraId="697089D6"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2022 S</w:t>
            </w:r>
          </w:p>
        </w:tc>
        <w:tc>
          <w:tcPr>
            <w:tcW w:w="481" w:type="pct"/>
            <w:tcBorders>
              <w:bottom w:val="single" w:sz="4" w:space="0" w:color="314364"/>
            </w:tcBorders>
            <w:shd w:val="clear" w:color="auto" w:fill="314364"/>
            <w:vAlign w:val="center"/>
          </w:tcPr>
          <w:p w14:paraId="1D64BC46"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2023 S</w:t>
            </w:r>
          </w:p>
        </w:tc>
        <w:tc>
          <w:tcPr>
            <w:tcW w:w="585" w:type="pct"/>
            <w:tcBorders>
              <w:bottom w:val="single" w:sz="4" w:space="0" w:color="314364"/>
            </w:tcBorders>
            <w:shd w:val="clear" w:color="auto" w:fill="314364"/>
            <w:vAlign w:val="center"/>
          </w:tcPr>
          <w:p w14:paraId="3C9781A0"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2024 R</w:t>
            </w:r>
          </w:p>
        </w:tc>
        <w:tc>
          <w:tcPr>
            <w:tcW w:w="574" w:type="pct"/>
            <w:tcBorders>
              <w:bottom w:val="single" w:sz="4" w:space="0" w:color="314364"/>
            </w:tcBorders>
            <w:shd w:val="clear" w:color="auto" w:fill="314364"/>
            <w:vAlign w:val="center"/>
          </w:tcPr>
          <w:p w14:paraId="1B54B9CF"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2024 S</w:t>
            </w:r>
          </w:p>
        </w:tc>
        <w:tc>
          <w:tcPr>
            <w:tcW w:w="491" w:type="pct"/>
            <w:tcBorders>
              <w:bottom w:val="single" w:sz="4" w:space="0" w:color="314364"/>
            </w:tcBorders>
            <w:shd w:val="clear" w:color="auto" w:fill="314364"/>
            <w:vAlign w:val="center"/>
          </w:tcPr>
          <w:p w14:paraId="1C68F625" w14:textId="77777777" w:rsidR="00BA44CD" w:rsidRPr="004310EE" w:rsidRDefault="00BA44CD" w:rsidP="002E1FF0">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24S-24R</w:t>
            </w:r>
          </w:p>
        </w:tc>
        <w:tc>
          <w:tcPr>
            <w:tcW w:w="410" w:type="pct"/>
            <w:tcBorders>
              <w:bottom w:val="single" w:sz="4" w:space="0" w:color="314364"/>
            </w:tcBorders>
            <w:shd w:val="clear" w:color="auto" w:fill="314364"/>
            <w:vAlign w:val="center"/>
          </w:tcPr>
          <w:p w14:paraId="01B7A8E9" w14:textId="77777777" w:rsidR="00BA44CD" w:rsidRPr="004310EE" w:rsidRDefault="00BA44CD" w:rsidP="002E1FF0">
            <w:pPr>
              <w:spacing w:after="0" w:line="259" w:lineRule="auto"/>
              <w:jc w:val="right"/>
              <w:rPr>
                <w:rFonts w:eastAsia="Calibri" w:cs="Segoe UI"/>
                <w:b/>
                <w:bCs/>
                <w:color w:val="FFFFFF"/>
                <w:sz w:val="16"/>
                <w:szCs w:val="16"/>
              </w:rPr>
            </w:pPr>
            <w:proofErr w:type="spellStart"/>
            <w:r w:rsidRPr="004310EE">
              <w:rPr>
                <w:rFonts w:eastAsia="Calibri" w:cs="Segoe UI"/>
                <w:b/>
                <w:bCs/>
                <w:color w:val="FFFFFF"/>
                <w:sz w:val="16"/>
                <w:szCs w:val="16"/>
              </w:rPr>
              <w:t>YoY</w:t>
            </w:r>
            <w:proofErr w:type="spellEnd"/>
          </w:p>
        </w:tc>
      </w:tr>
      <w:tr w:rsidR="00BA44CD" w:rsidRPr="004310EE" w14:paraId="4E8CB6E8" w14:textId="77777777" w:rsidTr="002E1FF0">
        <w:trPr>
          <w:trHeight w:val="283"/>
          <w:jc w:val="right"/>
        </w:trPr>
        <w:tc>
          <w:tcPr>
            <w:tcW w:w="1909" w:type="pct"/>
            <w:tcBorders>
              <w:top w:val="single" w:sz="4" w:space="0" w:color="314364"/>
            </w:tcBorders>
            <w:vAlign w:val="center"/>
          </w:tcPr>
          <w:p w14:paraId="542F6EE5" w14:textId="77777777" w:rsidR="00BA44CD" w:rsidRPr="004310EE" w:rsidRDefault="00BA44CD" w:rsidP="002E1FF0">
            <w:pPr>
              <w:spacing w:after="0"/>
              <w:jc w:val="left"/>
              <w:rPr>
                <w:rFonts w:eastAsia="Times New Roman" w:cs="Segoe UI"/>
                <w:b/>
                <w:color w:val="000000"/>
                <w:sz w:val="16"/>
                <w:szCs w:val="16"/>
                <w:lang w:eastAsia="sk-SK"/>
              </w:rPr>
            </w:pPr>
            <w:r w:rsidRPr="004310EE">
              <w:rPr>
                <w:rFonts w:eastAsia="Times New Roman" w:cs="Segoe UI"/>
                <w:b/>
                <w:color w:val="000000"/>
                <w:sz w:val="16"/>
                <w:szCs w:val="16"/>
                <w:lang w:eastAsia="sk-SK"/>
              </w:rPr>
              <w:t>Nedaňové príjmy spolu</w:t>
            </w:r>
          </w:p>
        </w:tc>
        <w:tc>
          <w:tcPr>
            <w:tcW w:w="550" w:type="pct"/>
            <w:tcBorders>
              <w:top w:val="single" w:sz="4" w:space="0" w:color="314364"/>
            </w:tcBorders>
            <w:vAlign w:val="center"/>
          </w:tcPr>
          <w:p w14:paraId="3ABE1BA3"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1 285 089</w:t>
            </w:r>
          </w:p>
        </w:tc>
        <w:tc>
          <w:tcPr>
            <w:tcW w:w="481" w:type="pct"/>
            <w:tcBorders>
              <w:top w:val="single" w:sz="4" w:space="0" w:color="314364"/>
            </w:tcBorders>
            <w:vAlign w:val="center"/>
          </w:tcPr>
          <w:p w14:paraId="2A370AE4" w14:textId="77777777" w:rsidR="00BA44CD" w:rsidRPr="004310EE" w:rsidRDefault="00BA44CD" w:rsidP="002E1FF0">
            <w:pPr>
              <w:spacing w:after="0"/>
              <w:ind w:left="-254"/>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1 738 326</w:t>
            </w:r>
          </w:p>
        </w:tc>
        <w:tc>
          <w:tcPr>
            <w:tcW w:w="585" w:type="pct"/>
            <w:tcBorders>
              <w:top w:val="single" w:sz="4" w:space="0" w:color="314364"/>
            </w:tcBorders>
            <w:vAlign w:val="center"/>
          </w:tcPr>
          <w:p w14:paraId="1CA99C08"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1 549 566</w:t>
            </w:r>
          </w:p>
        </w:tc>
        <w:tc>
          <w:tcPr>
            <w:tcW w:w="574" w:type="pct"/>
            <w:tcBorders>
              <w:top w:val="single" w:sz="4" w:space="0" w:color="314364"/>
            </w:tcBorders>
            <w:vAlign w:val="center"/>
          </w:tcPr>
          <w:p w14:paraId="31D39229"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1 909 893</w:t>
            </w:r>
          </w:p>
        </w:tc>
        <w:tc>
          <w:tcPr>
            <w:tcW w:w="491" w:type="pct"/>
            <w:tcBorders>
              <w:top w:val="single" w:sz="4" w:space="0" w:color="314364"/>
            </w:tcBorders>
            <w:vAlign w:val="center"/>
          </w:tcPr>
          <w:p w14:paraId="1C9AEBAA"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360 327</w:t>
            </w:r>
          </w:p>
        </w:tc>
        <w:tc>
          <w:tcPr>
            <w:tcW w:w="410" w:type="pct"/>
            <w:tcBorders>
              <w:top w:val="single" w:sz="4" w:space="0" w:color="314364"/>
            </w:tcBorders>
            <w:vAlign w:val="center"/>
          </w:tcPr>
          <w:p w14:paraId="7E4F9825" w14:textId="77777777" w:rsidR="00BA44CD" w:rsidRPr="004310EE" w:rsidRDefault="00BA44CD" w:rsidP="002E1FF0">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109,9</w:t>
            </w:r>
          </w:p>
        </w:tc>
      </w:tr>
      <w:tr w:rsidR="00BA44CD" w:rsidRPr="004310EE" w14:paraId="36611A7D" w14:textId="77777777" w:rsidTr="002E1FF0">
        <w:trPr>
          <w:trHeight w:val="283"/>
          <w:jc w:val="right"/>
        </w:trPr>
        <w:tc>
          <w:tcPr>
            <w:tcW w:w="1909" w:type="pct"/>
            <w:vAlign w:val="center"/>
          </w:tcPr>
          <w:p w14:paraId="0751B8AD"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Príjmy z podnikania a z vlastníctva majetku</w:t>
            </w:r>
          </w:p>
        </w:tc>
        <w:tc>
          <w:tcPr>
            <w:tcW w:w="550" w:type="pct"/>
            <w:vAlign w:val="center"/>
          </w:tcPr>
          <w:p w14:paraId="652688E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168 026</w:t>
            </w:r>
          </w:p>
        </w:tc>
        <w:tc>
          <w:tcPr>
            <w:tcW w:w="481" w:type="pct"/>
            <w:vAlign w:val="center"/>
          </w:tcPr>
          <w:p w14:paraId="125E1D3F"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600 308</w:t>
            </w:r>
          </w:p>
        </w:tc>
        <w:tc>
          <w:tcPr>
            <w:tcW w:w="585" w:type="pct"/>
            <w:vAlign w:val="center"/>
          </w:tcPr>
          <w:p w14:paraId="3F94B6E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522 544</w:t>
            </w:r>
          </w:p>
        </w:tc>
        <w:tc>
          <w:tcPr>
            <w:tcW w:w="574" w:type="pct"/>
            <w:vAlign w:val="center"/>
          </w:tcPr>
          <w:p w14:paraId="4738AA08"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536 443</w:t>
            </w:r>
          </w:p>
        </w:tc>
        <w:tc>
          <w:tcPr>
            <w:tcW w:w="491" w:type="pct"/>
            <w:vAlign w:val="center"/>
          </w:tcPr>
          <w:p w14:paraId="63DFDC0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13 899</w:t>
            </w:r>
          </w:p>
        </w:tc>
        <w:tc>
          <w:tcPr>
            <w:tcW w:w="410" w:type="pct"/>
            <w:vAlign w:val="center"/>
          </w:tcPr>
          <w:p w14:paraId="1E08102C"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89,4</w:t>
            </w:r>
          </w:p>
        </w:tc>
      </w:tr>
      <w:tr w:rsidR="00BA44CD" w:rsidRPr="004310EE" w14:paraId="0CC7794A" w14:textId="77777777" w:rsidTr="002E1FF0">
        <w:trPr>
          <w:trHeight w:val="283"/>
          <w:jc w:val="right"/>
        </w:trPr>
        <w:tc>
          <w:tcPr>
            <w:tcW w:w="1909" w:type="pct"/>
            <w:vAlign w:val="center"/>
          </w:tcPr>
          <w:p w14:paraId="4641F138" w14:textId="77777777" w:rsidR="00BA44CD" w:rsidRPr="004310EE" w:rsidRDefault="00BA44CD" w:rsidP="002E1FF0">
            <w:pPr>
              <w:spacing w:after="0"/>
              <w:jc w:val="left"/>
              <w:rPr>
                <w:rFonts w:eastAsia="Times New Roman" w:cs="Segoe UI"/>
                <w:i/>
                <w:color w:val="000000"/>
                <w:sz w:val="16"/>
                <w:szCs w:val="16"/>
                <w:lang w:eastAsia="sk-SK"/>
              </w:rPr>
            </w:pPr>
            <w:r w:rsidRPr="004310EE">
              <w:rPr>
                <w:rFonts w:eastAsia="Times New Roman" w:cs="Segoe UI"/>
                <w:i/>
                <w:color w:val="000000"/>
                <w:sz w:val="16"/>
                <w:szCs w:val="16"/>
                <w:lang w:eastAsia="sk-SK"/>
              </w:rPr>
              <w:t xml:space="preserve">     dividendy</w:t>
            </w:r>
          </w:p>
        </w:tc>
        <w:tc>
          <w:tcPr>
            <w:tcW w:w="550" w:type="pct"/>
            <w:vAlign w:val="center"/>
          </w:tcPr>
          <w:p w14:paraId="6ACFD9F1" w14:textId="77777777" w:rsidR="00BA44CD" w:rsidRPr="004310EE" w:rsidRDefault="00BA44CD" w:rsidP="002E1FF0">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160 519</w:t>
            </w:r>
          </w:p>
        </w:tc>
        <w:tc>
          <w:tcPr>
            <w:tcW w:w="481" w:type="pct"/>
            <w:vAlign w:val="center"/>
          </w:tcPr>
          <w:p w14:paraId="42E8E245" w14:textId="77777777" w:rsidR="00BA44CD" w:rsidRPr="004310EE" w:rsidRDefault="00BA44CD" w:rsidP="002E1FF0">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442 362</w:t>
            </w:r>
          </w:p>
        </w:tc>
        <w:tc>
          <w:tcPr>
            <w:tcW w:w="585" w:type="pct"/>
            <w:vAlign w:val="center"/>
          </w:tcPr>
          <w:p w14:paraId="7B3D444F" w14:textId="77777777" w:rsidR="00BA44CD" w:rsidRPr="004310EE" w:rsidRDefault="00BA44CD" w:rsidP="002E1FF0">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436 476</w:t>
            </w:r>
          </w:p>
        </w:tc>
        <w:tc>
          <w:tcPr>
            <w:tcW w:w="574" w:type="pct"/>
            <w:vAlign w:val="center"/>
          </w:tcPr>
          <w:p w14:paraId="78728355" w14:textId="77777777" w:rsidR="00BA44CD" w:rsidRPr="004310EE" w:rsidRDefault="00BA44CD" w:rsidP="002E1FF0">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448 272</w:t>
            </w:r>
          </w:p>
        </w:tc>
        <w:tc>
          <w:tcPr>
            <w:tcW w:w="491" w:type="pct"/>
            <w:vAlign w:val="center"/>
          </w:tcPr>
          <w:p w14:paraId="5C253ECD" w14:textId="77777777" w:rsidR="00BA44CD" w:rsidRPr="004310EE" w:rsidRDefault="00BA44CD" w:rsidP="002E1FF0">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11 796</w:t>
            </w:r>
          </w:p>
        </w:tc>
        <w:tc>
          <w:tcPr>
            <w:tcW w:w="410" w:type="pct"/>
            <w:vAlign w:val="center"/>
          </w:tcPr>
          <w:p w14:paraId="1BE7201B" w14:textId="77777777" w:rsidR="00BA44CD" w:rsidRPr="004310EE" w:rsidRDefault="00BA44CD" w:rsidP="002E1FF0">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101,3</w:t>
            </w:r>
          </w:p>
        </w:tc>
      </w:tr>
      <w:tr w:rsidR="00BA44CD" w:rsidRPr="004310EE" w14:paraId="2D1FC542" w14:textId="77777777" w:rsidTr="002E1FF0">
        <w:trPr>
          <w:trHeight w:val="283"/>
          <w:jc w:val="right"/>
        </w:trPr>
        <w:tc>
          <w:tcPr>
            <w:tcW w:w="1909" w:type="pct"/>
            <w:vAlign w:val="center"/>
          </w:tcPr>
          <w:p w14:paraId="5B84B850"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Administratívne poplatky a iné poplatky a platby</w:t>
            </w:r>
          </w:p>
        </w:tc>
        <w:tc>
          <w:tcPr>
            <w:tcW w:w="550" w:type="pct"/>
            <w:vAlign w:val="center"/>
          </w:tcPr>
          <w:p w14:paraId="0D9FCA4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400 937</w:t>
            </w:r>
          </w:p>
        </w:tc>
        <w:tc>
          <w:tcPr>
            <w:tcW w:w="481" w:type="pct"/>
            <w:vAlign w:val="center"/>
          </w:tcPr>
          <w:p w14:paraId="461ED663"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366 045</w:t>
            </w:r>
          </w:p>
        </w:tc>
        <w:tc>
          <w:tcPr>
            <w:tcW w:w="585" w:type="pct"/>
            <w:vAlign w:val="center"/>
          </w:tcPr>
          <w:p w14:paraId="2813655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396 986</w:t>
            </w:r>
          </w:p>
        </w:tc>
        <w:tc>
          <w:tcPr>
            <w:tcW w:w="574" w:type="pct"/>
            <w:vAlign w:val="center"/>
          </w:tcPr>
          <w:p w14:paraId="0B237820"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442 497</w:t>
            </w:r>
          </w:p>
        </w:tc>
        <w:tc>
          <w:tcPr>
            <w:tcW w:w="491" w:type="pct"/>
            <w:vAlign w:val="center"/>
          </w:tcPr>
          <w:p w14:paraId="6AC41BF8"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45 511</w:t>
            </w:r>
          </w:p>
        </w:tc>
        <w:tc>
          <w:tcPr>
            <w:tcW w:w="410" w:type="pct"/>
            <w:vAlign w:val="center"/>
          </w:tcPr>
          <w:p w14:paraId="0071E9B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120,9</w:t>
            </w:r>
          </w:p>
        </w:tc>
      </w:tr>
      <w:tr w:rsidR="00BA44CD" w:rsidRPr="004310EE" w14:paraId="13F94ADD" w14:textId="77777777" w:rsidTr="002E1FF0">
        <w:trPr>
          <w:trHeight w:val="283"/>
          <w:jc w:val="right"/>
        </w:trPr>
        <w:tc>
          <w:tcPr>
            <w:tcW w:w="1909" w:type="pct"/>
            <w:vAlign w:val="center"/>
          </w:tcPr>
          <w:p w14:paraId="36DF3C29"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Kapitálové príjmy</w:t>
            </w:r>
          </w:p>
        </w:tc>
        <w:tc>
          <w:tcPr>
            <w:tcW w:w="550" w:type="pct"/>
            <w:vAlign w:val="center"/>
          </w:tcPr>
          <w:p w14:paraId="2D13C54E"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11 460</w:t>
            </w:r>
          </w:p>
        </w:tc>
        <w:tc>
          <w:tcPr>
            <w:tcW w:w="481" w:type="pct"/>
            <w:vAlign w:val="center"/>
          </w:tcPr>
          <w:p w14:paraId="6A84F96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16 684</w:t>
            </w:r>
          </w:p>
        </w:tc>
        <w:tc>
          <w:tcPr>
            <w:tcW w:w="585" w:type="pct"/>
            <w:vAlign w:val="center"/>
          </w:tcPr>
          <w:p w14:paraId="0A5FF959"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17 526</w:t>
            </w:r>
          </w:p>
        </w:tc>
        <w:tc>
          <w:tcPr>
            <w:tcW w:w="574" w:type="pct"/>
            <w:vAlign w:val="center"/>
          </w:tcPr>
          <w:p w14:paraId="1EED8F85"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15 131</w:t>
            </w:r>
          </w:p>
        </w:tc>
        <w:tc>
          <w:tcPr>
            <w:tcW w:w="491" w:type="pct"/>
            <w:vAlign w:val="center"/>
          </w:tcPr>
          <w:p w14:paraId="1AA7A009"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-2 395</w:t>
            </w:r>
          </w:p>
        </w:tc>
        <w:tc>
          <w:tcPr>
            <w:tcW w:w="410" w:type="pct"/>
            <w:vAlign w:val="center"/>
          </w:tcPr>
          <w:p w14:paraId="2BB32E05"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90,7</w:t>
            </w:r>
          </w:p>
        </w:tc>
      </w:tr>
      <w:tr w:rsidR="00BA44CD" w:rsidRPr="004310EE" w14:paraId="4B3A2A05" w14:textId="77777777" w:rsidTr="002E1FF0">
        <w:trPr>
          <w:trHeight w:val="283"/>
          <w:jc w:val="right"/>
        </w:trPr>
        <w:tc>
          <w:tcPr>
            <w:tcW w:w="1909" w:type="pct"/>
            <w:vAlign w:val="center"/>
          </w:tcPr>
          <w:p w14:paraId="5DB9B9FA"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Úroky z tuzemských a zahraničných úverov, pôžičiek NFV</w:t>
            </w:r>
          </w:p>
        </w:tc>
        <w:tc>
          <w:tcPr>
            <w:tcW w:w="550" w:type="pct"/>
            <w:vAlign w:val="center"/>
          </w:tcPr>
          <w:p w14:paraId="3920A6C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9 996</w:t>
            </w:r>
          </w:p>
        </w:tc>
        <w:tc>
          <w:tcPr>
            <w:tcW w:w="481" w:type="pct"/>
            <w:vAlign w:val="center"/>
          </w:tcPr>
          <w:p w14:paraId="34AAFCE8"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121 738</w:t>
            </w:r>
          </w:p>
        </w:tc>
        <w:tc>
          <w:tcPr>
            <w:tcW w:w="585" w:type="pct"/>
            <w:vAlign w:val="center"/>
          </w:tcPr>
          <w:p w14:paraId="1EB5173E"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127 284</w:t>
            </w:r>
          </w:p>
        </w:tc>
        <w:tc>
          <w:tcPr>
            <w:tcW w:w="574" w:type="pct"/>
            <w:vAlign w:val="center"/>
          </w:tcPr>
          <w:p w14:paraId="24495987"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139 530</w:t>
            </w:r>
          </w:p>
        </w:tc>
        <w:tc>
          <w:tcPr>
            <w:tcW w:w="491" w:type="pct"/>
            <w:vAlign w:val="center"/>
          </w:tcPr>
          <w:p w14:paraId="2CFC45C5"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12 246</w:t>
            </w:r>
          </w:p>
        </w:tc>
        <w:tc>
          <w:tcPr>
            <w:tcW w:w="410" w:type="pct"/>
            <w:vAlign w:val="center"/>
          </w:tcPr>
          <w:p w14:paraId="650D531B"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114,6</w:t>
            </w:r>
          </w:p>
        </w:tc>
      </w:tr>
      <w:tr w:rsidR="00BA44CD" w:rsidRPr="004310EE" w14:paraId="062EA994" w14:textId="77777777" w:rsidTr="002E1FF0">
        <w:trPr>
          <w:trHeight w:val="283"/>
          <w:jc w:val="right"/>
        </w:trPr>
        <w:tc>
          <w:tcPr>
            <w:tcW w:w="1909" w:type="pct"/>
            <w:tcBorders>
              <w:bottom w:val="single" w:sz="4" w:space="0" w:color="314364"/>
            </w:tcBorders>
            <w:vAlign w:val="center"/>
          </w:tcPr>
          <w:p w14:paraId="116ADB49" w14:textId="77777777" w:rsidR="00BA44CD" w:rsidRPr="004310EE" w:rsidRDefault="00BA44CD" w:rsidP="002E1FF0">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Iné nedaňové príjmy</w:t>
            </w:r>
          </w:p>
        </w:tc>
        <w:tc>
          <w:tcPr>
            <w:tcW w:w="550" w:type="pct"/>
            <w:tcBorders>
              <w:bottom w:val="single" w:sz="4" w:space="0" w:color="314364"/>
            </w:tcBorders>
            <w:vAlign w:val="center"/>
          </w:tcPr>
          <w:p w14:paraId="4B6B2E59"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694 670</w:t>
            </w:r>
          </w:p>
        </w:tc>
        <w:tc>
          <w:tcPr>
            <w:tcW w:w="481" w:type="pct"/>
            <w:tcBorders>
              <w:bottom w:val="single" w:sz="4" w:space="0" w:color="314364"/>
            </w:tcBorders>
            <w:vAlign w:val="center"/>
          </w:tcPr>
          <w:p w14:paraId="69DDFA53"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633 551</w:t>
            </w:r>
          </w:p>
        </w:tc>
        <w:tc>
          <w:tcPr>
            <w:tcW w:w="585" w:type="pct"/>
            <w:tcBorders>
              <w:bottom w:val="single" w:sz="4" w:space="0" w:color="314364"/>
            </w:tcBorders>
            <w:vAlign w:val="center"/>
          </w:tcPr>
          <w:p w14:paraId="03D934DF"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485 226</w:t>
            </w:r>
          </w:p>
        </w:tc>
        <w:tc>
          <w:tcPr>
            <w:tcW w:w="574" w:type="pct"/>
            <w:tcBorders>
              <w:bottom w:val="single" w:sz="4" w:space="0" w:color="314364"/>
            </w:tcBorders>
            <w:vAlign w:val="center"/>
          </w:tcPr>
          <w:p w14:paraId="3ECE0602"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776 292</w:t>
            </w:r>
          </w:p>
        </w:tc>
        <w:tc>
          <w:tcPr>
            <w:tcW w:w="491" w:type="pct"/>
            <w:tcBorders>
              <w:bottom w:val="single" w:sz="4" w:space="0" w:color="314364"/>
            </w:tcBorders>
            <w:vAlign w:val="center"/>
          </w:tcPr>
          <w:p w14:paraId="00C96102"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291 066</w:t>
            </w:r>
          </w:p>
        </w:tc>
        <w:tc>
          <w:tcPr>
            <w:tcW w:w="410" w:type="pct"/>
            <w:tcBorders>
              <w:bottom w:val="single" w:sz="4" w:space="0" w:color="314364"/>
            </w:tcBorders>
            <w:vAlign w:val="center"/>
          </w:tcPr>
          <w:p w14:paraId="489B3AE1" w14:textId="77777777" w:rsidR="00BA44CD" w:rsidRPr="004310EE" w:rsidRDefault="00BA44CD" w:rsidP="002E1FF0">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122,5</w:t>
            </w:r>
          </w:p>
        </w:tc>
      </w:tr>
    </w:tbl>
    <w:p w14:paraId="472C378E" w14:textId="2930D954" w:rsidR="00BA44CD" w:rsidRPr="004310EE" w:rsidRDefault="00BA44CD" w:rsidP="00BA44CD">
      <w:pPr>
        <w:spacing w:line="240" w:lineRule="auto"/>
        <w:jc w:val="left"/>
        <w:rPr>
          <w:rFonts w:eastAsia="Calibri" w:cs="Times New Roman"/>
          <w:i/>
          <w:color w:val="314364"/>
          <w:sz w:val="16"/>
        </w:rPr>
      </w:pPr>
      <w:r w:rsidRPr="004310EE">
        <w:rPr>
          <w:rFonts w:eastAsia="Calibri" w:cs="Times New Roman"/>
          <w:i/>
          <w:color w:val="314364"/>
          <w:sz w:val="16"/>
        </w:rPr>
        <w:t>Zdroj: Návrh ŠZÚ 2024.</w:t>
      </w:r>
      <w:r w:rsidRPr="004310EE">
        <w:rPr>
          <w:rFonts w:eastAsia="Calibri" w:cs="Times New Roman"/>
          <w:i/>
          <w:color w:val="314364"/>
          <w:sz w:val="16"/>
        </w:rPr>
        <w:br/>
        <w:t xml:space="preserve">S – skutočnosť, R – rozpočet, </w:t>
      </w:r>
      <w:proofErr w:type="spellStart"/>
      <w:r w:rsidRPr="004310EE">
        <w:rPr>
          <w:rFonts w:eastAsia="Calibri" w:cs="Times New Roman"/>
          <w:i/>
          <w:color w:val="314364"/>
          <w:sz w:val="16"/>
        </w:rPr>
        <w:t>YoY</w:t>
      </w:r>
      <w:proofErr w:type="spellEnd"/>
      <w:r w:rsidRPr="004310EE">
        <w:rPr>
          <w:rFonts w:eastAsia="Calibri" w:cs="Times New Roman"/>
          <w:i/>
          <w:color w:val="314364"/>
          <w:sz w:val="16"/>
        </w:rPr>
        <w:t xml:space="preserve"> – medziročná zmena</w:t>
      </w:r>
      <w:r w:rsidR="00601FB5">
        <w:rPr>
          <w:rFonts w:eastAsia="Calibri" w:cs="Times New Roman"/>
          <w:i/>
          <w:color w:val="314364"/>
          <w:sz w:val="16"/>
        </w:rPr>
        <w:t>.</w:t>
      </w:r>
    </w:p>
    <w:p w14:paraId="20E866B8" w14:textId="0A113545" w:rsidR="00140A29" w:rsidRPr="004310EE" w:rsidRDefault="00140A29" w:rsidP="00140A29">
      <w:pPr>
        <w:rPr>
          <w:rFonts w:eastAsia="Times New Roman" w:cs="Segoe UI"/>
          <w:szCs w:val="20"/>
        </w:rPr>
      </w:pPr>
      <w:r w:rsidRPr="004310EE">
        <w:rPr>
          <w:rFonts w:eastAsia="Times New Roman" w:cs="Segoe UI"/>
          <w:b/>
          <w:szCs w:val="20"/>
        </w:rPr>
        <w:t>Iné nedaňové príjmy boli s podielom 40,6 % v roku 2024 najvýznamnejšou položkou nedaňových príjmov.</w:t>
      </w:r>
      <w:r w:rsidRPr="004310EE">
        <w:rPr>
          <w:rFonts w:eastAsia="Times New Roman" w:cs="Segoe UI"/>
          <w:szCs w:val="20"/>
        </w:rPr>
        <w:t xml:space="preserve"> Do tejto skupiny patria okrem spomínaných </w:t>
      </w:r>
      <w:proofErr w:type="spellStart"/>
      <w:r w:rsidRPr="004310EE">
        <w:rPr>
          <w:rFonts w:eastAsia="Times New Roman" w:cs="Segoe UI"/>
          <w:szCs w:val="20"/>
        </w:rPr>
        <w:t>vratiek</w:t>
      </w:r>
      <w:proofErr w:type="spellEnd"/>
      <w:r w:rsidRPr="004310EE">
        <w:rPr>
          <w:rFonts w:eastAsia="Times New Roman" w:cs="Segoe UI"/>
          <w:szCs w:val="20"/>
        </w:rPr>
        <w:t xml:space="preserve"> aj odvody z hazardných hier, ktoré dosiahli 347,3 mil. eur v 2024, čo je o 45,8 mil. </w:t>
      </w:r>
      <w:r w:rsidR="00C940A0">
        <w:rPr>
          <w:rFonts w:eastAsia="Times New Roman" w:cs="Segoe UI"/>
          <w:szCs w:val="20"/>
        </w:rPr>
        <w:t>eur</w:t>
      </w:r>
      <w:r w:rsidRPr="004310EE">
        <w:rPr>
          <w:rFonts w:eastAsia="Times New Roman" w:cs="Segoe UI"/>
          <w:szCs w:val="20"/>
        </w:rPr>
        <w:t xml:space="preserve"> medziročne</w:t>
      </w:r>
      <w:r w:rsidR="00C940A0">
        <w:rPr>
          <w:rFonts w:eastAsia="Times New Roman" w:cs="Segoe UI"/>
          <w:szCs w:val="20"/>
        </w:rPr>
        <w:t xml:space="preserve"> viac</w:t>
      </w:r>
      <w:r w:rsidRPr="004310EE">
        <w:rPr>
          <w:rFonts w:eastAsia="Times New Roman" w:cs="Segoe UI"/>
          <w:szCs w:val="20"/>
        </w:rPr>
        <w:t xml:space="preserve">. Nominálny nárast odvodu bol zapríčinený </w:t>
      </w:r>
      <w:r w:rsidRPr="004310EE">
        <w:rPr>
          <w:rFonts w:eastAsia="Times New Roman" w:cs="Segoe UI"/>
          <w:szCs w:val="20"/>
        </w:rPr>
        <w:lastRenderedPageBreak/>
        <w:t>zvýšením sadzby odvodu pre internetové kasína a kurzové stávky v roku 2023 z 22 % na 27 % a neochabujúcim vzostupom hrania po pandémii, keď medziročne stúpol celkový objem stávok o 14 % (2,9 mld. eur), na čom sa výrazne podieľali internetové kasína s nárastom objemu stávok o 34 %. Tipos, a. s.</w:t>
      </w:r>
      <w:r w:rsidR="001767FE">
        <w:rPr>
          <w:rFonts w:eastAsia="Times New Roman" w:cs="Segoe UI"/>
          <w:szCs w:val="20"/>
        </w:rPr>
        <w:t>,</w:t>
      </w:r>
      <w:r w:rsidRPr="004310EE">
        <w:rPr>
          <w:rFonts w:eastAsia="Times New Roman" w:cs="Segoe UI"/>
          <w:szCs w:val="20"/>
        </w:rPr>
        <w:t xml:space="preserve"> bola v roku 2024 delimitovaná spod MF SR na nové MCRŠ SR, pričom dividenda dosiahla rozpočtovaných 20 mil. eur. </w:t>
      </w:r>
    </w:p>
    <w:p w14:paraId="0EB96183" w14:textId="5CC759C2" w:rsidR="00140A29" w:rsidRPr="004310EE" w:rsidRDefault="00140A29" w:rsidP="00140A29">
      <w:pPr>
        <w:rPr>
          <w:rFonts w:eastAsia="Times New Roman" w:cs="Segoe UI"/>
          <w:szCs w:val="20"/>
        </w:rPr>
      </w:pPr>
      <w:r w:rsidRPr="004310EE">
        <w:rPr>
          <w:rFonts w:eastAsia="Times New Roman" w:cs="Segoe UI"/>
          <w:b/>
          <w:szCs w:val="20"/>
        </w:rPr>
        <w:t>Príjmy z administratívnych poplatkov, iných poplatkov a platieb medziročne vrástli o 76,5 mil. eur na 442,5 mil. eur.</w:t>
      </w:r>
      <w:r w:rsidRPr="004310EE">
        <w:rPr>
          <w:rFonts w:eastAsia="Times New Roman" w:cs="Segoe UI"/>
          <w:szCs w:val="20"/>
        </w:rPr>
        <w:t xml:space="preserve"> Výška týchto príjmov závisí od počtu konaní a jednotlivých sadzieb. Súčasťou konsolidačného balíčka schváleného koncom roka 2023 bolo aj zvýšenie správnych poplatkov a súdnych poplatkov od 1. apríla 2024. Podľa Programu stability SR na roky 2024 až 2027 sa predpokladal vplyv valorizácie vo výške 38 mil. eur podľa metodiky ESA 2010. </w:t>
      </w:r>
    </w:p>
    <w:p w14:paraId="75863F97" w14:textId="6E1F123E" w:rsidR="00140A29" w:rsidRPr="004310EE" w:rsidRDefault="00140A29" w:rsidP="00140A29">
      <w:pPr>
        <w:rPr>
          <w:rFonts w:eastAsia="Times New Roman" w:cs="Segoe UI"/>
          <w:szCs w:val="20"/>
        </w:rPr>
      </w:pPr>
      <w:r w:rsidRPr="004310EE">
        <w:rPr>
          <w:rFonts w:eastAsia="Times New Roman" w:cs="Segoe UI"/>
          <w:b/>
          <w:szCs w:val="20"/>
        </w:rPr>
        <w:t>Skutočné hotovostné príjmy z grantov a transferov dosiahli 4 197,1 mil. eur, čo je oproti rozpočtu o 1 678,6 mil. eur viac</w:t>
      </w:r>
      <w:r w:rsidRPr="004310EE">
        <w:rPr>
          <w:rFonts w:eastAsia="Times New Roman" w:cs="Segoe UI"/>
          <w:szCs w:val="20"/>
        </w:rPr>
        <w:t xml:space="preserve"> (tabuľka </w:t>
      </w:r>
      <w:r w:rsidR="00187A8F">
        <w:rPr>
          <w:rFonts w:eastAsia="Times New Roman" w:cs="Segoe UI"/>
          <w:szCs w:val="20"/>
        </w:rPr>
        <w:t>8</w:t>
      </w:r>
      <w:r w:rsidRPr="004310EE">
        <w:rPr>
          <w:rFonts w:eastAsia="Times New Roman" w:cs="Segoe UI"/>
          <w:szCs w:val="20"/>
        </w:rPr>
        <w:t>)</w:t>
      </w:r>
      <w:r w:rsidRPr="004310EE">
        <w:rPr>
          <w:rFonts w:eastAsia="Times New Roman" w:cs="Segoe UI"/>
          <w:b/>
          <w:szCs w:val="20"/>
        </w:rPr>
        <w:t>.</w:t>
      </w:r>
      <w:r w:rsidRPr="004310EE">
        <w:rPr>
          <w:rFonts w:eastAsia="Times New Roman" w:cs="Segoe UI"/>
          <w:szCs w:val="20"/>
        </w:rPr>
        <w:t xml:space="preserve"> </w:t>
      </w:r>
      <w:r w:rsidR="00187A8F">
        <w:rPr>
          <w:rFonts w:eastAsia="Times New Roman" w:cs="Segoe UI"/>
          <w:szCs w:val="20"/>
        </w:rPr>
        <w:t>N</w:t>
      </w:r>
      <w:r w:rsidRPr="004310EE">
        <w:rPr>
          <w:rFonts w:eastAsia="Times New Roman" w:cs="Segoe UI"/>
          <w:szCs w:val="20"/>
        </w:rPr>
        <w:t>árast príjmov z rozpočtu EÚ v roku 2024 oproti rozpočtovaným hodnotám o 1 988,3 mil. eur je spôsobený hotovostným dobiehaním poskytnutých preddavkov a zálohových platieb rozpočtovaných a uskutočnených v 2023. Prostriedky z POO sa stávajú príjmom ŠR</w:t>
      </w:r>
      <w:r w:rsidR="00187A8F">
        <w:rPr>
          <w:rFonts w:eastAsia="Times New Roman" w:cs="Segoe UI"/>
          <w:szCs w:val="20"/>
        </w:rPr>
        <w:t>,</w:t>
      </w:r>
      <w:r w:rsidRPr="004310EE">
        <w:rPr>
          <w:rFonts w:eastAsia="Times New Roman" w:cs="Segoe UI"/>
          <w:szCs w:val="20"/>
        </w:rPr>
        <w:t xml:space="preserve"> pričom NIKA ich po dohode s MF SR </w:t>
      </w:r>
      <w:r w:rsidR="00187A8F">
        <w:rPr>
          <w:rFonts w:eastAsia="Times New Roman" w:cs="Segoe UI"/>
          <w:szCs w:val="20"/>
        </w:rPr>
        <w:t>dáva</w:t>
      </w:r>
      <w:r w:rsidRPr="004310EE">
        <w:rPr>
          <w:rFonts w:eastAsia="Times New Roman" w:cs="Segoe UI"/>
          <w:szCs w:val="20"/>
        </w:rPr>
        <w:t xml:space="preserve"> do príjmov VPS. Tuzemské granty a transfery pozostávajú najmä z transferu od </w:t>
      </w:r>
      <w:r w:rsidR="00187A8F">
        <w:rPr>
          <w:rFonts w:eastAsia="Times New Roman" w:cs="Segoe UI"/>
          <w:szCs w:val="20"/>
        </w:rPr>
        <w:t>ZP</w:t>
      </w:r>
      <w:r w:rsidRPr="004310EE">
        <w:rPr>
          <w:rFonts w:eastAsia="Times New Roman" w:cs="Segoe UI"/>
          <w:szCs w:val="20"/>
        </w:rPr>
        <w:t xml:space="preserve"> cez MZ SR (a ŠR) vo výške 64,3 mil. eur</w:t>
      </w:r>
      <w:r w:rsidR="00187A8F">
        <w:rPr>
          <w:rFonts w:eastAsia="Times New Roman" w:cs="Segoe UI"/>
          <w:szCs w:val="20"/>
        </w:rPr>
        <w:t>,</w:t>
      </w:r>
      <w:r w:rsidRPr="004310EE">
        <w:rPr>
          <w:rFonts w:eastAsia="Times New Roman" w:cs="Segoe UI"/>
          <w:szCs w:val="20"/>
        </w:rPr>
        <w:t xml:space="preserve"> ako z príspevku na správu a rozvoj národného zdravotníckeho informačného systému a príspevku na činnosť operačných stredísk tiesňového volania záchrannej zdravotnej služby</w:t>
      </w:r>
    </w:p>
    <w:p w14:paraId="3A427BD1" w14:textId="613C511F" w:rsidR="00140A29" w:rsidRPr="004310EE" w:rsidRDefault="00140A29" w:rsidP="00140A29">
      <w:pPr>
        <w:keepNext/>
        <w:spacing w:after="0"/>
        <w:rPr>
          <w:rFonts w:eastAsia="Calibri" w:cs="Times New Roman"/>
          <w:b/>
          <w:iCs/>
          <w:color w:val="314364"/>
          <w:szCs w:val="18"/>
        </w:rPr>
      </w:pPr>
      <w:r w:rsidRPr="004310EE">
        <w:rPr>
          <w:rFonts w:eastAsia="Calibri" w:cs="Times New Roman"/>
          <w:b/>
          <w:iCs/>
          <w:color w:val="314364"/>
          <w:szCs w:val="18"/>
        </w:rPr>
        <w:t xml:space="preserve">Tabuľka </w:t>
      </w:r>
      <w:r w:rsidR="00187A8F">
        <w:rPr>
          <w:rFonts w:eastAsia="Calibri" w:cs="Times New Roman"/>
          <w:b/>
          <w:iCs/>
          <w:color w:val="314364"/>
          <w:szCs w:val="18"/>
        </w:rPr>
        <w:t>8</w:t>
      </w:r>
      <w:r w:rsidRPr="004310EE">
        <w:rPr>
          <w:rFonts w:eastAsia="Calibri" w:cs="Times New Roman"/>
          <w:b/>
          <w:iCs/>
          <w:color w:val="314364"/>
          <w:szCs w:val="18"/>
        </w:rPr>
        <w:t>: Prehľad o plnení grantov a transferov (v tis. eur)</w:t>
      </w:r>
    </w:p>
    <w:tbl>
      <w:tblPr>
        <w:tblW w:w="5000" w:type="pct"/>
        <w:jc w:val="center"/>
        <w:tblLook w:val="04A0" w:firstRow="1" w:lastRow="0" w:firstColumn="1" w:lastColumn="0" w:noHBand="0" w:noVBand="1"/>
      </w:tblPr>
      <w:tblGrid>
        <w:gridCol w:w="2704"/>
        <w:gridCol w:w="1104"/>
        <w:gridCol w:w="1104"/>
        <w:gridCol w:w="1104"/>
        <w:gridCol w:w="1104"/>
        <w:gridCol w:w="1181"/>
        <w:gridCol w:w="769"/>
      </w:tblGrid>
      <w:tr w:rsidR="00140A29" w:rsidRPr="004310EE" w14:paraId="5DE0E746" w14:textId="77777777" w:rsidTr="00F53E08">
        <w:trPr>
          <w:trHeight w:val="283"/>
          <w:jc w:val="center"/>
        </w:trPr>
        <w:tc>
          <w:tcPr>
            <w:tcW w:w="1495" w:type="pct"/>
            <w:shd w:val="clear" w:color="auto" w:fill="314364"/>
            <w:vAlign w:val="center"/>
          </w:tcPr>
          <w:p w14:paraId="2394D36D" w14:textId="77777777" w:rsidR="00140A29" w:rsidRPr="004310EE" w:rsidRDefault="00140A29" w:rsidP="00F53E08">
            <w:pPr>
              <w:spacing w:after="0" w:line="259" w:lineRule="auto"/>
              <w:jc w:val="left"/>
              <w:rPr>
                <w:rFonts w:eastAsia="Calibri" w:cs="Segoe UI"/>
                <w:b/>
                <w:bCs/>
                <w:color w:val="FFFFFF"/>
                <w:sz w:val="16"/>
                <w:szCs w:val="16"/>
              </w:rPr>
            </w:pPr>
            <w:r w:rsidRPr="004310EE">
              <w:rPr>
                <w:rFonts w:eastAsia="Calibri" w:cs="Segoe UI"/>
                <w:b/>
                <w:bCs/>
                <w:color w:val="FFFFFF"/>
                <w:sz w:val="16"/>
                <w:szCs w:val="16"/>
              </w:rPr>
              <w:t>Ukazovateľ</w:t>
            </w:r>
          </w:p>
        </w:tc>
        <w:tc>
          <w:tcPr>
            <w:tcW w:w="613" w:type="pct"/>
            <w:shd w:val="clear" w:color="auto" w:fill="314364"/>
            <w:vAlign w:val="center"/>
          </w:tcPr>
          <w:p w14:paraId="1F7FAF8D" w14:textId="77777777" w:rsidR="00140A29" w:rsidRPr="004310EE" w:rsidRDefault="00140A29" w:rsidP="00F53E08">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2022 S</w:t>
            </w:r>
          </w:p>
        </w:tc>
        <w:tc>
          <w:tcPr>
            <w:tcW w:w="613" w:type="pct"/>
            <w:shd w:val="clear" w:color="auto" w:fill="314364"/>
            <w:vAlign w:val="center"/>
          </w:tcPr>
          <w:p w14:paraId="007E7B7C" w14:textId="77777777" w:rsidR="00140A29" w:rsidRPr="004310EE" w:rsidRDefault="00140A29" w:rsidP="00F53E08">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2023 S</w:t>
            </w:r>
          </w:p>
        </w:tc>
        <w:tc>
          <w:tcPr>
            <w:tcW w:w="613" w:type="pct"/>
            <w:shd w:val="clear" w:color="auto" w:fill="314364"/>
            <w:vAlign w:val="center"/>
          </w:tcPr>
          <w:p w14:paraId="0F53ED8F" w14:textId="77777777" w:rsidR="00140A29" w:rsidRPr="004310EE" w:rsidRDefault="00140A29" w:rsidP="00F53E08">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2024 R</w:t>
            </w:r>
          </w:p>
        </w:tc>
        <w:tc>
          <w:tcPr>
            <w:tcW w:w="613" w:type="pct"/>
            <w:shd w:val="clear" w:color="auto" w:fill="314364"/>
            <w:vAlign w:val="center"/>
          </w:tcPr>
          <w:p w14:paraId="21CD528E" w14:textId="77777777" w:rsidR="00140A29" w:rsidRPr="004310EE" w:rsidRDefault="00140A29" w:rsidP="00F53E08">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2024 S</w:t>
            </w:r>
          </w:p>
        </w:tc>
        <w:tc>
          <w:tcPr>
            <w:tcW w:w="655" w:type="pct"/>
            <w:shd w:val="clear" w:color="auto" w:fill="314364"/>
            <w:vAlign w:val="center"/>
          </w:tcPr>
          <w:p w14:paraId="5CE4DB20" w14:textId="77777777" w:rsidR="00140A29" w:rsidRPr="004310EE" w:rsidRDefault="00140A29" w:rsidP="00F53E08">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24S-24R</w:t>
            </w:r>
          </w:p>
        </w:tc>
        <w:tc>
          <w:tcPr>
            <w:tcW w:w="399" w:type="pct"/>
            <w:shd w:val="clear" w:color="auto" w:fill="314364"/>
            <w:vAlign w:val="center"/>
          </w:tcPr>
          <w:p w14:paraId="52B75266" w14:textId="77777777" w:rsidR="00140A29" w:rsidRPr="004310EE" w:rsidRDefault="00140A29" w:rsidP="00F53E08">
            <w:pPr>
              <w:spacing w:after="0" w:line="259" w:lineRule="auto"/>
              <w:jc w:val="right"/>
              <w:rPr>
                <w:rFonts w:eastAsia="Calibri" w:cs="Segoe UI"/>
                <w:b/>
                <w:bCs/>
                <w:color w:val="FFFFFF"/>
                <w:sz w:val="16"/>
                <w:szCs w:val="16"/>
              </w:rPr>
            </w:pPr>
            <w:proofErr w:type="spellStart"/>
            <w:r w:rsidRPr="004310EE">
              <w:rPr>
                <w:rFonts w:eastAsia="Calibri" w:cs="Segoe UI"/>
                <w:b/>
                <w:bCs/>
                <w:color w:val="FFFFFF"/>
                <w:sz w:val="16"/>
                <w:szCs w:val="16"/>
              </w:rPr>
              <w:t>YoY</w:t>
            </w:r>
            <w:proofErr w:type="spellEnd"/>
          </w:p>
        </w:tc>
      </w:tr>
      <w:tr w:rsidR="00140A29" w:rsidRPr="004310EE" w14:paraId="33C6A59C" w14:textId="77777777" w:rsidTr="00F53E08">
        <w:trPr>
          <w:trHeight w:val="283"/>
          <w:jc w:val="center"/>
        </w:trPr>
        <w:tc>
          <w:tcPr>
            <w:tcW w:w="1495" w:type="pct"/>
            <w:shd w:val="clear" w:color="auto" w:fill="auto"/>
            <w:vAlign w:val="center"/>
          </w:tcPr>
          <w:p w14:paraId="18154891" w14:textId="77777777" w:rsidR="00140A29" w:rsidRPr="004310EE" w:rsidRDefault="00140A29" w:rsidP="00F53E08">
            <w:pPr>
              <w:spacing w:after="0"/>
              <w:jc w:val="left"/>
              <w:rPr>
                <w:rFonts w:eastAsia="Times New Roman" w:cs="Segoe UI"/>
                <w:b/>
                <w:color w:val="000000"/>
                <w:sz w:val="16"/>
                <w:szCs w:val="16"/>
                <w:lang w:eastAsia="sk-SK"/>
              </w:rPr>
            </w:pPr>
            <w:r w:rsidRPr="004310EE">
              <w:rPr>
                <w:rFonts w:eastAsia="Times New Roman" w:cs="Segoe UI"/>
                <w:b/>
                <w:color w:val="000000"/>
                <w:sz w:val="16"/>
                <w:szCs w:val="16"/>
                <w:lang w:eastAsia="sk-SK"/>
              </w:rPr>
              <w:t>Granty a transfery spolu</w:t>
            </w:r>
          </w:p>
        </w:tc>
        <w:tc>
          <w:tcPr>
            <w:tcW w:w="613" w:type="pct"/>
            <w:shd w:val="clear" w:color="auto" w:fill="auto"/>
            <w:vAlign w:val="bottom"/>
          </w:tcPr>
          <w:p w14:paraId="038D97E1"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2 227 577</w:t>
            </w:r>
          </w:p>
        </w:tc>
        <w:tc>
          <w:tcPr>
            <w:tcW w:w="613" w:type="pct"/>
            <w:shd w:val="clear" w:color="auto" w:fill="auto"/>
            <w:vAlign w:val="bottom"/>
          </w:tcPr>
          <w:p w14:paraId="6A0844DD"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4 509 343</w:t>
            </w:r>
          </w:p>
        </w:tc>
        <w:tc>
          <w:tcPr>
            <w:tcW w:w="613" w:type="pct"/>
            <w:vAlign w:val="bottom"/>
          </w:tcPr>
          <w:p w14:paraId="5A46BFFB"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2 518 539</w:t>
            </w:r>
          </w:p>
        </w:tc>
        <w:tc>
          <w:tcPr>
            <w:tcW w:w="613" w:type="pct"/>
            <w:shd w:val="clear" w:color="auto" w:fill="auto"/>
            <w:vAlign w:val="bottom"/>
          </w:tcPr>
          <w:p w14:paraId="673FD706"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4 197 103</w:t>
            </w:r>
          </w:p>
        </w:tc>
        <w:tc>
          <w:tcPr>
            <w:tcW w:w="655" w:type="pct"/>
            <w:shd w:val="clear" w:color="auto" w:fill="auto"/>
            <w:vAlign w:val="bottom"/>
          </w:tcPr>
          <w:p w14:paraId="1728EF07"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1 678 564</w:t>
            </w:r>
          </w:p>
        </w:tc>
        <w:tc>
          <w:tcPr>
            <w:tcW w:w="399" w:type="pct"/>
            <w:shd w:val="clear" w:color="auto" w:fill="auto"/>
            <w:vAlign w:val="bottom"/>
          </w:tcPr>
          <w:p w14:paraId="18669DF6"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color w:val="000000"/>
                <w:sz w:val="16"/>
                <w:szCs w:val="16"/>
                <w:lang w:eastAsia="sk-SK"/>
              </w:rPr>
              <w:t>93,1</w:t>
            </w:r>
          </w:p>
        </w:tc>
      </w:tr>
      <w:tr w:rsidR="00140A29" w:rsidRPr="004310EE" w14:paraId="24D67345" w14:textId="77777777" w:rsidTr="00F53E08">
        <w:trPr>
          <w:trHeight w:val="283"/>
          <w:jc w:val="center"/>
        </w:trPr>
        <w:tc>
          <w:tcPr>
            <w:tcW w:w="1495" w:type="pct"/>
            <w:vAlign w:val="center"/>
          </w:tcPr>
          <w:p w14:paraId="66CC10D6" w14:textId="77777777" w:rsidR="00140A29" w:rsidRPr="004310EE" w:rsidRDefault="00140A29" w:rsidP="00F53E08">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Tuzemské granty a transfery</w:t>
            </w:r>
          </w:p>
        </w:tc>
        <w:tc>
          <w:tcPr>
            <w:tcW w:w="613" w:type="pct"/>
            <w:vAlign w:val="bottom"/>
          </w:tcPr>
          <w:p w14:paraId="3DAEC04D"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39 874</w:t>
            </w:r>
          </w:p>
        </w:tc>
        <w:tc>
          <w:tcPr>
            <w:tcW w:w="613" w:type="pct"/>
            <w:vAlign w:val="bottom"/>
          </w:tcPr>
          <w:p w14:paraId="74142CA6"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69</w:t>
            </w:r>
          </w:p>
        </w:tc>
        <w:tc>
          <w:tcPr>
            <w:tcW w:w="613" w:type="pct"/>
            <w:vAlign w:val="bottom"/>
          </w:tcPr>
          <w:p w14:paraId="4501E4F9"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65 898</w:t>
            </w:r>
          </w:p>
        </w:tc>
        <w:tc>
          <w:tcPr>
            <w:tcW w:w="613" w:type="pct"/>
            <w:vAlign w:val="bottom"/>
          </w:tcPr>
          <w:p w14:paraId="74BA0A48"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64 411</w:t>
            </w:r>
          </w:p>
        </w:tc>
        <w:tc>
          <w:tcPr>
            <w:tcW w:w="655" w:type="pct"/>
            <w:vAlign w:val="bottom"/>
          </w:tcPr>
          <w:p w14:paraId="20296697"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-1 487</w:t>
            </w:r>
          </w:p>
        </w:tc>
        <w:tc>
          <w:tcPr>
            <w:tcW w:w="399" w:type="pct"/>
            <w:vAlign w:val="bottom"/>
          </w:tcPr>
          <w:p w14:paraId="6F518133"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93349,3</w:t>
            </w:r>
          </w:p>
        </w:tc>
      </w:tr>
      <w:tr w:rsidR="00140A29" w:rsidRPr="004310EE" w14:paraId="14221544" w14:textId="77777777" w:rsidTr="00F53E08">
        <w:trPr>
          <w:trHeight w:val="283"/>
          <w:jc w:val="center"/>
        </w:trPr>
        <w:tc>
          <w:tcPr>
            <w:tcW w:w="1495" w:type="pct"/>
            <w:vAlign w:val="center"/>
          </w:tcPr>
          <w:p w14:paraId="5210EDB7" w14:textId="77777777" w:rsidR="00140A29" w:rsidRPr="004310EE" w:rsidRDefault="00140A29" w:rsidP="00F53E08">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Zahraničné granty a transfery</w:t>
            </w:r>
          </w:p>
        </w:tc>
        <w:tc>
          <w:tcPr>
            <w:tcW w:w="613" w:type="pct"/>
            <w:vAlign w:val="bottom"/>
          </w:tcPr>
          <w:p w14:paraId="6E7C628A"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2 187 703</w:t>
            </w:r>
          </w:p>
        </w:tc>
        <w:tc>
          <w:tcPr>
            <w:tcW w:w="613" w:type="pct"/>
            <w:vAlign w:val="bottom"/>
          </w:tcPr>
          <w:p w14:paraId="34DD38E7"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4 509 274</w:t>
            </w:r>
          </w:p>
        </w:tc>
        <w:tc>
          <w:tcPr>
            <w:tcW w:w="613" w:type="pct"/>
            <w:vAlign w:val="bottom"/>
          </w:tcPr>
          <w:p w14:paraId="25DCB7A2"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2 452 641</w:t>
            </w:r>
          </w:p>
        </w:tc>
        <w:tc>
          <w:tcPr>
            <w:tcW w:w="613" w:type="pct"/>
            <w:vAlign w:val="bottom"/>
          </w:tcPr>
          <w:p w14:paraId="1F7D80CB"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4 132 692</w:t>
            </w:r>
          </w:p>
        </w:tc>
        <w:tc>
          <w:tcPr>
            <w:tcW w:w="655" w:type="pct"/>
            <w:vAlign w:val="bottom"/>
          </w:tcPr>
          <w:p w14:paraId="2CC2B567"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1 680 051</w:t>
            </w:r>
          </w:p>
        </w:tc>
        <w:tc>
          <w:tcPr>
            <w:tcW w:w="399" w:type="pct"/>
            <w:vAlign w:val="bottom"/>
          </w:tcPr>
          <w:p w14:paraId="44B5F919"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91,6</w:t>
            </w:r>
          </w:p>
        </w:tc>
      </w:tr>
      <w:tr w:rsidR="00140A29" w:rsidRPr="004310EE" w14:paraId="60D7B84F" w14:textId="77777777" w:rsidTr="00F53E08">
        <w:trPr>
          <w:trHeight w:val="283"/>
          <w:jc w:val="center"/>
        </w:trPr>
        <w:tc>
          <w:tcPr>
            <w:tcW w:w="1495" w:type="pct"/>
            <w:vAlign w:val="center"/>
          </w:tcPr>
          <w:p w14:paraId="7A969BBB" w14:textId="77777777" w:rsidR="00140A29" w:rsidRPr="004310EE" w:rsidRDefault="00140A29" w:rsidP="00F53E08">
            <w:pPr>
              <w:spacing w:after="0"/>
              <w:jc w:val="left"/>
              <w:rPr>
                <w:rFonts w:eastAsia="Times New Roman" w:cs="Segoe UI"/>
                <w:i/>
                <w:color w:val="000000"/>
                <w:sz w:val="16"/>
                <w:szCs w:val="16"/>
                <w:lang w:eastAsia="sk-SK"/>
              </w:rPr>
            </w:pPr>
            <w:r w:rsidRPr="004310EE">
              <w:rPr>
                <w:rFonts w:eastAsia="Times New Roman" w:cs="Segoe UI"/>
                <w:i/>
                <w:color w:val="000000"/>
                <w:sz w:val="16"/>
                <w:szCs w:val="16"/>
                <w:lang w:eastAsia="sk-SK"/>
              </w:rPr>
              <w:t xml:space="preserve">       príjmy z rozpočtu EÚ</w:t>
            </w:r>
          </w:p>
        </w:tc>
        <w:tc>
          <w:tcPr>
            <w:tcW w:w="613" w:type="pct"/>
            <w:vAlign w:val="bottom"/>
          </w:tcPr>
          <w:p w14:paraId="7EE14074"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2 146 642</w:t>
            </w:r>
          </w:p>
        </w:tc>
        <w:tc>
          <w:tcPr>
            <w:tcW w:w="613" w:type="pct"/>
            <w:vAlign w:val="bottom"/>
          </w:tcPr>
          <w:p w14:paraId="22729528"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4 141 996</w:t>
            </w:r>
          </w:p>
        </w:tc>
        <w:tc>
          <w:tcPr>
            <w:tcW w:w="613" w:type="pct"/>
            <w:vAlign w:val="bottom"/>
          </w:tcPr>
          <w:p w14:paraId="20D0F27B"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1 237 239</w:t>
            </w:r>
          </w:p>
        </w:tc>
        <w:tc>
          <w:tcPr>
            <w:tcW w:w="613" w:type="pct"/>
            <w:vAlign w:val="bottom"/>
          </w:tcPr>
          <w:p w14:paraId="0AF30F16"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3 225 492</w:t>
            </w:r>
          </w:p>
        </w:tc>
        <w:tc>
          <w:tcPr>
            <w:tcW w:w="655" w:type="pct"/>
            <w:vAlign w:val="bottom"/>
          </w:tcPr>
          <w:p w14:paraId="29966D86"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1 988 253</w:t>
            </w:r>
          </w:p>
        </w:tc>
        <w:tc>
          <w:tcPr>
            <w:tcW w:w="399" w:type="pct"/>
            <w:vAlign w:val="bottom"/>
          </w:tcPr>
          <w:p w14:paraId="0AF47FCE"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77,9</w:t>
            </w:r>
          </w:p>
        </w:tc>
      </w:tr>
      <w:tr w:rsidR="00140A29" w:rsidRPr="004310EE" w14:paraId="614F83DA" w14:textId="77777777" w:rsidTr="00F53E08">
        <w:trPr>
          <w:trHeight w:val="283"/>
          <w:jc w:val="center"/>
        </w:trPr>
        <w:tc>
          <w:tcPr>
            <w:tcW w:w="1495" w:type="pct"/>
            <w:tcBorders>
              <w:bottom w:val="single" w:sz="4" w:space="0" w:color="314364"/>
            </w:tcBorders>
            <w:vAlign w:val="center"/>
          </w:tcPr>
          <w:p w14:paraId="4EC68A90" w14:textId="77777777" w:rsidR="00140A29" w:rsidRPr="004310EE" w:rsidRDefault="00140A29" w:rsidP="00F53E08">
            <w:pPr>
              <w:spacing w:after="0"/>
              <w:jc w:val="left"/>
              <w:rPr>
                <w:rFonts w:eastAsia="Times New Roman" w:cs="Segoe UI"/>
                <w:i/>
                <w:color w:val="000000"/>
                <w:sz w:val="16"/>
                <w:szCs w:val="16"/>
                <w:lang w:eastAsia="sk-SK"/>
              </w:rPr>
            </w:pPr>
            <w:r w:rsidRPr="004310EE">
              <w:rPr>
                <w:rFonts w:eastAsia="Times New Roman" w:cs="Segoe UI"/>
                <w:i/>
                <w:color w:val="000000"/>
                <w:sz w:val="16"/>
                <w:szCs w:val="16"/>
                <w:lang w:eastAsia="sk-SK"/>
              </w:rPr>
              <w:t xml:space="preserve">       príjmy z POO</w:t>
            </w:r>
          </w:p>
        </w:tc>
        <w:tc>
          <w:tcPr>
            <w:tcW w:w="613" w:type="pct"/>
            <w:tcBorders>
              <w:bottom w:val="single" w:sz="4" w:space="0" w:color="314364"/>
            </w:tcBorders>
            <w:vAlign w:val="bottom"/>
          </w:tcPr>
          <w:p w14:paraId="31BE8450"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41 061</w:t>
            </w:r>
          </w:p>
        </w:tc>
        <w:tc>
          <w:tcPr>
            <w:tcW w:w="613" w:type="pct"/>
            <w:tcBorders>
              <w:bottom w:val="single" w:sz="4" w:space="0" w:color="314364"/>
            </w:tcBorders>
            <w:vAlign w:val="bottom"/>
          </w:tcPr>
          <w:p w14:paraId="74E6CE45"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367 278</w:t>
            </w:r>
          </w:p>
        </w:tc>
        <w:tc>
          <w:tcPr>
            <w:tcW w:w="613" w:type="pct"/>
            <w:tcBorders>
              <w:bottom w:val="single" w:sz="4" w:space="0" w:color="314364"/>
            </w:tcBorders>
            <w:vAlign w:val="bottom"/>
          </w:tcPr>
          <w:p w14:paraId="55842BC5"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1 215 402</w:t>
            </w:r>
          </w:p>
        </w:tc>
        <w:tc>
          <w:tcPr>
            <w:tcW w:w="613" w:type="pct"/>
            <w:tcBorders>
              <w:bottom w:val="single" w:sz="4" w:space="0" w:color="314364"/>
            </w:tcBorders>
            <w:vAlign w:val="bottom"/>
          </w:tcPr>
          <w:p w14:paraId="4A900466"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907 200</w:t>
            </w:r>
          </w:p>
        </w:tc>
        <w:tc>
          <w:tcPr>
            <w:tcW w:w="655" w:type="pct"/>
            <w:tcBorders>
              <w:bottom w:val="single" w:sz="4" w:space="0" w:color="314364"/>
            </w:tcBorders>
            <w:vAlign w:val="bottom"/>
          </w:tcPr>
          <w:p w14:paraId="1205A31C"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-308 202</w:t>
            </w:r>
          </w:p>
        </w:tc>
        <w:tc>
          <w:tcPr>
            <w:tcW w:w="399" w:type="pct"/>
            <w:tcBorders>
              <w:bottom w:val="single" w:sz="4" w:space="0" w:color="314364"/>
            </w:tcBorders>
            <w:vAlign w:val="bottom"/>
          </w:tcPr>
          <w:p w14:paraId="7D4F2BC8" w14:textId="77777777" w:rsidR="00140A29" w:rsidRPr="004310EE" w:rsidRDefault="00140A29" w:rsidP="00F53E08">
            <w:pPr>
              <w:spacing w:after="0"/>
              <w:jc w:val="right"/>
              <w:rPr>
                <w:rFonts w:eastAsia="Times New Roman" w:cs="Segoe UI"/>
                <w:i/>
                <w:color w:val="000000"/>
                <w:sz w:val="16"/>
                <w:szCs w:val="16"/>
                <w:lang w:eastAsia="sk-SK"/>
              </w:rPr>
            </w:pPr>
            <w:r w:rsidRPr="004310EE">
              <w:rPr>
                <w:rFonts w:eastAsia="Times New Roman" w:cs="Segoe UI"/>
                <w:i/>
                <w:color w:val="000000"/>
                <w:sz w:val="16"/>
                <w:szCs w:val="16"/>
                <w:lang w:eastAsia="sk-SK"/>
              </w:rPr>
              <w:t>247,0</w:t>
            </w:r>
          </w:p>
        </w:tc>
      </w:tr>
    </w:tbl>
    <w:p w14:paraId="42822720" w14:textId="66429828" w:rsidR="00140A29" w:rsidRPr="004310EE" w:rsidRDefault="00140A29" w:rsidP="00140A29">
      <w:pPr>
        <w:spacing w:line="240" w:lineRule="auto"/>
        <w:jc w:val="left"/>
        <w:rPr>
          <w:rFonts w:eastAsia="Calibri" w:cs="Times New Roman"/>
          <w:i/>
          <w:color w:val="314364"/>
          <w:sz w:val="16"/>
        </w:rPr>
      </w:pPr>
      <w:r w:rsidRPr="004310EE">
        <w:rPr>
          <w:rFonts w:eastAsia="Calibri" w:cs="Times New Roman"/>
          <w:i/>
          <w:color w:val="314364"/>
          <w:sz w:val="16"/>
        </w:rPr>
        <w:t>Zdroj: Návrh ŠZÚ 2024.</w:t>
      </w:r>
      <w:r w:rsidRPr="004310EE">
        <w:rPr>
          <w:rFonts w:eastAsia="Calibri" w:cs="Times New Roman"/>
          <w:i/>
          <w:color w:val="314364"/>
          <w:sz w:val="16"/>
        </w:rPr>
        <w:br/>
        <w:t xml:space="preserve">S – skutočnosť, R – rozpočet, </w:t>
      </w:r>
      <w:proofErr w:type="spellStart"/>
      <w:r w:rsidRPr="004310EE">
        <w:rPr>
          <w:rFonts w:eastAsia="Calibri" w:cs="Times New Roman"/>
          <w:i/>
          <w:color w:val="314364"/>
          <w:sz w:val="16"/>
        </w:rPr>
        <w:t>YoY</w:t>
      </w:r>
      <w:proofErr w:type="spellEnd"/>
      <w:r w:rsidRPr="004310EE">
        <w:rPr>
          <w:rFonts w:eastAsia="Calibri" w:cs="Times New Roman"/>
          <w:i/>
          <w:color w:val="314364"/>
          <w:sz w:val="16"/>
        </w:rPr>
        <w:t xml:space="preserve"> – medziročná zmena</w:t>
      </w:r>
      <w:r w:rsidR="00601FB5">
        <w:rPr>
          <w:rFonts w:eastAsia="Calibri" w:cs="Times New Roman"/>
          <w:i/>
          <w:color w:val="314364"/>
          <w:sz w:val="16"/>
        </w:rPr>
        <w:t>.</w:t>
      </w:r>
    </w:p>
    <w:p w14:paraId="7494511C" w14:textId="4BB3E226" w:rsidR="005E65E6" w:rsidRDefault="00946B24" w:rsidP="00946B24">
      <w:pPr>
        <w:pStyle w:val="Nadpis2"/>
      </w:pPr>
      <w:bookmarkStart w:id="19" w:name="_Toc105414679"/>
      <w:bookmarkStart w:id="20" w:name="_Toc198637719"/>
      <w:r>
        <w:t>3.</w:t>
      </w:r>
      <w:r w:rsidR="003423C9">
        <w:t>2</w:t>
      </w:r>
      <w:r>
        <w:t xml:space="preserve"> </w:t>
      </w:r>
      <w:r w:rsidR="00E43045">
        <w:t xml:space="preserve"> </w:t>
      </w:r>
      <w:r w:rsidR="005E65E6">
        <w:t>Výdavky štátneho rozpočtu</w:t>
      </w:r>
      <w:bookmarkEnd w:id="19"/>
      <w:bookmarkEnd w:id="20"/>
    </w:p>
    <w:p w14:paraId="01CD4C0B" w14:textId="3DFD6920" w:rsidR="001F0B36" w:rsidRDefault="00140A29" w:rsidP="001F0B36">
      <w:pPr>
        <w:rPr>
          <w:rFonts w:eastAsia="Times New Roman" w:cs="Segoe UI"/>
          <w:szCs w:val="20"/>
        </w:rPr>
      </w:pPr>
      <w:r w:rsidRPr="00244B3A">
        <w:rPr>
          <w:rFonts w:eastAsia="Times New Roman" w:cs="Segoe UI"/>
          <w:b/>
          <w:szCs w:val="20"/>
        </w:rPr>
        <w:t xml:space="preserve">Celkové hotovostné výdavky ŠR medziročne klesli o 1,7 %, po výraznom medziročnom </w:t>
      </w:r>
      <w:r w:rsidR="00FF32F5">
        <w:rPr>
          <w:rFonts w:eastAsia="Times New Roman" w:cs="Segoe UI"/>
          <w:b/>
          <w:szCs w:val="20"/>
        </w:rPr>
        <w:t>nár</w:t>
      </w:r>
      <w:r w:rsidRPr="00244B3A">
        <w:rPr>
          <w:rFonts w:eastAsia="Times New Roman" w:cs="Segoe UI"/>
          <w:b/>
          <w:szCs w:val="20"/>
        </w:rPr>
        <w:t>aste 2022/2023 o 33,2 %</w:t>
      </w:r>
      <w:r>
        <w:rPr>
          <w:rFonts w:eastAsia="Times New Roman" w:cs="Segoe UI"/>
          <w:szCs w:val="20"/>
        </w:rPr>
        <w:t xml:space="preserve"> (tabuľka </w:t>
      </w:r>
      <w:r w:rsidR="003423C9">
        <w:rPr>
          <w:rFonts w:eastAsia="Times New Roman" w:cs="Segoe UI"/>
          <w:szCs w:val="20"/>
        </w:rPr>
        <w:t>9</w:t>
      </w:r>
      <w:r>
        <w:rPr>
          <w:rFonts w:eastAsia="Times New Roman" w:cs="Segoe UI"/>
          <w:szCs w:val="20"/>
        </w:rPr>
        <w:t>)</w:t>
      </w:r>
      <w:r w:rsidRPr="00244B3A">
        <w:rPr>
          <w:rFonts w:eastAsia="Times New Roman" w:cs="Segoe UI"/>
          <w:b/>
          <w:szCs w:val="20"/>
        </w:rPr>
        <w:t>.</w:t>
      </w:r>
      <w:r>
        <w:rPr>
          <w:rFonts w:eastAsia="Times New Roman" w:cs="Segoe UI"/>
          <w:szCs w:val="20"/>
        </w:rPr>
        <w:t xml:space="preserve"> Medziročný pokles bol spôsobený predovšetkým nižšími kapitálovými transfermi obciam a VÚC, ZSSK či dopravným podnikom. </w:t>
      </w:r>
      <w:r w:rsidR="00FF32F5">
        <w:rPr>
          <w:rFonts w:eastAsia="Times New Roman" w:cs="Segoe UI"/>
          <w:szCs w:val="20"/>
        </w:rPr>
        <w:t>Dosiahnutá úroveň</w:t>
      </w:r>
      <w:r>
        <w:rPr>
          <w:rFonts w:eastAsia="Times New Roman" w:cs="Segoe UI"/>
          <w:szCs w:val="20"/>
        </w:rPr>
        <w:t xml:space="preserve"> sa v nasledujúcom o</w:t>
      </w:r>
      <w:r w:rsidR="00FF32F5">
        <w:rPr>
          <w:rFonts w:eastAsia="Times New Roman" w:cs="Segoe UI"/>
          <w:szCs w:val="20"/>
        </w:rPr>
        <w:t>bdobí udržala a ďalej nominálne nerástla</w:t>
      </w:r>
      <w:r>
        <w:rPr>
          <w:rFonts w:eastAsia="Times New Roman" w:cs="Segoe UI"/>
          <w:szCs w:val="20"/>
        </w:rPr>
        <w:t>. Pomer bežných a kapitálových výdavkov sa v roku 2024 posunul v prospech bežných na 88</w:t>
      </w:r>
      <w:r w:rsidR="00FF32F5">
        <w:rPr>
          <w:rFonts w:eastAsia="Times New Roman" w:cs="Segoe UI"/>
          <w:szCs w:val="20"/>
        </w:rPr>
        <w:t>:</w:t>
      </w:r>
      <w:r>
        <w:rPr>
          <w:rFonts w:eastAsia="Times New Roman" w:cs="Segoe UI"/>
          <w:szCs w:val="20"/>
        </w:rPr>
        <w:t>12</w:t>
      </w:r>
      <w:r w:rsidR="00FF32F5">
        <w:rPr>
          <w:rFonts w:eastAsia="Times New Roman" w:cs="Segoe UI"/>
          <w:szCs w:val="20"/>
        </w:rPr>
        <w:t>, a to</w:t>
      </w:r>
      <w:r>
        <w:rPr>
          <w:rFonts w:eastAsia="Times New Roman" w:cs="Segoe UI"/>
          <w:szCs w:val="20"/>
        </w:rPr>
        <w:t xml:space="preserve"> z pomeru 85</w:t>
      </w:r>
      <w:r w:rsidR="00FF32F5">
        <w:rPr>
          <w:rFonts w:eastAsia="Times New Roman" w:cs="Segoe UI"/>
          <w:szCs w:val="20"/>
        </w:rPr>
        <w:t>:</w:t>
      </w:r>
      <w:r>
        <w:rPr>
          <w:rFonts w:eastAsia="Times New Roman" w:cs="Segoe UI"/>
          <w:szCs w:val="20"/>
        </w:rPr>
        <w:t>15 v</w:t>
      </w:r>
      <w:r w:rsidR="00FF32F5">
        <w:rPr>
          <w:rFonts w:eastAsia="Times New Roman" w:cs="Segoe UI"/>
          <w:szCs w:val="20"/>
        </w:rPr>
        <w:t xml:space="preserve"> roku </w:t>
      </w:r>
      <w:r>
        <w:rPr>
          <w:rFonts w:eastAsia="Times New Roman" w:cs="Segoe UI"/>
          <w:szCs w:val="20"/>
        </w:rPr>
        <w:t xml:space="preserve">2023. </w:t>
      </w:r>
      <w:r w:rsidR="001F0B36" w:rsidRPr="00453E9A">
        <w:rPr>
          <w:rFonts w:eastAsia="Times New Roman" w:cs="Segoe UI"/>
          <w:szCs w:val="20"/>
        </w:rPr>
        <w:t>Vybrané výdavky ŠR na realizáciu programov vlády SR za rok 202</w:t>
      </w:r>
      <w:r w:rsidR="001F0B36">
        <w:rPr>
          <w:rFonts w:eastAsia="Times New Roman" w:cs="Segoe UI"/>
          <w:szCs w:val="20"/>
        </w:rPr>
        <w:t>4 sú v tabuľke 5 v prílohe.</w:t>
      </w:r>
    </w:p>
    <w:p w14:paraId="27D163CD" w14:textId="0DE192BB" w:rsidR="00190181" w:rsidRDefault="00190181" w:rsidP="00190181">
      <w:pPr>
        <w:rPr>
          <w:rFonts w:eastAsia="Times New Roman" w:cs="Segoe UI"/>
          <w:szCs w:val="20"/>
        </w:rPr>
      </w:pPr>
      <w:r w:rsidRPr="004B1554">
        <w:rPr>
          <w:rFonts w:eastAsia="Times New Roman" w:cs="Segoe UI"/>
          <w:b/>
        </w:rPr>
        <w:t>Bežné</w:t>
      </w:r>
      <w:r>
        <w:rPr>
          <w:rFonts w:eastAsia="Times New Roman" w:cs="Segoe UI"/>
          <w:b/>
        </w:rPr>
        <w:t xml:space="preserve"> výdavky oproti rozpočtu poklesli o 0,2 mld. eur a oproti predchádzajúcemu roku vzrástli o 1,3 %. </w:t>
      </w:r>
      <w:r w:rsidRPr="00126D74">
        <w:rPr>
          <w:rFonts w:eastAsia="Times New Roman" w:cs="Segoe UI"/>
          <w:szCs w:val="20"/>
        </w:rPr>
        <w:t>Najvýznamnejšie</w:t>
      </w:r>
      <w:r>
        <w:rPr>
          <w:rFonts w:eastAsia="Times New Roman" w:cs="Segoe UI"/>
        </w:rPr>
        <w:t xml:space="preserve"> zmeny oproti rozpočtu nastali pri bežných transferoch a tovaroch a službách. Medziročné nominálne nárasty boli na druhej strane zaznamenané pri poistnom a príspevkoch do poisťovní</w:t>
      </w:r>
      <w:r w:rsidR="00D3575B">
        <w:rPr>
          <w:rFonts w:eastAsia="Times New Roman" w:cs="Segoe UI"/>
        </w:rPr>
        <w:t xml:space="preserve"> –</w:t>
      </w:r>
      <w:r>
        <w:rPr>
          <w:rFonts w:eastAsia="Times New Roman" w:cs="Segoe UI"/>
        </w:rPr>
        <w:t xml:space="preserve"> o 10,2 %</w:t>
      </w:r>
      <w:r w:rsidR="00D3575B">
        <w:rPr>
          <w:rFonts w:eastAsia="Times New Roman" w:cs="Segoe UI"/>
        </w:rPr>
        <w:t>,</w:t>
      </w:r>
      <w:r>
        <w:rPr>
          <w:rFonts w:eastAsia="Times New Roman" w:cs="Segoe UI"/>
        </w:rPr>
        <w:t xml:space="preserve"> a pri mzdách, platoch, služobných príjmoch a</w:t>
      </w:r>
      <w:r w:rsidR="00B03192">
        <w:rPr>
          <w:rFonts w:eastAsia="Times New Roman" w:cs="Segoe UI"/>
        </w:rPr>
        <w:t> ostatných osobných vyrovnaniach</w:t>
      </w:r>
      <w:r>
        <w:rPr>
          <w:rFonts w:eastAsia="Times New Roman" w:cs="Segoe UI"/>
        </w:rPr>
        <w:t xml:space="preserve"> </w:t>
      </w:r>
      <w:r w:rsidR="00D3575B">
        <w:rPr>
          <w:rFonts w:eastAsia="Times New Roman" w:cs="Segoe UI"/>
        </w:rPr>
        <w:t xml:space="preserve">– </w:t>
      </w:r>
      <w:r>
        <w:rPr>
          <w:rFonts w:eastAsia="Times New Roman" w:cs="Segoe UI"/>
        </w:rPr>
        <w:t xml:space="preserve">o 7,3 %. </w:t>
      </w:r>
      <w:r w:rsidRPr="00480B94">
        <w:rPr>
          <w:rFonts w:eastAsia="Times New Roman" w:cs="Segoe UI"/>
          <w:szCs w:val="20"/>
        </w:rPr>
        <w:t xml:space="preserve">Limit počtu zamestnancov pre rozpočtové organizácie kapitol </w:t>
      </w:r>
      <w:r>
        <w:rPr>
          <w:rFonts w:eastAsia="Times New Roman" w:cs="Segoe UI"/>
          <w:szCs w:val="20"/>
        </w:rPr>
        <w:t>ŠR</w:t>
      </w:r>
      <w:r w:rsidRPr="00480B94">
        <w:rPr>
          <w:rFonts w:eastAsia="Times New Roman" w:cs="Segoe UI"/>
          <w:szCs w:val="20"/>
        </w:rPr>
        <w:t xml:space="preserve"> (vrátane aparátov ústredných orgánov) na rok 2024 bol schválený v</w:t>
      </w:r>
      <w:r>
        <w:rPr>
          <w:rFonts w:eastAsia="Times New Roman" w:cs="Segoe UI"/>
          <w:szCs w:val="20"/>
        </w:rPr>
        <w:t> </w:t>
      </w:r>
      <w:r w:rsidRPr="00480B94">
        <w:rPr>
          <w:rFonts w:eastAsia="Times New Roman" w:cs="Segoe UI"/>
          <w:szCs w:val="20"/>
        </w:rPr>
        <w:t>počte 131 869 osôb</w:t>
      </w:r>
      <w:r>
        <w:rPr>
          <w:rFonts w:eastAsia="Times New Roman" w:cs="Segoe UI"/>
          <w:szCs w:val="20"/>
        </w:rPr>
        <w:t xml:space="preserve"> a v priebehu roka 2024 bol </w:t>
      </w:r>
      <w:r w:rsidRPr="00480B94">
        <w:rPr>
          <w:rFonts w:eastAsia="Times New Roman" w:cs="Segoe UI"/>
          <w:szCs w:val="20"/>
        </w:rPr>
        <w:t>zvýšený na 134 064 osôb (o 2 195 osôb).</w:t>
      </w:r>
      <w:r>
        <w:rPr>
          <w:rFonts w:eastAsia="Times New Roman" w:cs="Segoe UI"/>
          <w:szCs w:val="20"/>
        </w:rPr>
        <w:t xml:space="preserve"> </w:t>
      </w:r>
      <w:r w:rsidRPr="00480B94">
        <w:rPr>
          <w:rFonts w:eastAsia="Times New Roman" w:cs="Segoe UI"/>
          <w:szCs w:val="20"/>
        </w:rPr>
        <w:t>Skutočné plnenie dosiahlo úroveň 123 453 osôb, čo je v porovnaní s upra</w:t>
      </w:r>
      <w:r>
        <w:rPr>
          <w:rFonts w:eastAsia="Times New Roman" w:cs="Segoe UI"/>
          <w:szCs w:val="20"/>
        </w:rPr>
        <w:t>veným limitom na rok 2024 nižšie o </w:t>
      </w:r>
      <w:r w:rsidRPr="00480B94">
        <w:rPr>
          <w:rFonts w:eastAsia="Times New Roman" w:cs="Segoe UI"/>
          <w:szCs w:val="20"/>
        </w:rPr>
        <w:t>10</w:t>
      </w:r>
      <w:r>
        <w:rPr>
          <w:rFonts w:eastAsia="Times New Roman" w:cs="Segoe UI"/>
          <w:szCs w:val="20"/>
        </w:rPr>
        <w:t> </w:t>
      </w:r>
      <w:r w:rsidRPr="00480B94">
        <w:rPr>
          <w:rFonts w:eastAsia="Times New Roman" w:cs="Segoe UI"/>
          <w:szCs w:val="20"/>
        </w:rPr>
        <w:t>611 osôb (7,9 %).</w:t>
      </w:r>
      <w:r>
        <w:rPr>
          <w:rFonts w:eastAsia="Times New Roman" w:cs="Segoe UI"/>
          <w:szCs w:val="20"/>
        </w:rPr>
        <w:t xml:space="preserve"> </w:t>
      </w:r>
    </w:p>
    <w:p w14:paraId="3DB6C033" w14:textId="77777777" w:rsidR="00190181" w:rsidRDefault="00190181" w:rsidP="001F0B36">
      <w:pPr>
        <w:rPr>
          <w:rFonts w:eastAsia="Times New Roman" w:cs="Segoe UI"/>
          <w:szCs w:val="20"/>
        </w:rPr>
      </w:pPr>
    </w:p>
    <w:p w14:paraId="397FE2DB" w14:textId="5E1CE2AC" w:rsidR="00140A29" w:rsidRPr="004310EE" w:rsidRDefault="00140A29" w:rsidP="00140A29">
      <w:pPr>
        <w:keepNext/>
        <w:spacing w:after="0"/>
        <w:rPr>
          <w:rFonts w:eastAsia="Calibri" w:cs="Times New Roman"/>
          <w:b/>
          <w:iCs/>
          <w:color w:val="314364"/>
          <w:szCs w:val="18"/>
        </w:rPr>
      </w:pPr>
      <w:r w:rsidRPr="004310EE">
        <w:rPr>
          <w:rFonts w:eastAsia="Calibri" w:cs="Times New Roman"/>
          <w:b/>
          <w:iCs/>
          <w:color w:val="314364"/>
          <w:szCs w:val="18"/>
        </w:rPr>
        <w:lastRenderedPageBreak/>
        <w:t xml:space="preserve">Tabuľka </w:t>
      </w:r>
      <w:r w:rsidR="003423C9">
        <w:rPr>
          <w:rFonts w:eastAsia="Calibri" w:cs="Times New Roman"/>
          <w:b/>
          <w:iCs/>
          <w:color w:val="314364"/>
          <w:szCs w:val="18"/>
        </w:rPr>
        <w:t>9</w:t>
      </w:r>
      <w:r w:rsidRPr="004310EE">
        <w:rPr>
          <w:rFonts w:eastAsia="Calibri" w:cs="Times New Roman"/>
          <w:b/>
          <w:iCs/>
          <w:color w:val="314364"/>
          <w:szCs w:val="18"/>
        </w:rPr>
        <w:t xml:space="preserve">: Štruktúra čerpania výdavkov </w:t>
      </w:r>
      <w:r w:rsidR="00FF32F5">
        <w:rPr>
          <w:rFonts w:eastAsia="Calibri" w:cs="Times New Roman"/>
          <w:b/>
          <w:iCs/>
          <w:color w:val="314364"/>
          <w:szCs w:val="18"/>
        </w:rPr>
        <w:t>štátneho rozpočtu</w:t>
      </w:r>
      <w:r w:rsidRPr="004310EE">
        <w:rPr>
          <w:rFonts w:eastAsia="Calibri" w:cs="Times New Roman"/>
          <w:b/>
          <w:iCs/>
          <w:color w:val="314364"/>
          <w:szCs w:val="18"/>
        </w:rPr>
        <w:t xml:space="preserve"> na hotovostnej báze (v tis. eur)</w:t>
      </w:r>
    </w:p>
    <w:tbl>
      <w:tblPr>
        <w:tblW w:w="5000" w:type="pct"/>
        <w:jc w:val="center"/>
        <w:tblBorders>
          <w:bottom w:val="single" w:sz="4" w:space="0" w:color="314364"/>
        </w:tblBorders>
        <w:tblLook w:val="04A0" w:firstRow="1" w:lastRow="0" w:firstColumn="1" w:lastColumn="0" w:noHBand="0" w:noVBand="1"/>
      </w:tblPr>
      <w:tblGrid>
        <w:gridCol w:w="2805"/>
        <w:gridCol w:w="1127"/>
        <w:gridCol w:w="1127"/>
        <w:gridCol w:w="1126"/>
        <w:gridCol w:w="1126"/>
        <w:gridCol w:w="1126"/>
        <w:gridCol w:w="633"/>
      </w:tblGrid>
      <w:tr w:rsidR="00140A29" w:rsidRPr="004310EE" w14:paraId="0694A88B" w14:textId="77777777" w:rsidTr="00F53E08">
        <w:trPr>
          <w:trHeight w:val="283"/>
          <w:jc w:val="center"/>
        </w:trPr>
        <w:tc>
          <w:tcPr>
            <w:tcW w:w="1546" w:type="pct"/>
            <w:shd w:val="clear" w:color="auto" w:fill="314364"/>
            <w:vAlign w:val="center"/>
          </w:tcPr>
          <w:p w14:paraId="7A2ECC96" w14:textId="77777777" w:rsidR="00140A29" w:rsidRPr="004310EE" w:rsidRDefault="00140A29" w:rsidP="00F53E08">
            <w:pPr>
              <w:spacing w:after="0"/>
              <w:jc w:val="left"/>
              <w:rPr>
                <w:rFonts w:eastAsia="Calibri" w:cs="Segoe UI"/>
                <w:b/>
                <w:bCs/>
                <w:color w:val="FFFFFF"/>
                <w:sz w:val="16"/>
                <w:szCs w:val="16"/>
              </w:rPr>
            </w:pPr>
            <w:r w:rsidRPr="004310EE">
              <w:rPr>
                <w:rFonts w:eastAsia="Calibri" w:cs="Segoe UI"/>
                <w:b/>
                <w:bCs/>
                <w:color w:val="FFFFFF"/>
                <w:sz w:val="16"/>
                <w:szCs w:val="16"/>
              </w:rPr>
              <w:t>Ukazovateľ</w:t>
            </w:r>
          </w:p>
        </w:tc>
        <w:tc>
          <w:tcPr>
            <w:tcW w:w="621" w:type="pct"/>
            <w:shd w:val="clear" w:color="auto" w:fill="314364"/>
            <w:vAlign w:val="center"/>
          </w:tcPr>
          <w:p w14:paraId="706B9F4F" w14:textId="77777777" w:rsidR="00140A29" w:rsidRPr="004310EE" w:rsidRDefault="00140A29" w:rsidP="00F53E08">
            <w:pPr>
              <w:spacing w:after="0"/>
              <w:jc w:val="right"/>
              <w:rPr>
                <w:rFonts w:eastAsia="Calibri" w:cs="Segoe UI"/>
                <w:b/>
                <w:bCs/>
                <w:color w:val="FFFFFF"/>
                <w:sz w:val="16"/>
                <w:szCs w:val="16"/>
              </w:rPr>
            </w:pPr>
            <w:r w:rsidRPr="004310EE">
              <w:rPr>
                <w:rFonts w:eastAsia="Calibri" w:cs="Segoe UI"/>
                <w:b/>
                <w:bCs/>
                <w:color w:val="FFFFFF"/>
                <w:sz w:val="16"/>
                <w:szCs w:val="16"/>
              </w:rPr>
              <w:t>2022 S</w:t>
            </w:r>
          </w:p>
        </w:tc>
        <w:tc>
          <w:tcPr>
            <w:tcW w:w="621" w:type="pct"/>
            <w:shd w:val="clear" w:color="auto" w:fill="314364"/>
            <w:vAlign w:val="center"/>
          </w:tcPr>
          <w:p w14:paraId="6BCB8D9C" w14:textId="77777777" w:rsidR="00140A29" w:rsidRPr="004310EE" w:rsidRDefault="00140A29" w:rsidP="00F53E08">
            <w:pPr>
              <w:spacing w:after="0"/>
              <w:jc w:val="right"/>
              <w:rPr>
                <w:rFonts w:eastAsia="Calibri" w:cs="Segoe UI"/>
                <w:b/>
                <w:bCs/>
                <w:color w:val="FFFFFF"/>
                <w:sz w:val="16"/>
                <w:szCs w:val="16"/>
              </w:rPr>
            </w:pPr>
            <w:r w:rsidRPr="004310EE">
              <w:rPr>
                <w:rFonts w:eastAsia="Calibri" w:cs="Segoe UI"/>
                <w:b/>
                <w:bCs/>
                <w:color w:val="FFFFFF"/>
                <w:sz w:val="16"/>
                <w:szCs w:val="16"/>
              </w:rPr>
              <w:t>2023 S</w:t>
            </w:r>
          </w:p>
        </w:tc>
        <w:tc>
          <w:tcPr>
            <w:tcW w:w="621" w:type="pct"/>
            <w:shd w:val="clear" w:color="auto" w:fill="314364"/>
            <w:vAlign w:val="center"/>
          </w:tcPr>
          <w:p w14:paraId="7B0499DF" w14:textId="77777777" w:rsidR="00140A29" w:rsidRPr="004310EE" w:rsidRDefault="00140A29" w:rsidP="00F53E08">
            <w:pPr>
              <w:spacing w:after="0"/>
              <w:jc w:val="right"/>
              <w:rPr>
                <w:rFonts w:eastAsia="Calibri" w:cs="Segoe UI"/>
                <w:b/>
                <w:bCs/>
                <w:color w:val="FFFFFF"/>
                <w:sz w:val="16"/>
                <w:szCs w:val="16"/>
              </w:rPr>
            </w:pPr>
            <w:r w:rsidRPr="004310EE">
              <w:rPr>
                <w:rFonts w:eastAsia="Calibri" w:cs="Segoe UI"/>
                <w:b/>
                <w:bCs/>
                <w:color w:val="FFFFFF"/>
                <w:sz w:val="16"/>
                <w:szCs w:val="16"/>
              </w:rPr>
              <w:t>2024 R</w:t>
            </w:r>
          </w:p>
        </w:tc>
        <w:tc>
          <w:tcPr>
            <w:tcW w:w="621" w:type="pct"/>
            <w:shd w:val="clear" w:color="auto" w:fill="314364"/>
            <w:vAlign w:val="center"/>
          </w:tcPr>
          <w:p w14:paraId="7A8FF81E" w14:textId="77777777" w:rsidR="00140A29" w:rsidRPr="004310EE" w:rsidRDefault="00140A29" w:rsidP="00F53E08">
            <w:pPr>
              <w:spacing w:after="0"/>
              <w:jc w:val="right"/>
              <w:rPr>
                <w:rFonts w:eastAsia="Calibri" w:cs="Segoe UI"/>
                <w:b/>
                <w:bCs/>
                <w:color w:val="FFFFFF"/>
                <w:sz w:val="16"/>
                <w:szCs w:val="16"/>
              </w:rPr>
            </w:pPr>
            <w:r w:rsidRPr="004310EE">
              <w:rPr>
                <w:rFonts w:eastAsia="Calibri" w:cs="Segoe UI"/>
                <w:b/>
                <w:bCs/>
                <w:color w:val="FFFFFF"/>
                <w:sz w:val="16"/>
                <w:szCs w:val="16"/>
              </w:rPr>
              <w:t>2024 S</w:t>
            </w:r>
          </w:p>
        </w:tc>
        <w:tc>
          <w:tcPr>
            <w:tcW w:w="621" w:type="pct"/>
            <w:shd w:val="clear" w:color="auto" w:fill="314364"/>
            <w:vAlign w:val="center"/>
          </w:tcPr>
          <w:p w14:paraId="002E9DB3" w14:textId="77777777" w:rsidR="00140A29" w:rsidRPr="004310EE" w:rsidRDefault="00140A29" w:rsidP="00F53E08">
            <w:pPr>
              <w:spacing w:after="0"/>
              <w:jc w:val="right"/>
              <w:rPr>
                <w:rFonts w:eastAsia="Calibri" w:cs="Segoe UI"/>
                <w:b/>
                <w:bCs/>
                <w:color w:val="FFFFFF"/>
                <w:sz w:val="16"/>
                <w:szCs w:val="16"/>
              </w:rPr>
            </w:pPr>
            <w:r w:rsidRPr="004310EE">
              <w:rPr>
                <w:rFonts w:eastAsia="Calibri" w:cs="Segoe UI"/>
                <w:b/>
                <w:bCs/>
                <w:color w:val="FFFFFF"/>
                <w:sz w:val="16"/>
                <w:szCs w:val="16"/>
              </w:rPr>
              <w:t>24S-24R</w:t>
            </w:r>
          </w:p>
        </w:tc>
        <w:tc>
          <w:tcPr>
            <w:tcW w:w="351" w:type="pct"/>
            <w:shd w:val="clear" w:color="auto" w:fill="314364"/>
            <w:vAlign w:val="center"/>
          </w:tcPr>
          <w:p w14:paraId="176486D0" w14:textId="77777777" w:rsidR="00140A29" w:rsidRPr="004310EE" w:rsidRDefault="00140A29" w:rsidP="00F53E08">
            <w:pPr>
              <w:spacing w:after="0"/>
              <w:jc w:val="right"/>
              <w:rPr>
                <w:rFonts w:eastAsia="Calibri" w:cs="Segoe UI"/>
                <w:b/>
                <w:bCs/>
                <w:color w:val="FFFFFF"/>
                <w:sz w:val="16"/>
                <w:szCs w:val="16"/>
              </w:rPr>
            </w:pPr>
            <w:proofErr w:type="spellStart"/>
            <w:r w:rsidRPr="004310EE">
              <w:rPr>
                <w:rFonts w:eastAsia="Calibri" w:cs="Segoe UI"/>
                <w:b/>
                <w:bCs/>
                <w:color w:val="FFFFFF"/>
                <w:sz w:val="16"/>
                <w:szCs w:val="16"/>
              </w:rPr>
              <w:t>YoY</w:t>
            </w:r>
            <w:proofErr w:type="spellEnd"/>
          </w:p>
        </w:tc>
      </w:tr>
      <w:tr w:rsidR="00140A29" w:rsidRPr="004310EE" w14:paraId="2EC8333C" w14:textId="77777777" w:rsidTr="00F53E08">
        <w:trPr>
          <w:trHeight w:val="283"/>
          <w:jc w:val="center"/>
        </w:trPr>
        <w:tc>
          <w:tcPr>
            <w:tcW w:w="1546" w:type="pct"/>
            <w:shd w:val="clear" w:color="auto" w:fill="auto"/>
            <w:vAlign w:val="center"/>
          </w:tcPr>
          <w:p w14:paraId="10128936" w14:textId="77777777" w:rsidR="00140A29" w:rsidRPr="004310EE" w:rsidRDefault="00140A29" w:rsidP="00F53E08">
            <w:pPr>
              <w:spacing w:after="0"/>
              <w:jc w:val="left"/>
              <w:rPr>
                <w:rFonts w:eastAsia="Times New Roman" w:cs="Segoe UI"/>
                <w:b/>
                <w:color w:val="000000"/>
                <w:sz w:val="16"/>
                <w:szCs w:val="16"/>
                <w:lang w:eastAsia="sk-SK"/>
              </w:rPr>
            </w:pPr>
            <w:r w:rsidRPr="004310EE">
              <w:rPr>
                <w:rFonts w:eastAsia="Times New Roman" w:cs="Segoe UI"/>
                <w:b/>
                <w:color w:val="000000"/>
                <w:sz w:val="16"/>
                <w:szCs w:val="16"/>
                <w:lang w:eastAsia="sk-SK"/>
              </w:rPr>
              <w:t>Výdavky spolu</w:t>
            </w:r>
          </w:p>
        </w:tc>
        <w:tc>
          <w:tcPr>
            <w:tcW w:w="621" w:type="pct"/>
            <w:shd w:val="clear" w:color="auto" w:fill="auto"/>
            <w:vAlign w:val="center"/>
          </w:tcPr>
          <w:p w14:paraId="3226A8CD"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23 554 555</w:t>
            </w:r>
          </w:p>
        </w:tc>
        <w:tc>
          <w:tcPr>
            <w:tcW w:w="621" w:type="pct"/>
            <w:vAlign w:val="center"/>
          </w:tcPr>
          <w:p w14:paraId="102697C0"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31 363 983</w:t>
            </w:r>
          </w:p>
        </w:tc>
        <w:tc>
          <w:tcPr>
            <w:tcW w:w="621" w:type="pct"/>
            <w:shd w:val="clear" w:color="auto" w:fill="auto"/>
            <w:vAlign w:val="center"/>
          </w:tcPr>
          <w:p w14:paraId="33984D2F"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30 317 892</w:t>
            </w:r>
          </w:p>
        </w:tc>
        <w:tc>
          <w:tcPr>
            <w:tcW w:w="621" w:type="pct"/>
            <w:shd w:val="clear" w:color="auto" w:fill="auto"/>
            <w:vAlign w:val="center"/>
          </w:tcPr>
          <w:p w14:paraId="74D5D2E5"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30 823 904</w:t>
            </w:r>
          </w:p>
        </w:tc>
        <w:tc>
          <w:tcPr>
            <w:tcW w:w="621" w:type="pct"/>
            <w:shd w:val="clear" w:color="auto" w:fill="auto"/>
            <w:vAlign w:val="center"/>
          </w:tcPr>
          <w:p w14:paraId="4A089EB1"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506 012</w:t>
            </w:r>
          </w:p>
        </w:tc>
        <w:tc>
          <w:tcPr>
            <w:tcW w:w="351" w:type="pct"/>
            <w:shd w:val="clear" w:color="auto" w:fill="auto"/>
            <w:vAlign w:val="center"/>
          </w:tcPr>
          <w:p w14:paraId="47BCBDBF"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98,3</w:t>
            </w:r>
          </w:p>
        </w:tc>
      </w:tr>
      <w:tr w:rsidR="00140A29" w:rsidRPr="004310EE" w14:paraId="43EB9F7D" w14:textId="77777777" w:rsidTr="00F53E08">
        <w:trPr>
          <w:trHeight w:val="283"/>
          <w:jc w:val="center"/>
        </w:trPr>
        <w:tc>
          <w:tcPr>
            <w:tcW w:w="1546" w:type="pct"/>
            <w:vAlign w:val="center"/>
          </w:tcPr>
          <w:p w14:paraId="51625F62" w14:textId="77777777" w:rsidR="00140A29" w:rsidRPr="004310EE" w:rsidRDefault="00140A29" w:rsidP="00F53E08">
            <w:pPr>
              <w:spacing w:after="0"/>
              <w:jc w:val="left"/>
              <w:rPr>
                <w:rFonts w:eastAsia="Times New Roman" w:cs="Segoe UI"/>
                <w:b/>
                <w:color w:val="000000"/>
                <w:sz w:val="16"/>
                <w:szCs w:val="16"/>
                <w:lang w:eastAsia="sk-SK"/>
              </w:rPr>
            </w:pPr>
            <w:r w:rsidRPr="004310EE">
              <w:rPr>
                <w:rFonts w:eastAsia="Times New Roman" w:cs="Segoe UI"/>
                <w:b/>
                <w:color w:val="000000"/>
                <w:sz w:val="16"/>
                <w:szCs w:val="16"/>
                <w:lang w:eastAsia="sk-SK"/>
              </w:rPr>
              <w:t>Bežné výdavky</w:t>
            </w:r>
          </w:p>
        </w:tc>
        <w:tc>
          <w:tcPr>
            <w:tcW w:w="621" w:type="pct"/>
            <w:shd w:val="clear" w:color="auto" w:fill="auto"/>
            <w:vAlign w:val="center"/>
          </w:tcPr>
          <w:p w14:paraId="45F22398"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20 847 550</w:t>
            </w:r>
          </w:p>
        </w:tc>
        <w:tc>
          <w:tcPr>
            <w:tcW w:w="621" w:type="pct"/>
            <w:vAlign w:val="center"/>
          </w:tcPr>
          <w:p w14:paraId="754C54C2"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26 649 828</w:t>
            </w:r>
          </w:p>
        </w:tc>
        <w:tc>
          <w:tcPr>
            <w:tcW w:w="621" w:type="pct"/>
            <w:shd w:val="clear" w:color="auto" w:fill="auto"/>
            <w:vAlign w:val="center"/>
          </w:tcPr>
          <w:p w14:paraId="0C5C8ED1"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27 190 658</w:t>
            </w:r>
          </w:p>
        </w:tc>
        <w:tc>
          <w:tcPr>
            <w:tcW w:w="621" w:type="pct"/>
            <w:shd w:val="clear" w:color="auto" w:fill="auto"/>
            <w:vAlign w:val="center"/>
          </w:tcPr>
          <w:p w14:paraId="55DF909C"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26 985 766</w:t>
            </w:r>
          </w:p>
        </w:tc>
        <w:tc>
          <w:tcPr>
            <w:tcW w:w="621" w:type="pct"/>
            <w:shd w:val="clear" w:color="auto" w:fill="auto"/>
            <w:vAlign w:val="center"/>
          </w:tcPr>
          <w:p w14:paraId="7CBBA2B6"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-204 892</w:t>
            </w:r>
          </w:p>
        </w:tc>
        <w:tc>
          <w:tcPr>
            <w:tcW w:w="351" w:type="pct"/>
            <w:vAlign w:val="center"/>
          </w:tcPr>
          <w:p w14:paraId="455E0B7D"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101,3</w:t>
            </w:r>
          </w:p>
        </w:tc>
      </w:tr>
      <w:tr w:rsidR="00140A29" w:rsidRPr="004310EE" w14:paraId="7AF7A658" w14:textId="77777777" w:rsidTr="00F53E08">
        <w:trPr>
          <w:trHeight w:val="283"/>
          <w:jc w:val="center"/>
        </w:trPr>
        <w:tc>
          <w:tcPr>
            <w:tcW w:w="1546" w:type="pct"/>
            <w:vAlign w:val="center"/>
          </w:tcPr>
          <w:p w14:paraId="41525986" w14:textId="77777777" w:rsidR="00140A29" w:rsidRPr="004310EE" w:rsidRDefault="00140A29" w:rsidP="00F53E08">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 xml:space="preserve">Mzdy, platy, služobné príjmy a ostatné osobné vyrovnania </w:t>
            </w:r>
          </w:p>
        </w:tc>
        <w:tc>
          <w:tcPr>
            <w:tcW w:w="621" w:type="pct"/>
            <w:shd w:val="clear" w:color="auto" w:fill="auto"/>
            <w:vAlign w:val="center"/>
          </w:tcPr>
          <w:p w14:paraId="0F413EBA"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2 701 444</w:t>
            </w:r>
          </w:p>
        </w:tc>
        <w:tc>
          <w:tcPr>
            <w:tcW w:w="621" w:type="pct"/>
            <w:vAlign w:val="center"/>
          </w:tcPr>
          <w:p w14:paraId="55101F44"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3 019 434</w:t>
            </w:r>
          </w:p>
        </w:tc>
        <w:tc>
          <w:tcPr>
            <w:tcW w:w="621" w:type="pct"/>
            <w:shd w:val="clear" w:color="auto" w:fill="auto"/>
            <w:vAlign w:val="center"/>
          </w:tcPr>
          <w:p w14:paraId="668C484C"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3 135 966</w:t>
            </w:r>
          </w:p>
        </w:tc>
        <w:tc>
          <w:tcPr>
            <w:tcW w:w="621" w:type="pct"/>
            <w:shd w:val="clear" w:color="auto" w:fill="auto"/>
            <w:vAlign w:val="center"/>
          </w:tcPr>
          <w:p w14:paraId="2EBE6839"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3 239 873</w:t>
            </w:r>
          </w:p>
        </w:tc>
        <w:tc>
          <w:tcPr>
            <w:tcW w:w="621" w:type="pct"/>
            <w:shd w:val="clear" w:color="auto" w:fill="auto"/>
            <w:vAlign w:val="center"/>
          </w:tcPr>
          <w:p w14:paraId="59B119AA"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103 907</w:t>
            </w:r>
          </w:p>
        </w:tc>
        <w:tc>
          <w:tcPr>
            <w:tcW w:w="351" w:type="pct"/>
            <w:vAlign w:val="center"/>
          </w:tcPr>
          <w:p w14:paraId="7A32691E"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107,3</w:t>
            </w:r>
          </w:p>
        </w:tc>
      </w:tr>
      <w:tr w:rsidR="00140A29" w:rsidRPr="004310EE" w14:paraId="0D9C93FF" w14:textId="77777777" w:rsidTr="00F53E08">
        <w:trPr>
          <w:trHeight w:val="283"/>
          <w:jc w:val="center"/>
        </w:trPr>
        <w:tc>
          <w:tcPr>
            <w:tcW w:w="1546" w:type="pct"/>
            <w:vAlign w:val="center"/>
          </w:tcPr>
          <w:p w14:paraId="09B58751" w14:textId="77777777" w:rsidR="00140A29" w:rsidRPr="004310EE" w:rsidRDefault="00140A29" w:rsidP="00F53E08">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Poistné a príspevok do poisťovní</w:t>
            </w:r>
          </w:p>
        </w:tc>
        <w:tc>
          <w:tcPr>
            <w:tcW w:w="621" w:type="pct"/>
            <w:shd w:val="clear" w:color="auto" w:fill="auto"/>
            <w:vAlign w:val="center"/>
          </w:tcPr>
          <w:p w14:paraId="1414DFF5"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982 394</w:t>
            </w:r>
          </w:p>
        </w:tc>
        <w:tc>
          <w:tcPr>
            <w:tcW w:w="621" w:type="pct"/>
            <w:vAlign w:val="center"/>
          </w:tcPr>
          <w:p w14:paraId="7FE06FF3"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1 093 590</w:t>
            </w:r>
          </w:p>
        </w:tc>
        <w:tc>
          <w:tcPr>
            <w:tcW w:w="621" w:type="pct"/>
            <w:shd w:val="clear" w:color="auto" w:fill="auto"/>
            <w:vAlign w:val="center"/>
          </w:tcPr>
          <w:p w14:paraId="6033B516"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1 170 281</w:t>
            </w:r>
          </w:p>
        </w:tc>
        <w:tc>
          <w:tcPr>
            <w:tcW w:w="621" w:type="pct"/>
            <w:shd w:val="clear" w:color="auto" w:fill="auto"/>
            <w:vAlign w:val="center"/>
          </w:tcPr>
          <w:p w14:paraId="3AB6F7EA"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1 204 808</w:t>
            </w:r>
          </w:p>
        </w:tc>
        <w:tc>
          <w:tcPr>
            <w:tcW w:w="621" w:type="pct"/>
            <w:shd w:val="clear" w:color="auto" w:fill="auto"/>
            <w:vAlign w:val="center"/>
          </w:tcPr>
          <w:p w14:paraId="1851AD91"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34 527</w:t>
            </w:r>
          </w:p>
        </w:tc>
        <w:tc>
          <w:tcPr>
            <w:tcW w:w="351" w:type="pct"/>
            <w:vAlign w:val="center"/>
          </w:tcPr>
          <w:p w14:paraId="107C5A30"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110,2</w:t>
            </w:r>
          </w:p>
        </w:tc>
      </w:tr>
      <w:tr w:rsidR="00140A29" w:rsidRPr="004310EE" w14:paraId="3AB1D2B7" w14:textId="77777777" w:rsidTr="00F53E08">
        <w:trPr>
          <w:trHeight w:val="283"/>
          <w:jc w:val="center"/>
        </w:trPr>
        <w:tc>
          <w:tcPr>
            <w:tcW w:w="1546" w:type="pct"/>
            <w:vAlign w:val="center"/>
          </w:tcPr>
          <w:p w14:paraId="4AE645B9" w14:textId="77777777" w:rsidR="00140A29" w:rsidRPr="004310EE" w:rsidRDefault="00140A29" w:rsidP="00F53E08">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Tovary a služby</w:t>
            </w:r>
          </w:p>
        </w:tc>
        <w:tc>
          <w:tcPr>
            <w:tcW w:w="621" w:type="pct"/>
            <w:shd w:val="clear" w:color="auto" w:fill="auto"/>
            <w:vAlign w:val="center"/>
          </w:tcPr>
          <w:p w14:paraId="7F0DAADC"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2 340 655</w:t>
            </w:r>
          </w:p>
        </w:tc>
        <w:tc>
          <w:tcPr>
            <w:tcW w:w="621" w:type="pct"/>
            <w:vAlign w:val="center"/>
          </w:tcPr>
          <w:p w14:paraId="4A60C643"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2 490 382</w:t>
            </w:r>
          </w:p>
        </w:tc>
        <w:tc>
          <w:tcPr>
            <w:tcW w:w="621" w:type="pct"/>
            <w:shd w:val="clear" w:color="auto" w:fill="auto"/>
            <w:vAlign w:val="center"/>
          </w:tcPr>
          <w:p w14:paraId="7DA2DA6B"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3 362 206</w:t>
            </w:r>
          </w:p>
        </w:tc>
        <w:tc>
          <w:tcPr>
            <w:tcW w:w="621" w:type="pct"/>
            <w:shd w:val="clear" w:color="auto" w:fill="auto"/>
            <w:vAlign w:val="center"/>
          </w:tcPr>
          <w:p w14:paraId="6BA23228"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2 490 200</w:t>
            </w:r>
          </w:p>
        </w:tc>
        <w:tc>
          <w:tcPr>
            <w:tcW w:w="621" w:type="pct"/>
            <w:shd w:val="clear" w:color="auto" w:fill="auto"/>
            <w:vAlign w:val="center"/>
          </w:tcPr>
          <w:p w14:paraId="486B08F7"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-872 006</w:t>
            </w:r>
          </w:p>
        </w:tc>
        <w:tc>
          <w:tcPr>
            <w:tcW w:w="351" w:type="pct"/>
            <w:vAlign w:val="center"/>
          </w:tcPr>
          <w:p w14:paraId="4D43BCE1"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100,0</w:t>
            </w:r>
          </w:p>
        </w:tc>
      </w:tr>
      <w:tr w:rsidR="00140A29" w:rsidRPr="004310EE" w14:paraId="19558D0F" w14:textId="77777777" w:rsidTr="00F53E08">
        <w:trPr>
          <w:trHeight w:val="283"/>
          <w:jc w:val="center"/>
        </w:trPr>
        <w:tc>
          <w:tcPr>
            <w:tcW w:w="1546" w:type="pct"/>
            <w:vAlign w:val="center"/>
          </w:tcPr>
          <w:p w14:paraId="52ED7B30" w14:textId="77777777" w:rsidR="00140A29" w:rsidRPr="004310EE" w:rsidRDefault="00140A29" w:rsidP="00F53E08">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Bežné transfery</w:t>
            </w:r>
          </w:p>
        </w:tc>
        <w:tc>
          <w:tcPr>
            <w:tcW w:w="621" w:type="pct"/>
            <w:shd w:val="clear" w:color="auto" w:fill="auto"/>
            <w:vAlign w:val="center"/>
          </w:tcPr>
          <w:p w14:paraId="7B9BCFED"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14 822 787</w:t>
            </w:r>
          </w:p>
        </w:tc>
        <w:tc>
          <w:tcPr>
            <w:tcW w:w="621" w:type="pct"/>
            <w:vAlign w:val="center"/>
          </w:tcPr>
          <w:p w14:paraId="2384C217"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20 046 164</w:t>
            </w:r>
          </w:p>
        </w:tc>
        <w:tc>
          <w:tcPr>
            <w:tcW w:w="621" w:type="pct"/>
            <w:shd w:val="clear" w:color="auto" w:fill="auto"/>
            <w:vAlign w:val="center"/>
          </w:tcPr>
          <w:p w14:paraId="3716C419"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19 522 005</w:t>
            </w:r>
          </w:p>
        </w:tc>
        <w:tc>
          <w:tcPr>
            <w:tcW w:w="621" w:type="pct"/>
            <w:shd w:val="clear" w:color="auto" w:fill="auto"/>
            <w:vAlign w:val="center"/>
          </w:tcPr>
          <w:p w14:paraId="7F6DC174"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20 050 685</w:t>
            </w:r>
          </w:p>
        </w:tc>
        <w:tc>
          <w:tcPr>
            <w:tcW w:w="621" w:type="pct"/>
            <w:shd w:val="clear" w:color="auto" w:fill="auto"/>
            <w:vAlign w:val="center"/>
          </w:tcPr>
          <w:p w14:paraId="30A37F32"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528 680</w:t>
            </w:r>
          </w:p>
        </w:tc>
        <w:tc>
          <w:tcPr>
            <w:tcW w:w="351" w:type="pct"/>
            <w:vAlign w:val="center"/>
          </w:tcPr>
          <w:p w14:paraId="0B5364FA"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100,0</w:t>
            </w:r>
          </w:p>
        </w:tc>
      </w:tr>
      <w:tr w:rsidR="00140A29" w:rsidRPr="004310EE" w14:paraId="4E2D4E8C" w14:textId="77777777" w:rsidTr="00F53E08">
        <w:trPr>
          <w:trHeight w:val="283"/>
          <w:jc w:val="center"/>
        </w:trPr>
        <w:tc>
          <w:tcPr>
            <w:tcW w:w="1546" w:type="pct"/>
            <w:vAlign w:val="center"/>
          </w:tcPr>
          <w:p w14:paraId="021141CF" w14:textId="77777777" w:rsidR="00140A29" w:rsidRPr="004310EE" w:rsidRDefault="00140A29" w:rsidP="00F53E08">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Splácanie úrokov a ostatné platby súvisiace s úvermi</w:t>
            </w:r>
          </w:p>
        </w:tc>
        <w:tc>
          <w:tcPr>
            <w:tcW w:w="621" w:type="pct"/>
            <w:shd w:val="clear" w:color="auto" w:fill="auto"/>
            <w:vAlign w:val="center"/>
          </w:tcPr>
          <w:p w14:paraId="6B164F01"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270</w:t>
            </w:r>
          </w:p>
        </w:tc>
        <w:tc>
          <w:tcPr>
            <w:tcW w:w="621" w:type="pct"/>
            <w:vAlign w:val="center"/>
          </w:tcPr>
          <w:p w14:paraId="51E1CB08"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258</w:t>
            </w:r>
          </w:p>
        </w:tc>
        <w:tc>
          <w:tcPr>
            <w:tcW w:w="621" w:type="pct"/>
            <w:shd w:val="clear" w:color="auto" w:fill="auto"/>
            <w:vAlign w:val="center"/>
          </w:tcPr>
          <w:p w14:paraId="5E36D170"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200</w:t>
            </w:r>
          </w:p>
        </w:tc>
        <w:tc>
          <w:tcPr>
            <w:tcW w:w="621" w:type="pct"/>
            <w:shd w:val="clear" w:color="auto" w:fill="auto"/>
            <w:vAlign w:val="center"/>
          </w:tcPr>
          <w:p w14:paraId="780DA63A"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200</w:t>
            </w:r>
          </w:p>
        </w:tc>
        <w:tc>
          <w:tcPr>
            <w:tcW w:w="621" w:type="pct"/>
            <w:shd w:val="clear" w:color="auto" w:fill="auto"/>
            <w:vAlign w:val="center"/>
          </w:tcPr>
          <w:p w14:paraId="3EAEF888"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0</w:t>
            </w:r>
          </w:p>
        </w:tc>
        <w:tc>
          <w:tcPr>
            <w:tcW w:w="351" w:type="pct"/>
            <w:vAlign w:val="center"/>
          </w:tcPr>
          <w:p w14:paraId="59813DD1"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77,5</w:t>
            </w:r>
          </w:p>
        </w:tc>
      </w:tr>
      <w:tr w:rsidR="00140A29" w:rsidRPr="004310EE" w14:paraId="1F59D938" w14:textId="77777777" w:rsidTr="00F53E08">
        <w:trPr>
          <w:trHeight w:val="283"/>
          <w:jc w:val="center"/>
        </w:trPr>
        <w:tc>
          <w:tcPr>
            <w:tcW w:w="1546" w:type="pct"/>
            <w:vAlign w:val="center"/>
          </w:tcPr>
          <w:p w14:paraId="3B2B1F9C" w14:textId="77777777" w:rsidR="00140A29" w:rsidRPr="004310EE" w:rsidRDefault="00140A29" w:rsidP="00F53E08">
            <w:pPr>
              <w:spacing w:after="0"/>
              <w:jc w:val="left"/>
              <w:rPr>
                <w:rFonts w:eastAsia="Times New Roman" w:cs="Segoe UI"/>
                <w:b/>
                <w:color w:val="000000"/>
                <w:sz w:val="16"/>
                <w:szCs w:val="16"/>
                <w:lang w:eastAsia="sk-SK"/>
              </w:rPr>
            </w:pPr>
            <w:r w:rsidRPr="004310EE">
              <w:rPr>
                <w:rFonts w:eastAsia="Times New Roman" w:cs="Segoe UI"/>
                <w:b/>
                <w:color w:val="000000"/>
                <w:sz w:val="16"/>
                <w:szCs w:val="16"/>
                <w:lang w:eastAsia="sk-SK"/>
              </w:rPr>
              <w:t>Kapitálové výdavky</w:t>
            </w:r>
          </w:p>
        </w:tc>
        <w:tc>
          <w:tcPr>
            <w:tcW w:w="621" w:type="pct"/>
            <w:shd w:val="clear" w:color="auto" w:fill="auto"/>
            <w:vAlign w:val="center"/>
          </w:tcPr>
          <w:p w14:paraId="006879D8"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2 707 005</w:t>
            </w:r>
          </w:p>
        </w:tc>
        <w:tc>
          <w:tcPr>
            <w:tcW w:w="621" w:type="pct"/>
            <w:vAlign w:val="center"/>
          </w:tcPr>
          <w:p w14:paraId="43170299"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4 714 155</w:t>
            </w:r>
          </w:p>
        </w:tc>
        <w:tc>
          <w:tcPr>
            <w:tcW w:w="621" w:type="pct"/>
            <w:shd w:val="clear" w:color="auto" w:fill="auto"/>
            <w:vAlign w:val="center"/>
          </w:tcPr>
          <w:p w14:paraId="64CB8B16"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3 127 233</w:t>
            </w:r>
          </w:p>
        </w:tc>
        <w:tc>
          <w:tcPr>
            <w:tcW w:w="621" w:type="pct"/>
            <w:shd w:val="clear" w:color="auto" w:fill="auto"/>
            <w:vAlign w:val="center"/>
          </w:tcPr>
          <w:p w14:paraId="6FA3BB9B"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3 838 138</w:t>
            </w:r>
          </w:p>
        </w:tc>
        <w:tc>
          <w:tcPr>
            <w:tcW w:w="621" w:type="pct"/>
            <w:shd w:val="clear" w:color="auto" w:fill="auto"/>
            <w:vAlign w:val="center"/>
          </w:tcPr>
          <w:p w14:paraId="776129BC"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710 905</w:t>
            </w:r>
          </w:p>
        </w:tc>
        <w:tc>
          <w:tcPr>
            <w:tcW w:w="351" w:type="pct"/>
            <w:vAlign w:val="center"/>
          </w:tcPr>
          <w:p w14:paraId="658AF806" w14:textId="77777777" w:rsidR="00140A29" w:rsidRPr="004310EE" w:rsidRDefault="00140A29" w:rsidP="00F53E08">
            <w:pPr>
              <w:spacing w:after="0"/>
              <w:jc w:val="right"/>
              <w:rPr>
                <w:rFonts w:eastAsia="Times New Roman" w:cs="Segoe UI"/>
                <w:b/>
                <w:color w:val="000000"/>
                <w:sz w:val="16"/>
                <w:szCs w:val="16"/>
                <w:lang w:eastAsia="sk-SK"/>
              </w:rPr>
            </w:pPr>
            <w:r w:rsidRPr="004310EE">
              <w:rPr>
                <w:rFonts w:eastAsia="Times New Roman" w:cs="Segoe UI"/>
                <w:b/>
                <w:bCs/>
                <w:color w:val="000000"/>
                <w:sz w:val="16"/>
                <w:szCs w:val="16"/>
                <w:lang w:eastAsia="sk-SK"/>
              </w:rPr>
              <w:t>81,4</w:t>
            </w:r>
          </w:p>
        </w:tc>
      </w:tr>
      <w:tr w:rsidR="00140A29" w:rsidRPr="004310EE" w14:paraId="2E5E1435" w14:textId="77777777" w:rsidTr="00F53E08">
        <w:trPr>
          <w:trHeight w:val="283"/>
          <w:jc w:val="center"/>
        </w:trPr>
        <w:tc>
          <w:tcPr>
            <w:tcW w:w="1546" w:type="pct"/>
            <w:vAlign w:val="center"/>
          </w:tcPr>
          <w:p w14:paraId="54EF076B" w14:textId="77777777" w:rsidR="00140A29" w:rsidRPr="004310EE" w:rsidRDefault="00140A29" w:rsidP="00F53E08">
            <w:pPr>
              <w:spacing w:after="0"/>
              <w:ind w:right="-108"/>
              <w:jc w:val="left"/>
              <w:rPr>
                <w:rFonts w:eastAsia="Times New Roman" w:cs="Segoe UI"/>
                <w:color w:val="000000"/>
                <w:sz w:val="16"/>
                <w:szCs w:val="16"/>
                <w:lang w:eastAsia="sk-SK"/>
              </w:rPr>
            </w:pPr>
            <w:r w:rsidRPr="004310EE">
              <w:rPr>
                <w:rFonts w:eastAsia="Times New Roman" w:cs="Segoe UI"/>
                <w:color w:val="000000"/>
                <w:sz w:val="16"/>
                <w:szCs w:val="16"/>
                <w:lang w:eastAsia="sk-SK"/>
              </w:rPr>
              <w:t>Obstarávanie kapitálových aktív</w:t>
            </w:r>
          </w:p>
        </w:tc>
        <w:tc>
          <w:tcPr>
            <w:tcW w:w="621" w:type="pct"/>
            <w:shd w:val="clear" w:color="auto" w:fill="auto"/>
            <w:vAlign w:val="center"/>
          </w:tcPr>
          <w:p w14:paraId="70FC780C"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1 183 010</w:t>
            </w:r>
          </w:p>
        </w:tc>
        <w:tc>
          <w:tcPr>
            <w:tcW w:w="621" w:type="pct"/>
            <w:vAlign w:val="center"/>
          </w:tcPr>
          <w:p w14:paraId="20965EF2"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1 433 149</w:t>
            </w:r>
          </w:p>
        </w:tc>
        <w:tc>
          <w:tcPr>
            <w:tcW w:w="621" w:type="pct"/>
            <w:shd w:val="clear" w:color="auto" w:fill="auto"/>
            <w:vAlign w:val="center"/>
          </w:tcPr>
          <w:p w14:paraId="43C523AF"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2 086 202</w:t>
            </w:r>
          </w:p>
        </w:tc>
        <w:tc>
          <w:tcPr>
            <w:tcW w:w="621" w:type="pct"/>
            <w:shd w:val="clear" w:color="auto" w:fill="auto"/>
            <w:vAlign w:val="center"/>
          </w:tcPr>
          <w:p w14:paraId="7CF6CC22"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1 435 558</w:t>
            </w:r>
          </w:p>
        </w:tc>
        <w:tc>
          <w:tcPr>
            <w:tcW w:w="621" w:type="pct"/>
            <w:shd w:val="clear" w:color="auto" w:fill="auto"/>
            <w:vAlign w:val="center"/>
          </w:tcPr>
          <w:p w14:paraId="23023335"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-650 644</w:t>
            </w:r>
          </w:p>
        </w:tc>
        <w:tc>
          <w:tcPr>
            <w:tcW w:w="351" w:type="pct"/>
            <w:vAlign w:val="center"/>
          </w:tcPr>
          <w:p w14:paraId="26733FAA"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100,2</w:t>
            </w:r>
          </w:p>
        </w:tc>
      </w:tr>
      <w:tr w:rsidR="00140A29" w:rsidRPr="004310EE" w14:paraId="57439755" w14:textId="77777777" w:rsidTr="00F53E08">
        <w:trPr>
          <w:trHeight w:val="283"/>
          <w:jc w:val="center"/>
        </w:trPr>
        <w:tc>
          <w:tcPr>
            <w:tcW w:w="1546" w:type="pct"/>
            <w:vAlign w:val="center"/>
          </w:tcPr>
          <w:p w14:paraId="6A39F89D" w14:textId="77777777" w:rsidR="00140A29" w:rsidRPr="004310EE" w:rsidRDefault="00140A29" w:rsidP="00F53E08">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Kapitálové transfery</w:t>
            </w:r>
          </w:p>
        </w:tc>
        <w:tc>
          <w:tcPr>
            <w:tcW w:w="621" w:type="pct"/>
            <w:shd w:val="clear" w:color="auto" w:fill="auto"/>
            <w:vAlign w:val="center"/>
          </w:tcPr>
          <w:p w14:paraId="4D038430"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1 523 995</w:t>
            </w:r>
          </w:p>
        </w:tc>
        <w:tc>
          <w:tcPr>
            <w:tcW w:w="621" w:type="pct"/>
            <w:vAlign w:val="center"/>
          </w:tcPr>
          <w:p w14:paraId="1AF30785"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3 281 006</w:t>
            </w:r>
          </w:p>
        </w:tc>
        <w:tc>
          <w:tcPr>
            <w:tcW w:w="621" w:type="pct"/>
            <w:shd w:val="clear" w:color="auto" w:fill="auto"/>
            <w:vAlign w:val="center"/>
          </w:tcPr>
          <w:p w14:paraId="78744A3C"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1 041 031</w:t>
            </w:r>
          </w:p>
        </w:tc>
        <w:tc>
          <w:tcPr>
            <w:tcW w:w="621" w:type="pct"/>
            <w:shd w:val="clear" w:color="auto" w:fill="auto"/>
            <w:vAlign w:val="center"/>
          </w:tcPr>
          <w:p w14:paraId="2050E698"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2 402 580</w:t>
            </w:r>
          </w:p>
        </w:tc>
        <w:tc>
          <w:tcPr>
            <w:tcW w:w="621" w:type="pct"/>
            <w:shd w:val="clear" w:color="auto" w:fill="auto"/>
            <w:vAlign w:val="center"/>
          </w:tcPr>
          <w:p w14:paraId="5AAB265D"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1 361 549</w:t>
            </w:r>
          </w:p>
        </w:tc>
        <w:tc>
          <w:tcPr>
            <w:tcW w:w="351" w:type="pct"/>
            <w:vAlign w:val="center"/>
          </w:tcPr>
          <w:p w14:paraId="72EBB31F" w14:textId="77777777" w:rsidR="00140A29" w:rsidRPr="004310EE" w:rsidRDefault="00140A29" w:rsidP="00F53E08">
            <w:pPr>
              <w:spacing w:after="0"/>
              <w:jc w:val="right"/>
              <w:rPr>
                <w:rFonts w:eastAsia="Times New Roman" w:cs="Segoe UI"/>
                <w:color w:val="000000"/>
                <w:sz w:val="16"/>
                <w:szCs w:val="16"/>
                <w:lang w:eastAsia="sk-SK"/>
              </w:rPr>
            </w:pPr>
            <w:r w:rsidRPr="004310EE">
              <w:rPr>
                <w:rFonts w:eastAsia="Times New Roman" w:cs="Segoe UI"/>
                <w:color w:val="000000"/>
                <w:sz w:val="16"/>
                <w:szCs w:val="16"/>
                <w:lang w:eastAsia="sk-SK"/>
              </w:rPr>
              <w:t>73,2</w:t>
            </w:r>
          </w:p>
        </w:tc>
      </w:tr>
    </w:tbl>
    <w:p w14:paraId="57118772" w14:textId="14643829" w:rsidR="00140A29" w:rsidRPr="004310EE" w:rsidRDefault="00140A29" w:rsidP="00140A29">
      <w:pPr>
        <w:spacing w:line="240" w:lineRule="auto"/>
        <w:jc w:val="left"/>
        <w:rPr>
          <w:rFonts w:eastAsia="Calibri" w:cs="Times New Roman"/>
          <w:i/>
          <w:color w:val="314364"/>
          <w:sz w:val="16"/>
        </w:rPr>
      </w:pPr>
      <w:r w:rsidRPr="004310EE">
        <w:rPr>
          <w:rFonts w:eastAsia="Calibri" w:cs="Times New Roman"/>
          <w:i/>
          <w:color w:val="314364"/>
          <w:sz w:val="16"/>
        </w:rPr>
        <w:t>Zdroj: Návrh ŠZÚ 2024.</w:t>
      </w:r>
      <w:r w:rsidRPr="004310EE">
        <w:rPr>
          <w:rFonts w:eastAsia="Calibri" w:cs="Times New Roman"/>
          <w:i/>
          <w:color w:val="314364"/>
          <w:sz w:val="16"/>
        </w:rPr>
        <w:br/>
        <w:t xml:space="preserve">S – skutočnosť, R – rozpočet, </w:t>
      </w:r>
      <w:proofErr w:type="spellStart"/>
      <w:r w:rsidRPr="004310EE">
        <w:rPr>
          <w:rFonts w:eastAsia="Calibri" w:cs="Times New Roman"/>
          <w:i/>
          <w:color w:val="314364"/>
          <w:sz w:val="16"/>
        </w:rPr>
        <w:t>YoY</w:t>
      </w:r>
      <w:proofErr w:type="spellEnd"/>
      <w:r w:rsidRPr="004310EE">
        <w:rPr>
          <w:rFonts w:eastAsia="Calibri" w:cs="Times New Roman"/>
          <w:i/>
          <w:color w:val="314364"/>
          <w:sz w:val="16"/>
        </w:rPr>
        <w:t xml:space="preserve"> – medziročná zmena</w:t>
      </w:r>
      <w:r w:rsidR="00601FB5">
        <w:rPr>
          <w:rFonts w:eastAsia="Calibri" w:cs="Times New Roman"/>
          <w:i/>
          <w:color w:val="314364"/>
          <w:sz w:val="16"/>
        </w:rPr>
        <w:t>.</w:t>
      </w:r>
    </w:p>
    <w:p w14:paraId="6F87A2A2" w14:textId="0ABD407B" w:rsidR="00140A29" w:rsidRDefault="00140A29" w:rsidP="00140A29">
      <w:pPr>
        <w:rPr>
          <w:rFonts w:eastAsia="Times New Roman" w:cs="Segoe UI"/>
          <w:szCs w:val="20"/>
        </w:rPr>
      </w:pPr>
      <w:r w:rsidRPr="0046408C">
        <w:rPr>
          <w:rFonts w:eastAsia="Times New Roman" w:cs="Segoe UI"/>
          <w:b/>
          <w:szCs w:val="20"/>
        </w:rPr>
        <w:t>Najvýznamnejšiu položku bežných výdavkov ŠR predstavujú bežné transfery, ktorých podiel dosiahol 74,3 % v roku 2024</w:t>
      </w:r>
      <w:r>
        <w:rPr>
          <w:rFonts w:eastAsia="Times New Roman" w:cs="Segoe UI"/>
          <w:szCs w:val="20"/>
        </w:rPr>
        <w:t xml:space="preserve">. Celkový objem bežných transferov sa medziročne takmer nezmenil, zmenila sa však ich štruktúra. </w:t>
      </w:r>
      <w:r w:rsidR="008764ED">
        <w:rPr>
          <w:rFonts w:eastAsia="Times New Roman" w:cs="Segoe UI"/>
          <w:szCs w:val="20"/>
        </w:rPr>
        <w:t>T</w:t>
      </w:r>
      <w:r>
        <w:rPr>
          <w:rFonts w:eastAsia="Times New Roman" w:cs="Segoe UI"/>
          <w:szCs w:val="20"/>
        </w:rPr>
        <w:t xml:space="preserve">ransfer SP </w:t>
      </w:r>
      <w:r w:rsidR="008764ED">
        <w:rPr>
          <w:rFonts w:eastAsia="Times New Roman" w:cs="Segoe UI"/>
          <w:szCs w:val="20"/>
        </w:rPr>
        <w:t>vzrástol na 2,72 mld. eur (</w:t>
      </w:r>
      <w:r>
        <w:rPr>
          <w:rFonts w:eastAsia="Times New Roman" w:cs="Segoe UI"/>
          <w:szCs w:val="20"/>
        </w:rPr>
        <w:t xml:space="preserve">pôvodne </w:t>
      </w:r>
      <w:r w:rsidR="008764ED">
        <w:rPr>
          <w:rFonts w:eastAsia="Times New Roman" w:cs="Segoe UI"/>
          <w:szCs w:val="20"/>
        </w:rPr>
        <w:t xml:space="preserve">vo výške </w:t>
      </w:r>
      <w:r>
        <w:rPr>
          <w:rFonts w:eastAsia="Times New Roman" w:cs="Segoe UI"/>
          <w:szCs w:val="20"/>
        </w:rPr>
        <w:t>1,6 mld. eur</w:t>
      </w:r>
      <w:r w:rsidR="008764ED">
        <w:rPr>
          <w:rFonts w:eastAsia="Times New Roman" w:cs="Segoe UI"/>
          <w:szCs w:val="20"/>
        </w:rPr>
        <w:t>)</w:t>
      </w:r>
      <w:r>
        <w:rPr>
          <w:rFonts w:eastAsia="Times New Roman" w:cs="Segoe UI"/>
          <w:szCs w:val="20"/>
        </w:rPr>
        <w:t xml:space="preserve">, pričom zvýšenie išlo na vrub 13. dôchodkom (0,8 mld. eur), zvýšené výdavky spojené s PSD aj riadnymi dôchodkami. Výdavky na 13. dôchodky boli pôvodne rozpočtované vo VPS. </w:t>
      </w:r>
    </w:p>
    <w:p w14:paraId="41770EFF" w14:textId="1F1B5BD1" w:rsidR="00140A29" w:rsidRDefault="00140A29" w:rsidP="00140A29">
      <w:pPr>
        <w:rPr>
          <w:rFonts w:eastAsia="Times New Roman" w:cs="Segoe UI"/>
          <w:szCs w:val="20"/>
        </w:rPr>
      </w:pPr>
      <w:r w:rsidRPr="0018459C">
        <w:rPr>
          <w:rFonts w:eastAsia="Times New Roman" w:cs="Segoe UI"/>
          <w:b/>
          <w:szCs w:val="20"/>
        </w:rPr>
        <w:t>Kapitálové výdavky predstavujú 12,5 % celkových výdavkov ŠR, pričom medziročne klesli o 876 mil. eur, najmä z dôvodu nižšie</w:t>
      </w:r>
      <w:r w:rsidR="008764ED">
        <w:rPr>
          <w:rFonts w:eastAsia="Times New Roman" w:cs="Segoe UI"/>
          <w:b/>
          <w:szCs w:val="20"/>
        </w:rPr>
        <w:t>ho</w:t>
      </w:r>
      <w:r w:rsidRPr="0018459C">
        <w:rPr>
          <w:rFonts w:eastAsia="Times New Roman" w:cs="Segoe UI"/>
          <w:b/>
          <w:szCs w:val="20"/>
        </w:rPr>
        <w:t xml:space="preserve"> čerpani</w:t>
      </w:r>
      <w:r w:rsidR="008764ED">
        <w:rPr>
          <w:rFonts w:eastAsia="Times New Roman" w:cs="Segoe UI"/>
          <w:b/>
          <w:szCs w:val="20"/>
        </w:rPr>
        <w:t>a</w:t>
      </w:r>
      <w:r w:rsidRPr="0018459C">
        <w:rPr>
          <w:rFonts w:eastAsia="Times New Roman" w:cs="Segoe UI"/>
          <w:b/>
          <w:szCs w:val="20"/>
        </w:rPr>
        <w:t xml:space="preserve"> zdrojov EÚ. </w:t>
      </w:r>
      <w:r>
        <w:rPr>
          <w:rFonts w:eastAsia="Times New Roman" w:cs="Segoe UI"/>
          <w:szCs w:val="20"/>
        </w:rPr>
        <w:t xml:space="preserve">Kapitálové transfery smerovali najmä subjektom </w:t>
      </w:r>
      <w:r w:rsidR="008764ED">
        <w:rPr>
          <w:rFonts w:eastAsia="Times New Roman" w:cs="Segoe UI"/>
          <w:szCs w:val="20"/>
        </w:rPr>
        <w:t>VS</w:t>
      </w:r>
      <w:r>
        <w:rPr>
          <w:rFonts w:eastAsia="Times New Roman" w:cs="Segoe UI"/>
          <w:szCs w:val="20"/>
        </w:rPr>
        <w:t xml:space="preserve"> (1 800,5 mil. eur) a nefinančným subjektom (460,8 mil. eur). </w:t>
      </w:r>
      <w:r w:rsidR="008764ED">
        <w:rPr>
          <w:rFonts w:eastAsia="Times New Roman" w:cs="Segoe UI"/>
          <w:szCs w:val="20"/>
        </w:rPr>
        <w:t>S</w:t>
      </w:r>
      <w:r>
        <w:rPr>
          <w:rFonts w:eastAsia="Times New Roman" w:cs="Segoe UI"/>
          <w:szCs w:val="20"/>
        </w:rPr>
        <w:t xml:space="preserve">pomedzi subjektov </w:t>
      </w:r>
      <w:r w:rsidR="008764ED">
        <w:rPr>
          <w:rFonts w:eastAsia="Times New Roman" w:cs="Segoe UI"/>
          <w:szCs w:val="20"/>
        </w:rPr>
        <w:t>VS</w:t>
      </w:r>
      <w:r>
        <w:rPr>
          <w:rFonts w:eastAsia="Times New Roman" w:cs="Segoe UI"/>
          <w:szCs w:val="20"/>
        </w:rPr>
        <w:t xml:space="preserve"> to boli obce a VÚC, NDS, ŽSR, ZSSK, dopravné podniky, príspevkové organizácie a ďalšie. Kapitálové výdavky na obstaranie hmotného a nehmotného majetku (kapitálových aktív) smerovali najmä na </w:t>
      </w:r>
      <w:r w:rsidRPr="0018459C">
        <w:rPr>
          <w:rFonts w:eastAsia="Times New Roman" w:cs="Segoe UI"/>
          <w:szCs w:val="20"/>
        </w:rPr>
        <w:t>nákup strojov, prístrojov, zariadení, techniky</w:t>
      </w:r>
      <w:r>
        <w:rPr>
          <w:rFonts w:eastAsia="Times New Roman" w:cs="Segoe UI"/>
          <w:szCs w:val="20"/>
        </w:rPr>
        <w:t xml:space="preserve"> (531 mil. eur), </w:t>
      </w:r>
      <w:r w:rsidRPr="0018459C">
        <w:rPr>
          <w:rFonts w:eastAsia="Times New Roman" w:cs="Segoe UI"/>
          <w:szCs w:val="20"/>
        </w:rPr>
        <w:t>nákup dopravných prostriedkov</w:t>
      </w:r>
      <w:r>
        <w:rPr>
          <w:rFonts w:eastAsia="Times New Roman" w:cs="Segoe UI"/>
          <w:szCs w:val="20"/>
        </w:rPr>
        <w:t xml:space="preserve"> (357,6 mil. eur) a </w:t>
      </w:r>
      <w:r w:rsidRPr="0018459C">
        <w:rPr>
          <w:rFonts w:eastAsia="Times New Roman" w:cs="Segoe UI"/>
          <w:szCs w:val="20"/>
        </w:rPr>
        <w:t>r</w:t>
      </w:r>
      <w:r>
        <w:rPr>
          <w:rFonts w:eastAsia="Times New Roman" w:cs="Segoe UI"/>
          <w:szCs w:val="20"/>
        </w:rPr>
        <w:t>ealizáciu stavieb a ich technické</w:t>
      </w:r>
      <w:r w:rsidRPr="0018459C">
        <w:rPr>
          <w:rFonts w:eastAsia="Times New Roman" w:cs="Segoe UI"/>
          <w:szCs w:val="20"/>
        </w:rPr>
        <w:t xml:space="preserve"> zhod</w:t>
      </w:r>
      <w:r>
        <w:rPr>
          <w:rFonts w:eastAsia="Times New Roman" w:cs="Segoe UI"/>
          <w:szCs w:val="20"/>
        </w:rPr>
        <w:t>notenie (241,6 mil. eur).</w:t>
      </w:r>
    </w:p>
    <w:p w14:paraId="3FF9B1BC" w14:textId="5FAF45F8" w:rsidR="001F22A4" w:rsidRDefault="002C027A" w:rsidP="005603E6">
      <w:pPr>
        <w:pStyle w:val="Nadpis3"/>
      </w:pPr>
      <w:bookmarkStart w:id="21" w:name="_Toc198637720"/>
      <w:r>
        <w:t>3.</w:t>
      </w:r>
      <w:r w:rsidR="003423C9">
        <w:t>2</w:t>
      </w:r>
      <w:r>
        <w:t xml:space="preserve">.1 </w:t>
      </w:r>
      <w:r w:rsidR="00E43045">
        <w:t xml:space="preserve"> </w:t>
      </w:r>
      <w:r w:rsidR="00443229">
        <w:t>R</w:t>
      </w:r>
      <w:r w:rsidR="001F22A4">
        <w:t>ozpočtové opatrenia</w:t>
      </w:r>
      <w:bookmarkEnd w:id="21"/>
    </w:p>
    <w:p w14:paraId="60B0F21E" w14:textId="6D3DFAAB" w:rsidR="00861CC6" w:rsidRDefault="005E56E4" w:rsidP="00861CC6">
      <w:pPr>
        <w:rPr>
          <w:rFonts w:cs="Segoe UI"/>
          <w:szCs w:val="20"/>
        </w:rPr>
      </w:pPr>
      <w:r>
        <w:rPr>
          <w:rFonts w:cs="Segoe UI"/>
          <w:b/>
          <w:bCs/>
          <w:szCs w:val="20"/>
        </w:rPr>
        <w:t xml:space="preserve">NKÚ SR pozitívne hodnotí, že počet </w:t>
      </w:r>
      <w:r w:rsidR="00861CC6">
        <w:rPr>
          <w:rFonts w:cs="Segoe UI"/>
          <w:b/>
          <w:bCs/>
          <w:szCs w:val="20"/>
        </w:rPr>
        <w:t xml:space="preserve">vykonaných </w:t>
      </w:r>
      <w:r w:rsidR="00861CC6" w:rsidRPr="00123D20">
        <w:rPr>
          <w:rFonts w:cs="Segoe UI"/>
          <w:b/>
          <w:bCs/>
          <w:szCs w:val="20"/>
        </w:rPr>
        <w:t xml:space="preserve">rozpočtových opatrení </w:t>
      </w:r>
      <w:r w:rsidR="00861CC6" w:rsidRPr="00861CC6">
        <w:rPr>
          <w:rFonts w:cs="Segoe UI"/>
          <w:bCs/>
          <w:szCs w:val="20"/>
        </w:rPr>
        <w:t>(RO)</w:t>
      </w:r>
      <w:r>
        <w:rPr>
          <w:rFonts w:cs="Segoe UI"/>
          <w:bCs/>
          <w:szCs w:val="20"/>
        </w:rPr>
        <w:t xml:space="preserve"> </w:t>
      </w:r>
      <w:r w:rsidRPr="005E56E4">
        <w:rPr>
          <w:rFonts w:cs="Segoe UI"/>
          <w:b/>
          <w:bCs/>
          <w:szCs w:val="20"/>
        </w:rPr>
        <w:t>v roku 2024 klesol</w:t>
      </w:r>
      <w:r w:rsidR="00861CC6" w:rsidRPr="005E56E4">
        <w:rPr>
          <w:rFonts w:cs="Segoe UI"/>
          <w:b/>
          <w:bCs/>
          <w:szCs w:val="20"/>
        </w:rPr>
        <w:t xml:space="preserve"> medziročne takmer o</w:t>
      </w:r>
      <w:r>
        <w:rPr>
          <w:rFonts w:cs="Segoe UI"/>
          <w:b/>
          <w:bCs/>
          <w:szCs w:val="20"/>
        </w:rPr>
        <w:t> </w:t>
      </w:r>
      <w:r w:rsidR="00861CC6" w:rsidRPr="005E56E4">
        <w:rPr>
          <w:rFonts w:cs="Segoe UI"/>
          <w:b/>
          <w:bCs/>
          <w:szCs w:val="20"/>
        </w:rPr>
        <w:t>polovicu</w:t>
      </w:r>
      <w:r>
        <w:rPr>
          <w:rFonts w:cs="Segoe UI"/>
          <w:b/>
          <w:bCs/>
          <w:szCs w:val="20"/>
        </w:rPr>
        <w:t>.</w:t>
      </w:r>
      <w:r w:rsidR="00861CC6" w:rsidRPr="00123D20">
        <w:rPr>
          <w:rFonts w:cs="Segoe UI"/>
          <w:b/>
          <w:bCs/>
          <w:szCs w:val="20"/>
        </w:rPr>
        <w:t xml:space="preserve"> </w:t>
      </w:r>
      <w:r w:rsidR="00861CC6" w:rsidRPr="00123D20">
        <w:rPr>
          <w:rFonts w:cs="Segoe UI"/>
          <w:szCs w:val="20"/>
        </w:rPr>
        <w:t xml:space="preserve">Celkový </w:t>
      </w:r>
      <w:r>
        <w:rPr>
          <w:rFonts w:cs="Segoe UI"/>
          <w:szCs w:val="20"/>
        </w:rPr>
        <w:t>počet RO bol 1 981 a </w:t>
      </w:r>
      <w:r w:rsidR="00861CC6" w:rsidRPr="00123D20">
        <w:rPr>
          <w:rFonts w:cs="Segoe UI"/>
          <w:szCs w:val="20"/>
        </w:rPr>
        <w:t>objem</w:t>
      </w:r>
      <w:r>
        <w:rPr>
          <w:rFonts w:cs="Segoe UI"/>
          <w:szCs w:val="20"/>
        </w:rPr>
        <w:t>ovo</w:t>
      </w:r>
      <w:r w:rsidR="00861CC6" w:rsidRPr="00123D20">
        <w:rPr>
          <w:rFonts w:cs="Segoe UI"/>
          <w:szCs w:val="20"/>
        </w:rPr>
        <w:t xml:space="preserve"> </w:t>
      </w:r>
      <w:r>
        <w:rPr>
          <w:rFonts w:cs="Segoe UI"/>
          <w:szCs w:val="20"/>
        </w:rPr>
        <w:t>predstavovali</w:t>
      </w:r>
      <w:r w:rsidR="00861CC6">
        <w:rPr>
          <w:rFonts w:cs="Segoe UI"/>
          <w:szCs w:val="20"/>
        </w:rPr>
        <w:t xml:space="preserve"> 11,8 </w:t>
      </w:r>
      <w:r w:rsidR="00861CC6" w:rsidRPr="00123D20">
        <w:rPr>
          <w:rFonts w:cs="Segoe UI"/>
          <w:szCs w:val="20"/>
        </w:rPr>
        <w:t>mld. eur</w:t>
      </w:r>
      <w:r>
        <w:rPr>
          <w:rFonts w:cs="Segoe UI"/>
          <w:szCs w:val="20"/>
        </w:rPr>
        <w:t>, čo znamenalo</w:t>
      </w:r>
      <w:r w:rsidR="00861CC6" w:rsidRPr="00123D20">
        <w:rPr>
          <w:rFonts w:cs="Segoe UI"/>
          <w:szCs w:val="20"/>
        </w:rPr>
        <w:t xml:space="preserve"> medziročne </w:t>
      </w:r>
      <w:r w:rsidR="00861CC6">
        <w:rPr>
          <w:rFonts w:cs="Segoe UI"/>
          <w:szCs w:val="20"/>
        </w:rPr>
        <w:t xml:space="preserve">o 2,4 mld. eur </w:t>
      </w:r>
      <w:r>
        <w:rPr>
          <w:rFonts w:cs="Segoe UI"/>
          <w:szCs w:val="20"/>
        </w:rPr>
        <w:t xml:space="preserve">menej </w:t>
      </w:r>
      <w:r w:rsidR="00861CC6">
        <w:rPr>
          <w:rFonts w:cs="Segoe UI"/>
          <w:szCs w:val="20"/>
        </w:rPr>
        <w:t xml:space="preserve">(graf </w:t>
      </w:r>
      <w:r w:rsidR="00D52D58">
        <w:rPr>
          <w:rFonts w:cs="Segoe UI"/>
          <w:szCs w:val="20"/>
        </w:rPr>
        <w:t>11</w:t>
      </w:r>
      <w:r w:rsidR="00861CC6" w:rsidRPr="00123D20">
        <w:rPr>
          <w:rFonts w:cs="Segoe UI"/>
          <w:szCs w:val="20"/>
        </w:rPr>
        <w:t>).</w:t>
      </w:r>
    </w:p>
    <w:p w14:paraId="713CB769" w14:textId="77777777" w:rsidR="00190181" w:rsidRDefault="00190181" w:rsidP="00190181">
      <w:pPr>
        <w:spacing w:after="0"/>
        <w:rPr>
          <w:rFonts w:cs="Segoe UI"/>
          <w:b/>
          <w:bCs/>
          <w:color w:val="304363"/>
          <w:szCs w:val="20"/>
        </w:rPr>
      </w:pPr>
      <w:r>
        <w:rPr>
          <w:rFonts w:cs="Segoe UI"/>
          <w:b/>
          <w:bCs/>
          <w:color w:val="304363"/>
          <w:szCs w:val="20"/>
        </w:rPr>
        <w:t>Graf 11</w:t>
      </w:r>
      <w:r w:rsidRPr="00DB339A">
        <w:rPr>
          <w:rFonts w:cs="Segoe UI"/>
          <w:b/>
          <w:bCs/>
          <w:color w:val="304363"/>
          <w:szCs w:val="20"/>
        </w:rPr>
        <w:t xml:space="preserve">: Vývoj počtu </w:t>
      </w:r>
      <w:r>
        <w:rPr>
          <w:rFonts w:cs="Segoe UI"/>
          <w:b/>
          <w:bCs/>
          <w:color w:val="304363"/>
          <w:szCs w:val="20"/>
        </w:rPr>
        <w:t xml:space="preserve">a objemu </w:t>
      </w:r>
      <w:r w:rsidRPr="00DB339A">
        <w:rPr>
          <w:rFonts w:cs="Segoe UI"/>
          <w:b/>
          <w:bCs/>
          <w:color w:val="304363"/>
          <w:szCs w:val="20"/>
        </w:rPr>
        <w:t xml:space="preserve">rozpočtových opatrení za obdobie 2014 </w:t>
      </w:r>
      <w:r>
        <w:rPr>
          <w:rFonts w:cs="Segoe UI"/>
          <w:b/>
          <w:bCs/>
          <w:color w:val="304363"/>
          <w:szCs w:val="20"/>
        </w:rPr>
        <w:t>až</w:t>
      </w:r>
      <w:r w:rsidRPr="00DB339A">
        <w:rPr>
          <w:rFonts w:cs="Segoe UI"/>
          <w:b/>
          <w:bCs/>
          <w:color w:val="304363"/>
          <w:szCs w:val="20"/>
        </w:rPr>
        <w:t xml:space="preserve"> 2024</w:t>
      </w:r>
      <w:r>
        <w:rPr>
          <w:rFonts w:cs="Segoe UI"/>
          <w:b/>
          <w:bCs/>
          <w:color w:val="304363"/>
          <w:szCs w:val="20"/>
        </w:rPr>
        <w:t xml:space="preserve"> (v mld. eur)</w:t>
      </w:r>
    </w:p>
    <w:tbl>
      <w:tblPr>
        <w:tblStyle w:val="Mriekatabuky"/>
        <w:tblW w:w="0" w:type="auto"/>
        <w:tblLook w:val="04A0" w:firstRow="1" w:lastRow="0" w:firstColumn="1" w:lastColumn="0" w:noHBand="0" w:noVBand="1"/>
      </w:tblPr>
      <w:tblGrid>
        <w:gridCol w:w="9070"/>
      </w:tblGrid>
      <w:tr w:rsidR="00190181" w14:paraId="7B9B35B3" w14:textId="77777777" w:rsidTr="002E1FF0">
        <w:tc>
          <w:tcPr>
            <w:tcW w:w="9060" w:type="dxa"/>
            <w:tcBorders>
              <w:top w:val="single" w:sz="4" w:space="0" w:color="314364" w:themeColor="text2"/>
              <w:left w:val="nil"/>
              <w:bottom w:val="single" w:sz="4" w:space="0" w:color="314364" w:themeColor="text2"/>
              <w:right w:val="nil"/>
            </w:tcBorders>
          </w:tcPr>
          <w:p w14:paraId="41552C8F" w14:textId="77777777" w:rsidR="00190181" w:rsidRDefault="00190181" w:rsidP="002E1FF0">
            <w:pPr>
              <w:spacing w:after="0"/>
              <w:rPr>
                <w:rFonts w:cs="Segoe UI"/>
                <w:b/>
                <w:bCs/>
                <w:color w:val="304363"/>
                <w:szCs w:val="20"/>
              </w:rPr>
            </w:pPr>
            <w:r>
              <w:rPr>
                <w:noProof/>
                <w:lang w:eastAsia="sk-SK"/>
              </w:rPr>
              <w:drawing>
                <wp:inline distT="0" distB="0" distL="0" distR="0" wp14:anchorId="0DC9252F" wp14:editId="78A4382A">
                  <wp:extent cx="5648325" cy="1924685"/>
                  <wp:effectExtent l="0" t="0" r="0" b="0"/>
                  <wp:docPr id="141712257" name="Graf 1417122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14:paraId="0C68065F" w14:textId="77777777" w:rsidR="00190181" w:rsidRPr="00DB339A" w:rsidRDefault="00190181" w:rsidP="00190181">
      <w:pPr>
        <w:pStyle w:val="Zdroj"/>
      </w:pPr>
      <w:r>
        <w:t>Zdroj: rozpocet.sk</w:t>
      </w:r>
    </w:p>
    <w:p w14:paraId="7DD1368E" w14:textId="77777777" w:rsidR="0024075E" w:rsidRPr="00FC5B33" w:rsidRDefault="00861CC6" w:rsidP="0024075E">
      <w:pPr>
        <w:spacing w:after="0"/>
        <w:rPr>
          <w:b/>
          <w:bCs/>
        </w:rPr>
      </w:pPr>
      <w:r w:rsidRPr="00A07C19">
        <w:rPr>
          <w:rFonts w:cs="Segoe UI"/>
          <w:b/>
          <w:szCs w:val="20"/>
        </w:rPr>
        <w:lastRenderedPageBreak/>
        <w:t>V roku 2024 bolo uvoľnených celkovo 1,2 mld. eur z VPS do ďalších kapitol.</w:t>
      </w:r>
      <w:r>
        <w:rPr>
          <w:b/>
          <w:bCs/>
        </w:rPr>
        <w:t xml:space="preserve"> </w:t>
      </w:r>
      <w:r w:rsidRPr="00123D20">
        <w:rPr>
          <w:rFonts w:cs="Segoe UI"/>
          <w:szCs w:val="20"/>
        </w:rPr>
        <w:t>Z výdavkov VPS bolo viac ako 85 % presunutých do štyroch</w:t>
      </w:r>
      <w:r>
        <w:rPr>
          <w:rFonts w:cs="Segoe UI"/>
          <w:szCs w:val="20"/>
        </w:rPr>
        <w:t xml:space="preserve"> kapitol </w:t>
      </w:r>
      <w:r w:rsidR="00AE4675">
        <w:rPr>
          <w:rFonts w:cs="Segoe UI"/>
          <w:szCs w:val="20"/>
        </w:rPr>
        <w:t xml:space="preserve">– </w:t>
      </w:r>
      <w:r>
        <w:rPr>
          <w:rFonts w:cs="Segoe UI"/>
          <w:szCs w:val="20"/>
        </w:rPr>
        <w:t>MH SR, MCR</w:t>
      </w:r>
      <w:r w:rsidRPr="00123D20">
        <w:rPr>
          <w:rFonts w:cs="Segoe UI"/>
          <w:szCs w:val="20"/>
        </w:rPr>
        <w:t xml:space="preserve">Š SR, MV SR a MD SR. </w:t>
      </w:r>
      <w:r>
        <w:rPr>
          <w:rFonts w:cs="Segoe UI"/>
          <w:szCs w:val="20"/>
        </w:rPr>
        <w:t xml:space="preserve">Najväčšie uskutočnené </w:t>
      </w:r>
      <w:r w:rsidR="0024075E">
        <w:rPr>
          <w:rFonts w:cs="Segoe UI"/>
          <w:szCs w:val="20"/>
        </w:rPr>
        <w:t>RO v roku 2024 boli:</w:t>
      </w:r>
    </w:p>
    <w:p w14:paraId="5E26DF0B" w14:textId="77777777" w:rsidR="0024075E" w:rsidRPr="00FC5B33" w:rsidRDefault="0024075E" w:rsidP="0024075E">
      <w:pPr>
        <w:pStyle w:val="Odsekzoznamu"/>
        <w:numPr>
          <w:ilvl w:val="0"/>
          <w:numId w:val="21"/>
        </w:numPr>
        <w:autoSpaceDE w:val="0"/>
        <w:autoSpaceDN w:val="0"/>
        <w:adjustRightInd w:val="0"/>
        <w:spacing w:after="0"/>
        <w:ind w:left="527" w:hanging="357"/>
        <w:rPr>
          <w:rFonts w:cs="Segoe UI"/>
          <w:bCs/>
          <w:color w:val="000000"/>
          <w:szCs w:val="20"/>
        </w:rPr>
      </w:pPr>
      <w:r w:rsidRPr="00FC5B33">
        <w:rPr>
          <w:rFonts w:cs="Segoe UI"/>
          <w:bCs/>
          <w:color w:val="000000"/>
          <w:szCs w:val="20"/>
        </w:rPr>
        <w:t xml:space="preserve">prekročenie limitu výdavkov v kapitole MŠVVM SR o 23,3 mil. eur </w:t>
      </w:r>
      <w:r>
        <w:t xml:space="preserve">(prostriedky z kapitoly VPS) </w:t>
      </w:r>
      <w:r w:rsidRPr="00FC5B33">
        <w:rPr>
          <w:rFonts w:cs="Segoe UI"/>
          <w:color w:val="000000"/>
          <w:szCs w:val="20"/>
        </w:rPr>
        <w:t xml:space="preserve">na zvýšenie odvodov do </w:t>
      </w:r>
      <w:r>
        <w:rPr>
          <w:rFonts w:cs="Segoe UI"/>
          <w:color w:val="000000"/>
          <w:szCs w:val="20"/>
        </w:rPr>
        <w:t>ZP</w:t>
      </w:r>
      <w:r w:rsidRPr="00FC5B33">
        <w:rPr>
          <w:rFonts w:cs="Segoe UI"/>
          <w:color w:val="000000"/>
          <w:szCs w:val="20"/>
        </w:rPr>
        <w:t xml:space="preserve"> za zamestnávateľa o 1 %</w:t>
      </w:r>
      <w:r>
        <w:rPr>
          <w:rFonts w:cs="Segoe UI"/>
          <w:color w:val="000000"/>
          <w:szCs w:val="20"/>
        </w:rPr>
        <w:t>;</w:t>
      </w:r>
      <w:r w:rsidRPr="00FC5B33">
        <w:rPr>
          <w:rFonts w:cs="Segoe UI"/>
          <w:color w:val="000000"/>
          <w:szCs w:val="20"/>
        </w:rPr>
        <w:t xml:space="preserve"> </w:t>
      </w:r>
    </w:p>
    <w:p w14:paraId="144793C6" w14:textId="77777777" w:rsidR="0024075E" w:rsidRDefault="0024075E" w:rsidP="0024075E">
      <w:pPr>
        <w:pStyle w:val="Odsekzoznamu"/>
        <w:numPr>
          <w:ilvl w:val="0"/>
          <w:numId w:val="21"/>
        </w:numPr>
        <w:spacing w:after="0"/>
        <w:ind w:left="527" w:hanging="357"/>
      </w:pPr>
      <w:r w:rsidRPr="00FC5B33">
        <w:t xml:space="preserve">prekročenie </w:t>
      </w:r>
      <w:r>
        <w:t>limitu výdavkov</w:t>
      </w:r>
      <w:r w:rsidRPr="00FC5B33">
        <w:t xml:space="preserve"> v kapitole </w:t>
      </w:r>
      <w:r w:rsidRPr="00FC5B33">
        <w:rPr>
          <w:bCs/>
        </w:rPr>
        <w:t xml:space="preserve">MD SR </w:t>
      </w:r>
      <w:r w:rsidRPr="00FC5B33">
        <w:t>o </w:t>
      </w:r>
      <w:r w:rsidRPr="00FC5B33">
        <w:rPr>
          <w:bCs/>
        </w:rPr>
        <w:t xml:space="preserve">22,6 mil. eur </w:t>
      </w:r>
      <w:r w:rsidRPr="00FC5B33">
        <w:t>(prostriedky z k</w:t>
      </w:r>
      <w:r>
        <w:t xml:space="preserve">apitoly VPS) </w:t>
      </w:r>
      <w:r w:rsidRPr="00FC5B33">
        <w:t>na vysporia</w:t>
      </w:r>
      <w:r>
        <w:t>danie nezrovnalostí za PO 2014 –</w:t>
      </w:r>
      <w:r w:rsidRPr="00FC5B33">
        <w:t xml:space="preserve"> 2020 (OP Integrovaná infraštruktúra)</w:t>
      </w:r>
      <w:r>
        <w:t>;</w:t>
      </w:r>
    </w:p>
    <w:p w14:paraId="18FCC030" w14:textId="77777777" w:rsidR="0024075E" w:rsidRPr="00FC5B33" w:rsidRDefault="0024075E" w:rsidP="0024075E">
      <w:pPr>
        <w:pStyle w:val="Odsekzoznamu"/>
        <w:numPr>
          <w:ilvl w:val="0"/>
          <w:numId w:val="21"/>
        </w:numPr>
        <w:autoSpaceDE w:val="0"/>
        <w:autoSpaceDN w:val="0"/>
        <w:adjustRightInd w:val="0"/>
        <w:spacing w:after="0"/>
        <w:ind w:left="527" w:hanging="357"/>
        <w:rPr>
          <w:rFonts w:ascii="Arial Narrow" w:hAnsi="Arial Narrow"/>
        </w:rPr>
      </w:pPr>
      <w:r w:rsidRPr="00FC5B33">
        <w:rPr>
          <w:rFonts w:cs="Segoe UI"/>
          <w:bCs/>
          <w:color w:val="000000"/>
          <w:szCs w:val="20"/>
        </w:rPr>
        <w:t xml:space="preserve">prekročenie </w:t>
      </w:r>
      <w:r>
        <w:t>limitu výdavkov</w:t>
      </w:r>
      <w:r w:rsidRPr="00FC5B33">
        <w:rPr>
          <w:rFonts w:cs="Segoe UI"/>
          <w:bCs/>
          <w:color w:val="000000"/>
          <w:szCs w:val="20"/>
        </w:rPr>
        <w:t xml:space="preserve"> v kapitole MCRŠ SR o 22 mil. eur </w:t>
      </w:r>
      <w:r>
        <w:rPr>
          <w:rFonts w:cs="Segoe UI"/>
          <w:bCs/>
          <w:color w:val="000000"/>
          <w:szCs w:val="20"/>
        </w:rPr>
        <w:t xml:space="preserve">a 18 mil. eur </w:t>
      </w:r>
      <w:r w:rsidRPr="00FC5B33">
        <w:rPr>
          <w:rFonts w:cs="Segoe UI"/>
          <w:bCs/>
          <w:color w:val="000000"/>
          <w:szCs w:val="20"/>
        </w:rPr>
        <w:t>(prostriedky z kapitoly VPS) na tran</w:t>
      </w:r>
      <w:r>
        <w:rPr>
          <w:rFonts w:cs="Segoe UI"/>
          <w:bCs/>
          <w:color w:val="000000"/>
          <w:szCs w:val="20"/>
        </w:rPr>
        <w:t>sfer pre Fond na podporu športu;</w:t>
      </w:r>
    </w:p>
    <w:p w14:paraId="3365C030" w14:textId="77777777" w:rsidR="0024075E" w:rsidRDefault="0024075E" w:rsidP="0024075E">
      <w:pPr>
        <w:pStyle w:val="Odsekzoznamu"/>
        <w:numPr>
          <w:ilvl w:val="0"/>
          <w:numId w:val="21"/>
        </w:numPr>
        <w:spacing w:after="0"/>
        <w:ind w:left="527" w:hanging="357"/>
        <w:rPr>
          <w:rFonts w:cs="Segoe UI"/>
          <w:bCs/>
          <w:color w:val="000000"/>
          <w:szCs w:val="20"/>
        </w:rPr>
      </w:pPr>
      <w:r w:rsidRPr="00FC5B33">
        <w:rPr>
          <w:rFonts w:cs="Segoe UI"/>
          <w:bCs/>
          <w:color w:val="000000"/>
          <w:szCs w:val="20"/>
        </w:rPr>
        <w:t xml:space="preserve">prekročenie </w:t>
      </w:r>
      <w:r>
        <w:t>limitu výdavkov</w:t>
      </w:r>
      <w:r w:rsidRPr="00FC5B33">
        <w:t xml:space="preserve"> </w:t>
      </w:r>
      <w:r w:rsidRPr="00FC5B33">
        <w:rPr>
          <w:rFonts w:cs="Segoe UI"/>
          <w:bCs/>
          <w:color w:val="000000"/>
          <w:szCs w:val="20"/>
        </w:rPr>
        <w:t>v kapitole MCRŠ SR o 20 mil. eur (prostriedky z kapitoly VPS) na projekt výstavby multifunkčnej športovej haly OLYMPIC A</w:t>
      </w:r>
      <w:r>
        <w:rPr>
          <w:rFonts w:cs="Segoe UI"/>
          <w:bCs/>
          <w:color w:val="000000"/>
          <w:szCs w:val="20"/>
        </w:rPr>
        <w:t>RENA na základe UZN č. 698/2024;</w:t>
      </w:r>
    </w:p>
    <w:p w14:paraId="618AC79A" w14:textId="77777777" w:rsidR="0024075E" w:rsidRDefault="0024075E" w:rsidP="0024075E">
      <w:pPr>
        <w:pStyle w:val="Odsekzoznamu"/>
        <w:numPr>
          <w:ilvl w:val="0"/>
          <w:numId w:val="21"/>
        </w:numPr>
        <w:spacing w:after="0"/>
        <w:ind w:left="527" w:hanging="357"/>
        <w:rPr>
          <w:rFonts w:cs="Segoe UI"/>
          <w:bCs/>
          <w:color w:val="000000"/>
          <w:szCs w:val="20"/>
        </w:rPr>
      </w:pPr>
      <w:r w:rsidRPr="00FC5B33">
        <w:rPr>
          <w:rFonts w:cs="Segoe UI"/>
          <w:bCs/>
          <w:color w:val="000000"/>
          <w:szCs w:val="20"/>
        </w:rPr>
        <w:t xml:space="preserve">prekročenie limitu výdavkov v kapitole MCRŠ SR o 15,2 mil. eur </w:t>
      </w:r>
      <w:r>
        <w:rPr>
          <w:rFonts w:cs="Segoe UI"/>
          <w:bCs/>
          <w:color w:val="000000"/>
          <w:szCs w:val="20"/>
        </w:rPr>
        <w:t xml:space="preserve">(prostriedky z kapitoly VPS) </w:t>
      </w:r>
      <w:r w:rsidRPr="00FC5B33">
        <w:rPr>
          <w:rFonts w:cs="Segoe UI"/>
          <w:bCs/>
          <w:color w:val="000000"/>
          <w:szCs w:val="20"/>
        </w:rPr>
        <w:t>na podporu športových podujatí a p</w:t>
      </w:r>
      <w:r>
        <w:rPr>
          <w:rFonts w:cs="Segoe UI"/>
          <w:bCs/>
          <w:color w:val="000000"/>
          <w:szCs w:val="20"/>
        </w:rPr>
        <w:t>ríspevok športovým organizáciám;</w:t>
      </w:r>
    </w:p>
    <w:p w14:paraId="24185ACE" w14:textId="77777777" w:rsidR="0024075E" w:rsidRPr="00FC5B33" w:rsidRDefault="0024075E" w:rsidP="0024075E">
      <w:pPr>
        <w:pStyle w:val="Odsekzoznamu"/>
        <w:numPr>
          <w:ilvl w:val="0"/>
          <w:numId w:val="21"/>
        </w:numPr>
        <w:ind w:left="527" w:hanging="357"/>
        <w:rPr>
          <w:rFonts w:cs="Segoe UI"/>
          <w:bCs/>
          <w:color w:val="000000"/>
          <w:szCs w:val="20"/>
        </w:rPr>
      </w:pPr>
      <w:r w:rsidRPr="00FC5B33">
        <w:t>prekročenie limitu výdavkov v kapitole MV SR o 14,7 mil. eur (prostriedky z kapitoly VPS) na vyplatenie dočasného stabilizačného príspevku pre príslušníkov Policajného zboru v súlade so zákonom č. 73/1998 Z. z.</w:t>
      </w:r>
    </w:p>
    <w:p w14:paraId="41F711F6" w14:textId="601BC2A7" w:rsidR="0024075E" w:rsidRPr="0024075E" w:rsidRDefault="0024075E" w:rsidP="0024075E">
      <w:pPr>
        <w:rPr>
          <w:rFonts w:cs="Segoe UI"/>
          <w:szCs w:val="20"/>
        </w:rPr>
      </w:pPr>
      <w:r w:rsidRPr="0024075E">
        <w:rPr>
          <w:rFonts w:cs="Segoe UI"/>
          <w:b/>
          <w:szCs w:val="20"/>
        </w:rPr>
        <w:t xml:space="preserve">Najvyššia čiastka v rámci RO za rok 2024 bola presunutá z VPS pre MH SR vo výške 800 mil. eur na </w:t>
      </w:r>
      <w:proofErr w:type="spellStart"/>
      <w:r w:rsidRPr="0024075E">
        <w:rPr>
          <w:rFonts w:cs="Segoe UI"/>
          <w:b/>
          <w:szCs w:val="20"/>
        </w:rPr>
        <w:t>energopomoc</w:t>
      </w:r>
      <w:proofErr w:type="spellEnd"/>
      <w:r w:rsidRPr="0024075E">
        <w:rPr>
          <w:rFonts w:cs="Segoe UI"/>
          <w:b/>
          <w:szCs w:val="20"/>
        </w:rPr>
        <w:t xml:space="preserve">. </w:t>
      </w:r>
      <w:r w:rsidRPr="0024075E">
        <w:rPr>
          <w:rFonts w:cs="Segoe UI"/>
          <w:szCs w:val="20"/>
        </w:rPr>
        <w:t xml:space="preserve">Prehľad všetkých RO týkajúcich sa </w:t>
      </w:r>
      <w:proofErr w:type="spellStart"/>
      <w:r w:rsidRPr="0024075E">
        <w:rPr>
          <w:rFonts w:cs="Segoe UI"/>
          <w:szCs w:val="20"/>
        </w:rPr>
        <w:t>energ</w:t>
      </w:r>
      <w:r w:rsidR="00BA5B20">
        <w:rPr>
          <w:rFonts w:cs="Segoe UI"/>
          <w:szCs w:val="20"/>
        </w:rPr>
        <w:t>o</w:t>
      </w:r>
      <w:r w:rsidRPr="0024075E">
        <w:rPr>
          <w:rFonts w:cs="Segoe UI"/>
          <w:szCs w:val="20"/>
        </w:rPr>
        <w:t>pomoci</w:t>
      </w:r>
      <w:proofErr w:type="spellEnd"/>
      <w:r w:rsidRPr="0024075E">
        <w:rPr>
          <w:rFonts w:cs="Segoe UI"/>
          <w:szCs w:val="20"/>
        </w:rPr>
        <w:t xml:space="preserve"> za roky 2022 až 2024 sa nachádza v tabuľke </w:t>
      </w:r>
      <w:r w:rsidR="00315037">
        <w:rPr>
          <w:rFonts w:cs="Segoe UI"/>
          <w:szCs w:val="20"/>
        </w:rPr>
        <w:t>6</w:t>
      </w:r>
      <w:r w:rsidRPr="0024075E">
        <w:rPr>
          <w:rFonts w:cs="Segoe UI"/>
          <w:szCs w:val="20"/>
        </w:rPr>
        <w:t xml:space="preserve"> v prílohe</w:t>
      </w:r>
      <w:r w:rsidRPr="00E91929">
        <w:rPr>
          <w:rFonts w:cs="Segoe UI"/>
          <w:szCs w:val="20"/>
        </w:rPr>
        <w:t>.</w:t>
      </w:r>
      <w:r w:rsidRPr="0024075E">
        <w:rPr>
          <w:rFonts w:cs="Segoe UI"/>
          <w:b/>
          <w:szCs w:val="20"/>
        </w:rPr>
        <w:t xml:space="preserve"> </w:t>
      </w:r>
      <w:r w:rsidRPr="0024075E">
        <w:rPr>
          <w:rFonts w:cs="Segoe UI"/>
          <w:szCs w:val="20"/>
        </w:rPr>
        <w:t xml:space="preserve">RO č. 9/2024 sa v rozpočte kapitoly MH SR povolilo prekročenie limitu výdavkov na programe </w:t>
      </w:r>
      <w:r w:rsidRPr="0024075E">
        <w:rPr>
          <w:rFonts w:cs="Segoe UI"/>
          <w:i/>
          <w:szCs w:val="20"/>
        </w:rPr>
        <w:t>Rozvoj priemyslu a podpora podnikania</w:t>
      </w:r>
      <w:r w:rsidRPr="0024075E">
        <w:rPr>
          <w:rFonts w:cs="Segoe UI"/>
          <w:szCs w:val="20"/>
        </w:rPr>
        <w:t xml:space="preserve">, prvok </w:t>
      </w:r>
      <w:r w:rsidRPr="0024075E">
        <w:rPr>
          <w:rFonts w:cs="Segoe UI"/>
          <w:i/>
          <w:szCs w:val="20"/>
        </w:rPr>
        <w:t>Podpora podnikateľov – dotácia na kompenzáciu zvýšených nákladov na energie</w:t>
      </w:r>
      <w:r w:rsidRPr="0024075E">
        <w:rPr>
          <w:rFonts w:cs="Segoe UI"/>
          <w:szCs w:val="20"/>
        </w:rPr>
        <w:t>. Rozpočtové prostriedky boli určené na poskytovanie dotácií na krytie dodatočných nákladov v dôsledku zvýšenia cien energií podľa zákona č. 71/2013 Z. z. o poskytovaní dotácií v pôsobnosti MH SR, zákona č. 251/2012 Z. z. o energetike a schválených nariadení vlády SR.</w:t>
      </w:r>
    </w:p>
    <w:p w14:paraId="77A2DDA4" w14:textId="74885227" w:rsidR="00861CC6" w:rsidRPr="00DB1458" w:rsidRDefault="00861CC6" w:rsidP="00861CC6">
      <w:pPr>
        <w:rPr>
          <w:rFonts w:cs="Segoe UI"/>
          <w:szCs w:val="20"/>
        </w:rPr>
      </w:pPr>
      <w:r w:rsidRPr="00DB1458">
        <w:rPr>
          <w:rFonts w:cs="Segoe UI"/>
          <w:b/>
          <w:szCs w:val="20"/>
        </w:rPr>
        <w:t xml:space="preserve">NKÚ SR </w:t>
      </w:r>
      <w:r>
        <w:rPr>
          <w:rFonts w:cs="Segoe UI"/>
          <w:b/>
          <w:szCs w:val="20"/>
        </w:rPr>
        <w:t>dlhodobo poukazuje</w:t>
      </w:r>
      <w:r w:rsidRPr="00DB1458">
        <w:rPr>
          <w:rFonts w:cs="Segoe UI"/>
          <w:b/>
          <w:szCs w:val="20"/>
        </w:rPr>
        <w:t xml:space="preserve"> na problém s čerpaním </w:t>
      </w:r>
      <w:r>
        <w:rPr>
          <w:rFonts w:cs="Segoe UI"/>
          <w:b/>
          <w:szCs w:val="20"/>
        </w:rPr>
        <w:t xml:space="preserve">európskych </w:t>
      </w:r>
      <w:r w:rsidR="001E1637">
        <w:rPr>
          <w:rFonts w:cs="Segoe UI"/>
          <w:b/>
          <w:szCs w:val="20"/>
        </w:rPr>
        <w:t>zdrojov</w:t>
      </w:r>
      <w:r>
        <w:rPr>
          <w:rFonts w:cs="Segoe UI"/>
          <w:b/>
          <w:szCs w:val="20"/>
        </w:rPr>
        <w:t xml:space="preserve"> </w:t>
      </w:r>
      <w:r w:rsidRPr="00DB1458">
        <w:rPr>
          <w:rFonts w:cs="Segoe UI"/>
          <w:b/>
          <w:szCs w:val="20"/>
        </w:rPr>
        <w:t xml:space="preserve">a na vysoké sumy presúvaných finančných prostriedkov. </w:t>
      </w:r>
      <w:r w:rsidRPr="00DB1458">
        <w:rPr>
          <w:rFonts w:cs="Segoe UI"/>
          <w:szCs w:val="20"/>
        </w:rPr>
        <w:t>Začiatkom roka 2024 sa v rámci kapitol opäť presúvali nevyčerpané prostriedky z fondov EÚ, celkovo bolo presunutých 5,1 mld. eur. Najväčší presun zaznamenal rezort pôdohospodárstva, ktorý sa na celkovej presúvanej čiastke podieľal tretinou (1,6 mld.</w:t>
      </w:r>
      <w:r>
        <w:rPr>
          <w:rFonts w:cs="Segoe UI"/>
          <w:szCs w:val="20"/>
        </w:rPr>
        <w:t xml:space="preserve"> eur). Nasledovalo MD SR</w:t>
      </w:r>
      <w:r w:rsidRPr="00DB1458">
        <w:rPr>
          <w:rFonts w:cs="Segoe UI"/>
          <w:szCs w:val="20"/>
        </w:rPr>
        <w:t xml:space="preserve"> (1 mld. eur), MIRRI SR (824 mil. eur) a MŽP SR (623 mil. eur). V prípade POO bolo začiatkom roka </w:t>
      </w:r>
      <w:r>
        <w:rPr>
          <w:rFonts w:cs="Segoe UI"/>
          <w:szCs w:val="20"/>
        </w:rPr>
        <w:t xml:space="preserve">2024 </w:t>
      </w:r>
      <w:r w:rsidRPr="00DB1458">
        <w:rPr>
          <w:rFonts w:cs="Segoe UI"/>
          <w:szCs w:val="20"/>
        </w:rPr>
        <w:t xml:space="preserve">presunutých z predchádzajúcich rokov </w:t>
      </w:r>
      <w:r w:rsidR="001E1637">
        <w:rPr>
          <w:rFonts w:cs="Segoe UI"/>
          <w:szCs w:val="20"/>
        </w:rPr>
        <w:t>spolu</w:t>
      </w:r>
      <w:r w:rsidRPr="00DB1458">
        <w:rPr>
          <w:rFonts w:cs="Segoe UI"/>
          <w:szCs w:val="20"/>
        </w:rPr>
        <w:t xml:space="preserve"> 3,5 mld. eur. </w:t>
      </w:r>
      <w:r>
        <w:rPr>
          <w:rFonts w:cs="Segoe UI"/>
          <w:szCs w:val="20"/>
        </w:rPr>
        <w:t>Viac ako polovica finančných prostriedkov smerovala do troch kapitol. Najväčšie objemy prostriedkov boli presunuté</w:t>
      </w:r>
      <w:r w:rsidRPr="00DB1458">
        <w:rPr>
          <w:rFonts w:cs="Segoe UI"/>
          <w:szCs w:val="20"/>
        </w:rPr>
        <w:t xml:space="preserve"> do kapitol MŠVVM SR – 779 mil. eur, MZ SR – 658 m</w:t>
      </w:r>
      <w:r>
        <w:rPr>
          <w:rFonts w:cs="Segoe UI"/>
          <w:szCs w:val="20"/>
        </w:rPr>
        <w:t xml:space="preserve">il. eur, MŽP SR – 635 mil. eur a </w:t>
      </w:r>
      <w:r w:rsidRPr="00DB1458">
        <w:rPr>
          <w:rFonts w:cs="Segoe UI"/>
          <w:szCs w:val="20"/>
        </w:rPr>
        <w:t xml:space="preserve">MD SR – 348 </w:t>
      </w:r>
      <w:r>
        <w:rPr>
          <w:rFonts w:cs="Segoe UI"/>
          <w:szCs w:val="20"/>
        </w:rPr>
        <w:t>mil. eur</w:t>
      </w:r>
      <w:r w:rsidRPr="00DB1458">
        <w:rPr>
          <w:rFonts w:cs="Segoe UI"/>
          <w:szCs w:val="20"/>
        </w:rPr>
        <w:t>.</w:t>
      </w:r>
    </w:p>
    <w:p w14:paraId="24C4A511" w14:textId="56525D66" w:rsidR="001F22A4" w:rsidRDefault="00131776" w:rsidP="005603E6">
      <w:pPr>
        <w:pStyle w:val="Nadpis3"/>
      </w:pPr>
      <w:bookmarkStart w:id="22" w:name="_Toc198637721"/>
      <w:r>
        <w:t>3.</w:t>
      </w:r>
      <w:r w:rsidR="003423C9">
        <w:t>2</w:t>
      </w:r>
      <w:r>
        <w:t xml:space="preserve">.2 </w:t>
      </w:r>
      <w:r w:rsidR="00E43045">
        <w:t xml:space="preserve"> </w:t>
      </w:r>
      <w:r w:rsidR="001F22A4">
        <w:t>Investície</w:t>
      </w:r>
      <w:bookmarkEnd w:id="22"/>
    </w:p>
    <w:p w14:paraId="6F433D9E" w14:textId="14B57031" w:rsidR="00861CC6" w:rsidRDefault="00861CC6" w:rsidP="00861CC6">
      <w:pPr>
        <w:rPr>
          <w:rFonts w:cs="Segoe UI"/>
          <w:szCs w:val="20"/>
        </w:rPr>
      </w:pPr>
      <w:r w:rsidRPr="00C42188">
        <w:rPr>
          <w:rFonts w:cs="Segoe UI"/>
          <w:b/>
          <w:szCs w:val="20"/>
        </w:rPr>
        <w:t xml:space="preserve">Rozpočet investícií na rok 2024 predstavoval sumu 3,13 mld. eur, ktorá sa </w:t>
      </w:r>
      <w:r w:rsidR="008849D6">
        <w:rPr>
          <w:rFonts w:cs="Segoe UI"/>
          <w:b/>
          <w:szCs w:val="20"/>
        </w:rPr>
        <w:t xml:space="preserve">cez RO </w:t>
      </w:r>
      <w:r w:rsidRPr="00C42188">
        <w:rPr>
          <w:rFonts w:cs="Segoe UI"/>
          <w:b/>
          <w:szCs w:val="20"/>
        </w:rPr>
        <w:t>zvýšila o</w:t>
      </w:r>
      <w:r w:rsidR="006272CE">
        <w:rPr>
          <w:rFonts w:cs="Segoe UI"/>
          <w:b/>
          <w:szCs w:val="20"/>
        </w:rPr>
        <w:t xml:space="preserve"> viac ako </w:t>
      </w:r>
      <w:r w:rsidRPr="00C42188">
        <w:rPr>
          <w:rFonts w:cs="Segoe UI"/>
          <w:b/>
          <w:szCs w:val="20"/>
        </w:rPr>
        <w:t>7</w:t>
      </w:r>
      <w:r w:rsidR="006272CE">
        <w:rPr>
          <w:rFonts w:cs="Segoe UI"/>
          <w:b/>
          <w:szCs w:val="20"/>
        </w:rPr>
        <w:t>00</w:t>
      </w:r>
      <w:r w:rsidRPr="00C42188">
        <w:rPr>
          <w:rFonts w:cs="Segoe UI"/>
          <w:b/>
          <w:szCs w:val="20"/>
        </w:rPr>
        <w:t> mil. eur na 3,9 mld. eur.</w:t>
      </w:r>
      <w:r>
        <w:rPr>
          <w:rFonts w:cs="Segoe UI"/>
          <w:b/>
          <w:szCs w:val="20"/>
        </w:rPr>
        <w:t xml:space="preserve"> </w:t>
      </w:r>
      <w:r w:rsidRPr="00481433">
        <w:rPr>
          <w:rFonts w:cs="Segoe UI"/>
          <w:szCs w:val="20"/>
        </w:rPr>
        <w:t>Za rok 2024 boli vyčerpané všetky alokované prostriedky.</w:t>
      </w:r>
      <w:r>
        <w:rPr>
          <w:rFonts w:cs="Segoe UI"/>
          <w:b/>
          <w:szCs w:val="20"/>
        </w:rPr>
        <w:t xml:space="preserve"> </w:t>
      </w:r>
      <w:r>
        <w:rPr>
          <w:rFonts w:cs="Segoe UI"/>
          <w:szCs w:val="20"/>
        </w:rPr>
        <w:t xml:space="preserve">Skutočné čerpanie </w:t>
      </w:r>
      <w:r w:rsidRPr="00C42188">
        <w:rPr>
          <w:rFonts w:cs="Segoe UI"/>
          <w:szCs w:val="20"/>
        </w:rPr>
        <w:t xml:space="preserve">bolo </w:t>
      </w:r>
      <w:r w:rsidR="008849D6">
        <w:rPr>
          <w:rFonts w:cs="Segoe UI"/>
          <w:szCs w:val="20"/>
        </w:rPr>
        <w:t xml:space="preserve">medziročne </w:t>
      </w:r>
      <w:r w:rsidRPr="00C42188">
        <w:rPr>
          <w:rFonts w:cs="Segoe UI"/>
          <w:szCs w:val="20"/>
        </w:rPr>
        <w:t xml:space="preserve">nižšie o 876 mil. eur. Najviac kapitálových výdavkov smerovalo </w:t>
      </w:r>
      <w:r w:rsidR="003F2338">
        <w:rPr>
          <w:rFonts w:cs="Segoe UI"/>
          <w:szCs w:val="20"/>
        </w:rPr>
        <w:t>na</w:t>
      </w:r>
      <w:r w:rsidRPr="00C42188">
        <w:rPr>
          <w:rFonts w:cs="Segoe UI"/>
          <w:szCs w:val="20"/>
        </w:rPr>
        <w:t xml:space="preserve"> MD SR – 1,1 mld. eur, MO SR – 813 mil. eur a MZ SR – 382 mil. eur. Do týchto tr</w:t>
      </w:r>
      <w:r>
        <w:rPr>
          <w:rFonts w:cs="Segoe UI"/>
          <w:szCs w:val="20"/>
        </w:rPr>
        <w:t xml:space="preserve">och kapitol </w:t>
      </w:r>
      <w:r w:rsidR="008849D6">
        <w:rPr>
          <w:rFonts w:cs="Segoe UI"/>
          <w:szCs w:val="20"/>
        </w:rPr>
        <w:t xml:space="preserve">spolu </w:t>
      </w:r>
      <w:r>
        <w:rPr>
          <w:rFonts w:cs="Segoe UI"/>
          <w:szCs w:val="20"/>
        </w:rPr>
        <w:t>bolo alokovaných</w:t>
      </w:r>
      <w:r w:rsidRPr="00C42188">
        <w:rPr>
          <w:rFonts w:cs="Segoe UI"/>
          <w:szCs w:val="20"/>
        </w:rPr>
        <w:t xml:space="preserve"> viac ako 60 % finančných prostriedkov. Z celkových kapitálových výdavkov tvorili kapitálové </w:t>
      </w:r>
      <w:r w:rsidR="008849D6" w:rsidRPr="00C42188">
        <w:rPr>
          <w:rFonts w:cs="Segoe UI"/>
          <w:szCs w:val="20"/>
        </w:rPr>
        <w:t>transfery</w:t>
      </w:r>
      <w:r w:rsidRPr="00C42188">
        <w:rPr>
          <w:rFonts w:cs="Segoe UI"/>
          <w:szCs w:val="20"/>
        </w:rPr>
        <w:t xml:space="preserve"> 2,4 mld. eur a suma kapitálových aktív bola na úrovni 1,44 mld. eur.  </w:t>
      </w:r>
    </w:p>
    <w:p w14:paraId="5C13C789" w14:textId="1F162DA1" w:rsidR="00861CC6" w:rsidRDefault="00861CC6" w:rsidP="00861CC6">
      <w:pPr>
        <w:rPr>
          <w:rFonts w:cs="Segoe UI"/>
          <w:szCs w:val="20"/>
        </w:rPr>
      </w:pPr>
      <w:r w:rsidRPr="00C42188">
        <w:rPr>
          <w:rFonts w:cs="Segoe UI"/>
          <w:b/>
          <w:szCs w:val="20"/>
        </w:rPr>
        <w:t xml:space="preserve">Najväčší podiel investícií v rámci ŠR v roku 2024 tvorila kapitola MD SR v </w:t>
      </w:r>
      <w:r w:rsidR="008849D6">
        <w:rPr>
          <w:rFonts w:cs="Segoe UI"/>
          <w:b/>
          <w:szCs w:val="20"/>
        </w:rPr>
        <w:t>sume</w:t>
      </w:r>
      <w:r w:rsidRPr="00C42188">
        <w:rPr>
          <w:rFonts w:cs="Segoe UI"/>
          <w:b/>
          <w:szCs w:val="20"/>
        </w:rPr>
        <w:t xml:space="preserve"> 1,1 mld. eur</w:t>
      </w:r>
      <w:r>
        <w:rPr>
          <w:rFonts w:cs="Segoe UI"/>
          <w:b/>
          <w:szCs w:val="20"/>
        </w:rPr>
        <w:t>,</w:t>
      </w:r>
      <w:r w:rsidRPr="00C42188">
        <w:rPr>
          <w:rFonts w:cs="Segoe UI"/>
          <w:b/>
          <w:szCs w:val="20"/>
        </w:rPr>
        <w:t xml:space="preserve"> medziročne o 332 mil. eur menej. </w:t>
      </w:r>
      <w:r w:rsidRPr="00C42188">
        <w:rPr>
          <w:rFonts w:cs="Segoe UI"/>
          <w:szCs w:val="20"/>
        </w:rPr>
        <w:t xml:space="preserve">Najväčší kapitálový </w:t>
      </w:r>
      <w:r w:rsidR="008849D6" w:rsidRPr="00C42188">
        <w:rPr>
          <w:rFonts w:cs="Segoe UI"/>
          <w:szCs w:val="20"/>
        </w:rPr>
        <w:t>transfer</w:t>
      </w:r>
      <w:r w:rsidRPr="00C42188">
        <w:rPr>
          <w:rFonts w:cs="Segoe UI"/>
          <w:szCs w:val="20"/>
        </w:rPr>
        <w:t xml:space="preserve"> bol určený pre N</w:t>
      </w:r>
      <w:r w:rsidR="008849D6">
        <w:rPr>
          <w:rFonts w:cs="Segoe UI"/>
          <w:szCs w:val="20"/>
        </w:rPr>
        <w:t>DS</w:t>
      </w:r>
      <w:r w:rsidRPr="00C42188">
        <w:rPr>
          <w:rFonts w:cs="Segoe UI"/>
          <w:szCs w:val="20"/>
        </w:rPr>
        <w:t>, a. s.</w:t>
      </w:r>
      <w:r w:rsidR="00E67EAD">
        <w:rPr>
          <w:rFonts w:cs="Segoe UI"/>
          <w:szCs w:val="20"/>
        </w:rPr>
        <w:t>,</w:t>
      </w:r>
      <w:r w:rsidRPr="00C42188">
        <w:rPr>
          <w:rFonts w:cs="Segoe UI"/>
          <w:szCs w:val="20"/>
        </w:rPr>
        <w:t xml:space="preserve"> v</w:t>
      </w:r>
      <w:r w:rsidR="008849D6">
        <w:rPr>
          <w:rFonts w:cs="Segoe UI"/>
          <w:szCs w:val="20"/>
        </w:rPr>
        <w:t>o</w:t>
      </w:r>
      <w:r w:rsidRPr="00C42188">
        <w:rPr>
          <w:rFonts w:cs="Segoe UI"/>
          <w:szCs w:val="20"/>
        </w:rPr>
        <w:t xml:space="preserve"> výške 463 mil. eur</w:t>
      </w:r>
      <w:r w:rsidR="008849D6">
        <w:rPr>
          <w:rFonts w:cs="Segoe UI"/>
          <w:szCs w:val="20"/>
        </w:rPr>
        <w:t>,</w:t>
      </w:r>
      <w:r w:rsidRPr="00C42188">
        <w:rPr>
          <w:rFonts w:cs="Segoe UI"/>
          <w:szCs w:val="20"/>
        </w:rPr>
        <w:t xml:space="preserve"> pričom 73 % bolo financovaných zo </w:t>
      </w:r>
      <w:r w:rsidR="008849D6">
        <w:rPr>
          <w:rFonts w:cs="Segoe UI"/>
          <w:szCs w:val="20"/>
        </w:rPr>
        <w:t>ŠR</w:t>
      </w:r>
      <w:r w:rsidRPr="00C42188">
        <w:rPr>
          <w:rFonts w:cs="Segoe UI"/>
          <w:szCs w:val="20"/>
        </w:rPr>
        <w:t xml:space="preserve">. </w:t>
      </w:r>
      <w:r w:rsidR="008849D6" w:rsidRPr="00C42188">
        <w:rPr>
          <w:rFonts w:cs="Segoe UI"/>
          <w:szCs w:val="20"/>
        </w:rPr>
        <w:t>Transfer</w:t>
      </w:r>
      <w:r w:rsidRPr="00C42188">
        <w:rPr>
          <w:rFonts w:cs="Segoe UI"/>
          <w:szCs w:val="20"/>
        </w:rPr>
        <w:t xml:space="preserve"> pre NDS, a. s.</w:t>
      </w:r>
      <w:r w:rsidR="00E67EAD">
        <w:rPr>
          <w:rFonts w:cs="Segoe UI"/>
          <w:szCs w:val="20"/>
        </w:rPr>
        <w:t>,</w:t>
      </w:r>
      <w:r w:rsidRPr="00C42188">
        <w:rPr>
          <w:rFonts w:cs="Segoe UI"/>
          <w:szCs w:val="20"/>
        </w:rPr>
        <w:t xml:space="preserve"> v rozpo</w:t>
      </w:r>
      <w:r>
        <w:rPr>
          <w:rFonts w:cs="Segoe UI"/>
          <w:szCs w:val="20"/>
        </w:rPr>
        <w:t xml:space="preserve">čte na rok 2023 nebol zahrnutý </w:t>
      </w:r>
      <w:r w:rsidRPr="00C42188">
        <w:rPr>
          <w:rFonts w:cs="Segoe UI"/>
          <w:szCs w:val="20"/>
        </w:rPr>
        <w:t xml:space="preserve">a v roku 2024 bol rozpočtovaný v sume 9,9 mil. eur. Prostriedky smerovali na financovanie </w:t>
      </w:r>
      <w:r w:rsidRPr="00C42188">
        <w:rPr>
          <w:rFonts w:cs="Segoe UI"/>
          <w:szCs w:val="20"/>
        </w:rPr>
        <w:lastRenderedPageBreak/>
        <w:t>najväčších dopravných investičných projektov. Konkrétne na prípravy a pokračujúce výstavby diaľnic a rýchlostných ciest na projekty R2 Kriváň – Lovinobaňa (63 851 tis. eur), R4 Prešov – severný obchvat</w:t>
      </w:r>
      <w:r>
        <w:rPr>
          <w:rFonts w:cs="Segoe UI"/>
          <w:szCs w:val="20"/>
        </w:rPr>
        <w:t xml:space="preserve"> II. etapa (47 844 tis. eur),</w:t>
      </w:r>
      <w:r w:rsidRPr="00C42188">
        <w:rPr>
          <w:rFonts w:cs="Segoe UI"/>
          <w:szCs w:val="20"/>
        </w:rPr>
        <w:t xml:space="preserve"> D1 Lietavská Lúčka – </w:t>
      </w:r>
      <w:proofErr w:type="spellStart"/>
      <w:r w:rsidRPr="00C42188">
        <w:rPr>
          <w:rFonts w:cs="Segoe UI"/>
          <w:szCs w:val="20"/>
        </w:rPr>
        <w:t>Dubná</w:t>
      </w:r>
      <w:proofErr w:type="spellEnd"/>
      <w:r w:rsidRPr="00C42188">
        <w:rPr>
          <w:rFonts w:cs="Segoe UI"/>
          <w:szCs w:val="20"/>
        </w:rPr>
        <w:t xml:space="preserve"> Skala s tunelom Višňové (52 696 tis. eur) a D1 Hubová - Ivachnová II. fáza  (39 342 tis. eur). V rámci rezortu dopravy S</w:t>
      </w:r>
      <w:r w:rsidR="008849D6">
        <w:rPr>
          <w:rFonts w:cs="Segoe UI"/>
          <w:szCs w:val="20"/>
        </w:rPr>
        <w:t>SC</w:t>
      </w:r>
      <w:r w:rsidRPr="00C42188">
        <w:rPr>
          <w:rFonts w:cs="Segoe UI"/>
          <w:szCs w:val="20"/>
        </w:rPr>
        <w:t xml:space="preserve"> čerpala 19,9 mil. eur na realizáciu nových stavieb</w:t>
      </w:r>
      <w:r>
        <w:rPr>
          <w:rFonts w:cs="Segoe UI"/>
          <w:szCs w:val="20"/>
        </w:rPr>
        <w:t>,</w:t>
      </w:r>
      <w:r w:rsidRPr="00C42188">
        <w:rPr>
          <w:rFonts w:cs="Segoe UI"/>
          <w:szCs w:val="20"/>
        </w:rPr>
        <w:t xml:space="preserve"> 115 mil. eur na rekonštrukciu a modernizáciu stavieb a na opravu a modernizáciu mostných objektov na cestách I. triedy 16 mil. eur</w:t>
      </w:r>
      <w:r>
        <w:rPr>
          <w:rFonts w:cs="Segoe UI"/>
          <w:szCs w:val="20"/>
        </w:rPr>
        <w:t>.</w:t>
      </w:r>
    </w:p>
    <w:p w14:paraId="2C9D0A53" w14:textId="393AE56D" w:rsidR="006272CE" w:rsidRPr="007D3345" w:rsidRDefault="006272CE" w:rsidP="006272CE">
      <w:pPr>
        <w:rPr>
          <w:rFonts w:cs="Segoe UI"/>
          <w:szCs w:val="20"/>
        </w:rPr>
      </w:pPr>
      <w:r w:rsidRPr="009A5B39">
        <w:rPr>
          <w:rFonts w:cs="Segoe UI"/>
          <w:b/>
          <w:szCs w:val="20"/>
        </w:rPr>
        <w:t xml:space="preserve">MO SR </w:t>
      </w:r>
      <w:r>
        <w:rPr>
          <w:rFonts w:cs="Segoe UI"/>
          <w:b/>
          <w:szCs w:val="20"/>
        </w:rPr>
        <w:t>získalo</w:t>
      </w:r>
      <w:r w:rsidRPr="009A5B39">
        <w:rPr>
          <w:rFonts w:cs="Segoe UI"/>
          <w:b/>
          <w:szCs w:val="20"/>
        </w:rPr>
        <w:t xml:space="preserve"> druhý najväčší podiel investícií v rámci kapitol ŠR, a to v celkovej výške 813 mil. eur.</w:t>
      </w:r>
      <w:r w:rsidRPr="009A5B39">
        <w:rPr>
          <w:rFonts w:cs="Segoe UI"/>
          <w:szCs w:val="20"/>
        </w:rPr>
        <w:t xml:space="preserve"> Oproti schválnemu rozpočtu </w:t>
      </w:r>
      <w:r>
        <w:rPr>
          <w:rFonts w:cs="Segoe UI"/>
          <w:szCs w:val="20"/>
        </w:rPr>
        <w:t>bolo</w:t>
      </w:r>
      <w:r w:rsidRPr="009A5B39">
        <w:rPr>
          <w:rFonts w:cs="Segoe UI"/>
          <w:szCs w:val="20"/>
        </w:rPr>
        <w:t xml:space="preserve"> skutočné čerpanie nižšie o 107 mil. eur. MO SR malo najväčší podiel pri nákupe strojov, prístrojov, zariadení a techniky. Kapitola vynaložila 422 mil. eur na špeciálne stroje, prístroje a zariadenia. Konkrétne išlo najmä o poskytnutie ďalších preddavkových platieb na obstaranie vojenskej techniky, napr. systémov protivzdušnej obrany, komunikačných zariadení a iných vojenských zariadení. </w:t>
      </w:r>
      <w:r>
        <w:rPr>
          <w:rFonts w:cs="Segoe UI"/>
          <w:szCs w:val="20"/>
        </w:rPr>
        <w:t>Viac</w:t>
      </w:r>
      <w:r w:rsidRPr="009A5B39">
        <w:rPr>
          <w:rFonts w:cs="Segoe UI"/>
          <w:szCs w:val="20"/>
        </w:rPr>
        <w:t xml:space="preserve"> v kapitole 5.4.</w:t>
      </w:r>
    </w:p>
    <w:p w14:paraId="7DDABD64" w14:textId="3237C58C" w:rsidR="00861CC6" w:rsidRPr="00FC605A" w:rsidRDefault="00861CC6" w:rsidP="00861CC6">
      <w:pPr>
        <w:rPr>
          <w:rStyle w:val="fadeinm1hgl8"/>
          <w:rFonts w:cs="Segoe UI"/>
          <w:szCs w:val="20"/>
        </w:rPr>
      </w:pPr>
      <w:r>
        <w:rPr>
          <w:rFonts w:cs="Segoe UI"/>
          <w:b/>
          <w:bCs/>
          <w:szCs w:val="20"/>
        </w:rPr>
        <w:t xml:space="preserve">Za pozornosť stojí </w:t>
      </w:r>
      <w:r w:rsidRPr="00FC605A">
        <w:rPr>
          <w:rFonts w:cs="Segoe UI"/>
          <w:b/>
          <w:bCs/>
          <w:szCs w:val="20"/>
        </w:rPr>
        <w:t xml:space="preserve">spôsob alokácie finančných prostriedkov na výstavbu multifunkčnej športovej haly OLYMPIC ARENA v Šamoríne. </w:t>
      </w:r>
      <w:r w:rsidRPr="00FC605A">
        <w:rPr>
          <w:rStyle w:val="fadeinm1hgl8"/>
          <w:rFonts w:cs="Segoe UI"/>
          <w:szCs w:val="20"/>
        </w:rPr>
        <w:t xml:space="preserve">Na základe uznesenia vlády SR č. 698 z 13. novembra 2024 bolo MCRŠ SR z kapitoly VPS presunutých 20 mil. eur. Tieto prostriedky boli následne v decembri 2024 poskytnuté spoločnosti </w:t>
      </w:r>
      <w:proofErr w:type="spellStart"/>
      <w:r w:rsidRPr="00FC605A">
        <w:rPr>
          <w:rStyle w:val="fadeinm1hgl8"/>
          <w:rFonts w:cs="Segoe UI"/>
          <w:szCs w:val="20"/>
        </w:rPr>
        <w:t>Olympic</w:t>
      </w:r>
      <w:proofErr w:type="spellEnd"/>
      <w:r w:rsidRPr="00FC605A">
        <w:rPr>
          <w:rStyle w:val="fadeinm1hgl8"/>
          <w:rFonts w:cs="Segoe UI"/>
          <w:szCs w:val="20"/>
        </w:rPr>
        <w:t xml:space="preserve"> </w:t>
      </w:r>
      <w:proofErr w:type="spellStart"/>
      <w:r w:rsidRPr="00FC605A">
        <w:rPr>
          <w:rStyle w:val="fadeinm1hgl8"/>
          <w:rFonts w:cs="Segoe UI"/>
          <w:szCs w:val="20"/>
        </w:rPr>
        <w:t>arena</w:t>
      </w:r>
      <w:proofErr w:type="spellEnd"/>
      <w:r w:rsidRPr="00FC605A">
        <w:rPr>
          <w:rStyle w:val="fadeinm1hgl8"/>
          <w:rFonts w:cs="Segoe UI"/>
          <w:szCs w:val="20"/>
        </w:rPr>
        <w:t xml:space="preserve">, s. r. o., ktorá bola zapísaná do </w:t>
      </w:r>
      <w:r w:rsidR="008849D6">
        <w:rPr>
          <w:rStyle w:val="fadeinm1hgl8"/>
          <w:rFonts w:cs="Segoe UI"/>
          <w:szCs w:val="20"/>
        </w:rPr>
        <w:t>O</w:t>
      </w:r>
      <w:r w:rsidRPr="00FC605A">
        <w:rPr>
          <w:rStyle w:val="fadeinm1hgl8"/>
          <w:rFonts w:cs="Segoe UI"/>
          <w:szCs w:val="20"/>
        </w:rPr>
        <w:t>bchodného registra 31. augusta 2024, teda približne dva a pol mesiaca pred schválením vládneho uznesenia. Zápis do R</w:t>
      </w:r>
      <w:r w:rsidR="00E712A4">
        <w:rPr>
          <w:rStyle w:val="fadeinm1hgl8"/>
          <w:rFonts w:cs="Segoe UI"/>
          <w:szCs w:val="20"/>
        </w:rPr>
        <w:t>egistra partnerov verejného sektora</w:t>
      </w:r>
      <w:r w:rsidRPr="00FC605A">
        <w:rPr>
          <w:rStyle w:val="fadeinm1hgl8"/>
          <w:rFonts w:cs="Segoe UI"/>
          <w:szCs w:val="20"/>
        </w:rPr>
        <w:t xml:space="preserve"> sa uskutočnil 21. decembra 2024, a to v rovnaký deň, ako boli spoločnosti pripísané finančné prostriedky. Hoci zákon č. 315/2016 Z. z. o</w:t>
      </w:r>
      <w:r w:rsidR="003031ED">
        <w:rPr>
          <w:rStyle w:val="fadeinm1hgl8"/>
          <w:rFonts w:cs="Segoe UI"/>
          <w:szCs w:val="20"/>
        </w:rPr>
        <w:t> registri partnerov verejného sektora</w:t>
      </w:r>
      <w:r w:rsidRPr="00FC605A">
        <w:rPr>
          <w:rStyle w:val="fadeinm1hgl8"/>
          <w:rFonts w:cs="Segoe UI"/>
          <w:szCs w:val="20"/>
        </w:rPr>
        <w:t xml:space="preserve"> formálne porušený nebol, takéto načasovanie vyvoláva pochybnosti o dodržaní zásad transparentnosti a dobrej správy vecí verejných.</w:t>
      </w:r>
    </w:p>
    <w:p w14:paraId="69F5E704" w14:textId="0E3140A9" w:rsidR="00861CC6" w:rsidRDefault="00861CC6" w:rsidP="00861CC6">
      <w:pPr>
        <w:rPr>
          <w:rStyle w:val="fadeinm1hgl8"/>
          <w:rFonts w:cs="Segoe UI"/>
          <w:szCs w:val="20"/>
        </w:rPr>
      </w:pPr>
      <w:r w:rsidRPr="00FC605A">
        <w:rPr>
          <w:rStyle w:val="fadeinm1hgl8"/>
          <w:rFonts w:cs="Segoe UI"/>
          <w:b/>
          <w:bCs/>
          <w:szCs w:val="20"/>
        </w:rPr>
        <w:t xml:space="preserve">NKÚ SR zároveň upozorňuje, že rozhodnutie o podpore výstavby </w:t>
      </w:r>
      <w:r w:rsidR="008849D6">
        <w:rPr>
          <w:rStyle w:val="fadeinm1hgl8"/>
          <w:rFonts w:cs="Segoe UI"/>
          <w:b/>
          <w:bCs/>
          <w:szCs w:val="20"/>
        </w:rPr>
        <w:t xml:space="preserve">tejto športovej haly </w:t>
      </w:r>
      <w:r w:rsidRPr="00FC605A">
        <w:rPr>
          <w:rStyle w:val="fadeinm1hgl8"/>
          <w:rFonts w:cs="Segoe UI"/>
          <w:b/>
          <w:bCs/>
          <w:szCs w:val="20"/>
        </w:rPr>
        <w:t>nebolo opreté o konkrétnu odbornú analýzu či sektorové plánovanie.</w:t>
      </w:r>
      <w:r w:rsidRPr="00FC605A">
        <w:rPr>
          <w:rStyle w:val="fadeinm1hgl8"/>
          <w:rFonts w:cs="Segoe UI"/>
          <w:szCs w:val="20"/>
        </w:rPr>
        <w:t xml:space="preserve"> Uznesenie vlády odkazuje na dokument „Stratégia športu 2030“, ktorý však neobsahuje záver výstavby športovej haly v Šamoríne. Absencia jasného analytického podkladu či porovnania alternatívnych investičných projektov vzbudzuje otázky o odôvodnenosti a hospodárnosti tohto rozhodnutia.</w:t>
      </w:r>
    </w:p>
    <w:p w14:paraId="378C7C30" w14:textId="553A4841" w:rsidR="00AE4675" w:rsidRDefault="00AE4675" w:rsidP="00AE4675">
      <w:pPr>
        <w:pStyle w:val="Nadpis3"/>
        <w:rPr>
          <w:rStyle w:val="fadeinm1hgl8"/>
          <w:rFonts w:cs="Segoe UI"/>
          <w:szCs w:val="20"/>
        </w:rPr>
      </w:pPr>
      <w:bookmarkStart w:id="23" w:name="_Toc198637722"/>
      <w:r>
        <w:rPr>
          <w:rStyle w:val="fadeinm1hgl8"/>
          <w:rFonts w:cs="Segoe UI"/>
          <w:szCs w:val="20"/>
        </w:rPr>
        <w:t xml:space="preserve">3.2.3 </w:t>
      </w:r>
      <w:r w:rsidR="00E67EAD">
        <w:rPr>
          <w:rStyle w:val="fadeinm1hgl8"/>
          <w:rFonts w:cs="Segoe UI"/>
          <w:szCs w:val="20"/>
        </w:rPr>
        <w:t xml:space="preserve"> </w:t>
      </w:r>
      <w:r>
        <w:rPr>
          <w:rStyle w:val="fadeinm1hgl8"/>
          <w:rFonts w:cs="Segoe UI"/>
          <w:szCs w:val="20"/>
        </w:rPr>
        <w:t>Výdavky na informatizáciu</w:t>
      </w:r>
      <w:bookmarkEnd w:id="23"/>
    </w:p>
    <w:p w14:paraId="12207572" w14:textId="362CAC8B" w:rsidR="00AE4675" w:rsidRDefault="00AE4675" w:rsidP="00AE4675">
      <w:pPr>
        <w:rPr>
          <w:rFonts w:eastAsia="Calibri" w:cs="Times New Roman"/>
        </w:rPr>
      </w:pPr>
      <w:r w:rsidRPr="00AF26BF">
        <w:rPr>
          <w:rFonts w:eastAsia="Calibri" w:cs="Times New Roman"/>
          <w:b/>
        </w:rPr>
        <w:t>Výdavky medzirezortného programu na IT</w:t>
      </w:r>
      <w:r w:rsidRPr="009F3DD9">
        <w:rPr>
          <w:rStyle w:val="Odkaznapoznmkupodiarou"/>
        </w:rPr>
        <w:footnoteReference w:id="5"/>
      </w:r>
      <w:r w:rsidRPr="009F3DD9">
        <w:rPr>
          <w:rFonts w:eastAsia="Calibri" w:cs="Times New Roman"/>
        </w:rPr>
        <w:t xml:space="preserve"> (program 0EK)</w:t>
      </w:r>
      <w:r w:rsidRPr="00AF26BF">
        <w:rPr>
          <w:rFonts w:eastAsia="Calibri" w:cs="Times New Roman"/>
          <w:b/>
        </w:rPr>
        <w:t xml:space="preserve"> medziročne rastú </w:t>
      </w:r>
      <w:r w:rsidRPr="00AF26BF">
        <w:rPr>
          <w:rFonts w:eastAsia="Calibri" w:cs="Times New Roman"/>
        </w:rPr>
        <w:t>(graf 12)</w:t>
      </w:r>
      <w:r w:rsidRPr="00AF26BF">
        <w:rPr>
          <w:rFonts w:eastAsia="Calibri" w:cs="Times New Roman"/>
          <w:b/>
        </w:rPr>
        <w:t xml:space="preserve">, pričom skutočné čerpanie je každý rok vyššie než </w:t>
      </w:r>
      <w:r w:rsidR="00693045">
        <w:rPr>
          <w:rFonts w:eastAsia="Calibri" w:cs="Times New Roman"/>
          <w:b/>
        </w:rPr>
        <w:t>rozpočtované</w:t>
      </w:r>
      <w:r w:rsidRPr="00AF26BF">
        <w:rPr>
          <w:rFonts w:eastAsia="Calibri" w:cs="Times New Roman"/>
          <w:b/>
        </w:rPr>
        <w:t xml:space="preserve"> výdavk</w:t>
      </w:r>
      <w:r w:rsidR="00693045">
        <w:rPr>
          <w:rFonts w:eastAsia="Calibri" w:cs="Times New Roman"/>
          <w:b/>
        </w:rPr>
        <w:t>y.</w:t>
      </w:r>
      <w:r w:rsidRPr="00AF26BF">
        <w:rPr>
          <w:rFonts w:eastAsia="Calibri" w:cs="Times New Roman"/>
          <w:b/>
        </w:rPr>
        <w:t xml:space="preserve"> </w:t>
      </w:r>
      <w:r w:rsidR="00693045" w:rsidRPr="00693045">
        <w:rPr>
          <w:rFonts w:eastAsia="Calibri" w:cs="Times New Roman"/>
        </w:rPr>
        <w:t>V</w:t>
      </w:r>
      <w:r w:rsidRPr="004A76E4">
        <w:rPr>
          <w:rFonts w:eastAsia="Calibri" w:cs="Times New Roman"/>
        </w:rPr>
        <w:t xml:space="preserve"> roku 2024 bol schválený </w:t>
      </w:r>
      <w:r w:rsidR="00693045">
        <w:rPr>
          <w:rFonts w:eastAsia="Calibri" w:cs="Times New Roman"/>
        </w:rPr>
        <w:t>rozpočet</w:t>
      </w:r>
      <w:r w:rsidRPr="004A76E4">
        <w:rPr>
          <w:rFonts w:eastAsia="Calibri" w:cs="Times New Roman"/>
        </w:rPr>
        <w:t xml:space="preserve"> vo výške 587 mil. eur, čerpa</w:t>
      </w:r>
      <w:r w:rsidR="00693045">
        <w:rPr>
          <w:rFonts w:eastAsia="Calibri" w:cs="Times New Roman"/>
        </w:rPr>
        <w:t>lo</w:t>
      </w:r>
      <w:r w:rsidRPr="004A76E4">
        <w:rPr>
          <w:rFonts w:eastAsia="Calibri" w:cs="Times New Roman"/>
        </w:rPr>
        <w:t xml:space="preserve"> </w:t>
      </w:r>
      <w:r w:rsidR="00693045">
        <w:rPr>
          <w:rFonts w:eastAsia="Calibri" w:cs="Times New Roman"/>
        </w:rPr>
        <w:t xml:space="preserve">sa </w:t>
      </w:r>
      <w:r w:rsidRPr="004A76E4">
        <w:rPr>
          <w:rFonts w:eastAsia="Calibri" w:cs="Times New Roman"/>
        </w:rPr>
        <w:t xml:space="preserve">však 622 mil. eur. Ide však o najnižšie prečerpanie oproti </w:t>
      </w:r>
      <w:r w:rsidR="008E622B">
        <w:rPr>
          <w:rFonts w:eastAsia="Calibri" w:cs="Times New Roman"/>
        </w:rPr>
        <w:t>s</w:t>
      </w:r>
      <w:r w:rsidRPr="004A76E4">
        <w:rPr>
          <w:rFonts w:eastAsia="Calibri" w:cs="Times New Roman"/>
        </w:rPr>
        <w:t>chválenému rozp</w:t>
      </w:r>
      <w:r w:rsidR="008E622B">
        <w:rPr>
          <w:rFonts w:eastAsia="Calibri" w:cs="Times New Roman"/>
        </w:rPr>
        <w:t>očtu</w:t>
      </w:r>
      <w:r w:rsidRPr="004A76E4">
        <w:rPr>
          <w:rFonts w:eastAsia="Calibri" w:cs="Times New Roman"/>
        </w:rPr>
        <w:t xml:space="preserve"> za posledné roky. </w:t>
      </w:r>
      <w:r>
        <w:rPr>
          <w:rFonts w:eastAsia="Calibri" w:cs="Times New Roman"/>
        </w:rPr>
        <w:t>Z</w:t>
      </w:r>
      <w:r w:rsidRPr="00385B00">
        <w:rPr>
          <w:rFonts w:eastAsia="Calibri" w:cs="Times New Roman"/>
        </w:rPr>
        <w:t xml:space="preserve"> vyčerpaného objemu </w:t>
      </w:r>
      <w:r w:rsidR="00693045">
        <w:rPr>
          <w:rFonts w:eastAsia="Calibri" w:cs="Times New Roman"/>
        </w:rPr>
        <w:t>ŠR</w:t>
      </w:r>
      <w:r w:rsidRPr="00385B00">
        <w:rPr>
          <w:rFonts w:eastAsia="Calibri" w:cs="Times New Roman"/>
        </w:rPr>
        <w:t xml:space="preserve"> </w:t>
      </w:r>
      <w:r>
        <w:rPr>
          <w:rFonts w:eastAsia="Calibri" w:cs="Times New Roman"/>
        </w:rPr>
        <w:t>v tomto programe v roku 2024</w:t>
      </w:r>
      <w:r w:rsidRPr="00385B00">
        <w:rPr>
          <w:rFonts w:eastAsia="Calibri" w:cs="Times New Roman"/>
        </w:rPr>
        <w:t xml:space="preserve"> tvorili bežné výdavky 437 mil. eur (</w:t>
      </w:r>
      <w:r>
        <w:rPr>
          <w:rFonts w:eastAsia="Calibri" w:cs="Times New Roman"/>
        </w:rPr>
        <w:t>70,3 %</w:t>
      </w:r>
      <w:r w:rsidRPr="00385B00">
        <w:rPr>
          <w:rFonts w:eastAsia="Calibri" w:cs="Times New Roman"/>
        </w:rPr>
        <w:t>)</w:t>
      </w:r>
      <w:r w:rsidR="009F3DD9">
        <w:rPr>
          <w:rFonts w:eastAsia="Calibri" w:cs="Times New Roman"/>
        </w:rPr>
        <w:t xml:space="preserve"> a</w:t>
      </w:r>
      <w:r w:rsidRPr="00385B00">
        <w:rPr>
          <w:rFonts w:eastAsia="Calibri" w:cs="Times New Roman"/>
        </w:rPr>
        <w:t xml:space="preserve"> kapitálové výdavky</w:t>
      </w:r>
      <w:r>
        <w:rPr>
          <w:rFonts w:eastAsia="Calibri" w:cs="Times New Roman"/>
        </w:rPr>
        <w:t xml:space="preserve"> 184 mil. eur.</w:t>
      </w:r>
    </w:p>
    <w:p w14:paraId="35A5DFE7" w14:textId="77777777" w:rsidR="00665F54" w:rsidRDefault="00665F54" w:rsidP="00665F54">
      <w:pPr>
        <w:rPr>
          <w:rFonts w:eastAsia="Calibri" w:cs="Times New Roman"/>
        </w:rPr>
      </w:pPr>
      <w:r w:rsidRPr="00693045">
        <w:rPr>
          <w:rFonts w:eastAsia="Calibri" w:cs="Times New Roman"/>
          <w:b/>
        </w:rPr>
        <w:t xml:space="preserve">Najväčšie výdavky na IT spomedzi kapitol ŠR vynakladajú MV SR </w:t>
      </w:r>
      <w:r w:rsidRPr="008E622B">
        <w:rPr>
          <w:rFonts w:eastAsia="Calibri" w:cs="Times New Roman"/>
        </w:rPr>
        <w:t>(199 </w:t>
      </w:r>
      <w:r>
        <w:rPr>
          <w:rFonts w:eastAsia="Calibri" w:cs="Times New Roman"/>
        </w:rPr>
        <w:t>mil.</w:t>
      </w:r>
      <w:r w:rsidRPr="008E622B">
        <w:rPr>
          <w:rFonts w:eastAsia="Calibri" w:cs="Times New Roman"/>
        </w:rPr>
        <w:t xml:space="preserve"> eur)</w:t>
      </w:r>
      <w:r w:rsidRPr="00693045">
        <w:rPr>
          <w:rFonts w:eastAsia="Calibri" w:cs="Times New Roman"/>
          <w:b/>
        </w:rPr>
        <w:t xml:space="preserve">, MF SR </w:t>
      </w:r>
      <w:r w:rsidRPr="008E622B">
        <w:rPr>
          <w:rFonts w:eastAsia="Calibri" w:cs="Times New Roman"/>
        </w:rPr>
        <w:t xml:space="preserve">(159 </w:t>
      </w:r>
      <w:r>
        <w:rPr>
          <w:rFonts w:eastAsia="Calibri" w:cs="Times New Roman"/>
        </w:rPr>
        <w:t>mil</w:t>
      </w:r>
      <w:r w:rsidRPr="008E622B">
        <w:rPr>
          <w:rFonts w:eastAsia="Calibri" w:cs="Times New Roman"/>
        </w:rPr>
        <w:t>. eur)</w:t>
      </w:r>
      <w:r w:rsidRPr="00693045">
        <w:rPr>
          <w:rFonts w:eastAsia="Calibri" w:cs="Times New Roman"/>
          <w:b/>
        </w:rPr>
        <w:t xml:space="preserve"> a MIRRI SR </w:t>
      </w:r>
      <w:r w:rsidRPr="008E622B">
        <w:rPr>
          <w:rFonts w:eastAsia="Calibri" w:cs="Times New Roman"/>
        </w:rPr>
        <w:t>(42</w:t>
      </w:r>
      <w:r>
        <w:rPr>
          <w:rFonts w:eastAsia="Calibri" w:cs="Times New Roman"/>
        </w:rPr>
        <w:t>,</w:t>
      </w:r>
      <w:r w:rsidRPr="008E622B">
        <w:rPr>
          <w:rFonts w:eastAsia="Calibri" w:cs="Times New Roman"/>
        </w:rPr>
        <w:t>5</w:t>
      </w:r>
      <w:r>
        <w:rPr>
          <w:rFonts w:eastAsia="Calibri" w:cs="Times New Roman"/>
        </w:rPr>
        <w:t xml:space="preserve"> mil</w:t>
      </w:r>
      <w:r w:rsidRPr="008E622B">
        <w:rPr>
          <w:rFonts w:eastAsia="Calibri" w:cs="Times New Roman"/>
        </w:rPr>
        <w:t>. eur)</w:t>
      </w:r>
      <w:r w:rsidRPr="00693045">
        <w:rPr>
          <w:rFonts w:eastAsia="Calibri" w:cs="Times New Roman"/>
          <w:b/>
        </w:rPr>
        <w:t>.</w:t>
      </w:r>
      <w:r>
        <w:rPr>
          <w:rFonts w:eastAsia="Calibri" w:cs="Times New Roman"/>
        </w:rPr>
        <w:t xml:space="preserve"> Ostatné kapitoly v tomto medzirezortnom programe vyčerpali spolu 156,9 mil. eur.</w:t>
      </w:r>
    </w:p>
    <w:p w14:paraId="6AE42D2E" w14:textId="77777777" w:rsidR="00665F54" w:rsidRPr="00385B00" w:rsidRDefault="00665F54" w:rsidP="00AE4675">
      <w:pPr>
        <w:rPr>
          <w:rFonts w:eastAsia="Calibri" w:cs="Times New Roman"/>
        </w:rPr>
      </w:pPr>
    </w:p>
    <w:p w14:paraId="60CAC772" w14:textId="4FCB29AC" w:rsidR="003F2338" w:rsidRDefault="003F2338" w:rsidP="003F2338">
      <w:pPr>
        <w:keepNext/>
        <w:spacing w:after="0" w:line="240" w:lineRule="auto"/>
        <w:rPr>
          <w:rFonts w:eastAsia="Calibri" w:cs="Times New Roman"/>
          <w:b/>
          <w:iCs/>
          <w:color w:val="314364"/>
          <w:szCs w:val="18"/>
        </w:rPr>
      </w:pPr>
      <w:r>
        <w:rPr>
          <w:rFonts w:eastAsia="Calibri" w:cs="Times New Roman"/>
          <w:b/>
          <w:iCs/>
          <w:color w:val="314364"/>
          <w:szCs w:val="18"/>
        </w:rPr>
        <w:lastRenderedPageBreak/>
        <w:t>Graf</w:t>
      </w:r>
      <w:r w:rsidRPr="00385B00">
        <w:rPr>
          <w:rFonts w:eastAsia="Calibri" w:cs="Times New Roman"/>
          <w:b/>
          <w:iCs/>
          <w:color w:val="314364"/>
          <w:szCs w:val="18"/>
        </w:rPr>
        <w:t xml:space="preserve"> </w:t>
      </w:r>
      <w:r>
        <w:rPr>
          <w:rFonts w:eastAsia="Calibri" w:cs="Times New Roman"/>
          <w:b/>
          <w:iCs/>
          <w:color w:val="314364"/>
          <w:szCs w:val="18"/>
        </w:rPr>
        <w:t>12</w:t>
      </w:r>
      <w:r w:rsidRPr="00385B00">
        <w:rPr>
          <w:rFonts w:eastAsia="Calibri" w:cs="Times New Roman"/>
          <w:b/>
          <w:iCs/>
          <w:color w:val="314364"/>
          <w:szCs w:val="18"/>
        </w:rPr>
        <w:t xml:space="preserve">: </w:t>
      </w:r>
      <w:r>
        <w:rPr>
          <w:rFonts w:eastAsia="Calibri" w:cs="Times New Roman"/>
          <w:b/>
          <w:iCs/>
          <w:color w:val="314364"/>
          <w:szCs w:val="18"/>
        </w:rPr>
        <w:t>Porovnanie rozpočtovaných (R) a skutočných (S) v</w:t>
      </w:r>
      <w:r w:rsidRPr="00385B00">
        <w:rPr>
          <w:rFonts w:eastAsia="Calibri" w:cs="Times New Roman"/>
          <w:b/>
          <w:iCs/>
          <w:color w:val="314364"/>
          <w:szCs w:val="18"/>
        </w:rPr>
        <w:t>ýdavk</w:t>
      </w:r>
      <w:r>
        <w:rPr>
          <w:rFonts w:eastAsia="Calibri" w:cs="Times New Roman"/>
          <w:b/>
          <w:iCs/>
          <w:color w:val="314364"/>
          <w:szCs w:val="18"/>
        </w:rPr>
        <w:t>ov</w:t>
      </w:r>
      <w:r w:rsidRPr="00385B00">
        <w:rPr>
          <w:rFonts w:eastAsia="Calibri" w:cs="Times New Roman"/>
          <w:b/>
          <w:iCs/>
          <w:color w:val="314364"/>
          <w:szCs w:val="18"/>
        </w:rPr>
        <w:t xml:space="preserve"> </w:t>
      </w:r>
      <w:r>
        <w:rPr>
          <w:rFonts w:eastAsia="Calibri" w:cs="Times New Roman"/>
          <w:b/>
          <w:iCs/>
          <w:color w:val="314364"/>
          <w:szCs w:val="18"/>
        </w:rPr>
        <w:t xml:space="preserve">v </w:t>
      </w:r>
      <w:r w:rsidRPr="00385B00">
        <w:rPr>
          <w:rFonts w:eastAsia="Calibri" w:cs="Times New Roman"/>
          <w:b/>
          <w:iCs/>
          <w:color w:val="314364"/>
          <w:szCs w:val="18"/>
        </w:rPr>
        <w:t>prog</w:t>
      </w:r>
      <w:r>
        <w:rPr>
          <w:rFonts w:eastAsia="Calibri" w:cs="Times New Roman"/>
          <w:b/>
          <w:iCs/>
          <w:color w:val="314364"/>
          <w:szCs w:val="18"/>
        </w:rPr>
        <w:t>rame</w:t>
      </w:r>
      <w:r w:rsidRPr="00385B00">
        <w:rPr>
          <w:rFonts w:eastAsia="Calibri" w:cs="Times New Roman"/>
          <w:b/>
          <w:iCs/>
          <w:color w:val="314364"/>
          <w:szCs w:val="18"/>
        </w:rPr>
        <w:t xml:space="preserve"> 0EK</w:t>
      </w:r>
      <w:r>
        <w:rPr>
          <w:rFonts w:eastAsia="Calibri" w:cs="Times New Roman"/>
          <w:b/>
          <w:iCs/>
          <w:color w:val="314364"/>
          <w:szCs w:val="18"/>
        </w:rPr>
        <w:t xml:space="preserve"> v rokoch 2020 až 2027 (</w:t>
      </w:r>
      <w:r w:rsidRPr="00385B00">
        <w:rPr>
          <w:rFonts w:eastAsia="Calibri" w:cs="Times New Roman"/>
          <w:b/>
          <w:iCs/>
          <w:color w:val="314364"/>
          <w:szCs w:val="18"/>
        </w:rPr>
        <w:t xml:space="preserve">v </w:t>
      </w:r>
      <w:r w:rsidR="00416B29">
        <w:rPr>
          <w:rFonts w:eastAsia="Calibri" w:cs="Times New Roman"/>
          <w:b/>
          <w:iCs/>
          <w:color w:val="314364"/>
          <w:szCs w:val="18"/>
        </w:rPr>
        <w:t>mil</w:t>
      </w:r>
      <w:r w:rsidRPr="00385B00">
        <w:rPr>
          <w:rFonts w:eastAsia="Calibri" w:cs="Times New Roman"/>
          <w:b/>
          <w:iCs/>
          <w:color w:val="314364"/>
          <w:szCs w:val="18"/>
        </w:rPr>
        <w:t>. eur</w:t>
      </w:r>
      <w:r>
        <w:rPr>
          <w:rFonts w:eastAsia="Calibri" w:cs="Times New Roman"/>
          <w:b/>
          <w:iCs/>
          <w:color w:val="314364"/>
          <w:szCs w:val="18"/>
        </w:rPr>
        <w:t xml:space="preserve">) </w:t>
      </w:r>
    </w:p>
    <w:tbl>
      <w:tblPr>
        <w:tblStyle w:val="Mriekatabuky"/>
        <w:tblW w:w="5017" w:type="pct"/>
        <w:tblCellMar>
          <w:left w:w="70" w:type="dxa"/>
          <w:right w:w="70" w:type="dxa"/>
        </w:tblCellMar>
        <w:tblLook w:val="04A0" w:firstRow="1" w:lastRow="0" w:firstColumn="1" w:lastColumn="0" w:noHBand="0" w:noVBand="1"/>
      </w:tblPr>
      <w:tblGrid>
        <w:gridCol w:w="9210"/>
      </w:tblGrid>
      <w:tr w:rsidR="003F2338" w14:paraId="15188FB3" w14:textId="77777777" w:rsidTr="002F65B0">
        <w:trPr>
          <w:trHeight w:val="2835"/>
        </w:trPr>
        <w:tc>
          <w:tcPr>
            <w:tcW w:w="9101" w:type="dxa"/>
            <w:tcBorders>
              <w:top w:val="single" w:sz="4" w:space="0" w:color="314364" w:themeColor="text2"/>
              <w:left w:val="nil"/>
              <w:bottom w:val="single" w:sz="4" w:space="0" w:color="314364" w:themeColor="text2"/>
              <w:right w:val="nil"/>
            </w:tcBorders>
          </w:tcPr>
          <w:p w14:paraId="5E524471" w14:textId="432FF836" w:rsidR="003F2338" w:rsidRDefault="002F65B0" w:rsidP="002E1FF0">
            <w:pPr>
              <w:keepNext/>
              <w:spacing w:after="0" w:line="240" w:lineRule="auto"/>
              <w:rPr>
                <w:rFonts w:eastAsia="Calibri" w:cs="Times New Roman"/>
                <w:b/>
                <w:iCs/>
                <w:color w:val="314364"/>
                <w:szCs w:val="18"/>
              </w:rPr>
            </w:pPr>
            <w:r>
              <w:rPr>
                <w:noProof/>
                <w:lang w:eastAsia="sk-SK"/>
              </w:rPr>
              <w:drawing>
                <wp:inline distT="0" distB="0" distL="0" distR="0" wp14:anchorId="225206E9" wp14:editId="5D2DB3E2">
                  <wp:extent cx="5760000" cy="1800000"/>
                  <wp:effectExtent l="0" t="0" r="0" b="0"/>
                  <wp:docPr id="31" name="Graf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bl>
    <w:p w14:paraId="6A4D8809" w14:textId="13B9D702" w:rsidR="003F2338" w:rsidRPr="00385B00" w:rsidRDefault="003F2338" w:rsidP="003F2338">
      <w:pPr>
        <w:pStyle w:val="Zdroj"/>
        <w:rPr>
          <w:lang w:eastAsia="sk-SK"/>
        </w:rPr>
      </w:pPr>
      <w:r w:rsidRPr="00385B00">
        <w:rPr>
          <w:lang w:eastAsia="sk-SK"/>
        </w:rPr>
        <w:t>Zdroj: RIS</w:t>
      </w:r>
      <w:r>
        <w:rPr>
          <w:lang w:eastAsia="sk-SK"/>
        </w:rPr>
        <w:t>.</w:t>
      </w:r>
    </w:p>
    <w:p w14:paraId="7C5819F2" w14:textId="66C6499A" w:rsidR="00693045" w:rsidRDefault="00693045" w:rsidP="00693045">
      <w:pPr>
        <w:rPr>
          <w:rFonts w:eastAsia="Calibri" w:cs="Times New Roman"/>
        </w:rPr>
      </w:pPr>
      <w:r w:rsidRPr="008E622B">
        <w:rPr>
          <w:rFonts w:eastAsia="Calibri" w:cs="Times New Roman"/>
          <w:b/>
        </w:rPr>
        <w:t xml:space="preserve">Z hľadiska štruktúry čerpania programu na financovanie IT výdavkov v jednotlivých prvkoch </w:t>
      </w:r>
      <w:r w:rsidR="004F286A">
        <w:rPr>
          <w:rFonts w:eastAsia="Calibri" w:cs="Times New Roman"/>
          <w:b/>
        </w:rPr>
        <w:t>najviac</w:t>
      </w:r>
      <w:r w:rsidRPr="008E622B">
        <w:rPr>
          <w:rFonts w:eastAsia="Calibri" w:cs="Times New Roman"/>
          <w:b/>
        </w:rPr>
        <w:t xml:space="preserve"> čerpa</w:t>
      </w:r>
      <w:r w:rsidR="004F286A">
        <w:rPr>
          <w:rFonts w:eastAsia="Calibri" w:cs="Times New Roman"/>
          <w:b/>
        </w:rPr>
        <w:t>lo</w:t>
      </w:r>
      <w:r w:rsidRPr="008E622B">
        <w:rPr>
          <w:rFonts w:eastAsia="Calibri" w:cs="Times New Roman"/>
          <w:b/>
        </w:rPr>
        <w:t xml:space="preserve"> MV SR</w:t>
      </w:r>
      <w:r w:rsidR="008E622B">
        <w:rPr>
          <w:rFonts w:eastAsia="Calibri" w:cs="Times New Roman"/>
          <w:b/>
        </w:rPr>
        <w:t xml:space="preserve"> </w:t>
      </w:r>
      <w:r w:rsidR="008E622B">
        <w:rPr>
          <w:rFonts w:eastAsia="Calibri" w:cs="Times New Roman"/>
        </w:rPr>
        <w:t>(tabuľka 1</w:t>
      </w:r>
      <w:r w:rsidR="00EF2A4E">
        <w:rPr>
          <w:rFonts w:eastAsia="Calibri" w:cs="Times New Roman"/>
        </w:rPr>
        <w:t>1</w:t>
      </w:r>
      <w:r w:rsidR="008E622B">
        <w:rPr>
          <w:rFonts w:eastAsia="Calibri" w:cs="Times New Roman"/>
        </w:rPr>
        <w:t>)</w:t>
      </w:r>
      <w:r w:rsidRPr="008E622B">
        <w:rPr>
          <w:rFonts w:eastAsia="Calibri" w:cs="Times New Roman"/>
          <w:b/>
        </w:rPr>
        <w:t>.</w:t>
      </w:r>
      <w:r>
        <w:rPr>
          <w:rFonts w:eastAsia="Calibri" w:cs="Times New Roman"/>
        </w:rPr>
        <w:t xml:space="preserve"> Na systémy zložiek Policajného zboru, Hasičskej a záchrannej služby a Sekcie krízového riadenia MV SR bolo v roku 2024 vynaložených viac ako 93 mi</w:t>
      </w:r>
      <w:r w:rsidR="008E622B">
        <w:rPr>
          <w:rFonts w:eastAsia="Calibri" w:cs="Times New Roman"/>
        </w:rPr>
        <w:t>l</w:t>
      </w:r>
      <w:r>
        <w:rPr>
          <w:rFonts w:eastAsia="Calibri" w:cs="Times New Roman"/>
        </w:rPr>
        <w:t xml:space="preserve">. eur, na podpornú štruktúru pre MV </w:t>
      </w:r>
      <w:r w:rsidR="008E622B">
        <w:rPr>
          <w:rFonts w:eastAsia="Calibri" w:cs="Times New Roman"/>
        </w:rPr>
        <w:t xml:space="preserve">SR </w:t>
      </w:r>
      <w:r>
        <w:rPr>
          <w:rFonts w:eastAsia="Calibri" w:cs="Times New Roman"/>
        </w:rPr>
        <w:t xml:space="preserve">a jeho organizácie 41,8 mil. eur a na Vládny </w:t>
      </w:r>
      <w:proofErr w:type="spellStart"/>
      <w:r>
        <w:rPr>
          <w:rFonts w:eastAsia="Calibri" w:cs="Times New Roman"/>
        </w:rPr>
        <w:t>cloud</w:t>
      </w:r>
      <w:proofErr w:type="spellEnd"/>
      <w:r>
        <w:rPr>
          <w:rFonts w:eastAsia="Calibri" w:cs="Times New Roman"/>
        </w:rPr>
        <w:t xml:space="preserve"> 26,7 mil. eur. </w:t>
      </w:r>
    </w:p>
    <w:p w14:paraId="51D2D52E" w14:textId="08EA8C3B" w:rsidR="003C0FE3" w:rsidRPr="00C676FE" w:rsidRDefault="00E712A4" w:rsidP="003C0FE3">
      <w:pPr>
        <w:keepNext/>
        <w:spacing w:after="0" w:line="240" w:lineRule="auto"/>
        <w:rPr>
          <w:rFonts w:eastAsia="Calibri" w:cs="Times New Roman"/>
          <w:b/>
          <w:iCs/>
          <w:color w:val="314364"/>
          <w:szCs w:val="18"/>
        </w:rPr>
      </w:pPr>
      <w:r>
        <w:rPr>
          <w:rFonts w:eastAsia="Calibri" w:cs="Times New Roman"/>
          <w:b/>
          <w:iCs/>
          <w:color w:val="314364"/>
          <w:szCs w:val="18"/>
        </w:rPr>
        <w:t>T</w:t>
      </w:r>
      <w:r w:rsidR="003C0FE3" w:rsidRPr="00C676FE">
        <w:rPr>
          <w:rFonts w:eastAsia="Calibri" w:cs="Times New Roman"/>
          <w:b/>
          <w:iCs/>
          <w:color w:val="314364"/>
          <w:szCs w:val="18"/>
        </w:rPr>
        <w:t xml:space="preserve">abuľka </w:t>
      </w:r>
      <w:r w:rsidR="003C0FE3">
        <w:rPr>
          <w:rFonts w:eastAsia="Calibri" w:cs="Times New Roman"/>
          <w:b/>
          <w:iCs/>
          <w:color w:val="314364"/>
          <w:szCs w:val="18"/>
        </w:rPr>
        <w:t>11</w:t>
      </w:r>
      <w:r w:rsidR="003C0FE3" w:rsidRPr="00C676FE">
        <w:rPr>
          <w:rFonts w:eastAsia="Calibri" w:cs="Times New Roman"/>
          <w:b/>
          <w:iCs/>
          <w:color w:val="314364"/>
          <w:szCs w:val="18"/>
        </w:rPr>
        <w:t xml:space="preserve">: </w:t>
      </w:r>
      <w:r w:rsidR="003C0FE3">
        <w:rPr>
          <w:rFonts w:eastAsia="Calibri" w:cs="Times New Roman"/>
          <w:b/>
          <w:iCs/>
          <w:color w:val="314364"/>
          <w:szCs w:val="18"/>
        </w:rPr>
        <w:t>Kapitoly s najvyšším čerpaním v programe 0EK v roku 2024 (v mil. eur)</w:t>
      </w:r>
    </w:p>
    <w:tbl>
      <w:tblPr>
        <w:tblW w:w="5000" w:type="pct"/>
        <w:tblBorders>
          <w:bottom w:val="single" w:sz="4" w:space="0" w:color="314364" w:themeColor="text2"/>
        </w:tblBorders>
        <w:tblLayout w:type="fixed"/>
        <w:tblCellMar>
          <w:left w:w="70" w:type="dxa"/>
          <w:right w:w="70" w:type="dxa"/>
        </w:tblCellMar>
        <w:tblLook w:val="04A0" w:firstRow="1" w:lastRow="0" w:firstColumn="1" w:lastColumn="0" w:noHBand="0" w:noVBand="1"/>
      </w:tblPr>
      <w:tblGrid>
        <w:gridCol w:w="1041"/>
        <w:gridCol w:w="4909"/>
        <w:gridCol w:w="1339"/>
        <w:gridCol w:w="894"/>
        <w:gridCol w:w="887"/>
      </w:tblGrid>
      <w:tr w:rsidR="003C0FE3" w:rsidRPr="003A3832" w14:paraId="3973E50B" w14:textId="77777777" w:rsidTr="002E1FF0">
        <w:trPr>
          <w:trHeight w:val="283"/>
        </w:trPr>
        <w:tc>
          <w:tcPr>
            <w:tcW w:w="574" w:type="pct"/>
            <w:shd w:val="clear" w:color="auto" w:fill="314364"/>
            <w:noWrap/>
            <w:vAlign w:val="center"/>
            <w:hideMark/>
          </w:tcPr>
          <w:p w14:paraId="204920C0" w14:textId="77777777" w:rsidR="003C0FE3" w:rsidRPr="003A3832" w:rsidRDefault="003C0FE3" w:rsidP="002E1FF0">
            <w:pPr>
              <w:spacing w:after="0" w:line="240" w:lineRule="auto"/>
              <w:rPr>
                <w:rFonts w:eastAsia="Times New Roman" w:cs="Segoe UI"/>
                <w:b/>
                <w:color w:val="FFFFFF"/>
                <w:sz w:val="18"/>
                <w:szCs w:val="18"/>
                <w:lang w:eastAsia="sk-SK"/>
              </w:rPr>
            </w:pPr>
            <w:bookmarkStart w:id="25" w:name="_Hlk198200630"/>
            <w:r w:rsidRPr="003A3832">
              <w:rPr>
                <w:rFonts w:eastAsia="Times New Roman" w:cs="Segoe UI"/>
                <w:b/>
                <w:color w:val="FFFFFF"/>
                <w:sz w:val="18"/>
                <w:szCs w:val="18"/>
                <w:lang w:eastAsia="sk-SK"/>
              </w:rPr>
              <w:t>Prvok</w:t>
            </w:r>
          </w:p>
        </w:tc>
        <w:tc>
          <w:tcPr>
            <w:tcW w:w="2705" w:type="pct"/>
            <w:shd w:val="clear" w:color="auto" w:fill="314364"/>
            <w:noWrap/>
            <w:vAlign w:val="center"/>
            <w:hideMark/>
          </w:tcPr>
          <w:p w14:paraId="307A33D4" w14:textId="77777777" w:rsidR="003C0FE3" w:rsidRPr="003A3832" w:rsidRDefault="003C0FE3" w:rsidP="002E1FF0">
            <w:pPr>
              <w:spacing w:after="0" w:line="240" w:lineRule="auto"/>
              <w:rPr>
                <w:rFonts w:eastAsia="Times New Roman" w:cs="Segoe UI"/>
                <w:b/>
                <w:color w:val="FFFFFF"/>
                <w:sz w:val="18"/>
                <w:szCs w:val="18"/>
                <w:lang w:eastAsia="sk-SK"/>
              </w:rPr>
            </w:pPr>
            <w:r w:rsidRPr="003A3832">
              <w:rPr>
                <w:rFonts w:eastAsia="Times New Roman" w:cs="Segoe UI"/>
                <w:b/>
                <w:color w:val="FFFFFF"/>
                <w:sz w:val="18"/>
                <w:szCs w:val="18"/>
                <w:lang w:eastAsia="sk-SK"/>
              </w:rPr>
              <w:t>Program</w:t>
            </w:r>
          </w:p>
        </w:tc>
        <w:tc>
          <w:tcPr>
            <w:tcW w:w="738" w:type="pct"/>
            <w:shd w:val="clear" w:color="auto" w:fill="314364"/>
            <w:noWrap/>
            <w:vAlign w:val="center"/>
            <w:hideMark/>
          </w:tcPr>
          <w:p w14:paraId="5B2309D5" w14:textId="77777777" w:rsidR="003C0FE3" w:rsidRPr="003A3832" w:rsidRDefault="003C0FE3" w:rsidP="002E1FF0">
            <w:pPr>
              <w:spacing w:after="0" w:line="240" w:lineRule="auto"/>
              <w:jc w:val="center"/>
              <w:rPr>
                <w:rFonts w:eastAsia="Times New Roman" w:cs="Segoe UI"/>
                <w:b/>
                <w:color w:val="FFFFFF"/>
                <w:sz w:val="18"/>
                <w:szCs w:val="18"/>
                <w:lang w:eastAsia="sk-SK"/>
              </w:rPr>
            </w:pPr>
            <w:r w:rsidRPr="003A3832">
              <w:rPr>
                <w:rFonts w:eastAsia="Times New Roman" w:cs="Segoe UI"/>
                <w:b/>
                <w:color w:val="FFFFFF"/>
                <w:sz w:val="18"/>
                <w:szCs w:val="18"/>
                <w:lang w:eastAsia="sk-SK"/>
              </w:rPr>
              <w:t xml:space="preserve">Kapitola </w:t>
            </w:r>
          </w:p>
        </w:tc>
        <w:tc>
          <w:tcPr>
            <w:tcW w:w="493" w:type="pct"/>
            <w:shd w:val="clear" w:color="auto" w:fill="314364"/>
            <w:noWrap/>
            <w:vAlign w:val="center"/>
            <w:hideMark/>
          </w:tcPr>
          <w:p w14:paraId="6A3D0499" w14:textId="77777777" w:rsidR="003C0FE3" w:rsidRPr="003A3832" w:rsidRDefault="003C0FE3" w:rsidP="002E1FF0">
            <w:pPr>
              <w:spacing w:after="0" w:line="240" w:lineRule="auto"/>
              <w:jc w:val="center"/>
              <w:rPr>
                <w:rFonts w:eastAsia="Times New Roman" w:cs="Segoe UI"/>
                <w:b/>
                <w:color w:val="FFFFFF"/>
                <w:sz w:val="18"/>
                <w:szCs w:val="18"/>
                <w:lang w:eastAsia="sk-SK"/>
              </w:rPr>
            </w:pPr>
            <w:r>
              <w:rPr>
                <w:rFonts w:eastAsia="Times New Roman" w:cs="Segoe UI"/>
                <w:b/>
                <w:color w:val="FFFFFF"/>
                <w:sz w:val="18"/>
                <w:szCs w:val="18"/>
                <w:lang w:eastAsia="sk-SK"/>
              </w:rPr>
              <w:t>R</w:t>
            </w:r>
          </w:p>
        </w:tc>
        <w:tc>
          <w:tcPr>
            <w:tcW w:w="489" w:type="pct"/>
            <w:shd w:val="clear" w:color="auto" w:fill="314364"/>
            <w:noWrap/>
            <w:vAlign w:val="center"/>
            <w:hideMark/>
          </w:tcPr>
          <w:p w14:paraId="41E641B7" w14:textId="77777777" w:rsidR="003C0FE3" w:rsidRPr="003A3832" w:rsidRDefault="003C0FE3" w:rsidP="002E1FF0">
            <w:pPr>
              <w:spacing w:after="0" w:line="240" w:lineRule="auto"/>
              <w:jc w:val="center"/>
              <w:rPr>
                <w:rFonts w:eastAsia="Times New Roman" w:cs="Segoe UI"/>
                <w:b/>
                <w:color w:val="FFFFFF"/>
                <w:sz w:val="18"/>
                <w:szCs w:val="18"/>
                <w:lang w:eastAsia="sk-SK"/>
              </w:rPr>
            </w:pPr>
            <w:r>
              <w:rPr>
                <w:rFonts w:eastAsia="Times New Roman" w:cs="Segoe UI"/>
                <w:b/>
                <w:color w:val="FFFFFF"/>
                <w:sz w:val="18"/>
                <w:szCs w:val="18"/>
                <w:lang w:eastAsia="sk-SK"/>
              </w:rPr>
              <w:t>S</w:t>
            </w:r>
          </w:p>
        </w:tc>
      </w:tr>
      <w:tr w:rsidR="003C0FE3" w:rsidRPr="003A3832" w14:paraId="7153DE8B" w14:textId="77777777" w:rsidTr="002E1FF0">
        <w:trPr>
          <w:trHeight w:val="283"/>
        </w:trPr>
        <w:tc>
          <w:tcPr>
            <w:tcW w:w="574" w:type="pct"/>
            <w:shd w:val="clear" w:color="auto" w:fill="auto"/>
            <w:noWrap/>
            <w:vAlign w:val="center"/>
            <w:hideMark/>
          </w:tcPr>
          <w:p w14:paraId="2E26AF7D"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0EK0B0</w:t>
            </w:r>
            <w:r>
              <w:rPr>
                <w:rFonts w:eastAsia="Times New Roman" w:cs="Segoe UI"/>
                <w:sz w:val="18"/>
                <w:szCs w:val="18"/>
                <w:lang w:eastAsia="sk-SK"/>
              </w:rPr>
              <w:t>4</w:t>
            </w:r>
          </w:p>
        </w:tc>
        <w:tc>
          <w:tcPr>
            <w:tcW w:w="2705" w:type="pct"/>
            <w:shd w:val="clear" w:color="auto" w:fill="auto"/>
            <w:noWrap/>
            <w:vAlign w:val="center"/>
            <w:hideMark/>
          </w:tcPr>
          <w:p w14:paraId="1D2715BF"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Systémy zložiek MV SR (PZ, HaZZ, SKR)</w:t>
            </w:r>
          </w:p>
        </w:tc>
        <w:tc>
          <w:tcPr>
            <w:tcW w:w="738" w:type="pct"/>
            <w:shd w:val="clear" w:color="auto" w:fill="auto"/>
            <w:noWrap/>
            <w:vAlign w:val="center"/>
            <w:hideMark/>
          </w:tcPr>
          <w:p w14:paraId="7F79F0DD"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MV SR</w:t>
            </w:r>
          </w:p>
        </w:tc>
        <w:tc>
          <w:tcPr>
            <w:tcW w:w="493" w:type="pct"/>
            <w:shd w:val="clear" w:color="auto" w:fill="auto"/>
            <w:noWrap/>
            <w:vAlign w:val="center"/>
            <w:hideMark/>
          </w:tcPr>
          <w:p w14:paraId="041A3C22"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31,2</w:t>
            </w:r>
          </w:p>
        </w:tc>
        <w:tc>
          <w:tcPr>
            <w:tcW w:w="489" w:type="pct"/>
            <w:shd w:val="clear" w:color="auto" w:fill="auto"/>
            <w:noWrap/>
            <w:vAlign w:val="center"/>
            <w:hideMark/>
          </w:tcPr>
          <w:p w14:paraId="7D81A2EA" w14:textId="4A0FCCB2"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93,0</w:t>
            </w:r>
            <w:r w:rsidR="00EC38AF">
              <w:rPr>
                <w:rFonts w:cs="Segoe UI"/>
                <w:sz w:val="18"/>
                <w:szCs w:val="18"/>
              </w:rPr>
              <w:t>*</w:t>
            </w:r>
          </w:p>
        </w:tc>
      </w:tr>
      <w:tr w:rsidR="003C0FE3" w:rsidRPr="003A3832" w14:paraId="7DE96398" w14:textId="77777777" w:rsidTr="002E1FF0">
        <w:trPr>
          <w:trHeight w:val="283"/>
        </w:trPr>
        <w:tc>
          <w:tcPr>
            <w:tcW w:w="574" w:type="pct"/>
            <w:shd w:val="clear" w:color="auto" w:fill="auto"/>
            <w:noWrap/>
            <w:vAlign w:val="center"/>
            <w:hideMark/>
          </w:tcPr>
          <w:p w14:paraId="398D7E4C"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0EK0B0</w:t>
            </w:r>
            <w:r>
              <w:rPr>
                <w:rFonts w:eastAsia="Times New Roman" w:cs="Segoe UI"/>
                <w:sz w:val="18"/>
                <w:szCs w:val="18"/>
                <w:lang w:eastAsia="sk-SK"/>
              </w:rPr>
              <w:t>3</w:t>
            </w:r>
          </w:p>
        </w:tc>
        <w:tc>
          <w:tcPr>
            <w:tcW w:w="2705" w:type="pct"/>
            <w:shd w:val="clear" w:color="auto" w:fill="auto"/>
            <w:noWrap/>
            <w:vAlign w:val="center"/>
            <w:hideMark/>
          </w:tcPr>
          <w:p w14:paraId="0432F092"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Podporná infraštruktúra pre MV SR</w:t>
            </w:r>
          </w:p>
        </w:tc>
        <w:tc>
          <w:tcPr>
            <w:tcW w:w="738" w:type="pct"/>
            <w:shd w:val="clear" w:color="auto" w:fill="auto"/>
            <w:noWrap/>
            <w:vAlign w:val="center"/>
            <w:hideMark/>
          </w:tcPr>
          <w:p w14:paraId="3143C50A"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MV SR</w:t>
            </w:r>
          </w:p>
        </w:tc>
        <w:tc>
          <w:tcPr>
            <w:tcW w:w="493" w:type="pct"/>
            <w:shd w:val="clear" w:color="auto" w:fill="auto"/>
            <w:noWrap/>
            <w:vAlign w:val="center"/>
            <w:hideMark/>
          </w:tcPr>
          <w:p w14:paraId="0FEAECB9"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88,0</w:t>
            </w:r>
          </w:p>
        </w:tc>
        <w:tc>
          <w:tcPr>
            <w:tcW w:w="489" w:type="pct"/>
            <w:shd w:val="clear" w:color="auto" w:fill="auto"/>
            <w:noWrap/>
            <w:vAlign w:val="center"/>
            <w:hideMark/>
          </w:tcPr>
          <w:p w14:paraId="428831C0"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41,8</w:t>
            </w:r>
          </w:p>
        </w:tc>
      </w:tr>
      <w:tr w:rsidR="003C0FE3" w:rsidRPr="003A3832" w14:paraId="3D203F66" w14:textId="77777777" w:rsidTr="002E1FF0">
        <w:trPr>
          <w:trHeight w:val="283"/>
        </w:trPr>
        <w:tc>
          <w:tcPr>
            <w:tcW w:w="574" w:type="pct"/>
            <w:shd w:val="clear" w:color="auto" w:fill="auto"/>
            <w:noWrap/>
            <w:vAlign w:val="center"/>
            <w:hideMark/>
          </w:tcPr>
          <w:p w14:paraId="7D9EBE0B"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0EK0D0</w:t>
            </w:r>
            <w:r>
              <w:rPr>
                <w:rFonts w:eastAsia="Times New Roman" w:cs="Segoe UI"/>
                <w:sz w:val="18"/>
                <w:szCs w:val="18"/>
                <w:lang w:eastAsia="sk-SK"/>
              </w:rPr>
              <w:t>7</w:t>
            </w:r>
          </w:p>
        </w:tc>
        <w:tc>
          <w:tcPr>
            <w:tcW w:w="2705" w:type="pct"/>
            <w:shd w:val="clear" w:color="auto" w:fill="auto"/>
            <w:noWrap/>
            <w:vAlign w:val="center"/>
            <w:hideMark/>
          </w:tcPr>
          <w:p w14:paraId="4DEDA7B4"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Podporná infraštruktúra pre IS riadenia verejných financií</w:t>
            </w:r>
          </w:p>
        </w:tc>
        <w:tc>
          <w:tcPr>
            <w:tcW w:w="738" w:type="pct"/>
            <w:shd w:val="clear" w:color="auto" w:fill="auto"/>
            <w:noWrap/>
            <w:vAlign w:val="center"/>
            <w:hideMark/>
          </w:tcPr>
          <w:p w14:paraId="31477A09"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MF SR</w:t>
            </w:r>
          </w:p>
        </w:tc>
        <w:tc>
          <w:tcPr>
            <w:tcW w:w="493" w:type="pct"/>
            <w:shd w:val="clear" w:color="auto" w:fill="auto"/>
            <w:noWrap/>
            <w:vAlign w:val="center"/>
            <w:hideMark/>
          </w:tcPr>
          <w:p w14:paraId="1E21765A"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19,0</w:t>
            </w:r>
          </w:p>
        </w:tc>
        <w:tc>
          <w:tcPr>
            <w:tcW w:w="489" w:type="pct"/>
            <w:shd w:val="clear" w:color="auto" w:fill="auto"/>
            <w:noWrap/>
            <w:vAlign w:val="center"/>
            <w:hideMark/>
          </w:tcPr>
          <w:p w14:paraId="04C60E53"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27,1</w:t>
            </w:r>
          </w:p>
        </w:tc>
      </w:tr>
      <w:tr w:rsidR="003C0FE3" w:rsidRPr="003A3832" w14:paraId="02F4AEC2" w14:textId="77777777" w:rsidTr="002E1FF0">
        <w:trPr>
          <w:trHeight w:val="283"/>
        </w:trPr>
        <w:tc>
          <w:tcPr>
            <w:tcW w:w="574" w:type="pct"/>
            <w:shd w:val="clear" w:color="auto" w:fill="auto"/>
            <w:noWrap/>
            <w:vAlign w:val="center"/>
            <w:hideMark/>
          </w:tcPr>
          <w:p w14:paraId="192CFD34"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0EK0B0</w:t>
            </w:r>
            <w:r>
              <w:rPr>
                <w:rFonts w:eastAsia="Times New Roman" w:cs="Segoe UI"/>
                <w:sz w:val="18"/>
                <w:szCs w:val="18"/>
                <w:lang w:eastAsia="sk-SK"/>
              </w:rPr>
              <w:t>D</w:t>
            </w:r>
          </w:p>
        </w:tc>
        <w:tc>
          <w:tcPr>
            <w:tcW w:w="2705" w:type="pct"/>
            <w:shd w:val="clear" w:color="auto" w:fill="auto"/>
            <w:noWrap/>
            <w:vAlign w:val="center"/>
            <w:hideMark/>
          </w:tcPr>
          <w:p w14:paraId="6DFA82DD"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 xml:space="preserve">Vládny </w:t>
            </w:r>
            <w:proofErr w:type="spellStart"/>
            <w:r w:rsidRPr="00AF354D">
              <w:rPr>
                <w:rFonts w:eastAsia="Times New Roman" w:cs="Segoe UI"/>
                <w:sz w:val="18"/>
                <w:szCs w:val="18"/>
                <w:lang w:eastAsia="sk-SK"/>
              </w:rPr>
              <w:t>cloud</w:t>
            </w:r>
            <w:proofErr w:type="spellEnd"/>
          </w:p>
        </w:tc>
        <w:tc>
          <w:tcPr>
            <w:tcW w:w="738" w:type="pct"/>
            <w:shd w:val="clear" w:color="auto" w:fill="auto"/>
            <w:noWrap/>
            <w:vAlign w:val="center"/>
            <w:hideMark/>
          </w:tcPr>
          <w:p w14:paraId="3E7B435C"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MV SR</w:t>
            </w:r>
          </w:p>
        </w:tc>
        <w:tc>
          <w:tcPr>
            <w:tcW w:w="493" w:type="pct"/>
            <w:shd w:val="clear" w:color="auto" w:fill="auto"/>
            <w:noWrap/>
            <w:vAlign w:val="center"/>
            <w:hideMark/>
          </w:tcPr>
          <w:p w14:paraId="19D3E9A1"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25,4</w:t>
            </w:r>
          </w:p>
        </w:tc>
        <w:tc>
          <w:tcPr>
            <w:tcW w:w="489" w:type="pct"/>
            <w:shd w:val="clear" w:color="auto" w:fill="auto"/>
            <w:noWrap/>
            <w:vAlign w:val="center"/>
            <w:hideMark/>
          </w:tcPr>
          <w:p w14:paraId="71B68AB8"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26,7</w:t>
            </w:r>
          </w:p>
        </w:tc>
      </w:tr>
      <w:tr w:rsidR="003C0FE3" w:rsidRPr="003A3832" w14:paraId="33BC94B1" w14:textId="77777777" w:rsidTr="002E1FF0">
        <w:trPr>
          <w:trHeight w:val="283"/>
        </w:trPr>
        <w:tc>
          <w:tcPr>
            <w:tcW w:w="574" w:type="pct"/>
            <w:shd w:val="clear" w:color="auto" w:fill="auto"/>
            <w:noWrap/>
            <w:vAlign w:val="center"/>
            <w:hideMark/>
          </w:tcPr>
          <w:p w14:paraId="7FE0E9F7"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0EK0D0</w:t>
            </w:r>
            <w:r>
              <w:rPr>
                <w:rFonts w:eastAsia="Times New Roman" w:cs="Segoe UI"/>
                <w:sz w:val="18"/>
                <w:szCs w:val="18"/>
                <w:lang w:eastAsia="sk-SK"/>
              </w:rPr>
              <w:t>3</w:t>
            </w:r>
          </w:p>
        </w:tc>
        <w:tc>
          <w:tcPr>
            <w:tcW w:w="2705" w:type="pct"/>
            <w:shd w:val="clear" w:color="auto" w:fill="auto"/>
            <w:noWrap/>
            <w:vAlign w:val="center"/>
            <w:hideMark/>
          </w:tcPr>
          <w:p w14:paraId="727CB05A"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Podporná infraštruktúra pre MF SR</w:t>
            </w:r>
          </w:p>
        </w:tc>
        <w:tc>
          <w:tcPr>
            <w:tcW w:w="738" w:type="pct"/>
            <w:shd w:val="clear" w:color="auto" w:fill="auto"/>
            <w:noWrap/>
            <w:vAlign w:val="center"/>
            <w:hideMark/>
          </w:tcPr>
          <w:p w14:paraId="348654C6"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MF SR</w:t>
            </w:r>
          </w:p>
        </w:tc>
        <w:tc>
          <w:tcPr>
            <w:tcW w:w="493" w:type="pct"/>
            <w:shd w:val="clear" w:color="auto" w:fill="auto"/>
            <w:noWrap/>
            <w:vAlign w:val="center"/>
            <w:hideMark/>
          </w:tcPr>
          <w:p w14:paraId="206EEEF2"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19,0</w:t>
            </w:r>
          </w:p>
        </w:tc>
        <w:tc>
          <w:tcPr>
            <w:tcW w:w="489" w:type="pct"/>
            <w:shd w:val="clear" w:color="auto" w:fill="auto"/>
            <w:noWrap/>
            <w:vAlign w:val="center"/>
            <w:hideMark/>
          </w:tcPr>
          <w:p w14:paraId="5AD18A89"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25,0</w:t>
            </w:r>
          </w:p>
        </w:tc>
      </w:tr>
      <w:tr w:rsidR="003C0FE3" w:rsidRPr="003A3832" w14:paraId="32B1C5D9" w14:textId="77777777" w:rsidTr="002E1FF0">
        <w:trPr>
          <w:trHeight w:val="283"/>
        </w:trPr>
        <w:tc>
          <w:tcPr>
            <w:tcW w:w="574" w:type="pct"/>
            <w:shd w:val="clear" w:color="auto" w:fill="auto"/>
            <w:noWrap/>
            <w:vAlign w:val="center"/>
            <w:hideMark/>
          </w:tcPr>
          <w:p w14:paraId="64A12BDB"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0EK0D0</w:t>
            </w:r>
            <w:r>
              <w:rPr>
                <w:rFonts w:eastAsia="Times New Roman" w:cs="Segoe UI"/>
                <w:sz w:val="18"/>
                <w:szCs w:val="18"/>
                <w:lang w:eastAsia="sk-SK"/>
              </w:rPr>
              <w:t>D</w:t>
            </w:r>
          </w:p>
        </w:tc>
        <w:tc>
          <w:tcPr>
            <w:tcW w:w="2705" w:type="pct"/>
            <w:shd w:val="clear" w:color="auto" w:fill="auto"/>
            <w:noWrap/>
            <w:vAlign w:val="center"/>
            <w:hideMark/>
          </w:tcPr>
          <w:p w14:paraId="161C5D6F"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Centrálne licenčné zmluvné vzťahy MF SR</w:t>
            </w:r>
          </w:p>
        </w:tc>
        <w:tc>
          <w:tcPr>
            <w:tcW w:w="738" w:type="pct"/>
            <w:shd w:val="clear" w:color="auto" w:fill="auto"/>
            <w:noWrap/>
            <w:vAlign w:val="center"/>
            <w:hideMark/>
          </w:tcPr>
          <w:p w14:paraId="59391BE0"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MF SR</w:t>
            </w:r>
          </w:p>
        </w:tc>
        <w:tc>
          <w:tcPr>
            <w:tcW w:w="493" w:type="pct"/>
            <w:shd w:val="clear" w:color="auto" w:fill="auto"/>
            <w:noWrap/>
            <w:vAlign w:val="center"/>
            <w:hideMark/>
          </w:tcPr>
          <w:p w14:paraId="7EEF552F"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32,8</w:t>
            </w:r>
          </w:p>
        </w:tc>
        <w:tc>
          <w:tcPr>
            <w:tcW w:w="489" w:type="pct"/>
            <w:shd w:val="clear" w:color="auto" w:fill="auto"/>
            <w:noWrap/>
            <w:vAlign w:val="center"/>
            <w:hideMark/>
          </w:tcPr>
          <w:p w14:paraId="3EA3F318"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20,4</w:t>
            </w:r>
          </w:p>
        </w:tc>
      </w:tr>
      <w:tr w:rsidR="003C0FE3" w:rsidRPr="003A3832" w14:paraId="3A8B506A" w14:textId="77777777" w:rsidTr="002E1FF0">
        <w:trPr>
          <w:trHeight w:val="283"/>
        </w:trPr>
        <w:tc>
          <w:tcPr>
            <w:tcW w:w="574" w:type="pct"/>
            <w:shd w:val="clear" w:color="auto" w:fill="auto"/>
            <w:noWrap/>
            <w:vAlign w:val="center"/>
            <w:hideMark/>
          </w:tcPr>
          <w:p w14:paraId="68FFDF69"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0EK130</w:t>
            </w:r>
            <w:r>
              <w:rPr>
                <w:rFonts w:eastAsia="Times New Roman" w:cs="Segoe UI"/>
                <w:sz w:val="18"/>
                <w:szCs w:val="18"/>
                <w:lang w:eastAsia="sk-SK"/>
              </w:rPr>
              <w:t>A</w:t>
            </w:r>
          </w:p>
        </w:tc>
        <w:tc>
          <w:tcPr>
            <w:tcW w:w="2705" w:type="pct"/>
            <w:shd w:val="clear" w:color="auto" w:fill="auto"/>
            <w:noWrap/>
            <w:vAlign w:val="center"/>
            <w:hideMark/>
          </w:tcPr>
          <w:p w14:paraId="3B2AA738"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Ústredný portál VS - Centrálne úradné doručovanie</w:t>
            </w:r>
          </w:p>
        </w:tc>
        <w:tc>
          <w:tcPr>
            <w:tcW w:w="738" w:type="pct"/>
            <w:shd w:val="clear" w:color="auto" w:fill="auto"/>
            <w:noWrap/>
            <w:vAlign w:val="center"/>
            <w:hideMark/>
          </w:tcPr>
          <w:p w14:paraId="6E5DF4A5"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MIRRI SR</w:t>
            </w:r>
          </w:p>
        </w:tc>
        <w:tc>
          <w:tcPr>
            <w:tcW w:w="493" w:type="pct"/>
            <w:shd w:val="clear" w:color="auto" w:fill="auto"/>
            <w:noWrap/>
            <w:vAlign w:val="center"/>
            <w:hideMark/>
          </w:tcPr>
          <w:p w14:paraId="257F4DF6"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14,5</w:t>
            </w:r>
          </w:p>
        </w:tc>
        <w:tc>
          <w:tcPr>
            <w:tcW w:w="489" w:type="pct"/>
            <w:shd w:val="clear" w:color="auto" w:fill="auto"/>
            <w:noWrap/>
            <w:vAlign w:val="center"/>
            <w:hideMark/>
          </w:tcPr>
          <w:p w14:paraId="1FDE9F20"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18,5</w:t>
            </w:r>
          </w:p>
        </w:tc>
      </w:tr>
      <w:tr w:rsidR="003C0FE3" w:rsidRPr="003A3832" w14:paraId="6D24BA06" w14:textId="77777777" w:rsidTr="002E1FF0">
        <w:trPr>
          <w:trHeight w:val="283"/>
        </w:trPr>
        <w:tc>
          <w:tcPr>
            <w:tcW w:w="574" w:type="pct"/>
            <w:shd w:val="clear" w:color="auto" w:fill="auto"/>
            <w:noWrap/>
            <w:vAlign w:val="center"/>
            <w:hideMark/>
          </w:tcPr>
          <w:p w14:paraId="0D98B86B"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0EK0F0</w:t>
            </w:r>
            <w:r>
              <w:rPr>
                <w:rFonts w:eastAsia="Times New Roman" w:cs="Segoe UI"/>
                <w:sz w:val="18"/>
                <w:szCs w:val="18"/>
                <w:lang w:eastAsia="sk-SK"/>
              </w:rPr>
              <w:t>A</w:t>
            </w:r>
          </w:p>
        </w:tc>
        <w:tc>
          <w:tcPr>
            <w:tcW w:w="2705" w:type="pct"/>
            <w:shd w:val="clear" w:color="auto" w:fill="auto"/>
            <w:noWrap/>
            <w:vAlign w:val="center"/>
            <w:hideMark/>
          </w:tcPr>
          <w:p w14:paraId="36E7A668"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Internetové a dátové pripojenie škôl</w:t>
            </w:r>
          </w:p>
        </w:tc>
        <w:tc>
          <w:tcPr>
            <w:tcW w:w="738" w:type="pct"/>
            <w:shd w:val="clear" w:color="auto" w:fill="auto"/>
            <w:noWrap/>
            <w:vAlign w:val="center"/>
            <w:hideMark/>
          </w:tcPr>
          <w:p w14:paraId="6FE7ACD5" w14:textId="2CD5D14B" w:rsidR="003C0FE3" w:rsidRPr="00AF354D" w:rsidRDefault="003C0FE3" w:rsidP="00C36DCD">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MŠVVM SR</w:t>
            </w:r>
          </w:p>
        </w:tc>
        <w:tc>
          <w:tcPr>
            <w:tcW w:w="493" w:type="pct"/>
            <w:shd w:val="clear" w:color="auto" w:fill="auto"/>
            <w:noWrap/>
            <w:vAlign w:val="center"/>
            <w:hideMark/>
          </w:tcPr>
          <w:p w14:paraId="25DE6B68"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9,3</w:t>
            </w:r>
          </w:p>
        </w:tc>
        <w:tc>
          <w:tcPr>
            <w:tcW w:w="489" w:type="pct"/>
            <w:shd w:val="clear" w:color="auto" w:fill="auto"/>
            <w:noWrap/>
            <w:vAlign w:val="center"/>
            <w:hideMark/>
          </w:tcPr>
          <w:p w14:paraId="60CB2A5A"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17,0</w:t>
            </w:r>
          </w:p>
        </w:tc>
      </w:tr>
      <w:tr w:rsidR="003C0FE3" w:rsidRPr="003A3832" w14:paraId="6B6179E7" w14:textId="77777777" w:rsidTr="002E1FF0">
        <w:trPr>
          <w:trHeight w:val="283"/>
        </w:trPr>
        <w:tc>
          <w:tcPr>
            <w:tcW w:w="574" w:type="pct"/>
            <w:shd w:val="clear" w:color="auto" w:fill="auto"/>
            <w:noWrap/>
            <w:vAlign w:val="center"/>
            <w:hideMark/>
          </w:tcPr>
          <w:p w14:paraId="350177A2"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0EK0D0</w:t>
            </w:r>
            <w:r>
              <w:rPr>
                <w:rFonts w:eastAsia="Times New Roman" w:cs="Segoe UI"/>
                <w:sz w:val="18"/>
                <w:szCs w:val="18"/>
                <w:lang w:eastAsia="sk-SK"/>
              </w:rPr>
              <w:t>O</w:t>
            </w:r>
          </w:p>
        </w:tc>
        <w:tc>
          <w:tcPr>
            <w:tcW w:w="2705" w:type="pct"/>
            <w:shd w:val="clear" w:color="auto" w:fill="auto"/>
            <w:noWrap/>
            <w:vAlign w:val="center"/>
            <w:hideMark/>
          </w:tcPr>
          <w:p w14:paraId="14575AA5"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Centrálny ekonomický systém</w:t>
            </w:r>
          </w:p>
        </w:tc>
        <w:tc>
          <w:tcPr>
            <w:tcW w:w="738" w:type="pct"/>
            <w:shd w:val="clear" w:color="auto" w:fill="auto"/>
            <w:noWrap/>
            <w:vAlign w:val="center"/>
            <w:hideMark/>
          </w:tcPr>
          <w:p w14:paraId="763D28C8"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MF SR</w:t>
            </w:r>
          </w:p>
        </w:tc>
        <w:tc>
          <w:tcPr>
            <w:tcW w:w="493" w:type="pct"/>
            <w:shd w:val="clear" w:color="auto" w:fill="auto"/>
            <w:noWrap/>
            <w:vAlign w:val="center"/>
            <w:hideMark/>
          </w:tcPr>
          <w:p w14:paraId="23526D61"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10,9</w:t>
            </w:r>
          </w:p>
        </w:tc>
        <w:tc>
          <w:tcPr>
            <w:tcW w:w="489" w:type="pct"/>
            <w:shd w:val="clear" w:color="auto" w:fill="auto"/>
            <w:noWrap/>
            <w:vAlign w:val="center"/>
            <w:hideMark/>
          </w:tcPr>
          <w:p w14:paraId="2C3AEB4B"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16,3</w:t>
            </w:r>
          </w:p>
        </w:tc>
      </w:tr>
      <w:tr w:rsidR="003C0FE3" w:rsidRPr="003A3832" w14:paraId="457A8FA4" w14:textId="77777777" w:rsidTr="002E1FF0">
        <w:trPr>
          <w:trHeight w:val="283"/>
        </w:trPr>
        <w:tc>
          <w:tcPr>
            <w:tcW w:w="574" w:type="pct"/>
            <w:shd w:val="clear" w:color="auto" w:fill="auto"/>
            <w:noWrap/>
            <w:vAlign w:val="center"/>
            <w:hideMark/>
          </w:tcPr>
          <w:p w14:paraId="158E9512"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0EK0D0</w:t>
            </w:r>
            <w:r>
              <w:rPr>
                <w:rFonts w:eastAsia="Times New Roman" w:cs="Segoe UI"/>
                <w:sz w:val="18"/>
                <w:szCs w:val="18"/>
                <w:lang w:eastAsia="sk-SK"/>
              </w:rPr>
              <w:t>4</w:t>
            </w:r>
          </w:p>
        </w:tc>
        <w:tc>
          <w:tcPr>
            <w:tcW w:w="2705" w:type="pct"/>
            <w:shd w:val="clear" w:color="auto" w:fill="auto"/>
            <w:noWrap/>
            <w:vAlign w:val="center"/>
            <w:hideMark/>
          </w:tcPr>
          <w:p w14:paraId="19F99AA6"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Informačný systém pre systém štátnej pokladnice</w:t>
            </w:r>
          </w:p>
        </w:tc>
        <w:tc>
          <w:tcPr>
            <w:tcW w:w="738" w:type="pct"/>
            <w:shd w:val="clear" w:color="auto" w:fill="auto"/>
            <w:noWrap/>
            <w:vAlign w:val="center"/>
            <w:hideMark/>
          </w:tcPr>
          <w:p w14:paraId="17AE943F"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MF SR</w:t>
            </w:r>
          </w:p>
        </w:tc>
        <w:tc>
          <w:tcPr>
            <w:tcW w:w="493" w:type="pct"/>
            <w:shd w:val="clear" w:color="auto" w:fill="auto"/>
            <w:noWrap/>
            <w:vAlign w:val="center"/>
            <w:hideMark/>
          </w:tcPr>
          <w:p w14:paraId="1F79E25F"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13,1</w:t>
            </w:r>
          </w:p>
        </w:tc>
        <w:tc>
          <w:tcPr>
            <w:tcW w:w="489" w:type="pct"/>
            <w:shd w:val="clear" w:color="auto" w:fill="auto"/>
            <w:noWrap/>
            <w:vAlign w:val="center"/>
            <w:hideMark/>
          </w:tcPr>
          <w:p w14:paraId="21EE13CE"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15,3</w:t>
            </w:r>
          </w:p>
        </w:tc>
      </w:tr>
      <w:tr w:rsidR="003C0FE3" w:rsidRPr="003A3832" w14:paraId="04146EF6" w14:textId="77777777" w:rsidTr="002E1FF0">
        <w:trPr>
          <w:trHeight w:val="283"/>
        </w:trPr>
        <w:tc>
          <w:tcPr>
            <w:tcW w:w="574" w:type="pct"/>
            <w:shd w:val="clear" w:color="auto" w:fill="auto"/>
            <w:noWrap/>
            <w:vAlign w:val="center"/>
            <w:hideMark/>
          </w:tcPr>
          <w:p w14:paraId="09E55D33"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0EK0G0</w:t>
            </w:r>
            <w:r>
              <w:rPr>
                <w:rFonts w:eastAsia="Times New Roman" w:cs="Segoe UI"/>
                <w:sz w:val="18"/>
                <w:szCs w:val="18"/>
                <w:lang w:eastAsia="sk-SK"/>
              </w:rPr>
              <w:t>5</w:t>
            </w:r>
          </w:p>
        </w:tc>
        <w:tc>
          <w:tcPr>
            <w:tcW w:w="2705" w:type="pct"/>
            <w:shd w:val="clear" w:color="auto" w:fill="auto"/>
            <w:noWrap/>
            <w:vAlign w:val="center"/>
            <w:hideMark/>
          </w:tcPr>
          <w:p w14:paraId="3F35201B"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Špecializovaný systém eZdravie</w:t>
            </w:r>
          </w:p>
        </w:tc>
        <w:tc>
          <w:tcPr>
            <w:tcW w:w="738" w:type="pct"/>
            <w:shd w:val="clear" w:color="auto" w:fill="auto"/>
            <w:noWrap/>
            <w:vAlign w:val="center"/>
            <w:hideMark/>
          </w:tcPr>
          <w:p w14:paraId="741D7696"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MZ SR</w:t>
            </w:r>
          </w:p>
        </w:tc>
        <w:tc>
          <w:tcPr>
            <w:tcW w:w="493" w:type="pct"/>
            <w:shd w:val="clear" w:color="auto" w:fill="auto"/>
            <w:noWrap/>
            <w:vAlign w:val="center"/>
            <w:hideMark/>
          </w:tcPr>
          <w:p w14:paraId="295B3CF9"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11,6</w:t>
            </w:r>
          </w:p>
        </w:tc>
        <w:tc>
          <w:tcPr>
            <w:tcW w:w="489" w:type="pct"/>
            <w:shd w:val="clear" w:color="auto" w:fill="auto"/>
            <w:noWrap/>
            <w:vAlign w:val="center"/>
            <w:hideMark/>
          </w:tcPr>
          <w:p w14:paraId="2C3EE643"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13,8</w:t>
            </w:r>
          </w:p>
        </w:tc>
      </w:tr>
      <w:tr w:rsidR="003C0FE3" w:rsidRPr="003A3832" w14:paraId="7C014818" w14:textId="77777777" w:rsidTr="002E1FF0">
        <w:trPr>
          <w:trHeight w:val="283"/>
        </w:trPr>
        <w:tc>
          <w:tcPr>
            <w:tcW w:w="574" w:type="pct"/>
            <w:shd w:val="clear" w:color="auto" w:fill="auto"/>
            <w:noWrap/>
            <w:vAlign w:val="center"/>
            <w:hideMark/>
          </w:tcPr>
          <w:p w14:paraId="1EF185F2"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0EK0B0</w:t>
            </w:r>
            <w:r>
              <w:rPr>
                <w:rFonts w:eastAsia="Times New Roman" w:cs="Segoe UI"/>
                <w:sz w:val="18"/>
                <w:szCs w:val="18"/>
                <w:lang w:eastAsia="sk-SK"/>
              </w:rPr>
              <w:t>K</w:t>
            </w:r>
          </w:p>
        </w:tc>
        <w:tc>
          <w:tcPr>
            <w:tcW w:w="2705" w:type="pct"/>
            <w:shd w:val="clear" w:color="auto" w:fill="auto"/>
            <w:noWrap/>
            <w:vAlign w:val="center"/>
            <w:hideMark/>
          </w:tcPr>
          <w:p w14:paraId="32AC5FB2"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Datacentrum MV SR + CYBSEC</w:t>
            </w:r>
          </w:p>
        </w:tc>
        <w:tc>
          <w:tcPr>
            <w:tcW w:w="738" w:type="pct"/>
            <w:shd w:val="clear" w:color="auto" w:fill="auto"/>
            <w:noWrap/>
            <w:vAlign w:val="center"/>
            <w:hideMark/>
          </w:tcPr>
          <w:p w14:paraId="19DFEDC8"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MV SR</w:t>
            </w:r>
          </w:p>
        </w:tc>
        <w:tc>
          <w:tcPr>
            <w:tcW w:w="493" w:type="pct"/>
            <w:shd w:val="clear" w:color="auto" w:fill="auto"/>
            <w:noWrap/>
            <w:vAlign w:val="center"/>
            <w:hideMark/>
          </w:tcPr>
          <w:p w14:paraId="3EB1DB63"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13,6</w:t>
            </w:r>
          </w:p>
        </w:tc>
        <w:tc>
          <w:tcPr>
            <w:tcW w:w="489" w:type="pct"/>
            <w:shd w:val="clear" w:color="auto" w:fill="auto"/>
            <w:noWrap/>
            <w:vAlign w:val="center"/>
            <w:hideMark/>
          </w:tcPr>
          <w:p w14:paraId="483A349D"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13,6</w:t>
            </w:r>
          </w:p>
        </w:tc>
      </w:tr>
      <w:tr w:rsidR="003C0FE3" w:rsidRPr="003A3832" w14:paraId="4B65E048" w14:textId="77777777" w:rsidTr="002E1FF0">
        <w:trPr>
          <w:trHeight w:val="283"/>
        </w:trPr>
        <w:tc>
          <w:tcPr>
            <w:tcW w:w="574" w:type="pct"/>
            <w:shd w:val="clear" w:color="auto" w:fill="auto"/>
            <w:noWrap/>
            <w:vAlign w:val="center"/>
            <w:hideMark/>
          </w:tcPr>
          <w:p w14:paraId="5837B17C"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0EK0H0</w:t>
            </w:r>
            <w:r>
              <w:rPr>
                <w:rFonts w:eastAsia="Times New Roman" w:cs="Segoe UI"/>
                <w:sz w:val="18"/>
                <w:szCs w:val="18"/>
                <w:lang w:eastAsia="sk-SK"/>
              </w:rPr>
              <w:t>3</w:t>
            </w:r>
          </w:p>
        </w:tc>
        <w:tc>
          <w:tcPr>
            <w:tcW w:w="2705" w:type="pct"/>
            <w:shd w:val="clear" w:color="auto" w:fill="auto"/>
            <w:noWrap/>
            <w:vAlign w:val="center"/>
            <w:hideMark/>
          </w:tcPr>
          <w:p w14:paraId="6BA0CA1F"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Podporná infraštruktúra pre MPSVR SR</w:t>
            </w:r>
          </w:p>
        </w:tc>
        <w:tc>
          <w:tcPr>
            <w:tcW w:w="738" w:type="pct"/>
            <w:shd w:val="clear" w:color="auto" w:fill="auto"/>
            <w:noWrap/>
            <w:vAlign w:val="center"/>
            <w:hideMark/>
          </w:tcPr>
          <w:p w14:paraId="1276EC91"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MPSVR SR</w:t>
            </w:r>
          </w:p>
        </w:tc>
        <w:tc>
          <w:tcPr>
            <w:tcW w:w="493" w:type="pct"/>
            <w:shd w:val="clear" w:color="auto" w:fill="auto"/>
            <w:noWrap/>
            <w:vAlign w:val="center"/>
            <w:hideMark/>
          </w:tcPr>
          <w:p w14:paraId="775E4054"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12,5</w:t>
            </w:r>
          </w:p>
        </w:tc>
        <w:tc>
          <w:tcPr>
            <w:tcW w:w="489" w:type="pct"/>
            <w:shd w:val="clear" w:color="auto" w:fill="auto"/>
            <w:noWrap/>
            <w:vAlign w:val="center"/>
            <w:hideMark/>
          </w:tcPr>
          <w:p w14:paraId="75D6C58E"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13,4</w:t>
            </w:r>
          </w:p>
        </w:tc>
      </w:tr>
      <w:tr w:rsidR="003C0FE3" w:rsidRPr="003A3832" w14:paraId="2CA31037" w14:textId="77777777" w:rsidTr="002E1FF0">
        <w:trPr>
          <w:trHeight w:val="283"/>
        </w:trPr>
        <w:tc>
          <w:tcPr>
            <w:tcW w:w="574" w:type="pct"/>
            <w:shd w:val="clear" w:color="auto" w:fill="auto"/>
            <w:noWrap/>
            <w:vAlign w:val="center"/>
            <w:hideMark/>
          </w:tcPr>
          <w:p w14:paraId="1E5A0233"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0EK0B0</w:t>
            </w:r>
            <w:r>
              <w:rPr>
                <w:rFonts w:eastAsia="Times New Roman" w:cs="Segoe UI"/>
                <w:sz w:val="18"/>
                <w:szCs w:val="18"/>
                <w:lang w:eastAsia="sk-SK"/>
              </w:rPr>
              <w:t>1</w:t>
            </w:r>
          </w:p>
        </w:tc>
        <w:tc>
          <w:tcPr>
            <w:tcW w:w="2705" w:type="pct"/>
            <w:shd w:val="clear" w:color="auto" w:fill="auto"/>
            <w:noWrap/>
            <w:vAlign w:val="center"/>
            <w:hideMark/>
          </w:tcPr>
          <w:p w14:paraId="7E132269"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Systémy vnútornej správy MV SR</w:t>
            </w:r>
          </w:p>
        </w:tc>
        <w:tc>
          <w:tcPr>
            <w:tcW w:w="738" w:type="pct"/>
            <w:shd w:val="clear" w:color="auto" w:fill="auto"/>
            <w:noWrap/>
            <w:vAlign w:val="center"/>
            <w:hideMark/>
          </w:tcPr>
          <w:p w14:paraId="3F1C05B7"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MV SR</w:t>
            </w:r>
          </w:p>
        </w:tc>
        <w:tc>
          <w:tcPr>
            <w:tcW w:w="493" w:type="pct"/>
            <w:shd w:val="clear" w:color="auto" w:fill="auto"/>
            <w:noWrap/>
            <w:vAlign w:val="center"/>
            <w:hideMark/>
          </w:tcPr>
          <w:p w14:paraId="311402CA"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13,4</w:t>
            </w:r>
          </w:p>
        </w:tc>
        <w:tc>
          <w:tcPr>
            <w:tcW w:w="489" w:type="pct"/>
            <w:shd w:val="clear" w:color="auto" w:fill="auto"/>
            <w:noWrap/>
            <w:vAlign w:val="center"/>
            <w:hideMark/>
          </w:tcPr>
          <w:p w14:paraId="67BBD9E5"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11,6</w:t>
            </w:r>
          </w:p>
        </w:tc>
      </w:tr>
      <w:tr w:rsidR="003C0FE3" w:rsidRPr="003A3832" w14:paraId="356EAA65" w14:textId="77777777" w:rsidTr="002E1FF0">
        <w:trPr>
          <w:trHeight w:val="283"/>
        </w:trPr>
        <w:tc>
          <w:tcPr>
            <w:tcW w:w="574" w:type="pct"/>
            <w:tcBorders>
              <w:bottom w:val="nil"/>
            </w:tcBorders>
            <w:shd w:val="clear" w:color="auto" w:fill="auto"/>
            <w:noWrap/>
            <w:vAlign w:val="center"/>
            <w:hideMark/>
          </w:tcPr>
          <w:p w14:paraId="06B1E8A6" w14:textId="77777777" w:rsidR="003C0FE3" w:rsidRPr="003A3832" w:rsidRDefault="003C0FE3" w:rsidP="002E1FF0">
            <w:pPr>
              <w:spacing w:after="0" w:line="240" w:lineRule="auto"/>
              <w:rPr>
                <w:rFonts w:eastAsia="Times New Roman" w:cs="Segoe UI"/>
                <w:sz w:val="18"/>
                <w:szCs w:val="18"/>
                <w:lang w:eastAsia="sk-SK"/>
              </w:rPr>
            </w:pPr>
            <w:r w:rsidRPr="003A3832">
              <w:rPr>
                <w:rFonts w:eastAsia="Times New Roman" w:cs="Segoe UI"/>
                <w:sz w:val="18"/>
                <w:szCs w:val="18"/>
                <w:lang w:eastAsia="sk-SK"/>
              </w:rPr>
              <w:t>0EK0C0</w:t>
            </w:r>
            <w:r>
              <w:rPr>
                <w:rFonts w:eastAsia="Times New Roman" w:cs="Segoe UI"/>
                <w:sz w:val="18"/>
                <w:szCs w:val="18"/>
                <w:lang w:eastAsia="sk-SK"/>
              </w:rPr>
              <w:t>3</w:t>
            </w:r>
          </w:p>
        </w:tc>
        <w:tc>
          <w:tcPr>
            <w:tcW w:w="2705" w:type="pct"/>
            <w:tcBorders>
              <w:bottom w:val="nil"/>
            </w:tcBorders>
            <w:shd w:val="clear" w:color="auto" w:fill="auto"/>
            <w:noWrap/>
            <w:vAlign w:val="center"/>
            <w:hideMark/>
          </w:tcPr>
          <w:p w14:paraId="7236D389"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Podporná infraštruktúra pre MS SR</w:t>
            </w:r>
          </w:p>
        </w:tc>
        <w:tc>
          <w:tcPr>
            <w:tcW w:w="738" w:type="pct"/>
            <w:tcBorders>
              <w:bottom w:val="nil"/>
            </w:tcBorders>
            <w:shd w:val="clear" w:color="auto" w:fill="auto"/>
            <w:noWrap/>
            <w:vAlign w:val="center"/>
            <w:hideMark/>
          </w:tcPr>
          <w:p w14:paraId="3C5E278E"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eastAsia="Times New Roman" w:cs="Segoe UI"/>
                <w:sz w:val="18"/>
                <w:szCs w:val="18"/>
                <w:lang w:eastAsia="sk-SK"/>
              </w:rPr>
              <w:t>MS SR</w:t>
            </w:r>
          </w:p>
        </w:tc>
        <w:tc>
          <w:tcPr>
            <w:tcW w:w="493" w:type="pct"/>
            <w:tcBorders>
              <w:bottom w:val="nil"/>
            </w:tcBorders>
            <w:shd w:val="clear" w:color="auto" w:fill="auto"/>
            <w:noWrap/>
            <w:vAlign w:val="center"/>
            <w:hideMark/>
          </w:tcPr>
          <w:p w14:paraId="032044F0"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9,1</w:t>
            </w:r>
          </w:p>
        </w:tc>
        <w:tc>
          <w:tcPr>
            <w:tcW w:w="489" w:type="pct"/>
            <w:tcBorders>
              <w:bottom w:val="nil"/>
            </w:tcBorders>
            <w:shd w:val="clear" w:color="auto" w:fill="auto"/>
            <w:noWrap/>
            <w:vAlign w:val="center"/>
            <w:hideMark/>
          </w:tcPr>
          <w:p w14:paraId="08015035" w14:textId="77777777" w:rsidR="003C0FE3" w:rsidRPr="00AF354D" w:rsidRDefault="003C0FE3" w:rsidP="002E1FF0">
            <w:pPr>
              <w:spacing w:after="0" w:line="240" w:lineRule="auto"/>
              <w:jc w:val="center"/>
              <w:rPr>
                <w:rFonts w:eastAsia="Times New Roman" w:cs="Segoe UI"/>
                <w:sz w:val="18"/>
                <w:szCs w:val="18"/>
                <w:lang w:eastAsia="sk-SK"/>
              </w:rPr>
            </w:pPr>
            <w:r w:rsidRPr="00AF354D">
              <w:rPr>
                <w:rFonts w:cs="Segoe UI"/>
                <w:sz w:val="18"/>
                <w:szCs w:val="18"/>
              </w:rPr>
              <w:t>10,4</w:t>
            </w:r>
          </w:p>
        </w:tc>
      </w:tr>
      <w:tr w:rsidR="003C0FE3" w:rsidRPr="003A3832" w14:paraId="7423E3C0" w14:textId="77777777" w:rsidTr="002E1FF0">
        <w:trPr>
          <w:trHeight w:val="283"/>
        </w:trPr>
        <w:tc>
          <w:tcPr>
            <w:tcW w:w="574" w:type="pct"/>
            <w:tcBorders>
              <w:bottom w:val="single" w:sz="4" w:space="0" w:color="314364" w:themeColor="text2"/>
            </w:tcBorders>
            <w:shd w:val="clear" w:color="auto" w:fill="auto"/>
            <w:noWrap/>
            <w:vAlign w:val="center"/>
          </w:tcPr>
          <w:p w14:paraId="718BA471" w14:textId="77777777" w:rsidR="003C0FE3" w:rsidRPr="003A3832" w:rsidRDefault="003C0FE3" w:rsidP="002E1FF0">
            <w:pPr>
              <w:spacing w:after="0" w:line="240" w:lineRule="auto"/>
              <w:rPr>
                <w:rFonts w:eastAsia="Times New Roman" w:cs="Segoe UI"/>
                <w:sz w:val="18"/>
                <w:szCs w:val="18"/>
                <w:lang w:eastAsia="sk-SK"/>
              </w:rPr>
            </w:pPr>
          </w:p>
        </w:tc>
        <w:tc>
          <w:tcPr>
            <w:tcW w:w="2705" w:type="pct"/>
            <w:tcBorders>
              <w:bottom w:val="single" w:sz="4" w:space="0" w:color="314364" w:themeColor="text2"/>
            </w:tcBorders>
            <w:shd w:val="clear" w:color="auto" w:fill="auto"/>
            <w:noWrap/>
            <w:vAlign w:val="center"/>
          </w:tcPr>
          <w:p w14:paraId="15308A13"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sz w:val="18"/>
                <w:szCs w:val="18"/>
                <w:lang w:eastAsia="sk-SK"/>
              </w:rPr>
              <w:t>Ostatné prvky kapitol štátneho rozpočtu</w:t>
            </w:r>
            <w:r w:rsidRPr="00AF354D" w:rsidDel="001E077F">
              <w:rPr>
                <w:rFonts w:eastAsia="Times New Roman" w:cs="Segoe UI"/>
                <w:b/>
                <w:bCs/>
                <w:sz w:val="18"/>
                <w:szCs w:val="18"/>
                <w:lang w:eastAsia="sk-SK"/>
              </w:rPr>
              <w:t xml:space="preserve"> </w:t>
            </w:r>
          </w:p>
        </w:tc>
        <w:tc>
          <w:tcPr>
            <w:tcW w:w="738" w:type="pct"/>
            <w:tcBorders>
              <w:bottom w:val="single" w:sz="4" w:space="0" w:color="314364" w:themeColor="text2"/>
            </w:tcBorders>
            <w:shd w:val="clear" w:color="auto" w:fill="auto"/>
            <w:noWrap/>
            <w:vAlign w:val="center"/>
          </w:tcPr>
          <w:p w14:paraId="022DBAAC" w14:textId="77777777" w:rsidR="003C0FE3" w:rsidRPr="00AF354D" w:rsidRDefault="003C0FE3" w:rsidP="002E1FF0">
            <w:pPr>
              <w:spacing w:after="0" w:line="240" w:lineRule="auto"/>
              <w:jc w:val="center"/>
              <w:rPr>
                <w:rFonts w:eastAsia="Times New Roman" w:cs="Segoe UI"/>
                <w:sz w:val="18"/>
                <w:szCs w:val="18"/>
                <w:lang w:eastAsia="sk-SK"/>
              </w:rPr>
            </w:pPr>
          </w:p>
        </w:tc>
        <w:tc>
          <w:tcPr>
            <w:tcW w:w="493" w:type="pct"/>
            <w:tcBorders>
              <w:bottom w:val="single" w:sz="4" w:space="0" w:color="314364" w:themeColor="text2"/>
            </w:tcBorders>
            <w:shd w:val="clear" w:color="auto" w:fill="auto"/>
            <w:noWrap/>
            <w:vAlign w:val="center"/>
          </w:tcPr>
          <w:p w14:paraId="2F5EFBB4" w14:textId="77777777" w:rsidR="003C0FE3" w:rsidRPr="00AF354D" w:rsidRDefault="003C0FE3" w:rsidP="002E1FF0">
            <w:pPr>
              <w:spacing w:after="0" w:line="240" w:lineRule="auto"/>
              <w:jc w:val="center"/>
              <w:rPr>
                <w:rFonts w:cs="Segoe UI"/>
                <w:sz w:val="18"/>
                <w:szCs w:val="18"/>
              </w:rPr>
            </w:pPr>
            <w:r w:rsidRPr="00AF354D">
              <w:rPr>
                <w:rFonts w:eastAsia="Times New Roman" w:cs="Segoe UI"/>
                <w:sz w:val="18"/>
                <w:szCs w:val="18"/>
                <w:lang w:eastAsia="sk-SK"/>
              </w:rPr>
              <w:t>263,4</w:t>
            </w:r>
          </w:p>
        </w:tc>
        <w:tc>
          <w:tcPr>
            <w:tcW w:w="489" w:type="pct"/>
            <w:tcBorders>
              <w:bottom w:val="single" w:sz="4" w:space="0" w:color="314364" w:themeColor="text2"/>
            </w:tcBorders>
            <w:shd w:val="clear" w:color="auto" w:fill="auto"/>
            <w:noWrap/>
            <w:vAlign w:val="center"/>
          </w:tcPr>
          <w:p w14:paraId="69EAEA1A" w14:textId="77777777" w:rsidR="003C0FE3" w:rsidRPr="00AF354D" w:rsidRDefault="003C0FE3" w:rsidP="002E1FF0">
            <w:pPr>
              <w:spacing w:after="0" w:line="240" w:lineRule="auto"/>
              <w:jc w:val="center"/>
              <w:rPr>
                <w:rFonts w:cs="Segoe UI"/>
                <w:sz w:val="18"/>
                <w:szCs w:val="18"/>
              </w:rPr>
            </w:pPr>
            <w:r w:rsidRPr="00AF354D">
              <w:rPr>
                <w:rFonts w:eastAsia="Times New Roman" w:cs="Segoe UI"/>
                <w:sz w:val="18"/>
                <w:szCs w:val="18"/>
                <w:lang w:eastAsia="sk-SK"/>
              </w:rPr>
              <w:t>257</w:t>
            </w:r>
            <w:r>
              <w:rPr>
                <w:rFonts w:eastAsia="Times New Roman" w:cs="Segoe UI"/>
                <w:sz w:val="18"/>
                <w:szCs w:val="18"/>
                <w:lang w:eastAsia="sk-SK"/>
              </w:rPr>
              <w:t>,5</w:t>
            </w:r>
          </w:p>
        </w:tc>
      </w:tr>
      <w:tr w:rsidR="003C0FE3" w:rsidRPr="003A3832" w14:paraId="5DD42E29" w14:textId="77777777" w:rsidTr="002E1FF0">
        <w:trPr>
          <w:trHeight w:val="283"/>
        </w:trPr>
        <w:tc>
          <w:tcPr>
            <w:tcW w:w="574" w:type="pct"/>
            <w:tcBorders>
              <w:top w:val="single" w:sz="4" w:space="0" w:color="314364" w:themeColor="text2"/>
            </w:tcBorders>
            <w:shd w:val="clear" w:color="auto" w:fill="auto"/>
            <w:noWrap/>
            <w:vAlign w:val="center"/>
          </w:tcPr>
          <w:p w14:paraId="1FE523B4" w14:textId="77777777" w:rsidR="003C0FE3" w:rsidRPr="003A3832" w:rsidRDefault="003C0FE3" w:rsidP="002E1FF0">
            <w:pPr>
              <w:spacing w:after="0" w:line="240" w:lineRule="auto"/>
              <w:rPr>
                <w:rFonts w:eastAsia="Times New Roman" w:cs="Segoe UI"/>
                <w:sz w:val="18"/>
                <w:szCs w:val="18"/>
                <w:lang w:eastAsia="sk-SK"/>
              </w:rPr>
            </w:pPr>
          </w:p>
        </w:tc>
        <w:tc>
          <w:tcPr>
            <w:tcW w:w="2705" w:type="pct"/>
            <w:tcBorders>
              <w:top w:val="single" w:sz="4" w:space="0" w:color="314364" w:themeColor="text2"/>
            </w:tcBorders>
            <w:shd w:val="clear" w:color="auto" w:fill="auto"/>
            <w:noWrap/>
            <w:vAlign w:val="center"/>
          </w:tcPr>
          <w:p w14:paraId="34977A0C" w14:textId="77777777" w:rsidR="003C0FE3" w:rsidRPr="00AF354D" w:rsidRDefault="003C0FE3" w:rsidP="002E1FF0">
            <w:pPr>
              <w:spacing w:after="0" w:line="240" w:lineRule="auto"/>
              <w:rPr>
                <w:rFonts w:eastAsia="Times New Roman" w:cs="Segoe UI"/>
                <w:sz w:val="18"/>
                <w:szCs w:val="18"/>
                <w:lang w:eastAsia="sk-SK"/>
              </w:rPr>
            </w:pPr>
            <w:r w:rsidRPr="00AF354D">
              <w:rPr>
                <w:rFonts w:eastAsia="Times New Roman" w:cs="Segoe UI"/>
                <w:b/>
                <w:bCs/>
                <w:sz w:val="18"/>
                <w:szCs w:val="18"/>
                <w:lang w:eastAsia="sk-SK"/>
              </w:rPr>
              <w:t>SPOLU</w:t>
            </w:r>
          </w:p>
        </w:tc>
        <w:tc>
          <w:tcPr>
            <w:tcW w:w="738" w:type="pct"/>
            <w:tcBorders>
              <w:top w:val="single" w:sz="4" w:space="0" w:color="314364" w:themeColor="text2"/>
            </w:tcBorders>
            <w:shd w:val="clear" w:color="auto" w:fill="auto"/>
            <w:noWrap/>
            <w:vAlign w:val="center"/>
          </w:tcPr>
          <w:p w14:paraId="3231E70A" w14:textId="77777777" w:rsidR="003C0FE3" w:rsidRPr="00AF354D" w:rsidRDefault="003C0FE3" w:rsidP="002E1FF0">
            <w:pPr>
              <w:spacing w:after="0" w:line="240" w:lineRule="auto"/>
              <w:jc w:val="center"/>
              <w:rPr>
                <w:rFonts w:eastAsia="Times New Roman" w:cs="Segoe UI"/>
                <w:sz w:val="18"/>
                <w:szCs w:val="18"/>
                <w:lang w:eastAsia="sk-SK"/>
              </w:rPr>
            </w:pPr>
          </w:p>
        </w:tc>
        <w:tc>
          <w:tcPr>
            <w:tcW w:w="493" w:type="pct"/>
            <w:tcBorders>
              <w:top w:val="single" w:sz="4" w:space="0" w:color="314364" w:themeColor="text2"/>
            </w:tcBorders>
            <w:shd w:val="clear" w:color="auto" w:fill="auto"/>
            <w:noWrap/>
            <w:vAlign w:val="center"/>
          </w:tcPr>
          <w:p w14:paraId="3F794BD1" w14:textId="77777777" w:rsidR="003C0FE3" w:rsidRPr="00AF354D" w:rsidRDefault="003C0FE3" w:rsidP="002E1FF0">
            <w:pPr>
              <w:spacing w:after="0" w:line="240" w:lineRule="auto"/>
              <w:jc w:val="center"/>
              <w:rPr>
                <w:rFonts w:cs="Segoe UI"/>
                <w:sz w:val="18"/>
                <w:szCs w:val="18"/>
              </w:rPr>
            </w:pPr>
            <w:r w:rsidRPr="00AF354D">
              <w:rPr>
                <w:rFonts w:eastAsia="Times New Roman" w:cs="Segoe UI"/>
                <w:b/>
                <w:bCs/>
                <w:sz w:val="18"/>
                <w:szCs w:val="18"/>
                <w:lang w:eastAsia="sk-SK"/>
              </w:rPr>
              <w:t>586</w:t>
            </w:r>
            <w:r>
              <w:rPr>
                <w:rFonts w:eastAsia="Times New Roman" w:cs="Segoe UI"/>
                <w:b/>
                <w:bCs/>
                <w:sz w:val="18"/>
                <w:szCs w:val="18"/>
                <w:lang w:eastAsia="sk-SK"/>
              </w:rPr>
              <w:t>,8</w:t>
            </w:r>
          </w:p>
        </w:tc>
        <w:tc>
          <w:tcPr>
            <w:tcW w:w="489" w:type="pct"/>
            <w:tcBorders>
              <w:top w:val="single" w:sz="4" w:space="0" w:color="314364" w:themeColor="text2"/>
            </w:tcBorders>
            <w:shd w:val="clear" w:color="auto" w:fill="auto"/>
            <w:noWrap/>
            <w:vAlign w:val="center"/>
          </w:tcPr>
          <w:p w14:paraId="2B5E5AF5" w14:textId="77777777" w:rsidR="003C0FE3" w:rsidRPr="00AF354D" w:rsidRDefault="003C0FE3" w:rsidP="002E1FF0">
            <w:pPr>
              <w:spacing w:after="0" w:line="240" w:lineRule="auto"/>
              <w:jc w:val="center"/>
              <w:rPr>
                <w:rFonts w:cs="Segoe UI"/>
                <w:sz w:val="18"/>
                <w:szCs w:val="18"/>
              </w:rPr>
            </w:pPr>
            <w:r w:rsidRPr="00AF354D">
              <w:rPr>
                <w:rFonts w:eastAsia="Times New Roman" w:cs="Segoe UI"/>
                <w:b/>
                <w:bCs/>
                <w:sz w:val="18"/>
                <w:szCs w:val="18"/>
                <w:lang w:eastAsia="sk-SK"/>
              </w:rPr>
              <w:t>621</w:t>
            </w:r>
            <w:r>
              <w:rPr>
                <w:rFonts w:eastAsia="Times New Roman" w:cs="Segoe UI"/>
                <w:b/>
                <w:bCs/>
                <w:sz w:val="18"/>
                <w:szCs w:val="18"/>
                <w:lang w:eastAsia="sk-SK"/>
              </w:rPr>
              <w:t>,5</w:t>
            </w:r>
          </w:p>
        </w:tc>
      </w:tr>
    </w:tbl>
    <w:bookmarkEnd w:id="25"/>
    <w:p w14:paraId="2FFBCDD6" w14:textId="78592A81" w:rsidR="003C0FE3" w:rsidRDefault="003C0FE3" w:rsidP="00123066">
      <w:pPr>
        <w:pStyle w:val="Zdroj"/>
        <w:spacing w:after="0"/>
        <w:rPr>
          <w:lang w:eastAsia="sk-SK"/>
        </w:rPr>
      </w:pPr>
      <w:r w:rsidRPr="00C676FE">
        <w:rPr>
          <w:lang w:eastAsia="sk-SK"/>
        </w:rPr>
        <w:t xml:space="preserve">Zdroj: </w:t>
      </w:r>
      <w:r>
        <w:rPr>
          <w:lang w:eastAsia="sk-SK"/>
        </w:rPr>
        <w:t>RIS</w:t>
      </w:r>
      <w:r w:rsidR="00123066">
        <w:rPr>
          <w:lang w:eastAsia="sk-SK"/>
        </w:rPr>
        <w:t>.</w:t>
      </w:r>
    </w:p>
    <w:p w14:paraId="5A5C34CA" w14:textId="29A920A1" w:rsidR="00123066" w:rsidRPr="00C676FE" w:rsidRDefault="00123066" w:rsidP="00123066">
      <w:pPr>
        <w:pStyle w:val="Zdroj"/>
        <w:jc w:val="both"/>
        <w:rPr>
          <w:lang w:eastAsia="sk-SK"/>
        </w:rPr>
      </w:pPr>
      <w:r>
        <w:rPr>
          <w:lang w:eastAsia="sk-SK"/>
        </w:rPr>
        <w:t xml:space="preserve">*Poznámka: Prečerpanie bolo spôsobené hlavne nerozpočtovanými bežnými výdavkami na nákup </w:t>
      </w:r>
      <w:r w:rsidR="00C36DCD">
        <w:rPr>
          <w:lang w:eastAsia="sk-SK"/>
        </w:rPr>
        <w:t xml:space="preserve">18 tis. ks </w:t>
      </w:r>
      <w:r>
        <w:rPr>
          <w:lang w:eastAsia="sk-SK"/>
        </w:rPr>
        <w:t xml:space="preserve">licencií </w:t>
      </w:r>
      <w:proofErr w:type="spellStart"/>
      <w:r>
        <w:rPr>
          <w:lang w:eastAsia="sk-SK"/>
        </w:rPr>
        <w:t>Fabasoft</w:t>
      </w:r>
      <w:proofErr w:type="spellEnd"/>
      <w:r>
        <w:rPr>
          <w:lang w:eastAsia="sk-SK"/>
        </w:rPr>
        <w:t>, nákupom licencií na ochranu koncových pracovných staníc EDR v dôsledku narastajúcich kybernetických incidentov a</w:t>
      </w:r>
      <w:r w:rsidRPr="00123066">
        <w:rPr>
          <w:lang w:eastAsia="sk-SK"/>
        </w:rPr>
        <w:t xml:space="preserve"> </w:t>
      </w:r>
      <w:r>
        <w:rPr>
          <w:lang w:eastAsia="sk-SK"/>
        </w:rPr>
        <w:t>aktualizáciou SW vybavenia pre Kriminálno-expertízny ústav. Časť prečerpania za kapitálové výdavky (48,8 mil. eur) bola spôsobená rozpočtovaním na inom prvku a iné zdroje boli presunuté z dôvodu zmeny zákona o rozpočtových pravidlách z iných prvkov  (projekt SITNO – presun z prvku Podporná infraštruktúra pre MV SR).</w:t>
      </w:r>
    </w:p>
    <w:p w14:paraId="7D40AE08" w14:textId="52752A38" w:rsidR="00160F4C" w:rsidRDefault="00160F4C" w:rsidP="00160F4C">
      <w:pPr>
        <w:pStyle w:val="Nadpis2"/>
        <w:spacing w:before="0"/>
      </w:pPr>
      <w:bookmarkStart w:id="26" w:name="_Toc198637723"/>
      <w:r>
        <w:t>3.</w:t>
      </w:r>
      <w:r w:rsidR="00FA5818">
        <w:t>3</w:t>
      </w:r>
      <w:r>
        <w:t xml:space="preserve"> </w:t>
      </w:r>
      <w:r w:rsidR="00E43045">
        <w:t xml:space="preserve"> </w:t>
      </w:r>
      <w:r>
        <w:t>Rozpočtové rezervy</w:t>
      </w:r>
      <w:bookmarkEnd w:id="26"/>
    </w:p>
    <w:p w14:paraId="3A0FC00D" w14:textId="2B0E49A3" w:rsidR="006362C1" w:rsidRDefault="006362C1" w:rsidP="006362C1">
      <w:pPr>
        <w:rPr>
          <w:rFonts w:eastAsia="Times New Roman" w:cs="Segoe UI"/>
          <w:szCs w:val="20"/>
        </w:rPr>
      </w:pPr>
      <w:r w:rsidRPr="00D36EBF">
        <w:rPr>
          <w:rFonts w:eastAsia="Times New Roman" w:cs="Segoe UI"/>
          <w:b/>
          <w:szCs w:val="20"/>
        </w:rPr>
        <w:t xml:space="preserve">Rozpočtová alokácia rezerv na rok 2024 vo výške 2,5 mld. eur nebola vyčerpaná, keď pri čerpaní ku koncu roka </w:t>
      </w:r>
      <w:r w:rsidR="00F83757">
        <w:rPr>
          <w:rFonts w:eastAsia="Times New Roman" w:cs="Segoe UI"/>
          <w:b/>
          <w:szCs w:val="20"/>
        </w:rPr>
        <w:t>z</w:t>
      </w:r>
      <w:r w:rsidRPr="00D36EBF">
        <w:rPr>
          <w:rFonts w:eastAsia="Times New Roman" w:cs="Segoe UI"/>
          <w:b/>
          <w:szCs w:val="20"/>
        </w:rPr>
        <w:t>ostalo 0,3 mld. eur</w:t>
      </w:r>
      <w:r w:rsidR="00F83757">
        <w:rPr>
          <w:rFonts w:eastAsia="Times New Roman" w:cs="Segoe UI"/>
          <w:b/>
          <w:szCs w:val="20"/>
        </w:rPr>
        <w:t xml:space="preserve"> </w:t>
      </w:r>
      <w:r w:rsidR="00F83757">
        <w:rPr>
          <w:rFonts w:eastAsia="Times New Roman" w:cs="Segoe UI"/>
          <w:szCs w:val="20"/>
        </w:rPr>
        <w:t xml:space="preserve">(tabuľka </w:t>
      </w:r>
      <w:r w:rsidR="00AE4675">
        <w:rPr>
          <w:rFonts w:eastAsia="Times New Roman" w:cs="Segoe UI"/>
          <w:szCs w:val="20"/>
        </w:rPr>
        <w:t>1</w:t>
      </w:r>
      <w:r w:rsidR="00EF2A4E">
        <w:rPr>
          <w:rFonts w:eastAsia="Times New Roman" w:cs="Segoe UI"/>
          <w:szCs w:val="20"/>
        </w:rPr>
        <w:t>2</w:t>
      </w:r>
      <w:r w:rsidR="00F83757">
        <w:rPr>
          <w:rFonts w:eastAsia="Times New Roman" w:cs="Segoe UI"/>
          <w:szCs w:val="20"/>
        </w:rPr>
        <w:t>)</w:t>
      </w:r>
      <w:r w:rsidRPr="00D36EBF">
        <w:rPr>
          <w:rFonts w:eastAsia="Times New Roman" w:cs="Segoe UI"/>
          <w:b/>
          <w:szCs w:val="20"/>
        </w:rPr>
        <w:t>.</w:t>
      </w:r>
      <w:r w:rsidRPr="00D36EBF">
        <w:rPr>
          <w:rFonts w:eastAsia="Times New Roman" w:cs="Segoe UI"/>
          <w:szCs w:val="20"/>
        </w:rPr>
        <w:t xml:space="preserve"> Nastal tak opačný prípad oproti roku 2023, keď bolo zo schválených rozpočtových rezerv vo výške 2,4 mld. eur uvoľnených ku koncu roka 4,3 mld. eur, čiže o 1,9 mld. eur viac. Štruktúra najvýznamnejších položiek je medziročne stabilná, najväčšia rezerva je </w:t>
      </w:r>
      <w:r w:rsidRPr="00D36EBF">
        <w:rPr>
          <w:rFonts w:eastAsia="Times New Roman" w:cs="Segoe UI"/>
          <w:szCs w:val="20"/>
        </w:rPr>
        <w:lastRenderedPageBreak/>
        <w:t xml:space="preserve">tvorená na riešenie vplyvov legislatívnych zmien (1,2 mld. eur), nasledovaná rezervou na </w:t>
      </w:r>
      <w:proofErr w:type="spellStart"/>
      <w:r w:rsidRPr="00D36EBF">
        <w:rPr>
          <w:rFonts w:eastAsia="Times New Roman" w:cs="Segoe UI"/>
          <w:szCs w:val="20"/>
        </w:rPr>
        <w:t>energopomoc</w:t>
      </w:r>
      <w:proofErr w:type="spellEnd"/>
      <w:r w:rsidRPr="00D36EBF">
        <w:rPr>
          <w:rFonts w:eastAsia="Times New Roman" w:cs="Segoe UI"/>
          <w:szCs w:val="20"/>
        </w:rPr>
        <w:t xml:space="preserve"> (0,8 mld. eur) a rezervou na mzdy a poistné (0,14 mld. </w:t>
      </w:r>
      <w:r w:rsidR="00C36DCD">
        <w:rPr>
          <w:rFonts w:eastAsia="Times New Roman" w:cs="Segoe UI"/>
          <w:szCs w:val="20"/>
        </w:rPr>
        <w:t>eur).</w:t>
      </w:r>
    </w:p>
    <w:p w14:paraId="5E42AE12" w14:textId="77777777" w:rsidR="00C36DCD" w:rsidRPr="00D730DB" w:rsidRDefault="00C36DCD" w:rsidP="00C36DCD">
      <w:pPr>
        <w:rPr>
          <w:rFonts w:eastAsia="Times New Roman" w:cs="Segoe UI"/>
          <w:b/>
          <w:szCs w:val="20"/>
        </w:rPr>
      </w:pPr>
      <w:r w:rsidRPr="00F83757">
        <w:rPr>
          <w:rFonts w:eastAsia="Times New Roman" w:cs="Segoe UI"/>
          <w:b/>
          <w:szCs w:val="20"/>
        </w:rPr>
        <w:t>Rezerva na riešenie vplyvov legislatívnych zmien bola použitá takmer celá vo výške 1 222,6 mil. eur, keď ku koncu roka ostalo nevyčerpaných 9,1 mil. eur.</w:t>
      </w:r>
      <w:r w:rsidRPr="00D36EBF">
        <w:rPr>
          <w:rFonts w:eastAsia="Times New Roman" w:cs="Segoe UI"/>
          <w:szCs w:val="20"/>
        </w:rPr>
        <w:t xml:space="preserve"> Z tejto rezervy bolo kapitolám v priebehu roka uvoľnených 112,2 mil. eur, najviac novému MCRŠ SR spolu 100 mil. eur. Tieto smerovali najmä na transfer pre Fond na podporu športu (53,0 mil. eur), na projekt výstavby multifunkčnej športovej haly v Šamoríne (20 mil. eur) a na podporu športových podujatí a príspevok športovým organizáciám (15,2 mil. eur). </w:t>
      </w:r>
      <w:r w:rsidRPr="00D730DB">
        <w:rPr>
          <w:rFonts w:eastAsia="Times New Roman" w:cs="Segoe UI"/>
          <w:b/>
          <w:szCs w:val="20"/>
        </w:rPr>
        <w:t xml:space="preserve">Zvyšok tohto titulu vo výške 1 110,5 mil. eur bol využitý na zabezpečenie platobnej schopnosti SP a na výplatu 13. dôchodku. </w:t>
      </w:r>
    </w:p>
    <w:p w14:paraId="7C812B63" w14:textId="77777777" w:rsidR="00C36DCD" w:rsidRPr="00D36EBF" w:rsidRDefault="00C36DCD" w:rsidP="00C36DCD">
      <w:pPr>
        <w:rPr>
          <w:rFonts w:eastAsia="Times New Roman" w:cs="Segoe UI"/>
          <w:szCs w:val="20"/>
        </w:rPr>
      </w:pPr>
      <w:r w:rsidRPr="00F83757">
        <w:rPr>
          <w:rFonts w:eastAsia="Times New Roman" w:cs="Segoe UI"/>
          <w:b/>
          <w:szCs w:val="20"/>
        </w:rPr>
        <w:t xml:space="preserve">Rezerva na kompenzačné opatrenia súvisiace s rastom cien energií, tzv. </w:t>
      </w:r>
      <w:proofErr w:type="spellStart"/>
      <w:r w:rsidRPr="00F83757">
        <w:rPr>
          <w:rFonts w:eastAsia="Times New Roman" w:cs="Segoe UI"/>
          <w:b/>
          <w:szCs w:val="20"/>
        </w:rPr>
        <w:t>energopomoc</w:t>
      </w:r>
      <w:proofErr w:type="spellEnd"/>
      <w:r w:rsidRPr="00F83757">
        <w:rPr>
          <w:rFonts w:eastAsia="Times New Roman" w:cs="Segoe UI"/>
          <w:b/>
          <w:szCs w:val="20"/>
        </w:rPr>
        <w:t>, bola vytvorená vo výške 800 mil. eur a celá sa uvoľnila v prospech MH SR.</w:t>
      </w:r>
      <w:r w:rsidRPr="00D36EBF">
        <w:rPr>
          <w:rFonts w:eastAsia="Times New Roman" w:cs="Segoe UI"/>
          <w:szCs w:val="20"/>
        </w:rPr>
        <w:t xml:space="preserve"> Rezerva na mzdy a poistné bola vytvorená vo výške 175,4 mil. eur a jednotlivým kapitolám </w:t>
      </w:r>
      <w:r>
        <w:rPr>
          <w:rFonts w:eastAsia="Times New Roman" w:cs="Segoe UI"/>
          <w:szCs w:val="20"/>
        </w:rPr>
        <w:t>sa</w:t>
      </w:r>
      <w:r w:rsidRPr="00D36EBF">
        <w:rPr>
          <w:rFonts w:eastAsia="Times New Roman" w:cs="Segoe UI"/>
          <w:szCs w:val="20"/>
        </w:rPr>
        <w:t xml:space="preserve"> uvoľn</w:t>
      </w:r>
      <w:r>
        <w:rPr>
          <w:rFonts w:eastAsia="Times New Roman" w:cs="Segoe UI"/>
          <w:szCs w:val="20"/>
        </w:rPr>
        <w:t>ilo</w:t>
      </w:r>
      <w:r w:rsidRPr="00D36EBF">
        <w:rPr>
          <w:rFonts w:eastAsia="Times New Roman" w:cs="Segoe UI"/>
          <w:szCs w:val="20"/>
        </w:rPr>
        <w:t xml:space="preserve"> 137,9 mil. eur predovšetkým na krytie zvýšených odvodov do </w:t>
      </w:r>
      <w:r>
        <w:rPr>
          <w:rFonts w:eastAsia="Times New Roman" w:cs="Segoe UI"/>
          <w:szCs w:val="20"/>
        </w:rPr>
        <w:t>ZP</w:t>
      </w:r>
      <w:r w:rsidRPr="00D36EBF">
        <w:rPr>
          <w:rFonts w:eastAsia="Times New Roman" w:cs="Segoe UI"/>
          <w:szCs w:val="20"/>
        </w:rPr>
        <w:t xml:space="preserve"> o 1 %, na vyplatenie rodičovských dôchodkov, na platy ústavných činiteľov, sudcov, prokurátorov a verejných činiteľov či na odchodné a odstupné. </w:t>
      </w:r>
    </w:p>
    <w:p w14:paraId="0597C26C" w14:textId="77777777" w:rsidR="003C0FE3" w:rsidRPr="00D36EBF" w:rsidRDefault="003C0FE3" w:rsidP="003C0FE3">
      <w:pPr>
        <w:spacing w:after="0"/>
        <w:rPr>
          <w:rFonts w:eastAsia="Calibri" w:cs="Times New Roman"/>
          <w:b/>
          <w:iCs/>
          <w:color w:val="314364"/>
          <w:szCs w:val="18"/>
        </w:rPr>
      </w:pPr>
      <w:r w:rsidRPr="00D36EBF">
        <w:rPr>
          <w:rFonts w:eastAsia="Calibri" w:cs="Times New Roman"/>
          <w:b/>
          <w:iCs/>
          <w:color w:val="314364"/>
          <w:szCs w:val="18"/>
        </w:rPr>
        <w:t xml:space="preserve">Tabuľka </w:t>
      </w:r>
      <w:r>
        <w:rPr>
          <w:rFonts w:eastAsia="Calibri" w:cs="Times New Roman"/>
          <w:b/>
          <w:iCs/>
          <w:color w:val="314364"/>
          <w:szCs w:val="18"/>
        </w:rPr>
        <w:t>12</w:t>
      </w:r>
      <w:r w:rsidRPr="00D36EBF">
        <w:rPr>
          <w:rFonts w:eastAsia="Calibri" w:cs="Times New Roman"/>
          <w:b/>
          <w:iCs/>
          <w:color w:val="314364"/>
          <w:szCs w:val="18"/>
        </w:rPr>
        <w:t>: Hospodárenie s rezervami v rokoch 2023 a 2024 (v tis. eur)</w:t>
      </w:r>
    </w:p>
    <w:tbl>
      <w:tblPr>
        <w:tblW w:w="5057" w:type="pct"/>
        <w:tblBorders>
          <w:bottom w:val="single" w:sz="4" w:space="0" w:color="314364"/>
          <w:insideH w:val="single" w:sz="4" w:space="0" w:color="auto"/>
        </w:tblBorders>
        <w:tblLayout w:type="fixed"/>
        <w:tblCellMar>
          <w:left w:w="70" w:type="dxa"/>
          <w:right w:w="70" w:type="dxa"/>
        </w:tblCellMar>
        <w:tblLook w:val="04A0" w:firstRow="1" w:lastRow="0" w:firstColumn="1" w:lastColumn="0" w:noHBand="0" w:noVBand="1"/>
      </w:tblPr>
      <w:tblGrid>
        <w:gridCol w:w="3833"/>
        <w:gridCol w:w="1070"/>
        <w:gridCol w:w="1068"/>
        <w:gridCol w:w="1068"/>
        <w:gridCol w:w="991"/>
        <w:gridCol w:w="1143"/>
      </w:tblGrid>
      <w:tr w:rsidR="003C0FE3" w:rsidRPr="00D36EBF" w14:paraId="108F2492" w14:textId="77777777" w:rsidTr="002E1FF0">
        <w:trPr>
          <w:trHeight w:val="283"/>
        </w:trPr>
        <w:tc>
          <w:tcPr>
            <w:tcW w:w="2090" w:type="pct"/>
            <w:tcBorders>
              <w:bottom w:val="nil"/>
            </w:tcBorders>
            <w:shd w:val="clear" w:color="auto" w:fill="314364"/>
            <w:vAlign w:val="center"/>
            <w:hideMark/>
          </w:tcPr>
          <w:p w14:paraId="2A0A543F" w14:textId="77777777" w:rsidR="003C0FE3" w:rsidRPr="00D36EBF" w:rsidRDefault="003C0FE3" w:rsidP="002E1FF0">
            <w:pPr>
              <w:spacing w:after="0"/>
              <w:jc w:val="left"/>
              <w:rPr>
                <w:rFonts w:eastAsia="Times New Roman" w:cs="Segoe UI"/>
                <w:b/>
                <w:bCs/>
                <w:color w:val="FFFFFF"/>
                <w:sz w:val="16"/>
                <w:szCs w:val="16"/>
                <w:lang w:eastAsia="sk-SK"/>
              </w:rPr>
            </w:pPr>
            <w:r w:rsidRPr="00D36EBF">
              <w:rPr>
                <w:rFonts w:eastAsia="Times New Roman" w:cs="Segoe UI"/>
                <w:b/>
                <w:bCs/>
                <w:color w:val="FFFFFF"/>
                <w:sz w:val="16"/>
                <w:szCs w:val="16"/>
                <w:lang w:eastAsia="sk-SK"/>
              </w:rPr>
              <w:t>Ukazovateľ</w:t>
            </w:r>
          </w:p>
        </w:tc>
        <w:tc>
          <w:tcPr>
            <w:tcW w:w="583" w:type="pct"/>
            <w:tcBorders>
              <w:bottom w:val="nil"/>
            </w:tcBorders>
            <w:shd w:val="clear" w:color="auto" w:fill="314364"/>
            <w:vAlign w:val="center"/>
          </w:tcPr>
          <w:p w14:paraId="694EB267" w14:textId="77777777" w:rsidR="003C0FE3" w:rsidRPr="00D36EBF" w:rsidRDefault="003C0FE3" w:rsidP="002E1FF0">
            <w:pPr>
              <w:spacing w:after="0"/>
              <w:jc w:val="right"/>
              <w:rPr>
                <w:rFonts w:eastAsia="Times New Roman" w:cs="Segoe UI"/>
                <w:b/>
                <w:bCs/>
                <w:color w:val="FFFFFF"/>
                <w:sz w:val="16"/>
                <w:szCs w:val="16"/>
                <w:lang w:eastAsia="sk-SK"/>
              </w:rPr>
            </w:pPr>
            <w:r w:rsidRPr="00D36EBF">
              <w:rPr>
                <w:rFonts w:eastAsia="Times New Roman" w:cs="Segoe UI"/>
                <w:b/>
                <w:bCs/>
                <w:color w:val="FFFFFF"/>
                <w:sz w:val="16"/>
                <w:szCs w:val="16"/>
                <w:lang w:eastAsia="sk-SK"/>
              </w:rPr>
              <w:t>Uvoľnené 2023**</w:t>
            </w:r>
          </w:p>
        </w:tc>
        <w:tc>
          <w:tcPr>
            <w:tcW w:w="582" w:type="pct"/>
            <w:tcBorders>
              <w:bottom w:val="nil"/>
            </w:tcBorders>
            <w:shd w:val="clear" w:color="auto" w:fill="314364"/>
            <w:vAlign w:val="center"/>
            <w:hideMark/>
          </w:tcPr>
          <w:p w14:paraId="0B1EF822" w14:textId="77777777" w:rsidR="003C0FE3" w:rsidRPr="00D36EBF" w:rsidRDefault="003C0FE3" w:rsidP="002E1FF0">
            <w:pPr>
              <w:spacing w:after="0"/>
              <w:jc w:val="right"/>
              <w:rPr>
                <w:rFonts w:eastAsia="Times New Roman" w:cs="Segoe UI"/>
                <w:b/>
                <w:bCs/>
                <w:color w:val="FFFFFF"/>
                <w:sz w:val="16"/>
                <w:szCs w:val="16"/>
                <w:lang w:eastAsia="sk-SK"/>
              </w:rPr>
            </w:pPr>
            <w:r w:rsidRPr="00D36EBF">
              <w:rPr>
                <w:rFonts w:eastAsia="Times New Roman" w:cs="Segoe UI"/>
                <w:b/>
                <w:bCs/>
                <w:color w:val="FFFFFF"/>
                <w:sz w:val="16"/>
                <w:szCs w:val="16"/>
                <w:lang w:eastAsia="sk-SK"/>
              </w:rPr>
              <w:t>Schválený rozpočet</w:t>
            </w:r>
          </w:p>
        </w:tc>
        <w:tc>
          <w:tcPr>
            <w:tcW w:w="582" w:type="pct"/>
            <w:tcBorders>
              <w:bottom w:val="nil"/>
            </w:tcBorders>
            <w:shd w:val="clear" w:color="auto" w:fill="314364"/>
            <w:vAlign w:val="center"/>
            <w:hideMark/>
          </w:tcPr>
          <w:p w14:paraId="3E21D43E" w14:textId="77777777" w:rsidR="003C0FE3" w:rsidRPr="00D36EBF" w:rsidRDefault="003C0FE3" w:rsidP="002E1FF0">
            <w:pPr>
              <w:spacing w:after="0"/>
              <w:jc w:val="right"/>
              <w:rPr>
                <w:rFonts w:eastAsia="Times New Roman" w:cs="Segoe UI"/>
                <w:b/>
                <w:bCs/>
                <w:color w:val="FFFFFF"/>
                <w:sz w:val="16"/>
                <w:szCs w:val="16"/>
                <w:lang w:eastAsia="sk-SK"/>
              </w:rPr>
            </w:pPr>
            <w:r w:rsidRPr="00D36EBF">
              <w:rPr>
                <w:rFonts w:eastAsia="Times New Roman" w:cs="Segoe UI"/>
                <w:b/>
                <w:bCs/>
                <w:color w:val="FFFFFF"/>
                <w:sz w:val="16"/>
                <w:szCs w:val="16"/>
                <w:lang w:eastAsia="sk-SK"/>
              </w:rPr>
              <w:t>Upravený rozpočet*</w:t>
            </w:r>
          </w:p>
        </w:tc>
        <w:tc>
          <w:tcPr>
            <w:tcW w:w="540" w:type="pct"/>
            <w:tcBorders>
              <w:bottom w:val="nil"/>
            </w:tcBorders>
            <w:shd w:val="clear" w:color="auto" w:fill="314364"/>
            <w:vAlign w:val="center"/>
            <w:hideMark/>
          </w:tcPr>
          <w:p w14:paraId="32D82897" w14:textId="77777777" w:rsidR="003C0FE3" w:rsidRPr="00D36EBF" w:rsidRDefault="003C0FE3" w:rsidP="002E1FF0">
            <w:pPr>
              <w:spacing w:after="0"/>
              <w:jc w:val="right"/>
              <w:rPr>
                <w:rFonts w:eastAsia="Times New Roman" w:cs="Segoe UI"/>
                <w:b/>
                <w:bCs/>
                <w:color w:val="FFFFFF"/>
                <w:sz w:val="16"/>
                <w:szCs w:val="16"/>
                <w:lang w:eastAsia="sk-SK"/>
              </w:rPr>
            </w:pPr>
            <w:r w:rsidRPr="00D36EBF">
              <w:rPr>
                <w:rFonts w:eastAsia="Times New Roman" w:cs="Segoe UI"/>
                <w:b/>
                <w:bCs/>
                <w:color w:val="FFFFFF"/>
                <w:sz w:val="16"/>
                <w:szCs w:val="16"/>
                <w:lang w:eastAsia="sk-SK"/>
              </w:rPr>
              <w:t xml:space="preserve">Uvoľnené </w:t>
            </w:r>
            <w:r>
              <w:rPr>
                <w:rFonts w:eastAsia="Times New Roman" w:cs="Segoe UI"/>
                <w:b/>
                <w:bCs/>
                <w:color w:val="FFFFFF"/>
                <w:sz w:val="16"/>
                <w:szCs w:val="16"/>
                <w:lang w:eastAsia="sk-SK"/>
              </w:rPr>
              <w:t xml:space="preserve"> </w:t>
            </w:r>
            <w:r w:rsidRPr="00D36EBF">
              <w:rPr>
                <w:rFonts w:eastAsia="Times New Roman" w:cs="Segoe UI"/>
                <w:b/>
                <w:bCs/>
                <w:color w:val="FFFFFF"/>
                <w:sz w:val="16"/>
                <w:szCs w:val="16"/>
                <w:lang w:eastAsia="sk-SK"/>
              </w:rPr>
              <w:t>2024**</w:t>
            </w:r>
          </w:p>
        </w:tc>
        <w:tc>
          <w:tcPr>
            <w:tcW w:w="624" w:type="pct"/>
            <w:tcBorders>
              <w:bottom w:val="nil"/>
            </w:tcBorders>
            <w:shd w:val="clear" w:color="auto" w:fill="314364"/>
            <w:vAlign w:val="center"/>
          </w:tcPr>
          <w:p w14:paraId="2999E912" w14:textId="77777777" w:rsidR="003C0FE3" w:rsidRPr="00D36EBF" w:rsidRDefault="003C0FE3" w:rsidP="002E1FF0">
            <w:pPr>
              <w:spacing w:after="0"/>
              <w:ind w:left="-70"/>
              <w:jc w:val="right"/>
              <w:rPr>
                <w:rFonts w:eastAsia="Times New Roman" w:cs="Segoe UI"/>
                <w:b/>
                <w:bCs/>
                <w:color w:val="FFFFFF"/>
                <w:sz w:val="16"/>
                <w:szCs w:val="16"/>
                <w:lang w:eastAsia="sk-SK"/>
              </w:rPr>
            </w:pPr>
            <w:r w:rsidRPr="00D36EBF">
              <w:rPr>
                <w:rFonts w:eastAsia="Times New Roman" w:cs="Segoe UI"/>
                <w:b/>
                <w:bCs/>
                <w:color w:val="FFFFFF"/>
                <w:sz w:val="16"/>
                <w:szCs w:val="16"/>
                <w:lang w:eastAsia="sk-SK"/>
              </w:rPr>
              <w:t>Nevyčerpané 2024</w:t>
            </w:r>
          </w:p>
        </w:tc>
      </w:tr>
      <w:tr w:rsidR="003C0FE3" w:rsidRPr="00D36EBF" w14:paraId="7BF3A782" w14:textId="77777777" w:rsidTr="002E1FF0">
        <w:trPr>
          <w:trHeight w:val="283"/>
        </w:trPr>
        <w:tc>
          <w:tcPr>
            <w:tcW w:w="2090" w:type="pct"/>
            <w:tcBorders>
              <w:top w:val="nil"/>
              <w:bottom w:val="nil"/>
            </w:tcBorders>
            <w:shd w:val="clear" w:color="000000" w:fill="FFFFFF"/>
            <w:noWrap/>
            <w:vAlign w:val="center"/>
            <w:hideMark/>
          </w:tcPr>
          <w:p w14:paraId="5E7A9E06" w14:textId="77777777" w:rsidR="003C0FE3" w:rsidRPr="00D36EBF" w:rsidRDefault="003C0FE3" w:rsidP="002E1FF0">
            <w:pPr>
              <w:spacing w:after="0"/>
              <w:jc w:val="left"/>
              <w:rPr>
                <w:rFonts w:eastAsia="Times New Roman" w:cs="Segoe UI"/>
                <w:color w:val="000000"/>
                <w:sz w:val="16"/>
                <w:szCs w:val="16"/>
                <w:lang w:eastAsia="sk-SK"/>
              </w:rPr>
            </w:pPr>
            <w:r w:rsidRPr="00D36EBF">
              <w:rPr>
                <w:rFonts w:eastAsia="Times New Roman" w:cs="Segoe UI"/>
                <w:color w:val="000000"/>
                <w:sz w:val="16"/>
                <w:szCs w:val="16"/>
                <w:lang w:eastAsia="sk-SK"/>
              </w:rPr>
              <w:t>Rezerva na riešenie vplyvov legislatívnych zmien</w:t>
            </w:r>
          </w:p>
        </w:tc>
        <w:tc>
          <w:tcPr>
            <w:tcW w:w="583" w:type="pct"/>
            <w:tcBorders>
              <w:top w:val="nil"/>
              <w:bottom w:val="nil"/>
            </w:tcBorders>
            <w:shd w:val="clear" w:color="000000" w:fill="FFFFFF"/>
            <w:noWrap/>
            <w:vAlign w:val="center"/>
          </w:tcPr>
          <w:p w14:paraId="210D33BC"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1 831 627</w:t>
            </w:r>
          </w:p>
        </w:tc>
        <w:tc>
          <w:tcPr>
            <w:tcW w:w="582" w:type="pct"/>
            <w:tcBorders>
              <w:top w:val="nil"/>
              <w:bottom w:val="nil"/>
            </w:tcBorders>
            <w:shd w:val="clear" w:color="000000" w:fill="FFFFFF"/>
            <w:noWrap/>
            <w:vAlign w:val="center"/>
          </w:tcPr>
          <w:p w14:paraId="128667D3"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1 231 719</w:t>
            </w:r>
          </w:p>
        </w:tc>
        <w:tc>
          <w:tcPr>
            <w:tcW w:w="582" w:type="pct"/>
            <w:tcBorders>
              <w:top w:val="nil"/>
              <w:bottom w:val="nil"/>
            </w:tcBorders>
            <w:shd w:val="clear" w:color="auto" w:fill="auto"/>
            <w:noWrap/>
            <w:vAlign w:val="center"/>
            <w:hideMark/>
          </w:tcPr>
          <w:p w14:paraId="4949C9CA"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1 231 719</w:t>
            </w:r>
          </w:p>
        </w:tc>
        <w:tc>
          <w:tcPr>
            <w:tcW w:w="540" w:type="pct"/>
            <w:tcBorders>
              <w:top w:val="nil"/>
              <w:bottom w:val="nil"/>
            </w:tcBorders>
            <w:shd w:val="clear" w:color="auto" w:fill="F2F2F2"/>
            <w:vAlign w:val="center"/>
            <w:hideMark/>
          </w:tcPr>
          <w:p w14:paraId="2ECF36CE"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1 222 633</w:t>
            </w:r>
          </w:p>
        </w:tc>
        <w:tc>
          <w:tcPr>
            <w:tcW w:w="624" w:type="pct"/>
            <w:tcBorders>
              <w:top w:val="nil"/>
              <w:bottom w:val="nil"/>
            </w:tcBorders>
            <w:shd w:val="clear" w:color="000000" w:fill="FFFFFF"/>
            <w:vAlign w:val="center"/>
          </w:tcPr>
          <w:p w14:paraId="5E76504E"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9 086</w:t>
            </w:r>
          </w:p>
        </w:tc>
      </w:tr>
      <w:tr w:rsidR="003C0FE3" w:rsidRPr="00D36EBF" w14:paraId="2DE5F269" w14:textId="77777777" w:rsidTr="002E1FF0">
        <w:trPr>
          <w:trHeight w:val="283"/>
        </w:trPr>
        <w:tc>
          <w:tcPr>
            <w:tcW w:w="2090" w:type="pct"/>
            <w:tcBorders>
              <w:top w:val="nil"/>
              <w:bottom w:val="nil"/>
            </w:tcBorders>
            <w:shd w:val="clear" w:color="000000" w:fill="FFFFFF"/>
            <w:noWrap/>
            <w:vAlign w:val="center"/>
          </w:tcPr>
          <w:p w14:paraId="4D6E2B00" w14:textId="77777777" w:rsidR="003C0FE3" w:rsidRPr="00D36EBF" w:rsidRDefault="003C0FE3" w:rsidP="002E1FF0">
            <w:pPr>
              <w:spacing w:after="0"/>
              <w:jc w:val="left"/>
              <w:rPr>
                <w:rFonts w:eastAsia="Times New Roman" w:cs="Segoe UI"/>
                <w:color w:val="000000"/>
                <w:sz w:val="16"/>
                <w:szCs w:val="16"/>
                <w:lang w:eastAsia="sk-SK"/>
              </w:rPr>
            </w:pPr>
            <w:r w:rsidRPr="00D36EBF">
              <w:rPr>
                <w:rFonts w:eastAsia="Times New Roman" w:cs="Segoe UI"/>
                <w:color w:val="000000"/>
                <w:sz w:val="16"/>
                <w:szCs w:val="16"/>
                <w:lang w:eastAsia="sk-SK"/>
              </w:rPr>
              <w:t>Rezerva na kompenzačné opatrenia súvisiace s rastom cien energií</w:t>
            </w:r>
          </w:p>
        </w:tc>
        <w:tc>
          <w:tcPr>
            <w:tcW w:w="583" w:type="pct"/>
            <w:tcBorders>
              <w:top w:val="nil"/>
              <w:bottom w:val="nil"/>
            </w:tcBorders>
            <w:shd w:val="clear" w:color="000000" w:fill="FFFFFF"/>
            <w:noWrap/>
            <w:vAlign w:val="center"/>
          </w:tcPr>
          <w:p w14:paraId="167473BF"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1 718 716</w:t>
            </w:r>
          </w:p>
        </w:tc>
        <w:tc>
          <w:tcPr>
            <w:tcW w:w="582" w:type="pct"/>
            <w:tcBorders>
              <w:top w:val="nil"/>
              <w:bottom w:val="nil"/>
            </w:tcBorders>
            <w:shd w:val="clear" w:color="000000" w:fill="FFFFFF"/>
            <w:noWrap/>
            <w:vAlign w:val="center"/>
          </w:tcPr>
          <w:p w14:paraId="0C892A93"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800 000</w:t>
            </w:r>
          </w:p>
        </w:tc>
        <w:tc>
          <w:tcPr>
            <w:tcW w:w="582" w:type="pct"/>
            <w:tcBorders>
              <w:top w:val="nil"/>
              <w:bottom w:val="nil"/>
            </w:tcBorders>
            <w:shd w:val="clear" w:color="auto" w:fill="auto"/>
            <w:noWrap/>
            <w:vAlign w:val="center"/>
          </w:tcPr>
          <w:p w14:paraId="0533081F"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800 000</w:t>
            </w:r>
          </w:p>
        </w:tc>
        <w:tc>
          <w:tcPr>
            <w:tcW w:w="540" w:type="pct"/>
            <w:tcBorders>
              <w:top w:val="nil"/>
              <w:bottom w:val="nil"/>
            </w:tcBorders>
            <w:shd w:val="clear" w:color="auto" w:fill="F2F2F2"/>
            <w:vAlign w:val="center"/>
          </w:tcPr>
          <w:p w14:paraId="11CB4204"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800 000</w:t>
            </w:r>
          </w:p>
        </w:tc>
        <w:tc>
          <w:tcPr>
            <w:tcW w:w="624" w:type="pct"/>
            <w:tcBorders>
              <w:top w:val="nil"/>
              <w:bottom w:val="nil"/>
            </w:tcBorders>
            <w:shd w:val="clear" w:color="000000" w:fill="FFFFFF"/>
            <w:vAlign w:val="center"/>
          </w:tcPr>
          <w:p w14:paraId="3DB04222"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0</w:t>
            </w:r>
          </w:p>
        </w:tc>
      </w:tr>
      <w:tr w:rsidR="003C0FE3" w:rsidRPr="00D36EBF" w14:paraId="59479CEA" w14:textId="77777777" w:rsidTr="002E1FF0">
        <w:trPr>
          <w:trHeight w:val="283"/>
        </w:trPr>
        <w:tc>
          <w:tcPr>
            <w:tcW w:w="2090" w:type="pct"/>
            <w:tcBorders>
              <w:top w:val="nil"/>
              <w:bottom w:val="nil"/>
            </w:tcBorders>
            <w:shd w:val="clear" w:color="000000" w:fill="FFFFFF"/>
            <w:noWrap/>
            <w:vAlign w:val="center"/>
          </w:tcPr>
          <w:p w14:paraId="69917ABD" w14:textId="77777777" w:rsidR="003C0FE3" w:rsidRPr="00D36EBF" w:rsidRDefault="003C0FE3" w:rsidP="002E1FF0">
            <w:pPr>
              <w:spacing w:after="0"/>
              <w:jc w:val="left"/>
              <w:rPr>
                <w:rFonts w:eastAsia="Times New Roman" w:cs="Segoe UI"/>
                <w:color w:val="000000"/>
                <w:sz w:val="16"/>
                <w:szCs w:val="16"/>
                <w:lang w:eastAsia="sk-SK"/>
              </w:rPr>
            </w:pPr>
            <w:r w:rsidRPr="00D36EBF">
              <w:rPr>
                <w:rFonts w:eastAsia="Times New Roman" w:cs="Segoe UI"/>
                <w:color w:val="000000"/>
                <w:sz w:val="16"/>
                <w:szCs w:val="16"/>
                <w:lang w:eastAsia="sk-SK"/>
              </w:rPr>
              <w:t>Rezerva na mzdy a poistné</w:t>
            </w:r>
          </w:p>
        </w:tc>
        <w:tc>
          <w:tcPr>
            <w:tcW w:w="583" w:type="pct"/>
            <w:tcBorders>
              <w:top w:val="nil"/>
              <w:bottom w:val="nil"/>
            </w:tcBorders>
            <w:shd w:val="clear" w:color="000000" w:fill="FFFFFF"/>
            <w:noWrap/>
            <w:vAlign w:val="center"/>
          </w:tcPr>
          <w:p w14:paraId="0D1E8146"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189 924</w:t>
            </w:r>
          </w:p>
        </w:tc>
        <w:tc>
          <w:tcPr>
            <w:tcW w:w="582" w:type="pct"/>
            <w:tcBorders>
              <w:top w:val="nil"/>
              <w:bottom w:val="nil"/>
            </w:tcBorders>
            <w:shd w:val="clear" w:color="000000" w:fill="FFFFFF"/>
            <w:noWrap/>
            <w:vAlign w:val="center"/>
          </w:tcPr>
          <w:p w14:paraId="66522163"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175 424</w:t>
            </w:r>
          </w:p>
        </w:tc>
        <w:tc>
          <w:tcPr>
            <w:tcW w:w="582" w:type="pct"/>
            <w:tcBorders>
              <w:top w:val="nil"/>
              <w:bottom w:val="nil"/>
            </w:tcBorders>
            <w:shd w:val="clear" w:color="auto" w:fill="auto"/>
            <w:noWrap/>
            <w:vAlign w:val="center"/>
          </w:tcPr>
          <w:p w14:paraId="77D7AD53"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175 424</w:t>
            </w:r>
          </w:p>
        </w:tc>
        <w:tc>
          <w:tcPr>
            <w:tcW w:w="540" w:type="pct"/>
            <w:tcBorders>
              <w:top w:val="nil"/>
              <w:bottom w:val="nil"/>
            </w:tcBorders>
            <w:shd w:val="clear" w:color="auto" w:fill="F2F2F2"/>
            <w:vAlign w:val="center"/>
          </w:tcPr>
          <w:p w14:paraId="28214B9B"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137 890</w:t>
            </w:r>
          </w:p>
        </w:tc>
        <w:tc>
          <w:tcPr>
            <w:tcW w:w="624" w:type="pct"/>
            <w:tcBorders>
              <w:top w:val="nil"/>
              <w:bottom w:val="nil"/>
            </w:tcBorders>
            <w:shd w:val="clear" w:color="000000" w:fill="FFFFFF"/>
            <w:vAlign w:val="center"/>
          </w:tcPr>
          <w:p w14:paraId="205E35EE"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37 534</w:t>
            </w:r>
          </w:p>
        </w:tc>
      </w:tr>
      <w:tr w:rsidR="003C0FE3" w:rsidRPr="00D36EBF" w14:paraId="35CAA436" w14:textId="77777777" w:rsidTr="002E1FF0">
        <w:trPr>
          <w:trHeight w:val="283"/>
        </w:trPr>
        <w:tc>
          <w:tcPr>
            <w:tcW w:w="2090" w:type="pct"/>
            <w:tcBorders>
              <w:top w:val="nil"/>
              <w:bottom w:val="nil"/>
            </w:tcBorders>
            <w:shd w:val="clear" w:color="000000" w:fill="FFFFFF"/>
            <w:noWrap/>
            <w:vAlign w:val="center"/>
            <w:hideMark/>
          </w:tcPr>
          <w:p w14:paraId="2B5B925A" w14:textId="77777777" w:rsidR="003C0FE3" w:rsidRPr="00D36EBF" w:rsidRDefault="003C0FE3" w:rsidP="002E1FF0">
            <w:pPr>
              <w:spacing w:after="0"/>
              <w:jc w:val="left"/>
              <w:rPr>
                <w:rFonts w:eastAsia="Times New Roman" w:cs="Segoe UI"/>
                <w:color w:val="000000"/>
                <w:sz w:val="16"/>
                <w:szCs w:val="16"/>
                <w:lang w:eastAsia="sk-SK"/>
              </w:rPr>
            </w:pPr>
            <w:r w:rsidRPr="00D36EBF">
              <w:rPr>
                <w:rFonts w:eastAsia="Times New Roman" w:cs="Segoe UI"/>
                <w:color w:val="000000"/>
                <w:sz w:val="16"/>
                <w:szCs w:val="16"/>
                <w:lang w:eastAsia="sk-SK"/>
              </w:rPr>
              <w:t>Rezerva na riešenie krízových situácií mimo času vojny a vojnového stavu a vykonávanie povodňových prác</w:t>
            </w:r>
          </w:p>
        </w:tc>
        <w:tc>
          <w:tcPr>
            <w:tcW w:w="583" w:type="pct"/>
            <w:tcBorders>
              <w:top w:val="nil"/>
              <w:bottom w:val="nil"/>
            </w:tcBorders>
            <w:shd w:val="clear" w:color="000000" w:fill="FFFFFF"/>
            <w:noWrap/>
            <w:vAlign w:val="center"/>
          </w:tcPr>
          <w:p w14:paraId="730A5C43"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6 034</w:t>
            </w:r>
          </w:p>
        </w:tc>
        <w:tc>
          <w:tcPr>
            <w:tcW w:w="582" w:type="pct"/>
            <w:tcBorders>
              <w:top w:val="nil"/>
              <w:bottom w:val="nil"/>
            </w:tcBorders>
            <w:shd w:val="clear" w:color="000000" w:fill="FFFFFF"/>
            <w:noWrap/>
            <w:vAlign w:val="center"/>
          </w:tcPr>
          <w:p w14:paraId="6F8260CF"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21 000</w:t>
            </w:r>
          </w:p>
        </w:tc>
        <w:tc>
          <w:tcPr>
            <w:tcW w:w="582" w:type="pct"/>
            <w:tcBorders>
              <w:top w:val="nil"/>
              <w:bottom w:val="nil"/>
            </w:tcBorders>
            <w:shd w:val="clear" w:color="auto" w:fill="auto"/>
            <w:noWrap/>
            <w:vAlign w:val="center"/>
            <w:hideMark/>
          </w:tcPr>
          <w:p w14:paraId="77C8E9BF"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21 000</w:t>
            </w:r>
          </w:p>
        </w:tc>
        <w:tc>
          <w:tcPr>
            <w:tcW w:w="540" w:type="pct"/>
            <w:tcBorders>
              <w:top w:val="nil"/>
              <w:bottom w:val="nil"/>
            </w:tcBorders>
            <w:shd w:val="clear" w:color="auto" w:fill="F2F2F2"/>
            <w:vAlign w:val="center"/>
            <w:hideMark/>
          </w:tcPr>
          <w:p w14:paraId="71BC2AA9"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9 972</w:t>
            </w:r>
          </w:p>
        </w:tc>
        <w:tc>
          <w:tcPr>
            <w:tcW w:w="624" w:type="pct"/>
            <w:tcBorders>
              <w:top w:val="nil"/>
              <w:bottom w:val="nil"/>
            </w:tcBorders>
            <w:shd w:val="clear" w:color="000000" w:fill="FFFFFF"/>
            <w:vAlign w:val="center"/>
          </w:tcPr>
          <w:p w14:paraId="5ABD9359"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11 028</w:t>
            </w:r>
          </w:p>
        </w:tc>
      </w:tr>
      <w:tr w:rsidR="003C0FE3" w:rsidRPr="00D36EBF" w14:paraId="6EDCB0A2" w14:textId="77777777" w:rsidTr="002E1FF0">
        <w:trPr>
          <w:trHeight w:val="283"/>
        </w:trPr>
        <w:tc>
          <w:tcPr>
            <w:tcW w:w="2090" w:type="pct"/>
            <w:tcBorders>
              <w:top w:val="nil"/>
              <w:bottom w:val="nil"/>
            </w:tcBorders>
            <w:shd w:val="clear" w:color="000000" w:fill="FFFFFF"/>
            <w:noWrap/>
            <w:vAlign w:val="center"/>
            <w:hideMark/>
          </w:tcPr>
          <w:p w14:paraId="3A0A6E27" w14:textId="77777777" w:rsidR="003C0FE3" w:rsidRPr="00D36EBF" w:rsidRDefault="003C0FE3" w:rsidP="002E1FF0">
            <w:pPr>
              <w:spacing w:after="0"/>
              <w:jc w:val="left"/>
              <w:rPr>
                <w:rFonts w:eastAsia="Times New Roman" w:cs="Segoe UI"/>
                <w:color w:val="000000"/>
                <w:sz w:val="16"/>
                <w:szCs w:val="16"/>
                <w:lang w:eastAsia="sk-SK"/>
              </w:rPr>
            </w:pPr>
            <w:r w:rsidRPr="00D36EBF">
              <w:rPr>
                <w:rFonts w:eastAsia="Times New Roman" w:cs="Segoe UI"/>
                <w:color w:val="000000"/>
                <w:sz w:val="16"/>
                <w:szCs w:val="16"/>
                <w:lang w:eastAsia="sk-SK"/>
              </w:rPr>
              <w:t>Rezerva na realizáciu súdnych a exekučných rozhodnutí</w:t>
            </w:r>
          </w:p>
        </w:tc>
        <w:tc>
          <w:tcPr>
            <w:tcW w:w="583" w:type="pct"/>
            <w:tcBorders>
              <w:top w:val="nil"/>
              <w:bottom w:val="nil"/>
            </w:tcBorders>
            <w:shd w:val="clear" w:color="000000" w:fill="FFFFFF"/>
            <w:noWrap/>
            <w:vAlign w:val="center"/>
          </w:tcPr>
          <w:p w14:paraId="3D30B366"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2 646</w:t>
            </w:r>
          </w:p>
        </w:tc>
        <w:tc>
          <w:tcPr>
            <w:tcW w:w="582" w:type="pct"/>
            <w:tcBorders>
              <w:top w:val="nil"/>
              <w:bottom w:val="nil"/>
            </w:tcBorders>
            <w:shd w:val="clear" w:color="000000" w:fill="FFFFFF"/>
            <w:noWrap/>
            <w:vAlign w:val="center"/>
          </w:tcPr>
          <w:p w14:paraId="105F12BE"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10 000</w:t>
            </w:r>
          </w:p>
        </w:tc>
        <w:tc>
          <w:tcPr>
            <w:tcW w:w="582" w:type="pct"/>
            <w:tcBorders>
              <w:top w:val="nil"/>
              <w:bottom w:val="nil"/>
            </w:tcBorders>
            <w:shd w:val="clear" w:color="auto" w:fill="auto"/>
            <w:noWrap/>
            <w:vAlign w:val="center"/>
            <w:hideMark/>
          </w:tcPr>
          <w:p w14:paraId="2A5ECFD4"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10 000</w:t>
            </w:r>
          </w:p>
        </w:tc>
        <w:tc>
          <w:tcPr>
            <w:tcW w:w="540" w:type="pct"/>
            <w:tcBorders>
              <w:top w:val="nil"/>
              <w:bottom w:val="nil"/>
            </w:tcBorders>
            <w:shd w:val="clear" w:color="auto" w:fill="F2F2F2"/>
            <w:vAlign w:val="center"/>
            <w:hideMark/>
          </w:tcPr>
          <w:p w14:paraId="1257B276"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4 292</w:t>
            </w:r>
          </w:p>
        </w:tc>
        <w:tc>
          <w:tcPr>
            <w:tcW w:w="624" w:type="pct"/>
            <w:tcBorders>
              <w:top w:val="nil"/>
              <w:bottom w:val="nil"/>
            </w:tcBorders>
            <w:shd w:val="clear" w:color="000000" w:fill="FFFFFF"/>
            <w:vAlign w:val="center"/>
          </w:tcPr>
          <w:p w14:paraId="4966266B"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5 708</w:t>
            </w:r>
          </w:p>
        </w:tc>
      </w:tr>
      <w:tr w:rsidR="003C0FE3" w:rsidRPr="00D36EBF" w14:paraId="0AE96C53" w14:textId="77777777" w:rsidTr="002E1FF0">
        <w:trPr>
          <w:trHeight w:val="283"/>
        </w:trPr>
        <w:tc>
          <w:tcPr>
            <w:tcW w:w="2090" w:type="pct"/>
            <w:tcBorders>
              <w:top w:val="nil"/>
              <w:bottom w:val="nil"/>
            </w:tcBorders>
            <w:shd w:val="clear" w:color="000000" w:fill="FFFFFF"/>
            <w:noWrap/>
            <w:vAlign w:val="center"/>
          </w:tcPr>
          <w:p w14:paraId="237127EC" w14:textId="77777777" w:rsidR="003C0FE3" w:rsidRPr="00D36EBF" w:rsidRDefault="003C0FE3" w:rsidP="002E1FF0">
            <w:pPr>
              <w:spacing w:after="0"/>
              <w:jc w:val="left"/>
              <w:rPr>
                <w:rFonts w:eastAsia="Times New Roman" w:cs="Segoe UI"/>
                <w:color w:val="000000"/>
                <w:sz w:val="16"/>
                <w:szCs w:val="16"/>
                <w:lang w:eastAsia="sk-SK"/>
              </w:rPr>
            </w:pPr>
            <w:r w:rsidRPr="00D36EBF">
              <w:rPr>
                <w:rFonts w:eastAsia="Times New Roman" w:cs="Segoe UI"/>
                <w:color w:val="000000"/>
                <w:sz w:val="16"/>
                <w:szCs w:val="16"/>
                <w:lang w:eastAsia="sk-SK"/>
              </w:rPr>
              <w:t>Rezerva vlády SR</w:t>
            </w:r>
          </w:p>
        </w:tc>
        <w:tc>
          <w:tcPr>
            <w:tcW w:w="583" w:type="pct"/>
            <w:tcBorders>
              <w:top w:val="nil"/>
              <w:bottom w:val="nil"/>
            </w:tcBorders>
            <w:shd w:val="clear" w:color="000000" w:fill="FFFFFF"/>
            <w:noWrap/>
            <w:vAlign w:val="center"/>
          </w:tcPr>
          <w:p w14:paraId="47153FF5"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4 120</w:t>
            </w:r>
          </w:p>
        </w:tc>
        <w:tc>
          <w:tcPr>
            <w:tcW w:w="582" w:type="pct"/>
            <w:tcBorders>
              <w:top w:val="nil"/>
              <w:bottom w:val="nil"/>
            </w:tcBorders>
            <w:shd w:val="clear" w:color="000000" w:fill="FFFFFF"/>
            <w:noWrap/>
            <w:vAlign w:val="center"/>
          </w:tcPr>
          <w:p w14:paraId="15436ED3"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5 000</w:t>
            </w:r>
          </w:p>
        </w:tc>
        <w:tc>
          <w:tcPr>
            <w:tcW w:w="582" w:type="pct"/>
            <w:tcBorders>
              <w:top w:val="nil"/>
              <w:bottom w:val="nil"/>
            </w:tcBorders>
            <w:shd w:val="clear" w:color="auto" w:fill="auto"/>
            <w:noWrap/>
            <w:vAlign w:val="center"/>
          </w:tcPr>
          <w:p w14:paraId="56FF5FCE"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5 000</w:t>
            </w:r>
          </w:p>
        </w:tc>
        <w:tc>
          <w:tcPr>
            <w:tcW w:w="540" w:type="pct"/>
            <w:tcBorders>
              <w:top w:val="nil"/>
              <w:bottom w:val="nil"/>
            </w:tcBorders>
            <w:shd w:val="clear" w:color="auto" w:fill="F2F2F2"/>
            <w:vAlign w:val="center"/>
          </w:tcPr>
          <w:p w14:paraId="1E0B42CC"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54</w:t>
            </w:r>
          </w:p>
        </w:tc>
        <w:tc>
          <w:tcPr>
            <w:tcW w:w="624" w:type="pct"/>
            <w:tcBorders>
              <w:top w:val="nil"/>
              <w:bottom w:val="nil"/>
            </w:tcBorders>
            <w:shd w:val="clear" w:color="000000" w:fill="FFFFFF"/>
            <w:vAlign w:val="center"/>
          </w:tcPr>
          <w:p w14:paraId="310E413C"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4 946</w:t>
            </w:r>
          </w:p>
        </w:tc>
      </w:tr>
      <w:tr w:rsidR="003C0FE3" w:rsidRPr="00D36EBF" w14:paraId="2AC91150" w14:textId="77777777" w:rsidTr="002E1FF0">
        <w:trPr>
          <w:trHeight w:val="283"/>
        </w:trPr>
        <w:tc>
          <w:tcPr>
            <w:tcW w:w="2090" w:type="pct"/>
            <w:tcBorders>
              <w:top w:val="nil"/>
              <w:bottom w:val="nil"/>
            </w:tcBorders>
            <w:shd w:val="clear" w:color="000000" w:fill="FFFFFF"/>
            <w:noWrap/>
            <w:vAlign w:val="center"/>
            <w:hideMark/>
          </w:tcPr>
          <w:p w14:paraId="37ED513E" w14:textId="77777777" w:rsidR="003C0FE3" w:rsidRPr="00D36EBF" w:rsidRDefault="003C0FE3" w:rsidP="002E1FF0">
            <w:pPr>
              <w:spacing w:after="0"/>
              <w:jc w:val="left"/>
              <w:rPr>
                <w:rFonts w:eastAsia="Times New Roman" w:cs="Segoe UI"/>
                <w:color w:val="000000"/>
                <w:sz w:val="16"/>
                <w:szCs w:val="16"/>
                <w:lang w:eastAsia="sk-SK"/>
              </w:rPr>
            </w:pPr>
            <w:r w:rsidRPr="00D36EBF">
              <w:rPr>
                <w:rFonts w:eastAsia="Times New Roman" w:cs="Segoe UI"/>
                <w:color w:val="000000"/>
                <w:sz w:val="16"/>
                <w:szCs w:val="16"/>
                <w:lang w:eastAsia="sk-SK"/>
              </w:rPr>
              <w:t>Rezerva predsedu vlády SR</w:t>
            </w:r>
          </w:p>
        </w:tc>
        <w:tc>
          <w:tcPr>
            <w:tcW w:w="583" w:type="pct"/>
            <w:tcBorders>
              <w:top w:val="nil"/>
              <w:bottom w:val="nil"/>
            </w:tcBorders>
            <w:shd w:val="clear" w:color="000000" w:fill="FFFFFF"/>
            <w:noWrap/>
            <w:vAlign w:val="center"/>
          </w:tcPr>
          <w:p w14:paraId="26528DFE"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2 018</w:t>
            </w:r>
          </w:p>
        </w:tc>
        <w:tc>
          <w:tcPr>
            <w:tcW w:w="582" w:type="pct"/>
            <w:tcBorders>
              <w:top w:val="nil"/>
              <w:bottom w:val="nil"/>
            </w:tcBorders>
            <w:shd w:val="clear" w:color="auto" w:fill="auto"/>
            <w:noWrap/>
            <w:vAlign w:val="center"/>
          </w:tcPr>
          <w:p w14:paraId="481E1447"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1 500</w:t>
            </w:r>
          </w:p>
        </w:tc>
        <w:tc>
          <w:tcPr>
            <w:tcW w:w="582" w:type="pct"/>
            <w:tcBorders>
              <w:top w:val="nil"/>
              <w:bottom w:val="nil"/>
            </w:tcBorders>
            <w:shd w:val="clear" w:color="auto" w:fill="auto"/>
            <w:noWrap/>
            <w:vAlign w:val="center"/>
            <w:hideMark/>
          </w:tcPr>
          <w:p w14:paraId="44FCBAD0"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2 285</w:t>
            </w:r>
          </w:p>
        </w:tc>
        <w:tc>
          <w:tcPr>
            <w:tcW w:w="540" w:type="pct"/>
            <w:tcBorders>
              <w:top w:val="nil"/>
              <w:bottom w:val="nil"/>
            </w:tcBorders>
            <w:shd w:val="clear" w:color="auto" w:fill="F2F2F2"/>
            <w:vAlign w:val="center"/>
            <w:hideMark/>
          </w:tcPr>
          <w:p w14:paraId="2E97A14B"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2 285</w:t>
            </w:r>
          </w:p>
        </w:tc>
        <w:tc>
          <w:tcPr>
            <w:tcW w:w="624" w:type="pct"/>
            <w:tcBorders>
              <w:top w:val="nil"/>
              <w:bottom w:val="nil"/>
            </w:tcBorders>
            <w:shd w:val="clear" w:color="auto" w:fill="auto"/>
            <w:vAlign w:val="center"/>
          </w:tcPr>
          <w:p w14:paraId="0A138B06"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0</w:t>
            </w:r>
          </w:p>
        </w:tc>
      </w:tr>
      <w:tr w:rsidR="003C0FE3" w:rsidRPr="00D36EBF" w14:paraId="71ABB017" w14:textId="77777777" w:rsidTr="002E1FF0">
        <w:trPr>
          <w:trHeight w:val="283"/>
        </w:trPr>
        <w:tc>
          <w:tcPr>
            <w:tcW w:w="2090" w:type="pct"/>
            <w:tcBorders>
              <w:top w:val="nil"/>
              <w:bottom w:val="nil"/>
            </w:tcBorders>
            <w:shd w:val="clear" w:color="000000" w:fill="FFFFFF"/>
            <w:noWrap/>
            <w:vAlign w:val="center"/>
            <w:hideMark/>
          </w:tcPr>
          <w:p w14:paraId="7EAA0360" w14:textId="77777777" w:rsidR="003C0FE3" w:rsidRPr="00D36EBF" w:rsidRDefault="003C0FE3" w:rsidP="002E1FF0">
            <w:pPr>
              <w:spacing w:after="0"/>
              <w:jc w:val="left"/>
              <w:rPr>
                <w:rFonts w:eastAsia="Times New Roman" w:cs="Segoe UI"/>
                <w:color w:val="000000"/>
                <w:sz w:val="16"/>
                <w:szCs w:val="16"/>
                <w:lang w:eastAsia="sk-SK"/>
              </w:rPr>
            </w:pPr>
            <w:r w:rsidRPr="00D36EBF">
              <w:rPr>
                <w:rFonts w:eastAsia="Times New Roman" w:cs="Segoe UI"/>
                <w:color w:val="000000"/>
                <w:sz w:val="16"/>
                <w:szCs w:val="16"/>
                <w:lang w:eastAsia="sk-SK"/>
              </w:rPr>
              <w:t>Rezerva na prostriedky EÚ a odvody do EÚ</w:t>
            </w:r>
          </w:p>
        </w:tc>
        <w:tc>
          <w:tcPr>
            <w:tcW w:w="583" w:type="pct"/>
            <w:tcBorders>
              <w:top w:val="nil"/>
              <w:bottom w:val="nil"/>
            </w:tcBorders>
            <w:shd w:val="clear" w:color="000000" w:fill="FFFFFF"/>
            <w:noWrap/>
            <w:vAlign w:val="center"/>
          </w:tcPr>
          <w:p w14:paraId="5B50677E"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446 823</w:t>
            </w:r>
          </w:p>
        </w:tc>
        <w:tc>
          <w:tcPr>
            <w:tcW w:w="582" w:type="pct"/>
            <w:tcBorders>
              <w:top w:val="nil"/>
              <w:bottom w:val="nil"/>
            </w:tcBorders>
            <w:shd w:val="clear" w:color="000000" w:fill="FFFFFF"/>
            <w:noWrap/>
            <w:vAlign w:val="center"/>
          </w:tcPr>
          <w:p w14:paraId="369F4316"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249 370</w:t>
            </w:r>
          </w:p>
        </w:tc>
        <w:tc>
          <w:tcPr>
            <w:tcW w:w="582" w:type="pct"/>
            <w:tcBorders>
              <w:top w:val="nil"/>
              <w:bottom w:val="nil"/>
            </w:tcBorders>
            <w:shd w:val="clear" w:color="auto" w:fill="auto"/>
            <w:noWrap/>
            <w:vAlign w:val="center"/>
            <w:hideMark/>
          </w:tcPr>
          <w:p w14:paraId="16DD7591"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249 370</w:t>
            </w:r>
          </w:p>
        </w:tc>
        <w:tc>
          <w:tcPr>
            <w:tcW w:w="540" w:type="pct"/>
            <w:tcBorders>
              <w:top w:val="nil"/>
              <w:bottom w:val="nil"/>
            </w:tcBorders>
            <w:shd w:val="clear" w:color="auto" w:fill="F2F2F2"/>
            <w:vAlign w:val="center"/>
            <w:hideMark/>
          </w:tcPr>
          <w:p w14:paraId="48F3F598"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0</w:t>
            </w:r>
          </w:p>
        </w:tc>
        <w:tc>
          <w:tcPr>
            <w:tcW w:w="624" w:type="pct"/>
            <w:tcBorders>
              <w:top w:val="nil"/>
              <w:bottom w:val="nil"/>
            </w:tcBorders>
            <w:shd w:val="clear" w:color="000000" w:fill="FFFFFF"/>
            <w:vAlign w:val="center"/>
          </w:tcPr>
          <w:p w14:paraId="5221B1B8"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249 370</w:t>
            </w:r>
          </w:p>
        </w:tc>
      </w:tr>
      <w:tr w:rsidR="003C0FE3" w:rsidRPr="00D36EBF" w14:paraId="12C9796C" w14:textId="77777777" w:rsidTr="002E1FF0">
        <w:trPr>
          <w:trHeight w:val="283"/>
        </w:trPr>
        <w:tc>
          <w:tcPr>
            <w:tcW w:w="2090" w:type="pct"/>
            <w:tcBorders>
              <w:top w:val="nil"/>
              <w:bottom w:val="single" w:sz="4" w:space="0" w:color="314364" w:themeColor="text2"/>
            </w:tcBorders>
            <w:shd w:val="clear" w:color="000000" w:fill="FFFFFF"/>
            <w:noWrap/>
            <w:vAlign w:val="center"/>
            <w:hideMark/>
          </w:tcPr>
          <w:p w14:paraId="628F50CC" w14:textId="77777777" w:rsidR="003C0FE3" w:rsidRPr="00D36EBF" w:rsidRDefault="003C0FE3" w:rsidP="002E1FF0">
            <w:pPr>
              <w:spacing w:after="0"/>
              <w:jc w:val="left"/>
              <w:rPr>
                <w:rFonts w:eastAsia="Times New Roman" w:cs="Segoe UI"/>
                <w:color w:val="000000"/>
                <w:sz w:val="16"/>
                <w:szCs w:val="16"/>
                <w:lang w:eastAsia="sk-SK"/>
              </w:rPr>
            </w:pPr>
            <w:r w:rsidRPr="00D36EBF">
              <w:rPr>
                <w:rFonts w:eastAsia="Times New Roman" w:cs="Segoe UI"/>
                <w:color w:val="000000"/>
                <w:sz w:val="16"/>
                <w:szCs w:val="16"/>
                <w:lang w:eastAsia="sk-SK"/>
              </w:rPr>
              <w:t>Rezerva na výdavky súvisiace s vojnovým konfliktom na Ukrajine</w:t>
            </w:r>
          </w:p>
        </w:tc>
        <w:tc>
          <w:tcPr>
            <w:tcW w:w="583" w:type="pct"/>
            <w:tcBorders>
              <w:top w:val="nil"/>
              <w:bottom w:val="single" w:sz="4" w:space="0" w:color="314364" w:themeColor="text2"/>
            </w:tcBorders>
            <w:shd w:val="clear" w:color="000000" w:fill="FFFFFF"/>
            <w:noWrap/>
            <w:vAlign w:val="center"/>
          </w:tcPr>
          <w:p w14:paraId="2F1B986C"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107 015</w:t>
            </w:r>
          </w:p>
        </w:tc>
        <w:tc>
          <w:tcPr>
            <w:tcW w:w="582" w:type="pct"/>
            <w:tcBorders>
              <w:top w:val="nil"/>
              <w:bottom w:val="single" w:sz="4" w:space="0" w:color="314364" w:themeColor="text2"/>
            </w:tcBorders>
            <w:shd w:val="clear" w:color="000000" w:fill="FFFFFF"/>
            <w:noWrap/>
            <w:vAlign w:val="center"/>
          </w:tcPr>
          <w:p w14:paraId="50B339CE"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w:t>
            </w:r>
          </w:p>
        </w:tc>
        <w:tc>
          <w:tcPr>
            <w:tcW w:w="582" w:type="pct"/>
            <w:tcBorders>
              <w:top w:val="nil"/>
              <w:bottom w:val="single" w:sz="4" w:space="0" w:color="314364" w:themeColor="text2"/>
            </w:tcBorders>
            <w:shd w:val="clear" w:color="auto" w:fill="auto"/>
            <w:noWrap/>
            <w:vAlign w:val="center"/>
            <w:hideMark/>
          </w:tcPr>
          <w:p w14:paraId="06BD741F"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w:t>
            </w:r>
          </w:p>
        </w:tc>
        <w:tc>
          <w:tcPr>
            <w:tcW w:w="540" w:type="pct"/>
            <w:tcBorders>
              <w:top w:val="nil"/>
              <w:bottom w:val="single" w:sz="4" w:space="0" w:color="314364" w:themeColor="text2"/>
            </w:tcBorders>
            <w:shd w:val="clear" w:color="auto" w:fill="F2F2F2"/>
            <w:vAlign w:val="center"/>
            <w:hideMark/>
          </w:tcPr>
          <w:p w14:paraId="2D1C8C66"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w:t>
            </w:r>
          </w:p>
        </w:tc>
        <w:tc>
          <w:tcPr>
            <w:tcW w:w="624" w:type="pct"/>
            <w:tcBorders>
              <w:top w:val="nil"/>
              <w:bottom w:val="single" w:sz="4" w:space="0" w:color="314364" w:themeColor="text2"/>
            </w:tcBorders>
            <w:shd w:val="clear" w:color="000000" w:fill="FFFFFF"/>
            <w:vAlign w:val="center"/>
          </w:tcPr>
          <w:p w14:paraId="3B42F54E" w14:textId="77777777" w:rsidR="003C0FE3" w:rsidRPr="00D36EBF" w:rsidRDefault="003C0FE3" w:rsidP="002E1FF0">
            <w:pPr>
              <w:spacing w:after="0"/>
              <w:jc w:val="right"/>
              <w:rPr>
                <w:rFonts w:eastAsia="Calibri" w:cs="Times New Roman"/>
                <w:sz w:val="16"/>
                <w:szCs w:val="16"/>
              </w:rPr>
            </w:pPr>
            <w:r w:rsidRPr="00D36EBF">
              <w:rPr>
                <w:rFonts w:eastAsia="Calibri" w:cs="Times New Roman"/>
                <w:sz w:val="16"/>
                <w:szCs w:val="16"/>
              </w:rPr>
              <w:t>-</w:t>
            </w:r>
          </w:p>
        </w:tc>
      </w:tr>
      <w:tr w:rsidR="003C0FE3" w:rsidRPr="00D36EBF" w14:paraId="111FCAA6" w14:textId="77777777" w:rsidTr="002E1FF0">
        <w:trPr>
          <w:trHeight w:val="283"/>
        </w:trPr>
        <w:tc>
          <w:tcPr>
            <w:tcW w:w="2090" w:type="pct"/>
            <w:tcBorders>
              <w:top w:val="single" w:sz="4" w:space="0" w:color="314364" w:themeColor="text2"/>
            </w:tcBorders>
            <w:shd w:val="clear" w:color="000000" w:fill="FFFFFF"/>
            <w:noWrap/>
            <w:vAlign w:val="center"/>
            <w:hideMark/>
          </w:tcPr>
          <w:p w14:paraId="5643CDAB" w14:textId="77777777" w:rsidR="003C0FE3" w:rsidRPr="00D36EBF" w:rsidRDefault="003C0FE3" w:rsidP="002E1FF0">
            <w:pPr>
              <w:spacing w:after="0"/>
              <w:jc w:val="left"/>
              <w:rPr>
                <w:rFonts w:eastAsia="Times New Roman" w:cs="Segoe UI"/>
                <w:b/>
                <w:color w:val="000000"/>
                <w:sz w:val="16"/>
                <w:szCs w:val="16"/>
                <w:lang w:eastAsia="sk-SK"/>
              </w:rPr>
            </w:pPr>
            <w:r>
              <w:rPr>
                <w:rFonts w:eastAsia="Times New Roman" w:cs="Segoe UI"/>
                <w:b/>
                <w:color w:val="000000"/>
                <w:sz w:val="16"/>
                <w:szCs w:val="16"/>
                <w:lang w:eastAsia="sk-SK"/>
              </w:rPr>
              <w:t>SPOLU</w:t>
            </w:r>
          </w:p>
        </w:tc>
        <w:tc>
          <w:tcPr>
            <w:tcW w:w="583" w:type="pct"/>
            <w:tcBorders>
              <w:top w:val="single" w:sz="4" w:space="0" w:color="314364" w:themeColor="text2"/>
            </w:tcBorders>
            <w:shd w:val="clear" w:color="000000" w:fill="FFFFFF"/>
            <w:noWrap/>
            <w:vAlign w:val="center"/>
          </w:tcPr>
          <w:p w14:paraId="0236041F" w14:textId="77777777" w:rsidR="003C0FE3" w:rsidRPr="00D36EBF" w:rsidRDefault="003C0FE3" w:rsidP="002E1FF0">
            <w:pPr>
              <w:spacing w:after="0"/>
              <w:jc w:val="right"/>
              <w:rPr>
                <w:rFonts w:eastAsia="Calibri" w:cs="Segoe UI"/>
                <w:b/>
                <w:sz w:val="16"/>
                <w:szCs w:val="16"/>
              </w:rPr>
            </w:pPr>
            <w:r w:rsidRPr="00D36EBF">
              <w:rPr>
                <w:rFonts w:eastAsia="Times New Roman" w:cs="Segoe UI"/>
                <w:b/>
                <w:sz w:val="16"/>
                <w:lang w:eastAsia="sk-SK"/>
              </w:rPr>
              <w:t>4 308 923</w:t>
            </w:r>
          </w:p>
        </w:tc>
        <w:tc>
          <w:tcPr>
            <w:tcW w:w="582" w:type="pct"/>
            <w:tcBorders>
              <w:top w:val="single" w:sz="4" w:space="0" w:color="314364" w:themeColor="text2"/>
            </w:tcBorders>
            <w:shd w:val="clear" w:color="000000" w:fill="FFFFFF"/>
            <w:noWrap/>
            <w:vAlign w:val="center"/>
          </w:tcPr>
          <w:p w14:paraId="6D48DB6C" w14:textId="77777777" w:rsidR="003C0FE3" w:rsidRPr="00D36EBF" w:rsidRDefault="003C0FE3" w:rsidP="002E1FF0">
            <w:pPr>
              <w:spacing w:after="0"/>
              <w:jc w:val="right"/>
              <w:rPr>
                <w:rFonts w:eastAsia="Calibri" w:cs="Segoe UI"/>
                <w:b/>
                <w:sz w:val="16"/>
                <w:szCs w:val="16"/>
              </w:rPr>
            </w:pPr>
            <w:r w:rsidRPr="00D36EBF">
              <w:rPr>
                <w:rFonts w:eastAsia="Times New Roman" w:cs="Segoe UI"/>
                <w:b/>
                <w:sz w:val="16"/>
                <w:lang w:eastAsia="sk-SK"/>
              </w:rPr>
              <w:t>2 494 013</w:t>
            </w:r>
          </w:p>
        </w:tc>
        <w:tc>
          <w:tcPr>
            <w:tcW w:w="582" w:type="pct"/>
            <w:tcBorders>
              <w:top w:val="single" w:sz="4" w:space="0" w:color="314364" w:themeColor="text2"/>
            </w:tcBorders>
            <w:shd w:val="clear" w:color="auto" w:fill="auto"/>
            <w:noWrap/>
            <w:vAlign w:val="center"/>
            <w:hideMark/>
          </w:tcPr>
          <w:p w14:paraId="1F16A6FD" w14:textId="77777777" w:rsidR="003C0FE3" w:rsidRPr="00D36EBF" w:rsidRDefault="003C0FE3" w:rsidP="002E1FF0">
            <w:pPr>
              <w:spacing w:after="0"/>
              <w:jc w:val="right"/>
              <w:rPr>
                <w:rFonts w:eastAsia="Calibri" w:cs="Segoe UI"/>
                <w:b/>
                <w:sz w:val="16"/>
                <w:szCs w:val="16"/>
              </w:rPr>
            </w:pPr>
            <w:r w:rsidRPr="00D36EBF">
              <w:rPr>
                <w:rFonts w:eastAsia="Times New Roman" w:cs="Segoe UI"/>
                <w:b/>
                <w:sz w:val="16"/>
                <w:lang w:eastAsia="sk-SK"/>
              </w:rPr>
              <w:t>2 494 798</w:t>
            </w:r>
          </w:p>
        </w:tc>
        <w:tc>
          <w:tcPr>
            <w:tcW w:w="540" w:type="pct"/>
            <w:tcBorders>
              <w:top w:val="single" w:sz="4" w:space="0" w:color="314364" w:themeColor="text2"/>
            </w:tcBorders>
            <w:shd w:val="clear" w:color="auto" w:fill="F2F2F2"/>
            <w:noWrap/>
            <w:vAlign w:val="center"/>
            <w:hideMark/>
          </w:tcPr>
          <w:p w14:paraId="4310FFEB" w14:textId="77777777" w:rsidR="003C0FE3" w:rsidRPr="00D36EBF" w:rsidRDefault="003C0FE3" w:rsidP="002E1FF0">
            <w:pPr>
              <w:spacing w:after="0"/>
              <w:jc w:val="right"/>
              <w:rPr>
                <w:rFonts w:eastAsia="Calibri" w:cs="Segoe UI"/>
                <w:b/>
                <w:sz w:val="16"/>
                <w:szCs w:val="16"/>
              </w:rPr>
            </w:pPr>
            <w:r w:rsidRPr="00D36EBF">
              <w:rPr>
                <w:rFonts w:eastAsia="Times New Roman" w:cs="Segoe UI"/>
                <w:b/>
                <w:sz w:val="16"/>
                <w:lang w:eastAsia="sk-SK"/>
              </w:rPr>
              <w:t>2 177 126</w:t>
            </w:r>
          </w:p>
        </w:tc>
        <w:tc>
          <w:tcPr>
            <w:tcW w:w="624" w:type="pct"/>
            <w:tcBorders>
              <w:top w:val="single" w:sz="4" w:space="0" w:color="314364" w:themeColor="text2"/>
            </w:tcBorders>
            <w:shd w:val="clear" w:color="000000" w:fill="FFFFFF"/>
            <w:noWrap/>
            <w:vAlign w:val="center"/>
            <w:hideMark/>
          </w:tcPr>
          <w:p w14:paraId="7E36A333" w14:textId="77777777" w:rsidR="003C0FE3" w:rsidRPr="00D36EBF" w:rsidRDefault="003C0FE3" w:rsidP="002E1FF0">
            <w:pPr>
              <w:spacing w:after="0"/>
              <w:jc w:val="right"/>
              <w:rPr>
                <w:rFonts w:eastAsia="Calibri" w:cs="Segoe UI"/>
                <w:b/>
                <w:sz w:val="16"/>
                <w:szCs w:val="16"/>
              </w:rPr>
            </w:pPr>
            <w:r w:rsidRPr="00D36EBF">
              <w:rPr>
                <w:rFonts w:eastAsia="Times New Roman" w:cs="Segoe UI"/>
                <w:b/>
                <w:sz w:val="16"/>
                <w:lang w:eastAsia="sk-SK"/>
              </w:rPr>
              <w:t>317 672</w:t>
            </w:r>
          </w:p>
        </w:tc>
      </w:tr>
    </w:tbl>
    <w:p w14:paraId="54680E55" w14:textId="77777777" w:rsidR="003C0FE3" w:rsidRDefault="003C0FE3" w:rsidP="003C0FE3">
      <w:pPr>
        <w:spacing w:after="0" w:line="240" w:lineRule="auto"/>
        <w:jc w:val="left"/>
        <w:rPr>
          <w:rFonts w:eastAsia="Calibri" w:cs="Times New Roman"/>
          <w:i/>
          <w:color w:val="314364"/>
          <w:sz w:val="16"/>
        </w:rPr>
      </w:pPr>
      <w:r w:rsidRPr="00D36EBF">
        <w:rPr>
          <w:rFonts w:eastAsia="Calibri" w:cs="Times New Roman"/>
          <w:i/>
          <w:color w:val="314364"/>
          <w:sz w:val="16"/>
        </w:rPr>
        <w:t>Zdroj: MF SR, ÚV SR.</w:t>
      </w:r>
    </w:p>
    <w:p w14:paraId="0BAE042C" w14:textId="04B98135" w:rsidR="003C0FE3" w:rsidRPr="00D36EBF" w:rsidRDefault="003C0FE3" w:rsidP="003C0FE3">
      <w:pPr>
        <w:spacing w:line="240" w:lineRule="auto"/>
        <w:jc w:val="left"/>
        <w:rPr>
          <w:rFonts w:eastAsia="Calibri" w:cs="Times New Roman"/>
          <w:i/>
          <w:color w:val="314364"/>
          <w:sz w:val="16"/>
        </w:rPr>
      </w:pPr>
      <w:r w:rsidRPr="00D36EBF">
        <w:rPr>
          <w:rFonts w:eastAsia="Calibri" w:cs="Times New Roman"/>
          <w:i/>
          <w:color w:val="314364"/>
          <w:sz w:val="16"/>
        </w:rPr>
        <w:t>* Upravený rozpočet predstavuje celkový disponibilný zdroj prostriedkov jednotlivých rezerv v roku 2024.</w:t>
      </w:r>
      <w:r w:rsidRPr="00D36EBF">
        <w:rPr>
          <w:rFonts w:eastAsia="Calibri" w:cs="Times New Roman"/>
          <w:i/>
          <w:color w:val="314364"/>
          <w:sz w:val="16"/>
        </w:rPr>
        <w:br/>
        <w:t>** Zohľadňuje uvoľnenie prostriedkov prostredníctvom rozpočtových opatrení a platobných príkazov.</w:t>
      </w:r>
    </w:p>
    <w:p w14:paraId="578163EE" w14:textId="4707DBA1" w:rsidR="006362C1" w:rsidRPr="00D36EBF" w:rsidRDefault="006362C1" w:rsidP="006362C1">
      <w:pPr>
        <w:rPr>
          <w:rFonts w:eastAsia="Times New Roman" w:cs="Segoe UI"/>
          <w:szCs w:val="20"/>
        </w:rPr>
      </w:pPr>
      <w:r w:rsidRPr="00F83757">
        <w:rPr>
          <w:rFonts w:eastAsia="Times New Roman" w:cs="Segoe UI"/>
          <w:b/>
          <w:szCs w:val="20"/>
        </w:rPr>
        <w:t>Treťou najväčšou vytvorenou, no nečerpanou rezerv</w:t>
      </w:r>
      <w:r w:rsidR="00F83757" w:rsidRPr="00F83757">
        <w:rPr>
          <w:rFonts w:eastAsia="Times New Roman" w:cs="Segoe UI"/>
          <w:b/>
          <w:szCs w:val="20"/>
        </w:rPr>
        <w:t>ou bola suma</w:t>
      </w:r>
      <w:r w:rsidRPr="00F83757">
        <w:rPr>
          <w:rFonts w:eastAsia="Times New Roman" w:cs="Segoe UI"/>
          <w:b/>
          <w:szCs w:val="20"/>
        </w:rPr>
        <w:t xml:space="preserve"> na prostriedky EÚ a odvody do EÚ. </w:t>
      </w:r>
      <w:r w:rsidRPr="00D36EBF">
        <w:rPr>
          <w:rFonts w:eastAsia="Times New Roman" w:cs="Segoe UI"/>
          <w:szCs w:val="20"/>
        </w:rPr>
        <w:t>Rezerva 249,4 mil. eur bola vytvorená na prípadné splatenie úrokov z omeškania, vyplývajúce so straty na tradičných vlastných zdrojoch v nadväznosti k podhodnoteniu dovezeného textilu a obuvi z Číny. SR v roku 2021 uhradila 277,2 mil. eur s výhradou, pričom sa následne dohodla s EK na prepočte na konečných 230,3 mil. eur. O rozdiel vo výške 46,9 mil. eur bol znížený odvod do rozpočtu EÚ.</w:t>
      </w:r>
    </w:p>
    <w:p w14:paraId="19E398C0" w14:textId="125D5743" w:rsidR="006362C1" w:rsidRDefault="006362C1" w:rsidP="006362C1">
      <w:pPr>
        <w:rPr>
          <w:rFonts w:eastAsia="Times New Roman" w:cs="Segoe UI"/>
          <w:b/>
          <w:szCs w:val="20"/>
        </w:rPr>
      </w:pPr>
      <w:r w:rsidRPr="00D36EBF">
        <w:rPr>
          <w:rFonts w:eastAsia="Times New Roman" w:cs="Segoe UI"/>
          <w:b/>
          <w:szCs w:val="20"/>
        </w:rPr>
        <w:t xml:space="preserve">NKÚ SR dlhodobo upozorňuje, že nevyčerpané rezervy by prioritne mali byť použité na znižovanie deficitu verejných financií. </w:t>
      </w:r>
      <w:r w:rsidRPr="00D36EBF">
        <w:rPr>
          <w:rFonts w:eastAsia="Times New Roman" w:cs="Segoe UI"/>
          <w:szCs w:val="20"/>
        </w:rPr>
        <w:t>Rozpočtový rok 2024 je posledným pred platnosťou novely zákona o rozpočtových pravidlách upravujúcej</w:t>
      </w:r>
      <w:r w:rsidR="00E824B5">
        <w:rPr>
          <w:rFonts w:eastAsia="Times New Roman" w:cs="Segoe UI"/>
          <w:szCs w:val="20"/>
        </w:rPr>
        <w:t>,</w:t>
      </w:r>
      <w:r w:rsidRPr="00D36EBF">
        <w:rPr>
          <w:rFonts w:eastAsia="Times New Roman" w:cs="Segoe UI"/>
          <w:szCs w:val="20"/>
        </w:rPr>
        <w:t xml:space="preserve"> okrem iného</w:t>
      </w:r>
      <w:r w:rsidR="00E824B5">
        <w:rPr>
          <w:rFonts w:eastAsia="Times New Roman" w:cs="Segoe UI"/>
          <w:szCs w:val="20"/>
        </w:rPr>
        <w:t>,</w:t>
      </w:r>
      <w:r w:rsidRPr="00D36EBF">
        <w:rPr>
          <w:rFonts w:eastAsia="Times New Roman" w:cs="Segoe UI"/>
          <w:szCs w:val="20"/>
        </w:rPr>
        <w:t xml:space="preserve"> aj narábanie s rezervami v rámci rozpočtu. </w:t>
      </w:r>
      <w:r w:rsidRPr="00F83757">
        <w:rPr>
          <w:rFonts w:eastAsia="Times New Roman" w:cs="Segoe UI"/>
          <w:b/>
          <w:szCs w:val="20"/>
        </w:rPr>
        <w:t xml:space="preserve">NKÚ SR </w:t>
      </w:r>
      <w:r w:rsidR="000606C3">
        <w:rPr>
          <w:rFonts w:eastAsia="Times New Roman" w:cs="Segoe UI"/>
          <w:b/>
          <w:szCs w:val="20"/>
        </w:rPr>
        <w:t>odporúča</w:t>
      </w:r>
      <w:r w:rsidRPr="00F83757">
        <w:rPr>
          <w:rFonts w:eastAsia="Times New Roman" w:cs="Segoe UI"/>
          <w:b/>
          <w:szCs w:val="20"/>
        </w:rPr>
        <w:t xml:space="preserve">, </w:t>
      </w:r>
      <w:r w:rsidR="000606C3">
        <w:rPr>
          <w:rFonts w:eastAsia="Times New Roman" w:cs="Segoe UI"/>
          <w:b/>
          <w:szCs w:val="20"/>
        </w:rPr>
        <w:t>aby</w:t>
      </w:r>
      <w:r w:rsidRPr="00F83757">
        <w:rPr>
          <w:rFonts w:eastAsia="Times New Roman" w:cs="Segoe UI"/>
          <w:b/>
          <w:szCs w:val="20"/>
        </w:rPr>
        <w:t xml:space="preserve"> sa v nasledujúcich rozpočtových rokoch sprehľadn</w:t>
      </w:r>
      <w:r w:rsidR="000606C3">
        <w:rPr>
          <w:rFonts w:eastAsia="Times New Roman" w:cs="Segoe UI"/>
          <w:b/>
          <w:szCs w:val="20"/>
        </w:rPr>
        <w:t>ilo</w:t>
      </w:r>
      <w:r w:rsidRPr="00F83757">
        <w:rPr>
          <w:rFonts w:eastAsia="Times New Roman" w:cs="Segoe UI"/>
          <w:b/>
          <w:szCs w:val="20"/>
        </w:rPr>
        <w:t xml:space="preserve"> na</w:t>
      </w:r>
      <w:r w:rsidR="000606C3">
        <w:rPr>
          <w:rFonts w:eastAsia="Times New Roman" w:cs="Segoe UI"/>
          <w:b/>
          <w:szCs w:val="20"/>
        </w:rPr>
        <w:t>kladanie</w:t>
      </w:r>
      <w:r w:rsidRPr="00F83757">
        <w:rPr>
          <w:rFonts w:eastAsia="Times New Roman" w:cs="Segoe UI"/>
          <w:b/>
          <w:szCs w:val="20"/>
        </w:rPr>
        <w:t xml:space="preserve"> s rozpočtovými rezervami</w:t>
      </w:r>
      <w:r w:rsidR="003031ED">
        <w:rPr>
          <w:rFonts w:eastAsia="Times New Roman" w:cs="Segoe UI"/>
          <w:b/>
          <w:szCs w:val="20"/>
        </w:rPr>
        <w:t>, ktoré</w:t>
      </w:r>
      <w:r w:rsidR="000606C3">
        <w:rPr>
          <w:rFonts w:eastAsia="Times New Roman" w:cs="Segoe UI"/>
          <w:b/>
          <w:szCs w:val="20"/>
        </w:rPr>
        <w:t xml:space="preserve"> by</w:t>
      </w:r>
      <w:r w:rsidRPr="00F83757">
        <w:rPr>
          <w:rFonts w:eastAsia="Times New Roman" w:cs="Segoe UI"/>
          <w:b/>
          <w:szCs w:val="20"/>
        </w:rPr>
        <w:t xml:space="preserve"> </w:t>
      </w:r>
      <w:r w:rsidR="003031ED">
        <w:rPr>
          <w:rFonts w:eastAsia="Times New Roman" w:cs="Segoe UI"/>
          <w:b/>
          <w:szCs w:val="20"/>
        </w:rPr>
        <w:t xml:space="preserve">mali </w:t>
      </w:r>
      <w:r w:rsidRPr="00F83757">
        <w:rPr>
          <w:rFonts w:eastAsia="Times New Roman" w:cs="Segoe UI"/>
          <w:b/>
          <w:szCs w:val="20"/>
        </w:rPr>
        <w:t xml:space="preserve">pokrývať len nevyhnutnú časť rozpočtu, </w:t>
      </w:r>
      <w:r w:rsidR="00F83757" w:rsidRPr="00F83757">
        <w:rPr>
          <w:rFonts w:eastAsia="Times New Roman" w:cs="Segoe UI"/>
          <w:b/>
          <w:szCs w:val="20"/>
        </w:rPr>
        <w:t xml:space="preserve">teda </w:t>
      </w:r>
      <w:r w:rsidRPr="00F83757">
        <w:rPr>
          <w:rFonts w:eastAsia="Times New Roman" w:cs="Segoe UI"/>
          <w:b/>
          <w:szCs w:val="20"/>
        </w:rPr>
        <w:t>ich podiel</w:t>
      </w:r>
      <w:r w:rsidR="000606C3">
        <w:rPr>
          <w:rFonts w:eastAsia="Times New Roman" w:cs="Segoe UI"/>
          <w:b/>
          <w:szCs w:val="20"/>
        </w:rPr>
        <w:t xml:space="preserve"> by mal byť minimálny</w:t>
      </w:r>
      <w:r w:rsidR="003423C9">
        <w:rPr>
          <w:rFonts w:eastAsia="Times New Roman" w:cs="Segoe UI"/>
          <w:b/>
          <w:szCs w:val="20"/>
        </w:rPr>
        <w:t>.</w:t>
      </w:r>
    </w:p>
    <w:p w14:paraId="4AA646AF" w14:textId="27B3066C" w:rsidR="003423C9" w:rsidRDefault="00D81FC0" w:rsidP="00D81FC0">
      <w:pPr>
        <w:pStyle w:val="Nadpis2"/>
      </w:pPr>
      <w:bookmarkStart w:id="27" w:name="_Toc198637724"/>
      <w:r w:rsidRPr="00832BC2">
        <w:lastRenderedPageBreak/>
        <w:t xml:space="preserve">3.4 </w:t>
      </w:r>
      <w:r w:rsidR="00E824B5" w:rsidRPr="00832BC2">
        <w:t xml:space="preserve"> </w:t>
      </w:r>
      <w:r w:rsidR="003423C9" w:rsidRPr="00832BC2">
        <w:t>Príj</w:t>
      </w:r>
      <w:r w:rsidR="003423C9" w:rsidRPr="00520B02">
        <w:t xml:space="preserve">my zo sociálneho </w:t>
      </w:r>
      <w:r w:rsidR="001B7313" w:rsidRPr="00520B02">
        <w:t xml:space="preserve">a verejného zdravotného </w:t>
      </w:r>
      <w:r w:rsidR="003423C9" w:rsidRPr="00520B02">
        <w:t>poistenia</w:t>
      </w:r>
      <w:bookmarkEnd w:id="27"/>
    </w:p>
    <w:p w14:paraId="67F2805D" w14:textId="4C4A70FC" w:rsidR="003423C9" w:rsidRDefault="003423C9" w:rsidP="003423C9">
      <w:pPr>
        <w:autoSpaceDE w:val="0"/>
        <w:autoSpaceDN w:val="0"/>
        <w:adjustRightInd w:val="0"/>
        <w:rPr>
          <w:rFonts w:cs="Segoe UI"/>
          <w:color w:val="000000"/>
          <w:szCs w:val="20"/>
        </w:rPr>
      </w:pPr>
      <w:r w:rsidRPr="007D3345">
        <w:rPr>
          <w:rFonts w:cs="Segoe UI"/>
          <w:b/>
          <w:color w:val="000000"/>
          <w:szCs w:val="20"/>
        </w:rPr>
        <w:t xml:space="preserve">Príjmy Sociálnej poisťovne v roku 2024 </w:t>
      </w:r>
      <w:r>
        <w:rPr>
          <w:rFonts w:cs="Segoe UI"/>
          <w:b/>
          <w:color w:val="000000"/>
          <w:szCs w:val="20"/>
        </w:rPr>
        <w:t>sa</w:t>
      </w:r>
      <w:r w:rsidRPr="007D3345">
        <w:rPr>
          <w:rFonts w:cs="Segoe UI"/>
          <w:b/>
          <w:color w:val="000000"/>
          <w:szCs w:val="20"/>
        </w:rPr>
        <w:t xml:space="preserve"> medziročne </w:t>
      </w:r>
      <w:r>
        <w:rPr>
          <w:rFonts w:cs="Segoe UI"/>
          <w:b/>
          <w:color w:val="000000"/>
          <w:szCs w:val="20"/>
        </w:rPr>
        <w:t>zvýšili</w:t>
      </w:r>
      <w:r w:rsidRPr="007D3345">
        <w:rPr>
          <w:rFonts w:cs="Segoe UI"/>
          <w:b/>
          <w:color w:val="000000"/>
          <w:szCs w:val="20"/>
        </w:rPr>
        <w:t xml:space="preserve"> o takmer 23 % </w:t>
      </w:r>
      <w:r w:rsidRPr="00D33A6D">
        <w:rPr>
          <w:rFonts w:cs="Segoe UI"/>
          <w:color w:val="000000"/>
          <w:szCs w:val="20"/>
        </w:rPr>
        <w:t xml:space="preserve">(celkovo </w:t>
      </w:r>
      <w:r>
        <w:rPr>
          <w:rFonts w:cs="Segoe UI"/>
          <w:color w:val="000000"/>
          <w:szCs w:val="20"/>
        </w:rPr>
        <w:t xml:space="preserve">predstavovali </w:t>
      </w:r>
      <w:r w:rsidRPr="00D33A6D">
        <w:rPr>
          <w:rFonts w:cs="Segoe UI"/>
          <w:color w:val="000000"/>
          <w:szCs w:val="20"/>
        </w:rPr>
        <w:t>14</w:t>
      </w:r>
      <w:r w:rsidRPr="00D307BE">
        <w:rPr>
          <w:rFonts w:cs="Segoe UI"/>
          <w:color w:val="000000"/>
          <w:szCs w:val="20"/>
        </w:rPr>
        <w:t> 445,1 mil. eur)</w:t>
      </w:r>
      <w:r w:rsidRPr="002C3D65">
        <w:rPr>
          <w:rFonts w:cs="Segoe UI"/>
          <w:b/>
          <w:color w:val="000000"/>
          <w:szCs w:val="20"/>
        </w:rPr>
        <w:t xml:space="preserve">, </w:t>
      </w:r>
      <w:r w:rsidRPr="007D3345">
        <w:rPr>
          <w:rFonts w:cs="Segoe UI"/>
          <w:b/>
          <w:color w:val="000000"/>
          <w:szCs w:val="20"/>
        </w:rPr>
        <w:t>a</w:t>
      </w:r>
      <w:r>
        <w:rPr>
          <w:rFonts w:cs="Segoe UI"/>
          <w:b/>
          <w:color w:val="000000"/>
          <w:szCs w:val="20"/>
        </w:rPr>
        <w:t>le vzrástli aj</w:t>
      </w:r>
      <w:r w:rsidRPr="007D3345">
        <w:rPr>
          <w:rFonts w:cs="Segoe UI"/>
          <w:b/>
          <w:color w:val="000000"/>
          <w:szCs w:val="20"/>
        </w:rPr>
        <w:t xml:space="preserve"> výdavky o 20,3 % </w:t>
      </w:r>
      <w:r w:rsidRPr="00D33A6D">
        <w:rPr>
          <w:rFonts w:cs="Segoe UI"/>
          <w:color w:val="000000"/>
          <w:szCs w:val="20"/>
        </w:rPr>
        <w:t xml:space="preserve">(na </w:t>
      </w:r>
      <w:r w:rsidRPr="00D307BE">
        <w:rPr>
          <w:rFonts w:cs="Segoe UI"/>
          <w:color w:val="000000"/>
          <w:szCs w:val="20"/>
        </w:rPr>
        <w:t>14 376,6 mil. eur</w:t>
      </w:r>
      <w:r w:rsidRPr="003031ED">
        <w:rPr>
          <w:rFonts w:cs="Segoe UI"/>
          <w:color w:val="000000"/>
          <w:szCs w:val="20"/>
        </w:rPr>
        <w:t>)</w:t>
      </w:r>
      <w:r w:rsidRPr="007D3345">
        <w:rPr>
          <w:rFonts w:cs="Segoe UI"/>
          <w:b/>
          <w:color w:val="000000"/>
          <w:szCs w:val="20"/>
        </w:rPr>
        <w:t>.</w:t>
      </w:r>
      <w:r>
        <w:rPr>
          <w:rFonts w:cs="Segoe UI"/>
          <w:color w:val="000000"/>
          <w:szCs w:val="20"/>
        </w:rPr>
        <w:t xml:space="preserve"> Príjmy aj výdavky prekročili schválený rozpočet o </w:t>
      </w:r>
      <w:r w:rsidRPr="005E1A60">
        <w:rPr>
          <w:rFonts w:cs="Segoe UI"/>
          <w:color w:val="000000"/>
          <w:szCs w:val="20"/>
        </w:rPr>
        <w:t>8 %</w:t>
      </w:r>
      <w:r>
        <w:rPr>
          <w:rFonts w:cs="Segoe UI"/>
          <w:color w:val="000000"/>
          <w:szCs w:val="20"/>
        </w:rPr>
        <w:t>.</w:t>
      </w:r>
    </w:p>
    <w:p w14:paraId="068501A8" w14:textId="6EEDF019" w:rsidR="00C36DCD" w:rsidRDefault="00C36DCD" w:rsidP="00C36DCD">
      <w:pPr>
        <w:rPr>
          <w:rFonts w:cs="Segoe UI"/>
          <w:szCs w:val="20"/>
        </w:rPr>
      </w:pPr>
      <w:r>
        <w:rPr>
          <w:rFonts w:cs="Segoe UI"/>
          <w:b/>
          <w:color w:val="000000"/>
          <w:szCs w:val="20"/>
        </w:rPr>
        <w:t>R</w:t>
      </w:r>
      <w:r w:rsidRPr="00F24D87">
        <w:rPr>
          <w:rFonts w:cs="Segoe UI"/>
          <w:b/>
          <w:color w:val="000000"/>
          <w:szCs w:val="20"/>
        </w:rPr>
        <w:t>ozhodujúc</w:t>
      </w:r>
      <w:r>
        <w:rPr>
          <w:rFonts w:cs="Segoe UI"/>
          <w:b/>
          <w:color w:val="000000"/>
          <w:szCs w:val="20"/>
        </w:rPr>
        <w:t>e</w:t>
      </w:r>
      <w:r w:rsidRPr="00F24D87">
        <w:rPr>
          <w:rFonts w:cs="Segoe UI"/>
          <w:b/>
          <w:color w:val="000000"/>
          <w:szCs w:val="20"/>
        </w:rPr>
        <w:t xml:space="preserve"> príjm</w:t>
      </w:r>
      <w:r>
        <w:rPr>
          <w:rFonts w:cs="Segoe UI"/>
          <w:b/>
          <w:color w:val="000000"/>
          <w:szCs w:val="20"/>
        </w:rPr>
        <w:t xml:space="preserve">y </w:t>
      </w:r>
      <w:r w:rsidRPr="00F24D87">
        <w:rPr>
          <w:rFonts w:cs="Segoe UI"/>
          <w:b/>
          <w:color w:val="000000"/>
          <w:szCs w:val="20"/>
        </w:rPr>
        <w:t>SP</w:t>
      </w:r>
      <w:r>
        <w:rPr>
          <w:rFonts w:cs="Segoe UI"/>
          <w:b/>
          <w:color w:val="000000"/>
          <w:szCs w:val="20"/>
        </w:rPr>
        <w:t xml:space="preserve"> z poistného </w:t>
      </w:r>
      <w:r w:rsidRPr="00F24D87">
        <w:rPr>
          <w:rFonts w:cs="Segoe UI"/>
          <w:b/>
          <w:color w:val="000000"/>
          <w:szCs w:val="20"/>
        </w:rPr>
        <w:t xml:space="preserve">boli vo výške 11 663,7 tis. eur </w:t>
      </w:r>
      <w:r>
        <w:rPr>
          <w:rFonts w:cs="Segoe UI"/>
          <w:b/>
          <w:color w:val="000000"/>
          <w:szCs w:val="20"/>
        </w:rPr>
        <w:t xml:space="preserve">a </w:t>
      </w:r>
      <w:r w:rsidRPr="00F24D87">
        <w:rPr>
          <w:rFonts w:cs="Segoe UI"/>
          <w:b/>
          <w:color w:val="000000"/>
          <w:szCs w:val="20"/>
        </w:rPr>
        <w:t xml:space="preserve">medziročne </w:t>
      </w:r>
      <w:r>
        <w:rPr>
          <w:rFonts w:cs="Segoe UI"/>
          <w:b/>
          <w:color w:val="000000"/>
          <w:szCs w:val="20"/>
        </w:rPr>
        <w:t>vz</w:t>
      </w:r>
      <w:r w:rsidRPr="00F24D87">
        <w:rPr>
          <w:rFonts w:cs="Segoe UI"/>
          <w:b/>
          <w:color w:val="000000"/>
          <w:szCs w:val="20"/>
        </w:rPr>
        <w:t>rástli o 10,6 %</w:t>
      </w:r>
      <w:r w:rsidRPr="00F24D87">
        <w:rPr>
          <w:rFonts w:eastAsia="Times New Roman" w:cs="Segoe UI"/>
          <w:b/>
          <w:szCs w:val="20"/>
          <w:lang w:eastAsia="sk-SK"/>
        </w:rPr>
        <w:t>, avšak v</w:t>
      </w:r>
      <w:r w:rsidRPr="00F24D87">
        <w:rPr>
          <w:rFonts w:cs="Segoe UI"/>
          <w:b/>
          <w:color w:val="000000"/>
          <w:szCs w:val="20"/>
        </w:rPr>
        <w:t xml:space="preserve"> porovnaní s rozpočtom boli nižšie </w:t>
      </w:r>
      <w:r>
        <w:rPr>
          <w:rFonts w:cs="Segoe UI"/>
          <w:b/>
          <w:color w:val="000000"/>
          <w:szCs w:val="20"/>
        </w:rPr>
        <w:t xml:space="preserve">o </w:t>
      </w:r>
      <w:r w:rsidRPr="00F24D87">
        <w:rPr>
          <w:rFonts w:cs="Segoe UI"/>
          <w:b/>
          <w:color w:val="000000"/>
          <w:szCs w:val="20"/>
        </w:rPr>
        <w:t>0,5 %.</w:t>
      </w:r>
      <w:r w:rsidRPr="005A4F3E">
        <w:rPr>
          <w:rFonts w:cs="Segoe UI"/>
          <w:color w:val="000000"/>
          <w:szCs w:val="20"/>
        </w:rPr>
        <w:t xml:space="preserve"> </w:t>
      </w:r>
      <w:r>
        <w:rPr>
          <w:rFonts w:cs="Segoe UI"/>
          <w:szCs w:val="20"/>
        </w:rPr>
        <w:t>Podstatnú časť týchto príjmov (spolu 88 %) tvorili predovšetkým odvody poistného za pracujúcich, pozostávajúce z príspevkov na poistenie zamestnávateľov a zamestnancov (graf 1</w:t>
      </w:r>
      <w:r w:rsidR="003031ED">
        <w:rPr>
          <w:rFonts w:cs="Segoe UI"/>
          <w:szCs w:val="20"/>
        </w:rPr>
        <w:t>3</w:t>
      </w:r>
      <w:r>
        <w:rPr>
          <w:rFonts w:cs="Segoe UI"/>
          <w:szCs w:val="20"/>
        </w:rPr>
        <w:t xml:space="preserve">). SZČO odviedli 4,3 % z celkového objemu príspevkov, len 20,5 % z nich platilo sociálne poistenie z vyššieho ako minimálneho vymeriavacieho základu. </w:t>
      </w:r>
    </w:p>
    <w:p w14:paraId="379D38F0" w14:textId="6E446541" w:rsidR="00C36DCD" w:rsidRDefault="00C36DCD" w:rsidP="00C36DCD">
      <w:pPr>
        <w:autoSpaceDE w:val="0"/>
        <w:autoSpaceDN w:val="0"/>
        <w:adjustRightInd w:val="0"/>
        <w:rPr>
          <w:rFonts w:cs="Segoe UI"/>
          <w:color w:val="000000"/>
          <w:szCs w:val="20"/>
        </w:rPr>
      </w:pPr>
      <w:r w:rsidRPr="00586EC4">
        <w:rPr>
          <w:rFonts w:cs="Segoe UI"/>
          <w:b/>
          <w:color w:val="000000"/>
          <w:szCs w:val="20"/>
        </w:rPr>
        <w:t>Výbe</w:t>
      </w:r>
      <w:r w:rsidRPr="00FD2330">
        <w:rPr>
          <w:rFonts w:cs="Segoe UI"/>
          <w:b/>
          <w:color w:val="000000"/>
          <w:szCs w:val="20"/>
        </w:rPr>
        <w:t xml:space="preserve">r poistného od </w:t>
      </w:r>
      <w:r>
        <w:rPr>
          <w:rFonts w:cs="Segoe UI"/>
          <w:b/>
          <w:color w:val="000000"/>
          <w:szCs w:val="20"/>
        </w:rPr>
        <w:t>ekonomicky aktívneho obyvateľstva</w:t>
      </w:r>
      <w:r w:rsidRPr="002879B8">
        <w:rPr>
          <w:rStyle w:val="Odkaznapoznmkupodiarou"/>
          <w:rFonts w:cs="Segoe UI"/>
          <w:color w:val="000000"/>
          <w:szCs w:val="20"/>
        </w:rPr>
        <w:footnoteReference w:id="6"/>
      </w:r>
      <w:r>
        <w:rPr>
          <w:rFonts w:cs="Segoe UI"/>
          <w:b/>
          <w:color w:val="000000"/>
          <w:szCs w:val="20"/>
        </w:rPr>
        <w:t xml:space="preserve"> </w:t>
      </w:r>
      <w:r w:rsidRPr="00FD2330">
        <w:rPr>
          <w:rFonts w:cs="Segoe UI"/>
          <w:color w:val="000000"/>
          <w:szCs w:val="20"/>
        </w:rPr>
        <w:t>(EAO)</w:t>
      </w:r>
      <w:r w:rsidRPr="00FD2330">
        <w:rPr>
          <w:rFonts w:cs="Segoe UI"/>
          <w:b/>
          <w:color w:val="000000"/>
          <w:szCs w:val="20"/>
        </w:rPr>
        <w:t xml:space="preserve"> bol nižší ako sa očakával v</w:t>
      </w:r>
      <w:r>
        <w:rPr>
          <w:rFonts w:cs="Segoe UI"/>
          <w:b/>
          <w:color w:val="000000"/>
          <w:szCs w:val="20"/>
        </w:rPr>
        <w:t> </w:t>
      </w:r>
      <w:r w:rsidRPr="00FD2330">
        <w:rPr>
          <w:rFonts w:cs="Segoe UI"/>
          <w:b/>
          <w:color w:val="000000"/>
          <w:szCs w:val="20"/>
        </w:rPr>
        <w:t>rozpočte</w:t>
      </w:r>
      <w:r>
        <w:rPr>
          <w:rFonts w:cs="Segoe UI"/>
          <w:b/>
          <w:color w:val="000000"/>
          <w:szCs w:val="20"/>
        </w:rPr>
        <w:t xml:space="preserve">, </w:t>
      </w:r>
      <w:r w:rsidRPr="00665F54">
        <w:rPr>
          <w:rFonts w:cs="Segoe UI"/>
          <w:b/>
          <w:color w:val="000000"/>
          <w:szCs w:val="20"/>
        </w:rPr>
        <w:t>a to o </w:t>
      </w:r>
      <w:r w:rsidR="00006326" w:rsidRPr="00665F54">
        <w:rPr>
          <w:rFonts w:cs="Segoe UI"/>
          <w:b/>
          <w:color w:val="000000"/>
          <w:szCs w:val="20"/>
        </w:rPr>
        <w:t>2</w:t>
      </w:r>
      <w:r w:rsidRPr="00665F54">
        <w:rPr>
          <w:rFonts w:cs="Segoe UI"/>
          <w:b/>
          <w:color w:val="000000"/>
          <w:szCs w:val="20"/>
        </w:rPr>
        <w:t>,</w:t>
      </w:r>
      <w:r w:rsidR="00006326" w:rsidRPr="00665F54">
        <w:rPr>
          <w:rFonts w:cs="Segoe UI"/>
          <w:b/>
          <w:color w:val="000000"/>
          <w:szCs w:val="20"/>
        </w:rPr>
        <w:t>3</w:t>
      </w:r>
      <w:r w:rsidRPr="00665F54">
        <w:rPr>
          <w:rFonts w:cs="Segoe UI"/>
          <w:b/>
          <w:color w:val="000000"/>
          <w:szCs w:val="20"/>
        </w:rPr>
        <w:t xml:space="preserve"> %</w:t>
      </w:r>
      <w:r>
        <w:rPr>
          <w:rFonts w:cs="Segoe UI"/>
          <w:b/>
          <w:color w:val="000000"/>
          <w:szCs w:val="20"/>
        </w:rPr>
        <w:t xml:space="preserve"> </w:t>
      </w:r>
      <w:r>
        <w:rPr>
          <w:rFonts w:cs="Segoe UI"/>
          <w:color w:val="000000"/>
          <w:szCs w:val="20"/>
        </w:rPr>
        <w:t>(graf 1</w:t>
      </w:r>
      <w:r w:rsidR="003031ED">
        <w:rPr>
          <w:rFonts w:cs="Segoe UI"/>
          <w:color w:val="000000"/>
          <w:szCs w:val="20"/>
        </w:rPr>
        <w:t>4</w:t>
      </w:r>
      <w:r>
        <w:rPr>
          <w:rFonts w:cs="Segoe UI"/>
          <w:color w:val="000000"/>
          <w:szCs w:val="20"/>
        </w:rPr>
        <w:t>)</w:t>
      </w:r>
      <w:r w:rsidRPr="00FD2330">
        <w:rPr>
          <w:rFonts w:cs="Segoe UI"/>
          <w:b/>
          <w:color w:val="000000"/>
          <w:szCs w:val="20"/>
        </w:rPr>
        <w:t>.</w:t>
      </w:r>
      <w:r w:rsidRPr="002879B8">
        <w:rPr>
          <w:rFonts w:cs="Segoe UI"/>
          <w:color w:val="000000"/>
          <w:szCs w:val="20"/>
        </w:rPr>
        <w:t xml:space="preserve"> Príjmy z poistného od EAO</w:t>
      </w:r>
      <w:r>
        <w:rPr>
          <w:rFonts w:cs="Segoe UI"/>
          <w:color w:val="000000"/>
          <w:szCs w:val="20"/>
        </w:rPr>
        <w:t xml:space="preserve"> predstavovali 92,4 % príjmov z poistného a</w:t>
      </w:r>
      <w:r w:rsidRPr="002879B8">
        <w:rPr>
          <w:rFonts w:cs="Segoe UI"/>
          <w:color w:val="000000"/>
          <w:szCs w:val="20"/>
        </w:rPr>
        <w:t xml:space="preserve"> medziročne </w:t>
      </w:r>
      <w:r w:rsidR="00520B02">
        <w:rPr>
          <w:rFonts w:cs="Segoe UI"/>
          <w:color w:val="000000"/>
          <w:szCs w:val="20"/>
        </w:rPr>
        <w:t>vz</w:t>
      </w:r>
      <w:r w:rsidRPr="002879B8">
        <w:rPr>
          <w:rFonts w:cs="Segoe UI"/>
          <w:color w:val="000000"/>
          <w:szCs w:val="20"/>
        </w:rPr>
        <w:t>rástli o takmer 9 %</w:t>
      </w:r>
      <w:r>
        <w:rPr>
          <w:rFonts w:cs="Segoe UI"/>
          <w:color w:val="000000"/>
          <w:szCs w:val="20"/>
        </w:rPr>
        <w:t>.</w:t>
      </w:r>
    </w:p>
    <w:tbl>
      <w:tblPr>
        <w:tblStyle w:val="Mriekatabuky"/>
        <w:tblW w:w="0" w:type="auto"/>
        <w:tblBorders>
          <w:top w:val="none" w:sz="0" w:space="0" w:color="auto"/>
          <w:left w:val="none" w:sz="0" w:space="0" w:color="auto"/>
          <w:bottom w:val="single" w:sz="4" w:space="0" w:color="314364" w:themeColor="text2"/>
          <w:right w:val="none" w:sz="0" w:space="0" w:color="auto"/>
          <w:insideH w:val="none" w:sz="0" w:space="0" w:color="auto"/>
          <w:insideV w:val="none" w:sz="0" w:space="0" w:color="auto"/>
        </w:tblBorders>
        <w:tblLook w:val="04A0" w:firstRow="1" w:lastRow="0" w:firstColumn="1" w:lastColumn="0" w:noHBand="0" w:noVBand="1"/>
      </w:tblPr>
      <w:tblGrid>
        <w:gridCol w:w="4666"/>
        <w:gridCol w:w="4404"/>
      </w:tblGrid>
      <w:tr w:rsidR="00826A47" w14:paraId="69A7B3F5" w14:textId="77777777" w:rsidTr="00C36DCD">
        <w:trPr>
          <w:trHeight w:val="283"/>
        </w:trPr>
        <w:tc>
          <w:tcPr>
            <w:tcW w:w="4699" w:type="dxa"/>
            <w:tcBorders>
              <w:bottom w:val="single" w:sz="4" w:space="0" w:color="314364" w:themeColor="text2"/>
            </w:tcBorders>
          </w:tcPr>
          <w:p w14:paraId="67A03BAD" w14:textId="20C2A81C" w:rsidR="00826A47" w:rsidRDefault="00826A47" w:rsidP="003031ED">
            <w:pPr>
              <w:autoSpaceDE w:val="0"/>
              <w:autoSpaceDN w:val="0"/>
              <w:adjustRightInd w:val="0"/>
              <w:spacing w:after="0"/>
              <w:jc w:val="left"/>
              <w:rPr>
                <w:rFonts w:cs="Segoe UI"/>
                <w:color w:val="000000"/>
                <w:szCs w:val="20"/>
              </w:rPr>
            </w:pPr>
            <w:r w:rsidRPr="006647A7">
              <w:rPr>
                <w:b/>
                <w:iCs/>
                <w:color w:val="314364"/>
                <w:szCs w:val="18"/>
              </w:rPr>
              <w:t xml:space="preserve">Graf </w:t>
            </w:r>
            <w:r>
              <w:rPr>
                <w:b/>
                <w:iCs/>
                <w:color w:val="314364"/>
                <w:szCs w:val="18"/>
              </w:rPr>
              <w:t>1</w:t>
            </w:r>
            <w:r w:rsidR="003031ED">
              <w:rPr>
                <w:b/>
                <w:iCs/>
                <w:color w:val="314364"/>
                <w:szCs w:val="18"/>
              </w:rPr>
              <w:t>3</w:t>
            </w:r>
            <w:r w:rsidRPr="006647A7">
              <w:rPr>
                <w:b/>
                <w:iCs/>
                <w:color w:val="314364"/>
                <w:szCs w:val="18"/>
              </w:rPr>
              <w:t xml:space="preserve">: </w:t>
            </w:r>
            <w:r w:rsidRPr="007D3345">
              <w:rPr>
                <w:b/>
                <w:iCs/>
                <w:color w:val="314364" w:themeColor="text2"/>
                <w:szCs w:val="18"/>
              </w:rPr>
              <w:t>Štruktúra</w:t>
            </w:r>
            <w:r>
              <w:rPr>
                <w:b/>
                <w:iCs/>
                <w:color w:val="314364"/>
                <w:szCs w:val="18"/>
              </w:rPr>
              <w:t xml:space="preserve"> príjmov Sociálnej poisťovne z poistného v roku 2024 (v %</w:t>
            </w:r>
            <w:r w:rsidRPr="006647A7">
              <w:rPr>
                <w:b/>
                <w:iCs/>
                <w:color w:val="314364"/>
                <w:szCs w:val="18"/>
              </w:rPr>
              <w:t xml:space="preserve">)  </w:t>
            </w:r>
          </w:p>
        </w:tc>
        <w:tc>
          <w:tcPr>
            <w:tcW w:w="4371" w:type="dxa"/>
            <w:tcBorders>
              <w:bottom w:val="single" w:sz="4" w:space="0" w:color="314364" w:themeColor="text2"/>
            </w:tcBorders>
          </w:tcPr>
          <w:p w14:paraId="091E4773" w14:textId="034D0004" w:rsidR="00826A47" w:rsidRDefault="00826A47" w:rsidP="003031ED">
            <w:pPr>
              <w:autoSpaceDE w:val="0"/>
              <w:autoSpaceDN w:val="0"/>
              <w:adjustRightInd w:val="0"/>
              <w:spacing w:after="0"/>
              <w:jc w:val="left"/>
              <w:rPr>
                <w:rFonts w:cs="Segoe UI"/>
                <w:color w:val="000000"/>
                <w:szCs w:val="20"/>
              </w:rPr>
            </w:pPr>
            <w:r w:rsidRPr="006647A7">
              <w:rPr>
                <w:b/>
                <w:iCs/>
                <w:color w:val="314364"/>
                <w:szCs w:val="18"/>
              </w:rPr>
              <w:t xml:space="preserve">Graf </w:t>
            </w:r>
            <w:r>
              <w:rPr>
                <w:b/>
                <w:iCs/>
                <w:color w:val="314364"/>
                <w:szCs w:val="18"/>
              </w:rPr>
              <w:t>1</w:t>
            </w:r>
            <w:r w:rsidR="003031ED">
              <w:rPr>
                <w:b/>
                <w:iCs/>
                <w:color w:val="314364"/>
                <w:szCs w:val="18"/>
              </w:rPr>
              <w:t>4</w:t>
            </w:r>
            <w:r w:rsidRPr="006647A7">
              <w:rPr>
                <w:b/>
                <w:iCs/>
                <w:color w:val="314364"/>
                <w:szCs w:val="18"/>
              </w:rPr>
              <w:t xml:space="preserve">: </w:t>
            </w:r>
            <w:r>
              <w:rPr>
                <w:b/>
                <w:iCs/>
                <w:color w:val="314364"/>
                <w:szCs w:val="18"/>
              </w:rPr>
              <w:t>Príjmy SP z poistného od EAO v rokoch 2023 a 2024</w:t>
            </w:r>
            <w:r w:rsidRPr="006647A7">
              <w:rPr>
                <w:b/>
                <w:iCs/>
                <w:color w:val="314364"/>
                <w:szCs w:val="18"/>
              </w:rPr>
              <w:t xml:space="preserve"> </w:t>
            </w:r>
            <w:r>
              <w:rPr>
                <w:b/>
                <w:iCs/>
                <w:color w:val="314364"/>
                <w:szCs w:val="18"/>
              </w:rPr>
              <w:t xml:space="preserve">(v tis. </w:t>
            </w:r>
            <w:r w:rsidR="00006326">
              <w:rPr>
                <w:b/>
                <w:iCs/>
                <w:color w:val="314364"/>
                <w:szCs w:val="18"/>
              </w:rPr>
              <w:t>eur)</w:t>
            </w:r>
          </w:p>
        </w:tc>
      </w:tr>
      <w:tr w:rsidR="00826A47" w14:paraId="6A7F55D6" w14:textId="77777777" w:rsidTr="00C36DCD">
        <w:trPr>
          <w:trHeight w:val="283"/>
        </w:trPr>
        <w:tc>
          <w:tcPr>
            <w:tcW w:w="4699" w:type="dxa"/>
            <w:tcBorders>
              <w:top w:val="single" w:sz="4" w:space="0" w:color="314364" w:themeColor="text2"/>
            </w:tcBorders>
          </w:tcPr>
          <w:p w14:paraId="61AFAC26" w14:textId="77777777" w:rsidR="00826A47" w:rsidRDefault="00826A47" w:rsidP="002E1FF0">
            <w:pPr>
              <w:autoSpaceDE w:val="0"/>
              <w:autoSpaceDN w:val="0"/>
              <w:adjustRightInd w:val="0"/>
              <w:spacing w:after="0"/>
              <w:rPr>
                <w:rFonts w:cs="Segoe UI"/>
                <w:color w:val="000000"/>
                <w:szCs w:val="20"/>
              </w:rPr>
            </w:pPr>
            <w:r>
              <w:rPr>
                <w:noProof/>
                <w:lang w:eastAsia="sk-SK"/>
              </w:rPr>
              <w:drawing>
                <wp:inline distT="0" distB="0" distL="0" distR="0" wp14:anchorId="320B2B0A" wp14:editId="067FD7F7">
                  <wp:extent cx="2857500" cy="1980000"/>
                  <wp:effectExtent l="0" t="0" r="0" b="0"/>
                  <wp:docPr id="50" name="Graf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tc>
        <w:tc>
          <w:tcPr>
            <w:tcW w:w="4371" w:type="dxa"/>
            <w:tcBorders>
              <w:top w:val="single" w:sz="4" w:space="0" w:color="314364" w:themeColor="text2"/>
            </w:tcBorders>
          </w:tcPr>
          <w:p w14:paraId="2B6C0818" w14:textId="5FC692C9" w:rsidR="00826A47" w:rsidRDefault="00665F54" w:rsidP="002E1FF0">
            <w:pPr>
              <w:autoSpaceDE w:val="0"/>
              <w:autoSpaceDN w:val="0"/>
              <w:adjustRightInd w:val="0"/>
              <w:spacing w:after="0"/>
              <w:rPr>
                <w:rFonts w:cs="Segoe UI"/>
                <w:color w:val="000000"/>
                <w:szCs w:val="20"/>
              </w:rPr>
            </w:pPr>
            <w:r>
              <w:rPr>
                <w:noProof/>
                <w:lang w:eastAsia="sk-SK"/>
              </w:rPr>
              <w:drawing>
                <wp:inline distT="0" distB="0" distL="0" distR="0" wp14:anchorId="5FFA21A7" wp14:editId="19E9EE72">
                  <wp:extent cx="2689860" cy="2156460"/>
                  <wp:effectExtent l="0" t="0" r="0" b="0"/>
                  <wp:docPr id="141712271" name="Graf 141712271">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tc>
      </w:tr>
    </w:tbl>
    <w:p w14:paraId="320CD9C5" w14:textId="57122D87" w:rsidR="00826A47" w:rsidRDefault="00826A47" w:rsidP="00826A47">
      <w:pPr>
        <w:pStyle w:val="Zdroj"/>
        <w:rPr>
          <w:color w:val="000000"/>
          <w:szCs w:val="20"/>
        </w:rPr>
      </w:pPr>
      <w:r w:rsidRPr="006647A7">
        <w:t>Zdroj: Sociálna poisťovňa</w:t>
      </w:r>
      <w:r w:rsidR="00601FB5">
        <w:t>.</w:t>
      </w:r>
    </w:p>
    <w:p w14:paraId="571D1974" w14:textId="4CBCF8C0" w:rsidR="00060A3C" w:rsidRDefault="00060A3C" w:rsidP="004F286A">
      <w:pPr>
        <w:autoSpaceDE w:val="0"/>
        <w:autoSpaceDN w:val="0"/>
        <w:adjustRightInd w:val="0"/>
        <w:rPr>
          <w:rFonts w:cs="Segoe UI"/>
          <w:i/>
          <w:sz w:val="16"/>
          <w:szCs w:val="16"/>
        </w:rPr>
      </w:pPr>
      <w:r w:rsidRPr="00397689">
        <w:rPr>
          <w:rFonts w:cs="Segoe UI"/>
          <w:b/>
          <w:color w:val="000000"/>
          <w:szCs w:val="20"/>
        </w:rPr>
        <w:t xml:space="preserve">Transfer zo ŠR prekonal očakávanie rozpočtu o 1,6 mld. </w:t>
      </w:r>
      <w:r w:rsidRPr="003031ED">
        <w:rPr>
          <w:rFonts w:cs="Segoe UI"/>
          <w:b/>
          <w:color w:val="000000"/>
          <w:szCs w:val="20"/>
        </w:rPr>
        <w:t>eur.</w:t>
      </w:r>
      <w:r>
        <w:rPr>
          <w:rFonts w:cs="Segoe UI"/>
          <w:color w:val="000000"/>
          <w:szCs w:val="20"/>
        </w:rPr>
        <w:t xml:space="preserve"> </w:t>
      </w:r>
      <w:r w:rsidR="004F286A">
        <w:rPr>
          <w:rFonts w:cs="Segoe UI"/>
          <w:color w:val="000000"/>
          <w:szCs w:val="20"/>
        </w:rPr>
        <w:t>V roku</w:t>
      </w:r>
      <w:r>
        <w:rPr>
          <w:rFonts w:cs="Segoe UI"/>
          <w:color w:val="000000"/>
          <w:szCs w:val="20"/>
        </w:rPr>
        <w:t xml:space="preserve"> 2024 </w:t>
      </w:r>
      <w:r w:rsidR="004F286A">
        <w:rPr>
          <w:rFonts w:cs="Segoe UI"/>
          <w:color w:val="000000"/>
          <w:szCs w:val="20"/>
        </w:rPr>
        <w:t>predstavoval</w:t>
      </w:r>
      <w:r>
        <w:rPr>
          <w:rFonts w:cs="Segoe UI"/>
          <w:color w:val="000000"/>
          <w:szCs w:val="20"/>
        </w:rPr>
        <w:t xml:space="preserve"> 2,72 mld. eur, čo je historicky najvyššia hodnota (graf 1</w:t>
      </w:r>
      <w:r w:rsidR="003031ED">
        <w:rPr>
          <w:rFonts w:cs="Segoe UI"/>
          <w:color w:val="000000"/>
          <w:szCs w:val="20"/>
        </w:rPr>
        <w:t>5</w:t>
      </w:r>
      <w:r>
        <w:rPr>
          <w:rFonts w:cs="Segoe UI"/>
          <w:color w:val="000000"/>
          <w:szCs w:val="20"/>
        </w:rPr>
        <w:t xml:space="preserve">). Poskytnutý transfer slúžil predovšetkým na výplatu dôchodkových dávok (13. dôchodok, rodičovský dôchodok). SP </w:t>
      </w:r>
      <w:r w:rsidRPr="00271F8A">
        <w:rPr>
          <w:rFonts w:cs="Segoe UI"/>
          <w:color w:val="000000"/>
          <w:szCs w:val="20"/>
        </w:rPr>
        <w:t xml:space="preserve">svoje deficitné hospodárenie v základnom fonde nemocenského poistenia a základnom fonde starobného poistenia riešila </w:t>
      </w:r>
      <w:r>
        <w:rPr>
          <w:rFonts w:cs="Segoe UI"/>
          <w:color w:val="000000"/>
          <w:szCs w:val="20"/>
        </w:rPr>
        <w:t xml:space="preserve">okrem </w:t>
      </w:r>
      <w:r w:rsidRPr="00271F8A">
        <w:rPr>
          <w:rFonts w:cs="Segoe UI"/>
          <w:color w:val="000000"/>
          <w:szCs w:val="20"/>
        </w:rPr>
        <w:t>transfer</w:t>
      </w:r>
      <w:r>
        <w:rPr>
          <w:rFonts w:cs="Segoe UI"/>
          <w:color w:val="000000"/>
          <w:szCs w:val="20"/>
        </w:rPr>
        <w:t xml:space="preserve">u </w:t>
      </w:r>
      <w:r w:rsidRPr="00271F8A">
        <w:rPr>
          <w:rFonts w:cs="Segoe UI"/>
          <w:color w:val="000000"/>
          <w:szCs w:val="20"/>
        </w:rPr>
        <w:t xml:space="preserve">zo ŠR </w:t>
      </w:r>
      <w:r>
        <w:rPr>
          <w:rFonts w:cs="Segoe UI"/>
          <w:color w:val="000000"/>
          <w:szCs w:val="20"/>
        </w:rPr>
        <w:t xml:space="preserve">aj </w:t>
      </w:r>
      <w:r w:rsidRPr="00271F8A">
        <w:rPr>
          <w:rFonts w:cs="Segoe UI"/>
          <w:color w:val="000000"/>
          <w:szCs w:val="20"/>
        </w:rPr>
        <w:t>svojimi vnútornými zdrojmi, predovšetkým presunmi z ostatných základných prebytkových fondov</w:t>
      </w:r>
      <w:r>
        <w:rPr>
          <w:rFonts w:cs="Segoe UI"/>
          <w:color w:val="000000"/>
          <w:szCs w:val="20"/>
        </w:rPr>
        <w:t xml:space="preserve"> v celkovej sume 2 890 mil. eur</w:t>
      </w:r>
      <w:r w:rsidRPr="00271F8A">
        <w:rPr>
          <w:rFonts w:cs="Segoe UI"/>
          <w:color w:val="000000"/>
          <w:szCs w:val="20"/>
        </w:rPr>
        <w:t xml:space="preserve">. </w:t>
      </w:r>
      <w:r>
        <w:rPr>
          <w:rFonts w:cs="Segoe UI"/>
          <w:color w:val="000000"/>
          <w:szCs w:val="20"/>
        </w:rPr>
        <w:t>Z rezervného fondu solidarity sa presunulo 70 mil. eur do nemocenského poistenia a 1 490 mil. eur do základného fondu starobného poistenia. Základný fond starobného poistenia bol ďalej doplnený o 740 mil. eur z invalidného poistenia, sumou 350 mil. eur</w:t>
      </w:r>
      <w:r w:rsidRPr="00713195">
        <w:rPr>
          <w:rFonts w:cs="Segoe UI"/>
          <w:color w:val="000000"/>
          <w:szCs w:val="20"/>
        </w:rPr>
        <w:t xml:space="preserve"> </w:t>
      </w:r>
      <w:r>
        <w:rPr>
          <w:rFonts w:cs="Segoe UI"/>
          <w:color w:val="000000"/>
          <w:szCs w:val="20"/>
        </w:rPr>
        <w:t xml:space="preserve">z poistenia v nezamestnanosti, 197 mil. eur z úrazového poistenia a 43 mil. eur z garančného poistenia. </w:t>
      </w:r>
    </w:p>
    <w:p w14:paraId="2661AD4B" w14:textId="3F0FCF69" w:rsidR="00826A47" w:rsidRPr="007D3345" w:rsidRDefault="00826A47" w:rsidP="00826A47">
      <w:pPr>
        <w:pStyle w:val="Popis"/>
        <w:keepNext/>
      </w:pPr>
      <w:r w:rsidRPr="007D3345">
        <w:lastRenderedPageBreak/>
        <w:t>Graf 1</w:t>
      </w:r>
      <w:r w:rsidR="003031ED">
        <w:t>5</w:t>
      </w:r>
      <w:r w:rsidRPr="007D3345">
        <w:t xml:space="preserve">: Transfer Sociálnej poisťovni zo štátneho rozpočtu v rokoch 2015 až 2024 (v tis. eur)  </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826A47" w:rsidRPr="000F43AE" w14:paraId="54BEDA8A" w14:textId="77777777" w:rsidTr="00AC1F7A">
        <w:trPr>
          <w:trHeight w:val="2835"/>
        </w:trPr>
        <w:tc>
          <w:tcPr>
            <w:tcW w:w="9071" w:type="dxa"/>
            <w:tcBorders>
              <w:top w:val="single" w:sz="4" w:space="0" w:color="314364"/>
              <w:bottom w:val="single" w:sz="4" w:space="0" w:color="314364"/>
            </w:tcBorders>
            <w:vAlign w:val="center"/>
          </w:tcPr>
          <w:p w14:paraId="0C41D617" w14:textId="77777777" w:rsidR="00826A47" w:rsidRPr="000F43AE" w:rsidRDefault="00826A47" w:rsidP="002E1FF0">
            <w:pPr>
              <w:spacing w:after="0"/>
              <w:rPr>
                <w:b/>
                <w:color w:val="576431"/>
                <w:highlight w:val="yellow"/>
              </w:rPr>
            </w:pPr>
            <w:r>
              <w:rPr>
                <w:noProof/>
                <w:lang w:eastAsia="sk-SK"/>
              </w:rPr>
              <w:drawing>
                <wp:inline distT="0" distB="0" distL="0" distR="0" wp14:anchorId="08B965AC" wp14:editId="67CE7CCC">
                  <wp:extent cx="5676900" cy="1762125"/>
                  <wp:effectExtent l="0" t="0" r="0" b="0"/>
                  <wp:docPr id="22" name="Graf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bl>
    <w:p w14:paraId="38D2C417" w14:textId="53D7BFF1" w:rsidR="00826A47" w:rsidRDefault="00826A47" w:rsidP="00826A47">
      <w:pPr>
        <w:pStyle w:val="Zdroj"/>
      </w:pPr>
      <w:r w:rsidRPr="006647A7">
        <w:t>Zdroj: Sociál</w:t>
      </w:r>
      <w:r>
        <w:t>na poisťovňa.</w:t>
      </w:r>
    </w:p>
    <w:p w14:paraId="663ED4BC" w14:textId="2756A9DD" w:rsidR="003031ED" w:rsidRDefault="003031ED" w:rsidP="003031ED">
      <w:pPr>
        <w:rPr>
          <w:rFonts w:cs="Segoe UI"/>
        </w:rPr>
      </w:pPr>
      <w:r w:rsidRPr="00B15ADA">
        <w:rPr>
          <w:rFonts w:cs="Segoe UI"/>
          <w:b/>
        </w:rPr>
        <w:t xml:space="preserve">Príjmy systému verejného zdravotného poistenia </w:t>
      </w:r>
      <w:r w:rsidRPr="00B15ADA">
        <w:rPr>
          <w:rFonts w:cs="Segoe UI"/>
        </w:rPr>
        <w:t>(VZP)</w:t>
      </w:r>
      <w:r w:rsidRPr="00B15ADA">
        <w:rPr>
          <w:rFonts w:cs="Segoe UI"/>
          <w:b/>
        </w:rPr>
        <w:t xml:space="preserve"> </w:t>
      </w:r>
      <w:r>
        <w:rPr>
          <w:rFonts w:cs="Segoe UI"/>
          <w:b/>
        </w:rPr>
        <w:t xml:space="preserve">v roku 2024 </w:t>
      </w:r>
      <w:r w:rsidRPr="00B15ADA">
        <w:rPr>
          <w:rFonts w:cs="Segoe UI"/>
          <w:b/>
        </w:rPr>
        <w:t>dosiahli 8,682 mld. eur, pričom zostatok prostriedkov z predchádzajúceho obdobia predstavoval 527,9 mil. eur.</w:t>
      </w:r>
      <w:r>
        <w:rPr>
          <w:rFonts w:cs="Segoe UI"/>
        </w:rPr>
        <w:t xml:space="preserve"> Príjmy od EAO z toho </w:t>
      </w:r>
      <w:r w:rsidRPr="005C7CE7">
        <w:rPr>
          <w:rFonts w:cs="Segoe UI"/>
        </w:rPr>
        <w:t xml:space="preserve">predstavovali 67,4 % a príjmy z verejných zdrojov za poistencov štátu 24,3 % (graf </w:t>
      </w:r>
      <w:r>
        <w:rPr>
          <w:rFonts w:cs="Segoe UI"/>
        </w:rPr>
        <w:t>16</w:t>
      </w:r>
      <w:r w:rsidRPr="005C7CE7">
        <w:rPr>
          <w:rFonts w:cs="Segoe UI"/>
        </w:rPr>
        <w:t xml:space="preserve">). Zvyšné zdroje tvorili ročné zúčtovanie od </w:t>
      </w:r>
      <w:r>
        <w:rPr>
          <w:rFonts w:cs="Segoe UI"/>
        </w:rPr>
        <w:t>EAO</w:t>
      </w:r>
      <w:r w:rsidRPr="005C7CE7">
        <w:rPr>
          <w:rFonts w:cs="Segoe UI"/>
        </w:rPr>
        <w:t xml:space="preserve"> vo výške 49,6 mil. eur a sankcie 334 tis. eur.</w:t>
      </w:r>
    </w:p>
    <w:p w14:paraId="5AEEB599" w14:textId="569D5917" w:rsidR="00826A47" w:rsidRPr="007D3345" w:rsidRDefault="00826A47" w:rsidP="00826A47">
      <w:pPr>
        <w:spacing w:after="0"/>
        <w:rPr>
          <w:rFonts w:cs="Segoe UI"/>
          <w:b/>
          <w:color w:val="314364" w:themeColor="text2"/>
        </w:rPr>
      </w:pPr>
      <w:bookmarkStart w:id="28" w:name="_Toc165621615"/>
      <w:r w:rsidRPr="007D3345">
        <w:rPr>
          <w:rFonts w:cs="Segoe UI"/>
          <w:b/>
          <w:color w:val="314364" w:themeColor="text2"/>
        </w:rPr>
        <w:t>Graf 1</w:t>
      </w:r>
      <w:r w:rsidR="003031ED">
        <w:rPr>
          <w:rFonts w:cs="Segoe UI"/>
          <w:b/>
          <w:color w:val="314364" w:themeColor="text2"/>
        </w:rPr>
        <w:t>6</w:t>
      </w:r>
      <w:r w:rsidRPr="007D3345">
        <w:rPr>
          <w:rFonts w:cs="Segoe UI"/>
          <w:b/>
          <w:color w:val="314364" w:themeColor="text2"/>
        </w:rPr>
        <w:t>: Vývoj príjmov verejného zdravotného poistenia od roku 2013 do 2024</w:t>
      </w:r>
    </w:p>
    <w:tbl>
      <w:tblPr>
        <w:tblStyle w:val="Mriekatabuky"/>
        <w:tblW w:w="5000" w:type="pct"/>
        <w:tblLook w:val="04A0" w:firstRow="1" w:lastRow="0" w:firstColumn="1" w:lastColumn="0" w:noHBand="0" w:noVBand="1"/>
      </w:tblPr>
      <w:tblGrid>
        <w:gridCol w:w="9070"/>
      </w:tblGrid>
      <w:tr w:rsidR="00826A47" w14:paraId="731244A3" w14:textId="77777777" w:rsidTr="002E1FF0">
        <w:trPr>
          <w:trHeight w:val="3402"/>
        </w:trPr>
        <w:tc>
          <w:tcPr>
            <w:tcW w:w="5000" w:type="pct"/>
            <w:tcBorders>
              <w:top w:val="single" w:sz="4" w:space="0" w:color="314364" w:themeColor="text2"/>
              <w:left w:val="nil"/>
              <w:bottom w:val="single" w:sz="4" w:space="0" w:color="314364" w:themeColor="text2"/>
              <w:right w:val="nil"/>
            </w:tcBorders>
          </w:tcPr>
          <w:p w14:paraId="12B98AE6" w14:textId="77777777" w:rsidR="00826A47" w:rsidRDefault="00826A47" w:rsidP="002E1FF0">
            <w:pPr>
              <w:spacing w:after="0"/>
              <w:rPr>
                <w:rFonts w:cs="Segoe UI"/>
              </w:rPr>
            </w:pPr>
            <w:r>
              <w:rPr>
                <w:noProof/>
                <w:lang w:eastAsia="sk-SK"/>
              </w:rPr>
              <w:drawing>
                <wp:inline distT="0" distB="0" distL="0" distR="0" wp14:anchorId="143B9C8E" wp14:editId="3D5ACE27">
                  <wp:extent cx="5695950" cy="2124075"/>
                  <wp:effectExtent l="0" t="0" r="0" b="0"/>
                  <wp:docPr id="141712256" name="Graf 141712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1EE00C11" w14:textId="5ECFC06D" w:rsidR="00826A47" w:rsidRDefault="00826A47" w:rsidP="00826A47">
      <w:pPr>
        <w:pStyle w:val="Zdroj"/>
      </w:pPr>
      <w:r>
        <w:t>Zdroj:</w:t>
      </w:r>
      <w:r w:rsidRPr="0023153B">
        <w:t xml:space="preserve"> MZ SR, ÚDZS, spracovanie NKÚ SR</w:t>
      </w:r>
      <w:r w:rsidR="00A670BC">
        <w:t>.</w:t>
      </w:r>
    </w:p>
    <w:p w14:paraId="2328B091" w14:textId="26D5E056" w:rsidR="003031ED" w:rsidRPr="005C7CE7" w:rsidRDefault="003031ED" w:rsidP="003031ED">
      <w:pPr>
        <w:rPr>
          <w:rFonts w:cs="Segoe UI"/>
        </w:rPr>
      </w:pPr>
      <w:r w:rsidRPr="00727AF0">
        <w:rPr>
          <w:rFonts w:cs="Segoe UI"/>
          <w:b/>
        </w:rPr>
        <w:t xml:space="preserve">Zdravotné odvody zaznamenali v roku 2024 slabší výber o 34,7 mil. eur voči predpokladanému výberu od EAO, podobne ako v prípade sociálnych odvodov. </w:t>
      </w:r>
      <w:r>
        <w:rPr>
          <w:rFonts w:cs="Segoe UI"/>
        </w:rPr>
        <w:t>Príčinou v oboch prípado</w:t>
      </w:r>
      <w:r w:rsidR="00520B02">
        <w:rPr>
          <w:rFonts w:cs="Segoe UI"/>
        </w:rPr>
        <w:t>ch</w:t>
      </w:r>
      <w:r>
        <w:rPr>
          <w:rFonts w:cs="Segoe UI"/>
        </w:rPr>
        <w:t xml:space="preserve"> bol slabší makroekonomický vývoj. Tento pokles bol však v prípade zdravotných odvodov </w:t>
      </w:r>
      <w:r w:rsidR="00520B02">
        <w:rPr>
          <w:rFonts w:cs="Segoe UI"/>
        </w:rPr>
        <w:t>s</w:t>
      </w:r>
      <w:r>
        <w:rPr>
          <w:rFonts w:cs="Segoe UI"/>
        </w:rPr>
        <w:t xml:space="preserve">časti kompenzovaný lepším zúčtovaním zdravotného poistenia, čo oproti prognóze prinieslo približne 14 mil. eur. </w:t>
      </w:r>
    </w:p>
    <w:p w14:paraId="6B0A7228" w14:textId="47ADD85B" w:rsidR="003031ED" w:rsidRDefault="003031ED" w:rsidP="003031ED">
      <w:pPr>
        <w:rPr>
          <w:rFonts w:cs="Segoe UI"/>
        </w:rPr>
      </w:pPr>
      <w:r w:rsidRPr="00727AF0">
        <w:rPr>
          <w:rFonts w:cs="Segoe UI"/>
          <w:b/>
        </w:rPr>
        <w:t>Zdravotné odvody vzrástli medziročne o viac ako 700 mil. eur</w:t>
      </w:r>
      <w:r w:rsidR="00520B02">
        <w:rPr>
          <w:rFonts w:cs="Segoe UI"/>
          <w:b/>
        </w:rPr>
        <w:t>,</w:t>
      </w:r>
      <w:r w:rsidRPr="00727AF0">
        <w:rPr>
          <w:rFonts w:cs="Segoe UI"/>
          <w:b/>
        </w:rPr>
        <w:t xml:space="preserve"> najmä zásluhou zaplateného ročného poistného od EAO</w:t>
      </w:r>
      <w:r w:rsidRPr="005C7CE7">
        <w:rPr>
          <w:rFonts w:cs="Segoe UI"/>
        </w:rPr>
        <w:t>. Druhý rok od skokového navýšenia výberu poistného za poistencov štátu tak príjmy do systému VZP</w:t>
      </w:r>
      <w:r>
        <w:rPr>
          <w:rFonts w:cs="Segoe UI"/>
        </w:rPr>
        <w:t xml:space="preserve"> boli </w:t>
      </w:r>
      <w:r w:rsidR="00A45DBA">
        <w:rPr>
          <w:rFonts w:cs="Segoe UI"/>
        </w:rPr>
        <w:t xml:space="preserve">znova </w:t>
      </w:r>
      <w:r>
        <w:rPr>
          <w:rFonts w:cs="Segoe UI"/>
        </w:rPr>
        <w:t xml:space="preserve">podporené viac ekonomicky </w:t>
      </w:r>
      <w:r w:rsidRPr="005C7CE7">
        <w:rPr>
          <w:rFonts w:cs="Segoe UI"/>
        </w:rPr>
        <w:t>aktívnym</w:t>
      </w:r>
      <w:r>
        <w:rPr>
          <w:rFonts w:cs="Segoe UI"/>
        </w:rPr>
        <w:t>i</w:t>
      </w:r>
      <w:r w:rsidRPr="005C7CE7">
        <w:rPr>
          <w:rFonts w:cs="Segoe UI"/>
        </w:rPr>
        <w:t xml:space="preserve"> </w:t>
      </w:r>
      <w:r>
        <w:rPr>
          <w:rFonts w:cs="Segoe UI"/>
        </w:rPr>
        <w:t>poistencami</w:t>
      </w:r>
      <w:r w:rsidRPr="005C7CE7">
        <w:rPr>
          <w:rFonts w:cs="Segoe UI"/>
        </w:rPr>
        <w:t xml:space="preserve"> </w:t>
      </w:r>
      <w:r w:rsidR="00A45DBA">
        <w:rPr>
          <w:rFonts w:cs="Segoe UI"/>
        </w:rPr>
        <w:t>než</w:t>
      </w:r>
      <w:r w:rsidRPr="005C7CE7">
        <w:rPr>
          <w:rFonts w:cs="Segoe UI"/>
        </w:rPr>
        <w:t xml:space="preserve"> platbou od štátu.</w:t>
      </w:r>
      <w:r>
        <w:rPr>
          <w:rFonts w:cs="Segoe UI"/>
        </w:rPr>
        <w:t xml:space="preserve"> Priemerná mesačná platba za poistenca štátu dosiahla v roku 2024 úroveň 61 eur, čo je o jedno euro viac ako pred rokom. EAO v priemere prispievali každý mesiac sumou 215 eur, a teda v priemere za mesiac o 27 eur viac ako predchádzajúci rok.</w:t>
      </w:r>
    </w:p>
    <w:p w14:paraId="6CC38EBC" w14:textId="30504C9D" w:rsidR="00BB71F6" w:rsidRPr="00D81FC0" w:rsidRDefault="00BB71F6" w:rsidP="00D81FC0">
      <w:pPr>
        <w:pStyle w:val="Nadpis2"/>
      </w:pPr>
      <w:bookmarkStart w:id="29" w:name="_Toc198637725"/>
      <w:r w:rsidRPr="00D81FC0">
        <w:t>3.</w:t>
      </w:r>
      <w:r w:rsidR="001B7313">
        <w:t>5</w:t>
      </w:r>
      <w:r w:rsidRPr="00D81FC0">
        <w:t xml:space="preserve"> </w:t>
      </w:r>
      <w:r w:rsidR="00E43045" w:rsidRPr="00D81FC0">
        <w:t xml:space="preserve"> </w:t>
      </w:r>
      <w:r w:rsidR="003951EA" w:rsidRPr="00D81FC0">
        <w:t>Štátne f</w:t>
      </w:r>
      <w:r w:rsidRPr="00D81FC0">
        <w:t>inančné aktíva</w:t>
      </w:r>
      <w:bookmarkEnd w:id="28"/>
      <w:bookmarkEnd w:id="29"/>
    </w:p>
    <w:p w14:paraId="118F1A2B" w14:textId="57104C4C" w:rsidR="00DD5A54" w:rsidRPr="004310EE" w:rsidRDefault="00630F3B" w:rsidP="00DD5A54">
      <w:pPr>
        <w:rPr>
          <w:rFonts w:eastAsia="Calibri" w:cs="Times New Roman"/>
        </w:rPr>
      </w:pPr>
      <w:r w:rsidRPr="00630F3B">
        <w:rPr>
          <w:rFonts w:eastAsia="Calibri" w:cs="Times New Roman"/>
          <w:b/>
        </w:rPr>
        <w:t xml:space="preserve">Najväčšie pohyby na vybraných účtoch </w:t>
      </w:r>
      <w:r>
        <w:rPr>
          <w:rFonts w:eastAsia="Calibri" w:cs="Times New Roman"/>
          <w:b/>
        </w:rPr>
        <w:t xml:space="preserve">štátnych finančných aktív </w:t>
      </w:r>
      <w:r w:rsidRPr="00630F3B">
        <w:rPr>
          <w:rFonts w:eastAsia="Calibri" w:cs="Times New Roman"/>
        </w:rPr>
        <w:t>(ŠFA)</w:t>
      </w:r>
      <w:r w:rsidRPr="00630F3B">
        <w:rPr>
          <w:rFonts w:eastAsia="Calibri" w:cs="Times New Roman"/>
          <w:b/>
        </w:rPr>
        <w:t xml:space="preserve"> nastali v roku 2024 </w:t>
      </w:r>
      <w:r>
        <w:rPr>
          <w:rFonts w:eastAsia="Calibri" w:cs="Times New Roman"/>
          <w:b/>
        </w:rPr>
        <w:t>pr</w:t>
      </w:r>
      <w:r w:rsidRPr="00630F3B">
        <w:rPr>
          <w:rFonts w:eastAsia="Calibri" w:cs="Times New Roman"/>
          <w:b/>
        </w:rPr>
        <w:t>i osobitnom odvode z podnikania v regulovaných odvetviach a pri osobitnom odvode finančných inštitúcií</w:t>
      </w:r>
      <w:r w:rsidRPr="004310EE">
        <w:rPr>
          <w:rFonts w:eastAsia="Calibri" w:cs="Times New Roman"/>
        </w:rPr>
        <w:t xml:space="preserve"> (tabuľka 1</w:t>
      </w:r>
      <w:r w:rsidR="00EF2A4E">
        <w:rPr>
          <w:rFonts w:eastAsia="Calibri" w:cs="Times New Roman"/>
        </w:rPr>
        <w:t>3</w:t>
      </w:r>
      <w:r>
        <w:rPr>
          <w:rFonts w:eastAsia="Calibri" w:cs="Times New Roman"/>
        </w:rPr>
        <w:t>)</w:t>
      </w:r>
      <w:r w:rsidRPr="00630F3B">
        <w:rPr>
          <w:rFonts w:eastAsia="Calibri" w:cs="Times New Roman"/>
          <w:b/>
        </w:rPr>
        <w:t xml:space="preserve">. </w:t>
      </w:r>
      <w:r w:rsidR="00DD5A54" w:rsidRPr="004310EE">
        <w:rPr>
          <w:rFonts w:eastAsia="Calibri" w:cs="Times New Roman"/>
        </w:rPr>
        <w:t xml:space="preserve">ŠFA sú súčasťou návrhu ŠR/RVS, no finančné operácie so ŠFA nie sú súčasťou príjmov alebo výdavkov ŠR. V súlade so zákonom o rozpočtových pravidlách vykonáva MF SR správu </w:t>
      </w:r>
      <w:r w:rsidR="00DD5A54" w:rsidRPr="004310EE">
        <w:rPr>
          <w:rFonts w:eastAsia="Calibri" w:cs="Times New Roman"/>
        </w:rPr>
        <w:lastRenderedPageBreak/>
        <w:t xml:space="preserve">ŠFA. </w:t>
      </w:r>
      <w:r w:rsidR="00DD5A54" w:rsidRPr="004310EE">
        <w:rPr>
          <w:rFonts w:eastAsia="Times New Roman" w:cs="Segoe UI"/>
          <w:szCs w:val="20"/>
        </w:rPr>
        <w:t>P</w:t>
      </w:r>
      <w:r>
        <w:rPr>
          <w:rFonts w:eastAsia="Times New Roman" w:cs="Segoe UI"/>
          <w:szCs w:val="20"/>
        </w:rPr>
        <w:t>ráve p</w:t>
      </w:r>
      <w:r w:rsidR="00DD5A54" w:rsidRPr="004310EE">
        <w:rPr>
          <w:rFonts w:eastAsia="Times New Roman" w:cs="Segoe UI"/>
          <w:szCs w:val="20"/>
        </w:rPr>
        <w:t xml:space="preserve">rostriedky </w:t>
      </w:r>
      <w:r w:rsidR="00DD5A54" w:rsidRPr="004310EE">
        <w:rPr>
          <w:rFonts w:eastAsia="Times New Roman" w:cs="Segoe UI"/>
          <w:iCs/>
          <w:szCs w:val="20"/>
        </w:rPr>
        <w:t>odvodu z podnikania v regulovaných odvetviach nie sú od roku 2024 súčasťou samostat</w:t>
      </w:r>
      <w:r>
        <w:rPr>
          <w:rFonts w:eastAsia="Times New Roman" w:cs="Segoe UI"/>
          <w:iCs/>
          <w:szCs w:val="20"/>
        </w:rPr>
        <w:t>ného účtu ŠFA, ale príjmov VPS.</w:t>
      </w:r>
    </w:p>
    <w:p w14:paraId="71B9BEB1" w14:textId="77777777" w:rsidR="00826A47" w:rsidRPr="004310EE" w:rsidRDefault="00826A47" w:rsidP="00826A47">
      <w:pPr>
        <w:keepNext/>
        <w:spacing w:after="0" w:line="240" w:lineRule="auto"/>
        <w:rPr>
          <w:rFonts w:eastAsia="Calibri" w:cs="Times New Roman"/>
          <w:b/>
          <w:iCs/>
          <w:color w:val="314364"/>
          <w:szCs w:val="18"/>
        </w:rPr>
      </w:pPr>
      <w:r w:rsidRPr="004310EE">
        <w:rPr>
          <w:rFonts w:eastAsia="Calibri" w:cs="Times New Roman"/>
          <w:b/>
          <w:iCs/>
          <w:color w:val="314364"/>
          <w:szCs w:val="18"/>
        </w:rPr>
        <w:t>Tabuľka 1</w:t>
      </w:r>
      <w:r>
        <w:rPr>
          <w:rFonts w:eastAsia="Calibri" w:cs="Times New Roman"/>
          <w:b/>
          <w:iCs/>
          <w:color w:val="314364"/>
          <w:szCs w:val="18"/>
        </w:rPr>
        <w:t>3</w:t>
      </w:r>
      <w:r w:rsidRPr="004310EE">
        <w:rPr>
          <w:rFonts w:eastAsia="Calibri" w:cs="Times New Roman"/>
          <w:b/>
          <w:iCs/>
          <w:color w:val="314364"/>
          <w:szCs w:val="18"/>
        </w:rPr>
        <w:t>: Pohyby na vybraných účtoch ŠFA (v tis. eur)</w:t>
      </w:r>
    </w:p>
    <w:tbl>
      <w:tblPr>
        <w:tblW w:w="5000" w:type="pct"/>
        <w:tblLayout w:type="fixed"/>
        <w:tblCellMar>
          <w:left w:w="70" w:type="dxa"/>
          <w:right w:w="70" w:type="dxa"/>
        </w:tblCellMar>
        <w:tblLook w:val="04A0" w:firstRow="1" w:lastRow="0" w:firstColumn="1" w:lastColumn="0" w:noHBand="0" w:noVBand="1"/>
      </w:tblPr>
      <w:tblGrid>
        <w:gridCol w:w="5103"/>
        <w:gridCol w:w="994"/>
        <w:gridCol w:w="992"/>
        <w:gridCol w:w="992"/>
        <w:gridCol w:w="989"/>
      </w:tblGrid>
      <w:tr w:rsidR="00826A47" w:rsidRPr="004310EE" w14:paraId="5E29A34E" w14:textId="77777777" w:rsidTr="002E1FF0">
        <w:trPr>
          <w:trHeight w:val="283"/>
          <w:tblHeader/>
        </w:trPr>
        <w:tc>
          <w:tcPr>
            <w:tcW w:w="2813" w:type="pct"/>
            <w:tcBorders>
              <w:top w:val="nil"/>
              <w:left w:val="nil"/>
              <w:bottom w:val="nil"/>
              <w:right w:val="nil"/>
            </w:tcBorders>
            <w:shd w:val="clear" w:color="000000" w:fill="314364"/>
            <w:vAlign w:val="center"/>
            <w:hideMark/>
          </w:tcPr>
          <w:p w14:paraId="7DD571FA" w14:textId="77777777" w:rsidR="00826A47" w:rsidRPr="004310EE" w:rsidRDefault="00826A47" w:rsidP="002E1FF0">
            <w:pPr>
              <w:spacing w:after="0" w:line="240" w:lineRule="auto"/>
              <w:jc w:val="left"/>
              <w:rPr>
                <w:rFonts w:eastAsia="Times New Roman" w:cs="Segoe UI"/>
                <w:b/>
                <w:bCs/>
                <w:color w:val="FFFFFF"/>
                <w:sz w:val="18"/>
                <w:szCs w:val="18"/>
                <w:lang w:eastAsia="sk-SK"/>
              </w:rPr>
            </w:pPr>
            <w:r w:rsidRPr="004310EE">
              <w:rPr>
                <w:rFonts w:eastAsia="Times New Roman" w:cs="Segoe UI"/>
                <w:b/>
                <w:bCs/>
                <w:color w:val="FFFFFF"/>
                <w:sz w:val="18"/>
                <w:szCs w:val="18"/>
                <w:lang w:eastAsia="sk-SK"/>
              </w:rPr>
              <w:t xml:space="preserve">Štátne finančné aktíva (tis. eur) </w:t>
            </w:r>
          </w:p>
        </w:tc>
        <w:tc>
          <w:tcPr>
            <w:tcW w:w="548" w:type="pct"/>
            <w:tcBorders>
              <w:top w:val="nil"/>
              <w:left w:val="nil"/>
              <w:bottom w:val="nil"/>
              <w:right w:val="nil"/>
            </w:tcBorders>
            <w:shd w:val="clear" w:color="000000" w:fill="314364"/>
            <w:vAlign w:val="center"/>
            <w:hideMark/>
          </w:tcPr>
          <w:p w14:paraId="00827065" w14:textId="77777777" w:rsidR="00826A47" w:rsidRPr="004310EE" w:rsidRDefault="00826A47" w:rsidP="002E1FF0">
            <w:pPr>
              <w:spacing w:after="0" w:line="240" w:lineRule="auto"/>
              <w:jc w:val="center"/>
              <w:rPr>
                <w:rFonts w:eastAsia="Times New Roman" w:cs="Segoe UI"/>
                <w:b/>
                <w:bCs/>
                <w:color w:val="FFFFFF"/>
                <w:sz w:val="18"/>
                <w:szCs w:val="18"/>
                <w:lang w:eastAsia="sk-SK"/>
              </w:rPr>
            </w:pPr>
            <w:r w:rsidRPr="004310EE">
              <w:rPr>
                <w:rFonts w:eastAsia="Times New Roman" w:cs="Segoe UI"/>
                <w:b/>
                <w:bCs/>
                <w:color w:val="FFFFFF"/>
                <w:sz w:val="18"/>
                <w:szCs w:val="18"/>
                <w:lang w:eastAsia="sk-SK"/>
              </w:rPr>
              <w:t>2022 S</w:t>
            </w:r>
          </w:p>
        </w:tc>
        <w:tc>
          <w:tcPr>
            <w:tcW w:w="547" w:type="pct"/>
            <w:tcBorders>
              <w:top w:val="nil"/>
              <w:left w:val="nil"/>
              <w:bottom w:val="nil"/>
              <w:right w:val="nil"/>
            </w:tcBorders>
            <w:shd w:val="clear" w:color="000000" w:fill="314364"/>
            <w:vAlign w:val="center"/>
            <w:hideMark/>
          </w:tcPr>
          <w:p w14:paraId="271E8DD0" w14:textId="77777777" w:rsidR="00826A47" w:rsidRPr="004310EE" w:rsidRDefault="00826A47" w:rsidP="002E1FF0">
            <w:pPr>
              <w:spacing w:after="0" w:line="240" w:lineRule="auto"/>
              <w:jc w:val="center"/>
              <w:rPr>
                <w:rFonts w:eastAsia="Times New Roman" w:cs="Segoe UI"/>
                <w:b/>
                <w:bCs/>
                <w:color w:val="FFFFFF"/>
                <w:sz w:val="18"/>
                <w:szCs w:val="18"/>
                <w:lang w:eastAsia="sk-SK"/>
              </w:rPr>
            </w:pPr>
            <w:r w:rsidRPr="004310EE">
              <w:rPr>
                <w:rFonts w:eastAsia="Times New Roman" w:cs="Segoe UI"/>
                <w:b/>
                <w:bCs/>
                <w:color w:val="FFFFFF"/>
                <w:sz w:val="18"/>
                <w:szCs w:val="18"/>
                <w:lang w:eastAsia="sk-SK"/>
              </w:rPr>
              <w:t>2023 S</w:t>
            </w:r>
          </w:p>
        </w:tc>
        <w:tc>
          <w:tcPr>
            <w:tcW w:w="547" w:type="pct"/>
            <w:tcBorders>
              <w:top w:val="nil"/>
              <w:left w:val="nil"/>
              <w:bottom w:val="nil"/>
              <w:right w:val="nil"/>
            </w:tcBorders>
            <w:shd w:val="clear" w:color="000000" w:fill="314364"/>
            <w:vAlign w:val="center"/>
            <w:hideMark/>
          </w:tcPr>
          <w:p w14:paraId="5A33241A" w14:textId="77777777" w:rsidR="00826A47" w:rsidRPr="004310EE" w:rsidRDefault="00826A47" w:rsidP="002E1FF0">
            <w:pPr>
              <w:spacing w:after="0" w:line="240" w:lineRule="auto"/>
              <w:jc w:val="center"/>
              <w:rPr>
                <w:rFonts w:eastAsia="Times New Roman" w:cs="Segoe UI"/>
                <w:b/>
                <w:bCs/>
                <w:color w:val="FFFFFF"/>
                <w:sz w:val="18"/>
                <w:szCs w:val="18"/>
                <w:lang w:eastAsia="sk-SK"/>
              </w:rPr>
            </w:pPr>
            <w:r w:rsidRPr="004310EE">
              <w:rPr>
                <w:rFonts w:eastAsia="Times New Roman" w:cs="Segoe UI"/>
                <w:b/>
                <w:bCs/>
                <w:color w:val="FFFFFF"/>
                <w:sz w:val="18"/>
                <w:szCs w:val="18"/>
                <w:lang w:eastAsia="sk-SK"/>
              </w:rPr>
              <w:t>2024 S</w:t>
            </w:r>
          </w:p>
        </w:tc>
        <w:tc>
          <w:tcPr>
            <w:tcW w:w="545" w:type="pct"/>
            <w:tcBorders>
              <w:top w:val="nil"/>
              <w:left w:val="nil"/>
              <w:bottom w:val="nil"/>
              <w:right w:val="nil"/>
            </w:tcBorders>
            <w:shd w:val="clear" w:color="000000" w:fill="314364"/>
            <w:vAlign w:val="center"/>
          </w:tcPr>
          <w:p w14:paraId="76FCDFFB" w14:textId="77777777" w:rsidR="00826A47" w:rsidRPr="004310EE" w:rsidRDefault="00826A47" w:rsidP="002E1FF0">
            <w:pPr>
              <w:spacing w:after="0" w:line="240" w:lineRule="auto"/>
              <w:jc w:val="center"/>
              <w:rPr>
                <w:rFonts w:eastAsia="Times New Roman" w:cs="Segoe UI"/>
                <w:b/>
                <w:bCs/>
                <w:color w:val="FFFFFF"/>
                <w:sz w:val="18"/>
                <w:szCs w:val="18"/>
                <w:lang w:eastAsia="sk-SK"/>
              </w:rPr>
            </w:pPr>
            <w:r w:rsidRPr="004310EE">
              <w:rPr>
                <w:rFonts w:eastAsia="Times New Roman" w:cs="Segoe UI"/>
                <w:b/>
                <w:bCs/>
                <w:color w:val="FFFFFF"/>
                <w:sz w:val="18"/>
                <w:szCs w:val="18"/>
                <w:lang w:eastAsia="sk-SK"/>
              </w:rPr>
              <w:t>24S-23S</w:t>
            </w:r>
          </w:p>
        </w:tc>
      </w:tr>
      <w:tr w:rsidR="00826A47" w:rsidRPr="004310EE" w14:paraId="3F318E28" w14:textId="77777777" w:rsidTr="002E1FF0">
        <w:trPr>
          <w:trHeight w:val="283"/>
        </w:trPr>
        <w:tc>
          <w:tcPr>
            <w:tcW w:w="2813" w:type="pct"/>
            <w:tcBorders>
              <w:top w:val="nil"/>
              <w:left w:val="nil"/>
              <w:bottom w:val="nil"/>
              <w:right w:val="nil"/>
            </w:tcBorders>
            <w:shd w:val="clear" w:color="auto" w:fill="auto"/>
            <w:noWrap/>
            <w:vAlign w:val="center"/>
            <w:hideMark/>
          </w:tcPr>
          <w:p w14:paraId="7E6AE2BD" w14:textId="77777777" w:rsidR="00826A47" w:rsidRPr="004310EE" w:rsidRDefault="00826A47" w:rsidP="002E1FF0">
            <w:pPr>
              <w:spacing w:after="0" w:line="240" w:lineRule="auto"/>
              <w:jc w:val="left"/>
              <w:rPr>
                <w:rFonts w:eastAsia="Times New Roman" w:cs="Segoe UI"/>
                <w:b/>
                <w:bCs/>
                <w:color w:val="000000"/>
                <w:sz w:val="18"/>
                <w:szCs w:val="18"/>
                <w:lang w:eastAsia="sk-SK"/>
              </w:rPr>
            </w:pPr>
            <w:r w:rsidRPr="004310EE">
              <w:rPr>
                <w:rFonts w:eastAsia="Times New Roman" w:cs="Segoe UI"/>
                <w:b/>
                <w:bCs/>
                <w:color w:val="000000"/>
                <w:sz w:val="18"/>
                <w:szCs w:val="18"/>
                <w:lang w:eastAsia="sk-SK"/>
              </w:rPr>
              <w:t>Stav k 1.1.</w:t>
            </w:r>
          </w:p>
        </w:tc>
        <w:tc>
          <w:tcPr>
            <w:tcW w:w="548" w:type="pct"/>
            <w:tcBorders>
              <w:top w:val="nil"/>
              <w:left w:val="nil"/>
              <w:bottom w:val="nil"/>
              <w:right w:val="nil"/>
            </w:tcBorders>
            <w:shd w:val="clear" w:color="auto" w:fill="auto"/>
            <w:noWrap/>
            <w:vAlign w:val="center"/>
            <w:hideMark/>
          </w:tcPr>
          <w:p w14:paraId="65897314" w14:textId="77777777" w:rsidR="00826A47" w:rsidRPr="004310EE" w:rsidRDefault="00826A47" w:rsidP="002E1FF0">
            <w:pPr>
              <w:spacing w:after="0" w:line="240" w:lineRule="auto"/>
              <w:jc w:val="right"/>
              <w:rPr>
                <w:rFonts w:eastAsia="Times New Roman" w:cs="Segoe UI"/>
                <w:b/>
                <w:bCs/>
                <w:color w:val="000000"/>
                <w:sz w:val="18"/>
                <w:szCs w:val="18"/>
                <w:lang w:eastAsia="sk-SK"/>
              </w:rPr>
            </w:pPr>
            <w:r w:rsidRPr="004310EE">
              <w:rPr>
                <w:rFonts w:eastAsia="Times New Roman" w:cs="Segoe UI"/>
                <w:b/>
                <w:bCs/>
                <w:color w:val="000000"/>
                <w:sz w:val="18"/>
                <w:szCs w:val="18"/>
                <w:lang w:eastAsia="sk-SK"/>
              </w:rPr>
              <w:t>3 419 084</w:t>
            </w:r>
          </w:p>
        </w:tc>
        <w:tc>
          <w:tcPr>
            <w:tcW w:w="547" w:type="pct"/>
            <w:tcBorders>
              <w:top w:val="nil"/>
              <w:left w:val="nil"/>
              <w:bottom w:val="nil"/>
              <w:right w:val="nil"/>
            </w:tcBorders>
            <w:shd w:val="clear" w:color="auto" w:fill="auto"/>
            <w:noWrap/>
            <w:vAlign w:val="center"/>
            <w:hideMark/>
          </w:tcPr>
          <w:p w14:paraId="6510C15F" w14:textId="77777777" w:rsidR="00826A47" w:rsidRPr="004310EE" w:rsidRDefault="00826A47" w:rsidP="002E1FF0">
            <w:pPr>
              <w:spacing w:after="0" w:line="240" w:lineRule="auto"/>
              <w:jc w:val="right"/>
              <w:rPr>
                <w:rFonts w:eastAsia="Times New Roman" w:cs="Segoe UI"/>
                <w:b/>
                <w:bCs/>
                <w:color w:val="000000"/>
                <w:sz w:val="18"/>
                <w:szCs w:val="18"/>
                <w:lang w:eastAsia="sk-SK"/>
              </w:rPr>
            </w:pPr>
            <w:r w:rsidRPr="004310EE">
              <w:rPr>
                <w:rFonts w:eastAsia="Times New Roman" w:cs="Segoe UI"/>
                <w:b/>
                <w:bCs/>
                <w:color w:val="000000"/>
                <w:sz w:val="18"/>
                <w:szCs w:val="18"/>
                <w:lang w:eastAsia="sk-SK"/>
              </w:rPr>
              <w:t>3 196 933</w:t>
            </w:r>
          </w:p>
        </w:tc>
        <w:tc>
          <w:tcPr>
            <w:tcW w:w="547" w:type="pct"/>
            <w:tcBorders>
              <w:top w:val="nil"/>
              <w:left w:val="nil"/>
              <w:bottom w:val="nil"/>
              <w:right w:val="nil"/>
            </w:tcBorders>
            <w:shd w:val="clear" w:color="auto" w:fill="auto"/>
            <w:noWrap/>
            <w:vAlign w:val="center"/>
            <w:hideMark/>
          </w:tcPr>
          <w:p w14:paraId="4ED7440F" w14:textId="77777777" w:rsidR="00826A47" w:rsidRPr="004310EE" w:rsidRDefault="00826A47" w:rsidP="002E1FF0">
            <w:pPr>
              <w:spacing w:after="0" w:line="240" w:lineRule="auto"/>
              <w:jc w:val="right"/>
              <w:rPr>
                <w:rFonts w:eastAsia="Times New Roman" w:cs="Segoe UI"/>
                <w:b/>
                <w:bCs/>
                <w:color w:val="000000"/>
                <w:sz w:val="18"/>
                <w:szCs w:val="18"/>
                <w:lang w:eastAsia="sk-SK"/>
              </w:rPr>
            </w:pPr>
            <w:r w:rsidRPr="004310EE">
              <w:rPr>
                <w:rFonts w:eastAsia="Times New Roman" w:cs="Segoe UI"/>
                <w:b/>
                <w:bCs/>
                <w:color w:val="000000"/>
                <w:sz w:val="18"/>
                <w:szCs w:val="18"/>
                <w:lang w:eastAsia="sk-SK"/>
              </w:rPr>
              <w:t>3 041 203</w:t>
            </w:r>
          </w:p>
        </w:tc>
        <w:tc>
          <w:tcPr>
            <w:tcW w:w="545" w:type="pct"/>
            <w:tcBorders>
              <w:top w:val="nil"/>
              <w:left w:val="nil"/>
              <w:bottom w:val="nil"/>
              <w:right w:val="nil"/>
            </w:tcBorders>
            <w:shd w:val="clear" w:color="auto" w:fill="auto"/>
            <w:vAlign w:val="center"/>
          </w:tcPr>
          <w:p w14:paraId="335AD887" w14:textId="77777777" w:rsidR="00826A47" w:rsidRPr="004310EE" w:rsidRDefault="00826A47" w:rsidP="002E1FF0">
            <w:pPr>
              <w:spacing w:after="0" w:line="240" w:lineRule="auto"/>
              <w:jc w:val="right"/>
              <w:rPr>
                <w:rFonts w:eastAsia="Times New Roman" w:cs="Segoe UI"/>
                <w:b/>
                <w:bCs/>
                <w:color w:val="000000"/>
                <w:sz w:val="18"/>
                <w:szCs w:val="18"/>
                <w:lang w:eastAsia="sk-SK"/>
              </w:rPr>
            </w:pPr>
            <w:r w:rsidRPr="004310EE">
              <w:rPr>
                <w:rFonts w:eastAsia="Times New Roman" w:cs="Segoe UI"/>
                <w:b/>
                <w:bCs/>
                <w:color w:val="000000"/>
                <w:sz w:val="18"/>
                <w:szCs w:val="18"/>
                <w:lang w:eastAsia="sk-SK"/>
              </w:rPr>
              <w:t>-155 730</w:t>
            </w:r>
          </w:p>
        </w:tc>
      </w:tr>
      <w:tr w:rsidR="00826A47" w:rsidRPr="004310EE" w14:paraId="1684CD5A" w14:textId="77777777" w:rsidTr="002E1FF0">
        <w:trPr>
          <w:trHeight w:val="283"/>
        </w:trPr>
        <w:tc>
          <w:tcPr>
            <w:tcW w:w="2813" w:type="pct"/>
            <w:tcBorders>
              <w:top w:val="nil"/>
              <w:left w:val="nil"/>
              <w:bottom w:val="nil"/>
              <w:right w:val="nil"/>
            </w:tcBorders>
            <w:shd w:val="clear" w:color="auto" w:fill="auto"/>
            <w:noWrap/>
            <w:vAlign w:val="center"/>
            <w:hideMark/>
          </w:tcPr>
          <w:p w14:paraId="6B276993" w14:textId="77777777" w:rsidR="00826A47" w:rsidRPr="004310EE" w:rsidRDefault="00826A47" w:rsidP="002E1FF0">
            <w:pPr>
              <w:spacing w:after="0" w:line="240" w:lineRule="auto"/>
              <w:jc w:val="left"/>
              <w:rPr>
                <w:rFonts w:eastAsia="Times New Roman" w:cs="Segoe UI"/>
                <w:i/>
                <w:iCs/>
                <w:color w:val="000000"/>
                <w:sz w:val="18"/>
                <w:szCs w:val="18"/>
                <w:lang w:eastAsia="sk-SK"/>
              </w:rPr>
            </w:pPr>
            <w:r w:rsidRPr="004310EE">
              <w:rPr>
                <w:rFonts w:eastAsia="Times New Roman" w:cs="Segoe UI"/>
                <w:i/>
                <w:iCs/>
                <w:color w:val="000000"/>
                <w:sz w:val="18"/>
                <w:szCs w:val="18"/>
                <w:lang w:eastAsia="sk-SK"/>
              </w:rPr>
              <w:t>Príjmy - zvýšenie na účtoch ŠFA</w:t>
            </w:r>
          </w:p>
        </w:tc>
        <w:tc>
          <w:tcPr>
            <w:tcW w:w="548" w:type="pct"/>
            <w:tcBorders>
              <w:top w:val="nil"/>
              <w:left w:val="nil"/>
              <w:bottom w:val="nil"/>
              <w:right w:val="nil"/>
            </w:tcBorders>
            <w:shd w:val="clear" w:color="auto" w:fill="auto"/>
            <w:noWrap/>
            <w:vAlign w:val="center"/>
            <w:hideMark/>
          </w:tcPr>
          <w:p w14:paraId="620A0C75" w14:textId="77777777" w:rsidR="00826A47" w:rsidRPr="004310EE" w:rsidRDefault="00826A47" w:rsidP="002E1FF0">
            <w:pPr>
              <w:spacing w:after="0" w:line="240" w:lineRule="auto"/>
              <w:jc w:val="right"/>
              <w:rPr>
                <w:rFonts w:eastAsia="Times New Roman" w:cs="Segoe UI"/>
                <w:i/>
                <w:iCs/>
                <w:color w:val="000000"/>
                <w:sz w:val="18"/>
                <w:szCs w:val="18"/>
                <w:lang w:eastAsia="sk-SK"/>
              </w:rPr>
            </w:pPr>
            <w:r w:rsidRPr="004310EE">
              <w:rPr>
                <w:rFonts w:eastAsia="Times New Roman" w:cs="Segoe UI"/>
                <w:i/>
                <w:iCs/>
                <w:color w:val="000000"/>
                <w:sz w:val="18"/>
                <w:szCs w:val="18"/>
                <w:lang w:eastAsia="sk-SK"/>
              </w:rPr>
              <w:t>1 056 782</w:t>
            </w:r>
          </w:p>
        </w:tc>
        <w:tc>
          <w:tcPr>
            <w:tcW w:w="547" w:type="pct"/>
            <w:tcBorders>
              <w:top w:val="nil"/>
              <w:left w:val="nil"/>
              <w:bottom w:val="nil"/>
              <w:right w:val="nil"/>
            </w:tcBorders>
            <w:shd w:val="clear" w:color="auto" w:fill="auto"/>
            <w:noWrap/>
            <w:vAlign w:val="center"/>
            <w:hideMark/>
          </w:tcPr>
          <w:p w14:paraId="368CDF9D" w14:textId="77777777" w:rsidR="00826A47" w:rsidRPr="004310EE" w:rsidRDefault="00826A47" w:rsidP="002E1FF0">
            <w:pPr>
              <w:spacing w:after="0" w:line="240" w:lineRule="auto"/>
              <w:jc w:val="right"/>
              <w:rPr>
                <w:rFonts w:eastAsia="Times New Roman" w:cs="Segoe UI"/>
                <w:i/>
                <w:iCs/>
                <w:color w:val="000000"/>
                <w:sz w:val="18"/>
                <w:szCs w:val="18"/>
                <w:lang w:eastAsia="sk-SK"/>
              </w:rPr>
            </w:pPr>
            <w:r w:rsidRPr="004310EE">
              <w:rPr>
                <w:rFonts w:eastAsia="Times New Roman" w:cs="Segoe UI"/>
                <w:i/>
                <w:iCs/>
                <w:color w:val="000000"/>
                <w:sz w:val="18"/>
                <w:szCs w:val="18"/>
                <w:lang w:eastAsia="sk-SK"/>
              </w:rPr>
              <w:t>167 155</w:t>
            </w:r>
          </w:p>
        </w:tc>
        <w:tc>
          <w:tcPr>
            <w:tcW w:w="547" w:type="pct"/>
            <w:tcBorders>
              <w:top w:val="nil"/>
              <w:left w:val="nil"/>
              <w:bottom w:val="nil"/>
              <w:right w:val="nil"/>
            </w:tcBorders>
            <w:shd w:val="clear" w:color="auto" w:fill="auto"/>
            <w:noWrap/>
            <w:vAlign w:val="center"/>
            <w:hideMark/>
          </w:tcPr>
          <w:p w14:paraId="556B4E38" w14:textId="77777777" w:rsidR="00826A47" w:rsidRPr="004310EE" w:rsidRDefault="00826A47" w:rsidP="002E1FF0">
            <w:pPr>
              <w:spacing w:after="0" w:line="240" w:lineRule="auto"/>
              <w:jc w:val="right"/>
              <w:rPr>
                <w:rFonts w:eastAsia="Times New Roman" w:cs="Segoe UI"/>
                <w:i/>
                <w:iCs/>
                <w:color w:val="000000"/>
                <w:sz w:val="18"/>
                <w:szCs w:val="18"/>
                <w:lang w:eastAsia="sk-SK"/>
              </w:rPr>
            </w:pPr>
            <w:r w:rsidRPr="004310EE">
              <w:rPr>
                <w:rFonts w:eastAsia="Times New Roman" w:cs="Segoe UI"/>
                <w:i/>
                <w:iCs/>
                <w:color w:val="000000"/>
                <w:sz w:val="18"/>
                <w:szCs w:val="18"/>
                <w:lang w:eastAsia="sk-SK"/>
              </w:rPr>
              <w:t>132 333</w:t>
            </w:r>
          </w:p>
        </w:tc>
        <w:tc>
          <w:tcPr>
            <w:tcW w:w="545" w:type="pct"/>
            <w:tcBorders>
              <w:top w:val="nil"/>
              <w:left w:val="nil"/>
              <w:bottom w:val="nil"/>
              <w:right w:val="nil"/>
            </w:tcBorders>
            <w:shd w:val="clear" w:color="auto" w:fill="auto"/>
            <w:vAlign w:val="center"/>
          </w:tcPr>
          <w:p w14:paraId="10A49F6D" w14:textId="77777777" w:rsidR="00826A47" w:rsidRPr="004310EE" w:rsidRDefault="00826A47" w:rsidP="002E1FF0">
            <w:pPr>
              <w:spacing w:after="0" w:line="240" w:lineRule="auto"/>
              <w:jc w:val="right"/>
              <w:rPr>
                <w:rFonts w:eastAsia="Times New Roman" w:cs="Segoe UI"/>
                <w:i/>
                <w:iCs/>
                <w:color w:val="000000"/>
                <w:sz w:val="18"/>
                <w:szCs w:val="18"/>
                <w:lang w:eastAsia="sk-SK"/>
              </w:rPr>
            </w:pPr>
            <w:r w:rsidRPr="004310EE">
              <w:rPr>
                <w:rFonts w:eastAsia="Times New Roman" w:cs="Segoe UI"/>
                <w:b/>
                <w:bCs/>
                <w:color w:val="000000"/>
                <w:sz w:val="18"/>
                <w:szCs w:val="18"/>
                <w:lang w:eastAsia="sk-SK"/>
              </w:rPr>
              <w:t>-34 822</w:t>
            </w:r>
          </w:p>
        </w:tc>
      </w:tr>
      <w:tr w:rsidR="00826A47" w:rsidRPr="004310EE" w14:paraId="24E5416E" w14:textId="77777777" w:rsidTr="002E1FF0">
        <w:trPr>
          <w:trHeight w:val="283"/>
        </w:trPr>
        <w:tc>
          <w:tcPr>
            <w:tcW w:w="2813" w:type="pct"/>
            <w:tcBorders>
              <w:top w:val="nil"/>
              <w:left w:val="nil"/>
              <w:bottom w:val="nil"/>
              <w:right w:val="nil"/>
            </w:tcBorders>
            <w:shd w:val="clear" w:color="auto" w:fill="auto"/>
            <w:noWrap/>
            <w:vAlign w:val="center"/>
            <w:hideMark/>
          </w:tcPr>
          <w:p w14:paraId="7FC6A45F"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účelové prostriedky z FNM/MH Manažment, a. s.</w:t>
            </w:r>
          </w:p>
        </w:tc>
        <w:tc>
          <w:tcPr>
            <w:tcW w:w="548" w:type="pct"/>
            <w:tcBorders>
              <w:top w:val="nil"/>
              <w:left w:val="nil"/>
              <w:bottom w:val="nil"/>
              <w:right w:val="nil"/>
            </w:tcBorders>
            <w:shd w:val="clear" w:color="auto" w:fill="auto"/>
            <w:noWrap/>
            <w:vAlign w:val="center"/>
            <w:hideMark/>
          </w:tcPr>
          <w:p w14:paraId="029CD6F0"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414 925</w:t>
            </w:r>
          </w:p>
        </w:tc>
        <w:tc>
          <w:tcPr>
            <w:tcW w:w="547" w:type="pct"/>
            <w:tcBorders>
              <w:top w:val="nil"/>
              <w:left w:val="nil"/>
              <w:bottom w:val="nil"/>
              <w:right w:val="nil"/>
            </w:tcBorders>
            <w:shd w:val="clear" w:color="auto" w:fill="auto"/>
            <w:noWrap/>
            <w:vAlign w:val="center"/>
            <w:hideMark/>
          </w:tcPr>
          <w:p w14:paraId="55EE6391"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1 571</w:t>
            </w:r>
          </w:p>
        </w:tc>
        <w:tc>
          <w:tcPr>
            <w:tcW w:w="547" w:type="pct"/>
            <w:tcBorders>
              <w:top w:val="nil"/>
              <w:left w:val="nil"/>
              <w:bottom w:val="nil"/>
              <w:right w:val="nil"/>
            </w:tcBorders>
            <w:shd w:val="clear" w:color="auto" w:fill="auto"/>
            <w:noWrap/>
            <w:vAlign w:val="center"/>
            <w:hideMark/>
          </w:tcPr>
          <w:p w14:paraId="356E9C3A"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34 711</w:t>
            </w:r>
          </w:p>
        </w:tc>
        <w:tc>
          <w:tcPr>
            <w:tcW w:w="545" w:type="pct"/>
            <w:tcBorders>
              <w:top w:val="nil"/>
              <w:left w:val="nil"/>
              <w:bottom w:val="nil"/>
              <w:right w:val="nil"/>
            </w:tcBorders>
            <w:shd w:val="clear" w:color="auto" w:fill="auto"/>
            <w:vAlign w:val="center"/>
          </w:tcPr>
          <w:p w14:paraId="6F6C32C9"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33 140</w:t>
            </w:r>
          </w:p>
        </w:tc>
      </w:tr>
      <w:tr w:rsidR="00826A47" w:rsidRPr="004310EE" w14:paraId="504AB1BB" w14:textId="77777777" w:rsidTr="002E1FF0">
        <w:trPr>
          <w:trHeight w:val="283"/>
        </w:trPr>
        <w:tc>
          <w:tcPr>
            <w:tcW w:w="2813" w:type="pct"/>
            <w:tcBorders>
              <w:top w:val="nil"/>
              <w:left w:val="nil"/>
              <w:bottom w:val="nil"/>
              <w:right w:val="nil"/>
            </w:tcBorders>
            <w:shd w:val="clear" w:color="auto" w:fill="auto"/>
            <w:noWrap/>
            <w:vAlign w:val="center"/>
            <w:hideMark/>
          </w:tcPr>
          <w:p w14:paraId="0A0BEEE8"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návratné finančné výpomoci</w:t>
            </w:r>
          </w:p>
        </w:tc>
        <w:tc>
          <w:tcPr>
            <w:tcW w:w="548" w:type="pct"/>
            <w:tcBorders>
              <w:top w:val="nil"/>
              <w:left w:val="nil"/>
              <w:bottom w:val="nil"/>
              <w:right w:val="nil"/>
            </w:tcBorders>
            <w:shd w:val="clear" w:color="auto" w:fill="auto"/>
            <w:noWrap/>
            <w:vAlign w:val="center"/>
            <w:hideMark/>
          </w:tcPr>
          <w:p w14:paraId="06D8FAE0"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550 112</w:t>
            </w:r>
          </w:p>
        </w:tc>
        <w:tc>
          <w:tcPr>
            <w:tcW w:w="547" w:type="pct"/>
            <w:tcBorders>
              <w:top w:val="nil"/>
              <w:left w:val="nil"/>
              <w:bottom w:val="nil"/>
              <w:right w:val="nil"/>
            </w:tcBorders>
            <w:shd w:val="clear" w:color="auto" w:fill="auto"/>
            <w:noWrap/>
            <w:vAlign w:val="center"/>
            <w:hideMark/>
          </w:tcPr>
          <w:p w14:paraId="4D1D0684"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58 430</w:t>
            </w:r>
          </w:p>
        </w:tc>
        <w:tc>
          <w:tcPr>
            <w:tcW w:w="547" w:type="pct"/>
            <w:tcBorders>
              <w:top w:val="nil"/>
              <w:left w:val="nil"/>
              <w:bottom w:val="nil"/>
              <w:right w:val="nil"/>
            </w:tcBorders>
            <w:shd w:val="clear" w:color="auto" w:fill="auto"/>
            <w:noWrap/>
            <w:vAlign w:val="center"/>
            <w:hideMark/>
          </w:tcPr>
          <w:p w14:paraId="6D8FD70F"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88 844</w:t>
            </w:r>
          </w:p>
        </w:tc>
        <w:tc>
          <w:tcPr>
            <w:tcW w:w="545" w:type="pct"/>
            <w:tcBorders>
              <w:top w:val="nil"/>
              <w:left w:val="nil"/>
              <w:bottom w:val="nil"/>
              <w:right w:val="nil"/>
            </w:tcBorders>
            <w:shd w:val="clear" w:color="auto" w:fill="auto"/>
            <w:vAlign w:val="center"/>
          </w:tcPr>
          <w:p w14:paraId="423A43E0"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30 414</w:t>
            </w:r>
          </w:p>
        </w:tc>
      </w:tr>
      <w:tr w:rsidR="00826A47" w:rsidRPr="004310EE" w14:paraId="35AA8DA3" w14:textId="77777777" w:rsidTr="002E1FF0">
        <w:trPr>
          <w:trHeight w:val="283"/>
        </w:trPr>
        <w:tc>
          <w:tcPr>
            <w:tcW w:w="2813" w:type="pct"/>
            <w:tcBorders>
              <w:top w:val="nil"/>
              <w:left w:val="nil"/>
              <w:bottom w:val="nil"/>
              <w:right w:val="nil"/>
            </w:tcBorders>
            <w:shd w:val="clear" w:color="auto" w:fill="auto"/>
            <w:noWrap/>
            <w:vAlign w:val="center"/>
            <w:hideMark/>
          </w:tcPr>
          <w:p w14:paraId="5C91261A"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osobitný odvod finančných inštitúcií</w:t>
            </w:r>
          </w:p>
        </w:tc>
        <w:tc>
          <w:tcPr>
            <w:tcW w:w="548" w:type="pct"/>
            <w:tcBorders>
              <w:top w:val="nil"/>
              <w:left w:val="nil"/>
              <w:bottom w:val="nil"/>
              <w:right w:val="nil"/>
            </w:tcBorders>
            <w:shd w:val="clear" w:color="auto" w:fill="auto"/>
            <w:noWrap/>
            <w:vAlign w:val="center"/>
            <w:hideMark/>
          </w:tcPr>
          <w:p w14:paraId="476FA51D"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0</w:t>
            </w:r>
          </w:p>
        </w:tc>
        <w:tc>
          <w:tcPr>
            <w:tcW w:w="547" w:type="pct"/>
            <w:tcBorders>
              <w:top w:val="nil"/>
              <w:left w:val="nil"/>
              <w:bottom w:val="nil"/>
              <w:right w:val="nil"/>
            </w:tcBorders>
            <w:shd w:val="clear" w:color="auto" w:fill="auto"/>
            <w:noWrap/>
            <w:vAlign w:val="center"/>
            <w:hideMark/>
          </w:tcPr>
          <w:p w14:paraId="211E1211"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0</w:t>
            </w:r>
          </w:p>
        </w:tc>
        <w:tc>
          <w:tcPr>
            <w:tcW w:w="547" w:type="pct"/>
            <w:tcBorders>
              <w:top w:val="nil"/>
              <w:left w:val="nil"/>
              <w:bottom w:val="nil"/>
              <w:right w:val="nil"/>
            </w:tcBorders>
            <w:shd w:val="clear" w:color="auto" w:fill="auto"/>
            <w:noWrap/>
            <w:vAlign w:val="center"/>
            <w:hideMark/>
          </w:tcPr>
          <w:p w14:paraId="19A7E96C"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0</w:t>
            </w:r>
          </w:p>
        </w:tc>
        <w:tc>
          <w:tcPr>
            <w:tcW w:w="545" w:type="pct"/>
            <w:tcBorders>
              <w:top w:val="nil"/>
              <w:left w:val="nil"/>
              <w:bottom w:val="nil"/>
              <w:right w:val="nil"/>
            </w:tcBorders>
            <w:shd w:val="clear" w:color="auto" w:fill="auto"/>
            <w:vAlign w:val="center"/>
          </w:tcPr>
          <w:p w14:paraId="59B2A681"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0</w:t>
            </w:r>
          </w:p>
        </w:tc>
      </w:tr>
      <w:tr w:rsidR="00826A47" w:rsidRPr="004310EE" w14:paraId="53ED68EF" w14:textId="77777777" w:rsidTr="002E1FF0">
        <w:trPr>
          <w:trHeight w:val="283"/>
        </w:trPr>
        <w:tc>
          <w:tcPr>
            <w:tcW w:w="2813" w:type="pct"/>
            <w:tcBorders>
              <w:top w:val="nil"/>
              <w:left w:val="nil"/>
              <w:bottom w:val="nil"/>
              <w:right w:val="nil"/>
            </w:tcBorders>
            <w:shd w:val="clear" w:color="auto" w:fill="auto"/>
            <w:noWrap/>
            <w:vAlign w:val="center"/>
            <w:hideMark/>
          </w:tcPr>
          <w:p w14:paraId="6B0879D5"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osobitný odvod z podnikania v regulovaných odvetviach</w:t>
            </w:r>
          </w:p>
        </w:tc>
        <w:tc>
          <w:tcPr>
            <w:tcW w:w="548" w:type="pct"/>
            <w:tcBorders>
              <w:top w:val="nil"/>
              <w:left w:val="nil"/>
              <w:bottom w:val="nil"/>
              <w:right w:val="nil"/>
            </w:tcBorders>
            <w:shd w:val="clear" w:color="auto" w:fill="auto"/>
            <w:noWrap/>
            <w:vAlign w:val="center"/>
            <w:hideMark/>
          </w:tcPr>
          <w:p w14:paraId="3F36D57E"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91 465</w:t>
            </w:r>
          </w:p>
        </w:tc>
        <w:tc>
          <w:tcPr>
            <w:tcW w:w="547" w:type="pct"/>
            <w:tcBorders>
              <w:top w:val="nil"/>
              <w:left w:val="nil"/>
              <w:bottom w:val="nil"/>
              <w:right w:val="nil"/>
            </w:tcBorders>
            <w:shd w:val="clear" w:color="auto" w:fill="auto"/>
            <w:noWrap/>
            <w:vAlign w:val="center"/>
            <w:hideMark/>
          </w:tcPr>
          <w:p w14:paraId="35A91904"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105 552</w:t>
            </w:r>
          </w:p>
        </w:tc>
        <w:tc>
          <w:tcPr>
            <w:tcW w:w="547" w:type="pct"/>
            <w:tcBorders>
              <w:top w:val="nil"/>
              <w:left w:val="nil"/>
              <w:bottom w:val="nil"/>
              <w:right w:val="nil"/>
            </w:tcBorders>
            <w:shd w:val="clear" w:color="auto" w:fill="auto"/>
            <w:noWrap/>
            <w:vAlign w:val="center"/>
            <w:hideMark/>
          </w:tcPr>
          <w:p w14:paraId="33318AEA"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6 990</w:t>
            </w:r>
          </w:p>
        </w:tc>
        <w:tc>
          <w:tcPr>
            <w:tcW w:w="545" w:type="pct"/>
            <w:tcBorders>
              <w:top w:val="nil"/>
              <w:left w:val="nil"/>
              <w:bottom w:val="nil"/>
              <w:right w:val="nil"/>
            </w:tcBorders>
            <w:shd w:val="clear" w:color="auto" w:fill="auto"/>
            <w:vAlign w:val="center"/>
          </w:tcPr>
          <w:p w14:paraId="0EAB1265"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-98 562</w:t>
            </w:r>
          </w:p>
        </w:tc>
      </w:tr>
      <w:tr w:rsidR="00826A47" w:rsidRPr="004310EE" w14:paraId="253D9869" w14:textId="77777777" w:rsidTr="002E1FF0">
        <w:trPr>
          <w:trHeight w:val="283"/>
        </w:trPr>
        <w:tc>
          <w:tcPr>
            <w:tcW w:w="2813" w:type="pct"/>
            <w:tcBorders>
              <w:top w:val="nil"/>
              <w:left w:val="nil"/>
              <w:bottom w:val="nil"/>
              <w:right w:val="nil"/>
            </w:tcBorders>
            <w:shd w:val="clear" w:color="auto" w:fill="auto"/>
            <w:noWrap/>
            <w:vAlign w:val="center"/>
            <w:hideMark/>
          </w:tcPr>
          <w:p w14:paraId="55DF7429"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ďalšie</w:t>
            </w:r>
          </w:p>
        </w:tc>
        <w:tc>
          <w:tcPr>
            <w:tcW w:w="548" w:type="pct"/>
            <w:tcBorders>
              <w:top w:val="nil"/>
              <w:left w:val="nil"/>
              <w:bottom w:val="nil"/>
              <w:right w:val="nil"/>
            </w:tcBorders>
            <w:shd w:val="clear" w:color="auto" w:fill="auto"/>
            <w:noWrap/>
            <w:vAlign w:val="center"/>
            <w:hideMark/>
          </w:tcPr>
          <w:p w14:paraId="787832D7"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279</w:t>
            </w:r>
          </w:p>
        </w:tc>
        <w:tc>
          <w:tcPr>
            <w:tcW w:w="547" w:type="pct"/>
            <w:tcBorders>
              <w:top w:val="nil"/>
              <w:left w:val="nil"/>
              <w:bottom w:val="nil"/>
              <w:right w:val="nil"/>
            </w:tcBorders>
            <w:shd w:val="clear" w:color="auto" w:fill="auto"/>
            <w:noWrap/>
            <w:vAlign w:val="center"/>
            <w:hideMark/>
          </w:tcPr>
          <w:p w14:paraId="36435C2A"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1 602</w:t>
            </w:r>
          </w:p>
        </w:tc>
        <w:tc>
          <w:tcPr>
            <w:tcW w:w="547" w:type="pct"/>
            <w:tcBorders>
              <w:top w:val="nil"/>
              <w:left w:val="nil"/>
              <w:bottom w:val="nil"/>
              <w:right w:val="nil"/>
            </w:tcBorders>
            <w:shd w:val="clear" w:color="auto" w:fill="auto"/>
            <w:noWrap/>
            <w:vAlign w:val="center"/>
            <w:hideMark/>
          </w:tcPr>
          <w:p w14:paraId="51338D0D"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1 788</w:t>
            </w:r>
          </w:p>
        </w:tc>
        <w:tc>
          <w:tcPr>
            <w:tcW w:w="545" w:type="pct"/>
            <w:tcBorders>
              <w:top w:val="nil"/>
              <w:left w:val="nil"/>
              <w:bottom w:val="nil"/>
              <w:right w:val="nil"/>
            </w:tcBorders>
            <w:shd w:val="clear" w:color="auto" w:fill="auto"/>
            <w:vAlign w:val="center"/>
          </w:tcPr>
          <w:p w14:paraId="41B704BD"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186</w:t>
            </w:r>
          </w:p>
        </w:tc>
      </w:tr>
      <w:tr w:rsidR="00826A47" w:rsidRPr="004310EE" w14:paraId="56FEA410" w14:textId="77777777" w:rsidTr="002E1FF0">
        <w:trPr>
          <w:trHeight w:val="283"/>
        </w:trPr>
        <w:tc>
          <w:tcPr>
            <w:tcW w:w="2813" w:type="pct"/>
            <w:tcBorders>
              <w:top w:val="nil"/>
              <w:left w:val="nil"/>
              <w:bottom w:val="nil"/>
              <w:right w:val="nil"/>
            </w:tcBorders>
            <w:shd w:val="clear" w:color="auto" w:fill="auto"/>
            <w:noWrap/>
            <w:vAlign w:val="center"/>
            <w:hideMark/>
          </w:tcPr>
          <w:p w14:paraId="470CAE24" w14:textId="77777777" w:rsidR="00826A47" w:rsidRPr="004310EE" w:rsidRDefault="00826A47" w:rsidP="002E1FF0">
            <w:pPr>
              <w:spacing w:after="0" w:line="240" w:lineRule="auto"/>
              <w:jc w:val="left"/>
              <w:rPr>
                <w:rFonts w:eastAsia="Times New Roman" w:cs="Segoe UI"/>
                <w:i/>
                <w:iCs/>
                <w:color w:val="000000"/>
                <w:sz w:val="18"/>
                <w:szCs w:val="18"/>
                <w:lang w:eastAsia="sk-SK"/>
              </w:rPr>
            </w:pPr>
            <w:r w:rsidRPr="004310EE">
              <w:rPr>
                <w:rFonts w:eastAsia="Times New Roman" w:cs="Segoe UI"/>
                <w:i/>
                <w:iCs/>
                <w:color w:val="000000"/>
                <w:sz w:val="18"/>
                <w:szCs w:val="18"/>
                <w:lang w:eastAsia="sk-SK"/>
              </w:rPr>
              <w:t>Výdavky - zníženie na účtoch ŠFA</w:t>
            </w:r>
          </w:p>
        </w:tc>
        <w:tc>
          <w:tcPr>
            <w:tcW w:w="548" w:type="pct"/>
            <w:tcBorders>
              <w:top w:val="nil"/>
              <w:left w:val="nil"/>
              <w:bottom w:val="nil"/>
              <w:right w:val="nil"/>
            </w:tcBorders>
            <w:shd w:val="clear" w:color="auto" w:fill="auto"/>
            <w:noWrap/>
            <w:vAlign w:val="center"/>
            <w:hideMark/>
          </w:tcPr>
          <w:p w14:paraId="4C81652F" w14:textId="77777777" w:rsidR="00826A47" w:rsidRPr="004310EE" w:rsidRDefault="00826A47" w:rsidP="002E1FF0">
            <w:pPr>
              <w:spacing w:after="0" w:line="240" w:lineRule="auto"/>
              <w:jc w:val="right"/>
              <w:rPr>
                <w:rFonts w:eastAsia="Times New Roman" w:cs="Segoe UI"/>
                <w:i/>
                <w:iCs/>
                <w:color w:val="000000"/>
                <w:sz w:val="18"/>
                <w:szCs w:val="18"/>
                <w:lang w:eastAsia="sk-SK"/>
              </w:rPr>
            </w:pPr>
            <w:r w:rsidRPr="004310EE">
              <w:rPr>
                <w:rFonts w:eastAsia="Times New Roman" w:cs="Segoe UI"/>
                <w:i/>
                <w:iCs/>
                <w:color w:val="000000"/>
                <w:sz w:val="18"/>
                <w:szCs w:val="18"/>
                <w:lang w:eastAsia="sk-SK"/>
              </w:rPr>
              <w:t>1 278 933</w:t>
            </w:r>
          </w:p>
        </w:tc>
        <w:tc>
          <w:tcPr>
            <w:tcW w:w="547" w:type="pct"/>
            <w:tcBorders>
              <w:top w:val="nil"/>
              <w:left w:val="nil"/>
              <w:bottom w:val="nil"/>
              <w:right w:val="nil"/>
            </w:tcBorders>
            <w:shd w:val="clear" w:color="auto" w:fill="auto"/>
            <w:noWrap/>
            <w:vAlign w:val="center"/>
            <w:hideMark/>
          </w:tcPr>
          <w:p w14:paraId="1B138834" w14:textId="77777777" w:rsidR="00826A47" w:rsidRPr="004310EE" w:rsidRDefault="00826A47" w:rsidP="002E1FF0">
            <w:pPr>
              <w:spacing w:after="0" w:line="240" w:lineRule="auto"/>
              <w:jc w:val="right"/>
              <w:rPr>
                <w:rFonts w:eastAsia="Times New Roman" w:cs="Segoe UI"/>
                <w:i/>
                <w:iCs/>
                <w:color w:val="000000"/>
                <w:sz w:val="18"/>
                <w:szCs w:val="18"/>
                <w:lang w:eastAsia="sk-SK"/>
              </w:rPr>
            </w:pPr>
            <w:r w:rsidRPr="004310EE">
              <w:rPr>
                <w:rFonts w:eastAsia="Times New Roman" w:cs="Segoe UI"/>
                <w:i/>
                <w:iCs/>
                <w:color w:val="000000"/>
                <w:sz w:val="18"/>
                <w:szCs w:val="18"/>
                <w:lang w:eastAsia="sk-SK"/>
              </w:rPr>
              <w:t>322 885</w:t>
            </w:r>
          </w:p>
        </w:tc>
        <w:tc>
          <w:tcPr>
            <w:tcW w:w="547" w:type="pct"/>
            <w:tcBorders>
              <w:top w:val="nil"/>
              <w:left w:val="nil"/>
              <w:bottom w:val="nil"/>
              <w:right w:val="nil"/>
            </w:tcBorders>
            <w:shd w:val="clear" w:color="auto" w:fill="auto"/>
            <w:noWrap/>
            <w:vAlign w:val="center"/>
            <w:hideMark/>
          </w:tcPr>
          <w:p w14:paraId="575CFB58" w14:textId="77777777" w:rsidR="00826A47" w:rsidRPr="004310EE" w:rsidRDefault="00826A47" w:rsidP="002E1FF0">
            <w:pPr>
              <w:spacing w:after="0" w:line="240" w:lineRule="auto"/>
              <w:jc w:val="right"/>
              <w:rPr>
                <w:rFonts w:eastAsia="Times New Roman" w:cs="Segoe UI"/>
                <w:i/>
                <w:iCs/>
                <w:color w:val="000000"/>
                <w:sz w:val="18"/>
                <w:szCs w:val="18"/>
                <w:lang w:eastAsia="sk-SK"/>
              </w:rPr>
            </w:pPr>
            <w:r w:rsidRPr="004310EE">
              <w:rPr>
                <w:rFonts w:eastAsia="Times New Roman" w:cs="Segoe UI"/>
                <w:i/>
                <w:iCs/>
                <w:color w:val="000000"/>
                <w:sz w:val="18"/>
                <w:szCs w:val="18"/>
                <w:lang w:eastAsia="sk-SK"/>
              </w:rPr>
              <w:t>636 438</w:t>
            </w:r>
          </w:p>
        </w:tc>
        <w:tc>
          <w:tcPr>
            <w:tcW w:w="545" w:type="pct"/>
            <w:tcBorders>
              <w:top w:val="nil"/>
              <w:left w:val="nil"/>
              <w:bottom w:val="nil"/>
              <w:right w:val="nil"/>
            </w:tcBorders>
            <w:shd w:val="clear" w:color="auto" w:fill="auto"/>
            <w:vAlign w:val="center"/>
          </w:tcPr>
          <w:p w14:paraId="2523519C" w14:textId="77777777" w:rsidR="00826A47" w:rsidRPr="004310EE" w:rsidRDefault="00826A47" w:rsidP="002E1FF0">
            <w:pPr>
              <w:spacing w:after="0" w:line="240" w:lineRule="auto"/>
              <w:jc w:val="right"/>
              <w:rPr>
                <w:rFonts w:eastAsia="Times New Roman" w:cs="Segoe UI"/>
                <w:i/>
                <w:iCs/>
                <w:color w:val="000000"/>
                <w:sz w:val="18"/>
                <w:szCs w:val="18"/>
                <w:lang w:eastAsia="sk-SK"/>
              </w:rPr>
            </w:pPr>
            <w:r w:rsidRPr="004310EE">
              <w:rPr>
                <w:rFonts w:eastAsia="Times New Roman" w:cs="Segoe UI"/>
                <w:b/>
                <w:bCs/>
                <w:color w:val="000000"/>
                <w:sz w:val="18"/>
                <w:szCs w:val="18"/>
                <w:lang w:eastAsia="sk-SK"/>
              </w:rPr>
              <w:t>313 553</w:t>
            </w:r>
          </w:p>
        </w:tc>
      </w:tr>
      <w:tr w:rsidR="00826A47" w:rsidRPr="004310EE" w14:paraId="1E91495F" w14:textId="77777777" w:rsidTr="002E1FF0">
        <w:trPr>
          <w:trHeight w:val="283"/>
        </w:trPr>
        <w:tc>
          <w:tcPr>
            <w:tcW w:w="2813" w:type="pct"/>
            <w:tcBorders>
              <w:top w:val="nil"/>
              <w:left w:val="nil"/>
              <w:bottom w:val="nil"/>
              <w:right w:val="nil"/>
            </w:tcBorders>
            <w:shd w:val="clear" w:color="auto" w:fill="auto"/>
            <w:noWrap/>
            <w:vAlign w:val="center"/>
            <w:hideMark/>
          </w:tcPr>
          <w:p w14:paraId="01E8E437"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účelové prostriedky z FNM/ MH Manažment, a. s.</w:t>
            </w:r>
          </w:p>
        </w:tc>
        <w:tc>
          <w:tcPr>
            <w:tcW w:w="548" w:type="pct"/>
            <w:tcBorders>
              <w:top w:val="nil"/>
              <w:left w:val="nil"/>
              <w:bottom w:val="nil"/>
              <w:right w:val="nil"/>
            </w:tcBorders>
            <w:shd w:val="clear" w:color="auto" w:fill="auto"/>
            <w:noWrap/>
            <w:vAlign w:val="center"/>
            <w:hideMark/>
          </w:tcPr>
          <w:p w14:paraId="5E87C2C2"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506 322</w:t>
            </w:r>
          </w:p>
        </w:tc>
        <w:tc>
          <w:tcPr>
            <w:tcW w:w="547" w:type="pct"/>
            <w:tcBorders>
              <w:top w:val="nil"/>
              <w:left w:val="nil"/>
              <w:bottom w:val="nil"/>
              <w:right w:val="nil"/>
            </w:tcBorders>
            <w:shd w:val="clear" w:color="auto" w:fill="auto"/>
            <w:noWrap/>
            <w:vAlign w:val="center"/>
            <w:hideMark/>
          </w:tcPr>
          <w:p w14:paraId="19476FD6"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107 264</w:t>
            </w:r>
          </w:p>
        </w:tc>
        <w:tc>
          <w:tcPr>
            <w:tcW w:w="547" w:type="pct"/>
            <w:tcBorders>
              <w:top w:val="nil"/>
              <w:left w:val="nil"/>
              <w:bottom w:val="nil"/>
              <w:right w:val="nil"/>
            </w:tcBorders>
            <w:shd w:val="clear" w:color="auto" w:fill="auto"/>
            <w:noWrap/>
            <w:vAlign w:val="center"/>
            <w:hideMark/>
          </w:tcPr>
          <w:p w14:paraId="649A29AD"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182 101</w:t>
            </w:r>
          </w:p>
        </w:tc>
        <w:tc>
          <w:tcPr>
            <w:tcW w:w="545" w:type="pct"/>
            <w:tcBorders>
              <w:top w:val="nil"/>
              <w:left w:val="nil"/>
              <w:bottom w:val="nil"/>
              <w:right w:val="nil"/>
            </w:tcBorders>
            <w:shd w:val="clear" w:color="auto" w:fill="auto"/>
            <w:vAlign w:val="center"/>
          </w:tcPr>
          <w:p w14:paraId="093DAFE3"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74 837</w:t>
            </w:r>
          </w:p>
        </w:tc>
      </w:tr>
      <w:tr w:rsidR="00826A47" w:rsidRPr="004310EE" w14:paraId="1768669D" w14:textId="77777777" w:rsidTr="002E1FF0">
        <w:trPr>
          <w:trHeight w:val="283"/>
        </w:trPr>
        <w:tc>
          <w:tcPr>
            <w:tcW w:w="2813" w:type="pct"/>
            <w:tcBorders>
              <w:top w:val="nil"/>
              <w:left w:val="nil"/>
              <w:bottom w:val="nil"/>
              <w:right w:val="nil"/>
            </w:tcBorders>
            <w:shd w:val="clear" w:color="auto" w:fill="auto"/>
            <w:noWrap/>
            <w:vAlign w:val="center"/>
            <w:hideMark/>
          </w:tcPr>
          <w:p w14:paraId="46B873F0"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návratné finančné výpomocí</w:t>
            </w:r>
          </w:p>
        </w:tc>
        <w:tc>
          <w:tcPr>
            <w:tcW w:w="548" w:type="pct"/>
            <w:tcBorders>
              <w:top w:val="nil"/>
              <w:left w:val="nil"/>
              <w:bottom w:val="nil"/>
              <w:right w:val="nil"/>
            </w:tcBorders>
            <w:shd w:val="clear" w:color="auto" w:fill="auto"/>
            <w:noWrap/>
            <w:vAlign w:val="center"/>
            <w:hideMark/>
          </w:tcPr>
          <w:p w14:paraId="2D44A165"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643 786</w:t>
            </w:r>
          </w:p>
        </w:tc>
        <w:tc>
          <w:tcPr>
            <w:tcW w:w="547" w:type="pct"/>
            <w:tcBorders>
              <w:top w:val="nil"/>
              <w:left w:val="nil"/>
              <w:bottom w:val="nil"/>
              <w:right w:val="nil"/>
            </w:tcBorders>
            <w:shd w:val="clear" w:color="auto" w:fill="auto"/>
            <w:noWrap/>
            <w:vAlign w:val="center"/>
            <w:hideMark/>
          </w:tcPr>
          <w:p w14:paraId="3CF0660D"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20 500</w:t>
            </w:r>
          </w:p>
        </w:tc>
        <w:tc>
          <w:tcPr>
            <w:tcW w:w="547" w:type="pct"/>
            <w:tcBorders>
              <w:top w:val="nil"/>
              <w:left w:val="nil"/>
              <w:bottom w:val="nil"/>
              <w:right w:val="nil"/>
            </w:tcBorders>
            <w:shd w:val="clear" w:color="auto" w:fill="auto"/>
            <w:noWrap/>
            <w:vAlign w:val="center"/>
            <w:hideMark/>
          </w:tcPr>
          <w:p w14:paraId="6D87C9B3"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0</w:t>
            </w:r>
          </w:p>
        </w:tc>
        <w:tc>
          <w:tcPr>
            <w:tcW w:w="545" w:type="pct"/>
            <w:tcBorders>
              <w:top w:val="nil"/>
              <w:left w:val="nil"/>
              <w:bottom w:val="nil"/>
              <w:right w:val="nil"/>
            </w:tcBorders>
            <w:shd w:val="clear" w:color="auto" w:fill="auto"/>
            <w:vAlign w:val="center"/>
          </w:tcPr>
          <w:p w14:paraId="0D51D516"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-20 500</w:t>
            </w:r>
          </w:p>
        </w:tc>
      </w:tr>
      <w:tr w:rsidR="00826A47" w:rsidRPr="004310EE" w14:paraId="6E6380A1" w14:textId="77777777" w:rsidTr="002E1FF0">
        <w:trPr>
          <w:trHeight w:val="283"/>
        </w:trPr>
        <w:tc>
          <w:tcPr>
            <w:tcW w:w="2813" w:type="pct"/>
            <w:tcBorders>
              <w:top w:val="nil"/>
              <w:left w:val="nil"/>
              <w:bottom w:val="nil"/>
              <w:right w:val="nil"/>
            </w:tcBorders>
            <w:shd w:val="clear" w:color="auto" w:fill="auto"/>
            <w:noWrap/>
            <w:vAlign w:val="center"/>
            <w:hideMark/>
          </w:tcPr>
          <w:p w14:paraId="1B3562AA"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osobitný odvod finančných inštitúcií</w:t>
            </w:r>
          </w:p>
        </w:tc>
        <w:tc>
          <w:tcPr>
            <w:tcW w:w="548" w:type="pct"/>
            <w:tcBorders>
              <w:top w:val="nil"/>
              <w:left w:val="nil"/>
              <w:bottom w:val="nil"/>
              <w:right w:val="nil"/>
            </w:tcBorders>
            <w:shd w:val="clear" w:color="auto" w:fill="auto"/>
            <w:noWrap/>
            <w:vAlign w:val="center"/>
            <w:hideMark/>
          </w:tcPr>
          <w:p w14:paraId="6A16CE20"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128 733</w:t>
            </w:r>
          </w:p>
        </w:tc>
        <w:tc>
          <w:tcPr>
            <w:tcW w:w="547" w:type="pct"/>
            <w:tcBorders>
              <w:top w:val="nil"/>
              <w:left w:val="nil"/>
              <w:bottom w:val="nil"/>
              <w:right w:val="nil"/>
            </w:tcBorders>
            <w:shd w:val="clear" w:color="auto" w:fill="auto"/>
            <w:noWrap/>
            <w:vAlign w:val="center"/>
            <w:hideMark/>
          </w:tcPr>
          <w:p w14:paraId="07EE8E93"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188 630</w:t>
            </w:r>
          </w:p>
        </w:tc>
        <w:tc>
          <w:tcPr>
            <w:tcW w:w="547" w:type="pct"/>
            <w:tcBorders>
              <w:top w:val="nil"/>
              <w:left w:val="nil"/>
              <w:bottom w:val="nil"/>
              <w:right w:val="nil"/>
            </w:tcBorders>
            <w:shd w:val="clear" w:color="auto" w:fill="auto"/>
            <w:noWrap/>
            <w:vAlign w:val="center"/>
            <w:hideMark/>
          </w:tcPr>
          <w:p w14:paraId="65E054EC"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172 831</w:t>
            </w:r>
          </w:p>
        </w:tc>
        <w:tc>
          <w:tcPr>
            <w:tcW w:w="545" w:type="pct"/>
            <w:tcBorders>
              <w:top w:val="nil"/>
              <w:left w:val="nil"/>
              <w:bottom w:val="nil"/>
              <w:right w:val="nil"/>
            </w:tcBorders>
            <w:shd w:val="clear" w:color="auto" w:fill="auto"/>
            <w:vAlign w:val="center"/>
          </w:tcPr>
          <w:p w14:paraId="6A26D26D"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-15 799</w:t>
            </w:r>
          </w:p>
        </w:tc>
      </w:tr>
      <w:tr w:rsidR="00826A47" w:rsidRPr="004310EE" w14:paraId="55BAF1F3" w14:textId="77777777" w:rsidTr="002E1FF0">
        <w:trPr>
          <w:trHeight w:val="283"/>
        </w:trPr>
        <w:tc>
          <w:tcPr>
            <w:tcW w:w="2813" w:type="pct"/>
            <w:tcBorders>
              <w:top w:val="nil"/>
              <w:left w:val="nil"/>
              <w:bottom w:val="nil"/>
              <w:right w:val="nil"/>
            </w:tcBorders>
            <w:shd w:val="clear" w:color="auto" w:fill="auto"/>
            <w:noWrap/>
            <w:vAlign w:val="center"/>
            <w:hideMark/>
          </w:tcPr>
          <w:p w14:paraId="7A4A82F1"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osobitný odvod z podnikania v regulovaných odvetviach</w:t>
            </w:r>
          </w:p>
        </w:tc>
        <w:tc>
          <w:tcPr>
            <w:tcW w:w="548" w:type="pct"/>
            <w:tcBorders>
              <w:top w:val="nil"/>
              <w:left w:val="nil"/>
              <w:bottom w:val="nil"/>
              <w:right w:val="nil"/>
            </w:tcBorders>
            <w:shd w:val="clear" w:color="auto" w:fill="auto"/>
            <w:noWrap/>
            <w:vAlign w:val="center"/>
            <w:hideMark/>
          </w:tcPr>
          <w:p w14:paraId="178E4B78"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0</w:t>
            </w:r>
          </w:p>
        </w:tc>
        <w:tc>
          <w:tcPr>
            <w:tcW w:w="547" w:type="pct"/>
            <w:tcBorders>
              <w:top w:val="nil"/>
              <w:left w:val="nil"/>
              <w:bottom w:val="nil"/>
              <w:right w:val="nil"/>
            </w:tcBorders>
            <w:shd w:val="clear" w:color="auto" w:fill="auto"/>
            <w:noWrap/>
            <w:vAlign w:val="center"/>
            <w:hideMark/>
          </w:tcPr>
          <w:p w14:paraId="48F1EE12"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6 433</w:t>
            </w:r>
          </w:p>
        </w:tc>
        <w:tc>
          <w:tcPr>
            <w:tcW w:w="547" w:type="pct"/>
            <w:tcBorders>
              <w:top w:val="nil"/>
              <w:left w:val="nil"/>
              <w:bottom w:val="nil"/>
              <w:right w:val="nil"/>
            </w:tcBorders>
            <w:shd w:val="clear" w:color="auto" w:fill="auto"/>
            <w:noWrap/>
            <w:vAlign w:val="center"/>
            <w:hideMark/>
          </w:tcPr>
          <w:p w14:paraId="0446FA37"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250 000</w:t>
            </w:r>
          </w:p>
        </w:tc>
        <w:tc>
          <w:tcPr>
            <w:tcW w:w="545" w:type="pct"/>
            <w:tcBorders>
              <w:top w:val="nil"/>
              <w:left w:val="nil"/>
              <w:bottom w:val="nil"/>
              <w:right w:val="nil"/>
            </w:tcBorders>
            <w:shd w:val="clear" w:color="auto" w:fill="auto"/>
            <w:vAlign w:val="center"/>
          </w:tcPr>
          <w:p w14:paraId="31F9C302"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243 567</w:t>
            </w:r>
          </w:p>
        </w:tc>
      </w:tr>
      <w:tr w:rsidR="00826A47" w:rsidRPr="004310EE" w14:paraId="30BF4DC3" w14:textId="77777777" w:rsidTr="002E1FF0">
        <w:trPr>
          <w:trHeight w:val="283"/>
        </w:trPr>
        <w:tc>
          <w:tcPr>
            <w:tcW w:w="2813" w:type="pct"/>
            <w:tcBorders>
              <w:top w:val="nil"/>
              <w:left w:val="nil"/>
              <w:bottom w:val="nil"/>
              <w:right w:val="nil"/>
            </w:tcBorders>
            <w:shd w:val="clear" w:color="auto" w:fill="auto"/>
            <w:noWrap/>
            <w:vAlign w:val="center"/>
            <w:hideMark/>
          </w:tcPr>
          <w:p w14:paraId="7FE0E964"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 xml:space="preserve">   ďalšie</w:t>
            </w:r>
          </w:p>
        </w:tc>
        <w:tc>
          <w:tcPr>
            <w:tcW w:w="548" w:type="pct"/>
            <w:tcBorders>
              <w:top w:val="nil"/>
              <w:left w:val="nil"/>
              <w:bottom w:val="nil"/>
              <w:right w:val="nil"/>
            </w:tcBorders>
            <w:shd w:val="clear" w:color="auto" w:fill="auto"/>
            <w:noWrap/>
            <w:vAlign w:val="center"/>
            <w:hideMark/>
          </w:tcPr>
          <w:p w14:paraId="726693AA"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92</w:t>
            </w:r>
          </w:p>
        </w:tc>
        <w:tc>
          <w:tcPr>
            <w:tcW w:w="547" w:type="pct"/>
            <w:tcBorders>
              <w:top w:val="nil"/>
              <w:left w:val="nil"/>
              <w:bottom w:val="nil"/>
              <w:right w:val="nil"/>
            </w:tcBorders>
            <w:shd w:val="clear" w:color="auto" w:fill="auto"/>
            <w:noWrap/>
            <w:vAlign w:val="center"/>
            <w:hideMark/>
          </w:tcPr>
          <w:p w14:paraId="643BE827"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58</w:t>
            </w:r>
          </w:p>
        </w:tc>
        <w:tc>
          <w:tcPr>
            <w:tcW w:w="547" w:type="pct"/>
            <w:tcBorders>
              <w:top w:val="nil"/>
              <w:left w:val="nil"/>
              <w:bottom w:val="nil"/>
              <w:right w:val="nil"/>
            </w:tcBorders>
            <w:shd w:val="clear" w:color="auto" w:fill="auto"/>
            <w:noWrap/>
            <w:vAlign w:val="center"/>
            <w:hideMark/>
          </w:tcPr>
          <w:p w14:paraId="694602B2"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31 506</w:t>
            </w:r>
          </w:p>
        </w:tc>
        <w:tc>
          <w:tcPr>
            <w:tcW w:w="545" w:type="pct"/>
            <w:tcBorders>
              <w:top w:val="nil"/>
              <w:left w:val="nil"/>
              <w:bottom w:val="nil"/>
              <w:right w:val="nil"/>
            </w:tcBorders>
            <w:shd w:val="clear" w:color="auto" w:fill="auto"/>
            <w:vAlign w:val="center"/>
          </w:tcPr>
          <w:p w14:paraId="3DE26166"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31 448</w:t>
            </w:r>
          </w:p>
        </w:tc>
      </w:tr>
      <w:tr w:rsidR="00826A47" w:rsidRPr="004310EE" w14:paraId="60CBB019" w14:textId="77777777" w:rsidTr="002E1FF0">
        <w:trPr>
          <w:trHeight w:val="283"/>
        </w:trPr>
        <w:tc>
          <w:tcPr>
            <w:tcW w:w="2813" w:type="pct"/>
            <w:tcBorders>
              <w:top w:val="nil"/>
              <w:left w:val="nil"/>
              <w:bottom w:val="nil"/>
              <w:right w:val="nil"/>
            </w:tcBorders>
            <w:shd w:val="clear" w:color="auto" w:fill="auto"/>
            <w:noWrap/>
            <w:vAlign w:val="center"/>
            <w:hideMark/>
          </w:tcPr>
          <w:p w14:paraId="36170529" w14:textId="77777777" w:rsidR="00826A47" w:rsidRPr="004310EE" w:rsidRDefault="00826A47" w:rsidP="002E1FF0">
            <w:pPr>
              <w:spacing w:after="0" w:line="240" w:lineRule="auto"/>
              <w:jc w:val="left"/>
              <w:rPr>
                <w:rFonts w:eastAsia="Times New Roman" w:cs="Segoe UI"/>
                <w:b/>
                <w:bCs/>
                <w:color w:val="000000"/>
                <w:sz w:val="18"/>
                <w:szCs w:val="18"/>
                <w:lang w:eastAsia="sk-SK"/>
              </w:rPr>
            </w:pPr>
            <w:r w:rsidRPr="004310EE">
              <w:rPr>
                <w:rFonts w:eastAsia="Times New Roman" w:cs="Segoe UI"/>
                <w:b/>
                <w:bCs/>
                <w:color w:val="000000"/>
                <w:sz w:val="18"/>
                <w:szCs w:val="18"/>
                <w:lang w:eastAsia="sk-SK"/>
              </w:rPr>
              <w:t>Stav k 31.12.</w:t>
            </w:r>
          </w:p>
        </w:tc>
        <w:tc>
          <w:tcPr>
            <w:tcW w:w="548" w:type="pct"/>
            <w:tcBorders>
              <w:top w:val="nil"/>
              <w:left w:val="nil"/>
              <w:bottom w:val="nil"/>
              <w:right w:val="nil"/>
            </w:tcBorders>
            <w:shd w:val="clear" w:color="auto" w:fill="auto"/>
            <w:noWrap/>
            <w:vAlign w:val="center"/>
            <w:hideMark/>
          </w:tcPr>
          <w:p w14:paraId="2C2DCF23" w14:textId="77777777" w:rsidR="00826A47" w:rsidRPr="004310EE" w:rsidRDefault="00826A47" w:rsidP="002E1FF0">
            <w:pPr>
              <w:spacing w:after="0" w:line="240" w:lineRule="auto"/>
              <w:jc w:val="right"/>
              <w:rPr>
                <w:rFonts w:eastAsia="Times New Roman" w:cs="Segoe UI"/>
                <w:b/>
                <w:bCs/>
                <w:color w:val="000000"/>
                <w:sz w:val="18"/>
                <w:szCs w:val="18"/>
                <w:lang w:eastAsia="sk-SK"/>
              </w:rPr>
            </w:pPr>
            <w:r w:rsidRPr="004310EE">
              <w:rPr>
                <w:rFonts w:eastAsia="Times New Roman" w:cs="Segoe UI"/>
                <w:b/>
                <w:bCs/>
                <w:color w:val="000000"/>
                <w:sz w:val="18"/>
                <w:szCs w:val="18"/>
                <w:lang w:eastAsia="sk-SK"/>
              </w:rPr>
              <w:t>3 196 933</w:t>
            </w:r>
          </w:p>
        </w:tc>
        <w:tc>
          <w:tcPr>
            <w:tcW w:w="547" w:type="pct"/>
            <w:tcBorders>
              <w:top w:val="nil"/>
              <w:left w:val="nil"/>
              <w:bottom w:val="nil"/>
              <w:right w:val="nil"/>
            </w:tcBorders>
            <w:shd w:val="clear" w:color="auto" w:fill="auto"/>
            <w:noWrap/>
            <w:vAlign w:val="center"/>
            <w:hideMark/>
          </w:tcPr>
          <w:p w14:paraId="74703200" w14:textId="77777777" w:rsidR="00826A47" w:rsidRPr="004310EE" w:rsidRDefault="00826A47" w:rsidP="002E1FF0">
            <w:pPr>
              <w:spacing w:after="0" w:line="240" w:lineRule="auto"/>
              <w:jc w:val="right"/>
              <w:rPr>
                <w:rFonts w:eastAsia="Times New Roman" w:cs="Segoe UI"/>
                <w:b/>
                <w:bCs/>
                <w:color w:val="000000"/>
                <w:sz w:val="18"/>
                <w:szCs w:val="18"/>
                <w:lang w:eastAsia="sk-SK"/>
              </w:rPr>
            </w:pPr>
            <w:r w:rsidRPr="004310EE">
              <w:rPr>
                <w:rFonts w:eastAsia="Times New Roman" w:cs="Segoe UI"/>
                <w:b/>
                <w:bCs/>
                <w:color w:val="000000"/>
                <w:sz w:val="18"/>
                <w:szCs w:val="18"/>
                <w:lang w:eastAsia="sk-SK"/>
              </w:rPr>
              <w:t>3 041 203</w:t>
            </w:r>
          </w:p>
        </w:tc>
        <w:tc>
          <w:tcPr>
            <w:tcW w:w="547" w:type="pct"/>
            <w:tcBorders>
              <w:top w:val="nil"/>
              <w:left w:val="nil"/>
              <w:bottom w:val="nil"/>
              <w:right w:val="nil"/>
            </w:tcBorders>
            <w:shd w:val="clear" w:color="auto" w:fill="auto"/>
            <w:noWrap/>
            <w:vAlign w:val="center"/>
            <w:hideMark/>
          </w:tcPr>
          <w:p w14:paraId="0F3B245C" w14:textId="77777777" w:rsidR="00826A47" w:rsidRPr="004310EE" w:rsidRDefault="00826A47" w:rsidP="002E1FF0">
            <w:pPr>
              <w:spacing w:after="0" w:line="240" w:lineRule="auto"/>
              <w:jc w:val="right"/>
              <w:rPr>
                <w:rFonts w:eastAsia="Times New Roman" w:cs="Segoe UI"/>
                <w:b/>
                <w:bCs/>
                <w:color w:val="000000"/>
                <w:sz w:val="18"/>
                <w:szCs w:val="18"/>
                <w:lang w:eastAsia="sk-SK"/>
              </w:rPr>
            </w:pPr>
            <w:r w:rsidRPr="004310EE">
              <w:rPr>
                <w:rFonts w:eastAsia="Times New Roman" w:cs="Segoe UI"/>
                <w:b/>
                <w:bCs/>
                <w:color w:val="000000"/>
                <w:sz w:val="18"/>
                <w:szCs w:val="18"/>
                <w:lang w:eastAsia="sk-SK"/>
              </w:rPr>
              <w:t>2 537 098</w:t>
            </w:r>
          </w:p>
        </w:tc>
        <w:tc>
          <w:tcPr>
            <w:tcW w:w="545" w:type="pct"/>
            <w:tcBorders>
              <w:top w:val="nil"/>
              <w:left w:val="nil"/>
              <w:bottom w:val="nil"/>
              <w:right w:val="nil"/>
            </w:tcBorders>
            <w:shd w:val="clear" w:color="auto" w:fill="auto"/>
            <w:vAlign w:val="center"/>
          </w:tcPr>
          <w:p w14:paraId="6AEEA8B9" w14:textId="77777777" w:rsidR="00826A47" w:rsidRPr="004310EE" w:rsidRDefault="00826A47" w:rsidP="002E1FF0">
            <w:pPr>
              <w:spacing w:after="0" w:line="240" w:lineRule="auto"/>
              <w:jc w:val="right"/>
              <w:rPr>
                <w:rFonts w:eastAsia="Times New Roman" w:cs="Segoe UI"/>
                <w:b/>
                <w:bCs/>
                <w:color w:val="000000"/>
                <w:sz w:val="18"/>
                <w:szCs w:val="18"/>
                <w:lang w:eastAsia="sk-SK"/>
              </w:rPr>
            </w:pPr>
            <w:r w:rsidRPr="004310EE">
              <w:rPr>
                <w:rFonts w:eastAsia="Times New Roman" w:cs="Segoe UI"/>
                <w:b/>
                <w:bCs/>
                <w:color w:val="000000"/>
                <w:sz w:val="18"/>
                <w:szCs w:val="18"/>
                <w:lang w:eastAsia="sk-SK"/>
              </w:rPr>
              <w:t>-504 105</w:t>
            </w:r>
          </w:p>
        </w:tc>
      </w:tr>
      <w:tr w:rsidR="00826A47" w:rsidRPr="004310EE" w14:paraId="63E8E619" w14:textId="77777777" w:rsidTr="002E1FF0">
        <w:trPr>
          <w:trHeight w:val="283"/>
        </w:trPr>
        <w:tc>
          <w:tcPr>
            <w:tcW w:w="2813" w:type="pct"/>
            <w:tcBorders>
              <w:top w:val="nil"/>
              <w:left w:val="nil"/>
              <w:bottom w:val="nil"/>
              <w:right w:val="nil"/>
            </w:tcBorders>
            <w:shd w:val="clear" w:color="auto" w:fill="auto"/>
            <w:noWrap/>
            <w:vAlign w:val="center"/>
            <w:hideMark/>
          </w:tcPr>
          <w:p w14:paraId="012FA8B2"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účet FNM/MH Manažment, a. s.</w:t>
            </w:r>
          </w:p>
        </w:tc>
        <w:tc>
          <w:tcPr>
            <w:tcW w:w="548" w:type="pct"/>
            <w:tcBorders>
              <w:top w:val="nil"/>
              <w:left w:val="nil"/>
              <w:bottom w:val="nil"/>
              <w:right w:val="nil"/>
            </w:tcBorders>
            <w:shd w:val="clear" w:color="auto" w:fill="auto"/>
            <w:noWrap/>
            <w:vAlign w:val="center"/>
            <w:hideMark/>
          </w:tcPr>
          <w:p w14:paraId="1C676093"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1 019 165</w:t>
            </w:r>
          </w:p>
        </w:tc>
        <w:tc>
          <w:tcPr>
            <w:tcW w:w="547" w:type="pct"/>
            <w:tcBorders>
              <w:top w:val="nil"/>
              <w:left w:val="nil"/>
              <w:bottom w:val="nil"/>
              <w:right w:val="nil"/>
            </w:tcBorders>
            <w:shd w:val="clear" w:color="auto" w:fill="auto"/>
            <w:noWrap/>
            <w:vAlign w:val="center"/>
            <w:hideMark/>
          </w:tcPr>
          <w:p w14:paraId="44F0ABD0"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913 473</w:t>
            </w:r>
          </w:p>
        </w:tc>
        <w:tc>
          <w:tcPr>
            <w:tcW w:w="547" w:type="pct"/>
            <w:tcBorders>
              <w:top w:val="nil"/>
              <w:left w:val="nil"/>
              <w:bottom w:val="nil"/>
              <w:right w:val="nil"/>
            </w:tcBorders>
            <w:shd w:val="clear" w:color="auto" w:fill="auto"/>
            <w:noWrap/>
            <w:vAlign w:val="center"/>
            <w:hideMark/>
          </w:tcPr>
          <w:p w14:paraId="5FFC29AF"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766 082</w:t>
            </w:r>
          </w:p>
        </w:tc>
        <w:tc>
          <w:tcPr>
            <w:tcW w:w="545" w:type="pct"/>
            <w:tcBorders>
              <w:top w:val="nil"/>
              <w:left w:val="nil"/>
              <w:bottom w:val="nil"/>
              <w:right w:val="nil"/>
            </w:tcBorders>
            <w:shd w:val="clear" w:color="auto" w:fill="auto"/>
            <w:vAlign w:val="center"/>
          </w:tcPr>
          <w:p w14:paraId="67D7FBEF"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-147 391</w:t>
            </w:r>
          </w:p>
        </w:tc>
      </w:tr>
      <w:tr w:rsidR="00826A47" w:rsidRPr="004310EE" w14:paraId="7E7D53B0" w14:textId="77777777" w:rsidTr="002E1FF0">
        <w:trPr>
          <w:trHeight w:val="283"/>
        </w:trPr>
        <w:tc>
          <w:tcPr>
            <w:tcW w:w="2813" w:type="pct"/>
            <w:tcBorders>
              <w:top w:val="nil"/>
              <w:left w:val="nil"/>
              <w:bottom w:val="nil"/>
              <w:right w:val="nil"/>
            </w:tcBorders>
            <w:shd w:val="clear" w:color="auto" w:fill="auto"/>
            <w:noWrap/>
            <w:vAlign w:val="center"/>
            <w:hideMark/>
          </w:tcPr>
          <w:p w14:paraId="78D04AF5"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účet NFV</w:t>
            </w:r>
          </w:p>
        </w:tc>
        <w:tc>
          <w:tcPr>
            <w:tcW w:w="548" w:type="pct"/>
            <w:tcBorders>
              <w:top w:val="nil"/>
              <w:left w:val="nil"/>
              <w:bottom w:val="nil"/>
              <w:right w:val="nil"/>
            </w:tcBorders>
            <w:shd w:val="clear" w:color="auto" w:fill="auto"/>
            <w:noWrap/>
            <w:vAlign w:val="center"/>
            <w:hideMark/>
          </w:tcPr>
          <w:p w14:paraId="69D89F33"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58 315</w:t>
            </w:r>
          </w:p>
        </w:tc>
        <w:tc>
          <w:tcPr>
            <w:tcW w:w="547" w:type="pct"/>
            <w:tcBorders>
              <w:top w:val="nil"/>
              <w:left w:val="nil"/>
              <w:bottom w:val="nil"/>
              <w:right w:val="nil"/>
            </w:tcBorders>
            <w:shd w:val="clear" w:color="auto" w:fill="auto"/>
            <w:noWrap/>
            <w:vAlign w:val="center"/>
            <w:hideMark/>
          </w:tcPr>
          <w:p w14:paraId="36604DA8"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96 245</w:t>
            </w:r>
          </w:p>
        </w:tc>
        <w:tc>
          <w:tcPr>
            <w:tcW w:w="547" w:type="pct"/>
            <w:tcBorders>
              <w:top w:val="nil"/>
              <w:left w:val="nil"/>
              <w:bottom w:val="nil"/>
              <w:right w:val="nil"/>
            </w:tcBorders>
            <w:shd w:val="clear" w:color="auto" w:fill="auto"/>
            <w:noWrap/>
            <w:vAlign w:val="center"/>
            <w:hideMark/>
          </w:tcPr>
          <w:p w14:paraId="278FEF9D"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185 090</w:t>
            </w:r>
          </w:p>
        </w:tc>
        <w:tc>
          <w:tcPr>
            <w:tcW w:w="545" w:type="pct"/>
            <w:tcBorders>
              <w:top w:val="nil"/>
              <w:left w:val="nil"/>
              <w:bottom w:val="nil"/>
              <w:right w:val="nil"/>
            </w:tcBorders>
            <w:shd w:val="clear" w:color="auto" w:fill="auto"/>
            <w:vAlign w:val="center"/>
          </w:tcPr>
          <w:p w14:paraId="57E81BBF"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88 845</w:t>
            </w:r>
          </w:p>
        </w:tc>
      </w:tr>
      <w:tr w:rsidR="00826A47" w:rsidRPr="004310EE" w14:paraId="24E7E4EA" w14:textId="77777777" w:rsidTr="002E1FF0">
        <w:trPr>
          <w:trHeight w:val="283"/>
        </w:trPr>
        <w:tc>
          <w:tcPr>
            <w:tcW w:w="2813" w:type="pct"/>
            <w:tcBorders>
              <w:top w:val="nil"/>
              <w:left w:val="nil"/>
              <w:bottom w:val="nil"/>
              <w:right w:val="nil"/>
            </w:tcBorders>
            <w:shd w:val="clear" w:color="auto" w:fill="auto"/>
            <w:noWrap/>
            <w:vAlign w:val="center"/>
            <w:hideMark/>
          </w:tcPr>
          <w:p w14:paraId="290076F5"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účet osobitného odvodu finančných inštitúcií</w:t>
            </w:r>
          </w:p>
        </w:tc>
        <w:tc>
          <w:tcPr>
            <w:tcW w:w="548" w:type="pct"/>
            <w:tcBorders>
              <w:top w:val="nil"/>
              <w:left w:val="nil"/>
              <w:bottom w:val="nil"/>
              <w:right w:val="nil"/>
            </w:tcBorders>
            <w:shd w:val="clear" w:color="auto" w:fill="auto"/>
            <w:noWrap/>
            <w:vAlign w:val="center"/>
            <w:hideMark/>
          </w:tcPr>
          <w:p w14:paraId="11E05DC3"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1 122 786</w:t>
            </w:r>
          </w:p>
        </w:tc>
        <w:tc>
          <w:tcPr>
            <w:tcW w:w="547" w:type="pct"/>
            <w:tcBorders>
              <w:top w:val="nil"/>
              <w:left w:val="nil"/>
              <w:bottom w:val="nil"/>
              <w:right w:val="nil"/>
            </w:tcBorders>
            <w:shd w:val="clear" w:color="auto" w:fill="auto"/>
            <w:noWrap/>
            <w:vAlign w:val="center"/>
            <w:hideMark/>
          </w:tcPr>
          <w:p w14:paraId="6779C3A0"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934 156</w:t>
            </w:r>
          </w:p>
        </w:tc>
        <w:tc>
          <w:tcPr>
            <w:tcW w:w="547" w:type="pct"/>
            <w:tcBorders>
              <w:top w:val="nil"/>
              <w:left w:val="nil"/>
              <w:bottom w:val="nil"/>
              <w:right w:val="nil"/>
            </w:tcBorders>
            <w:shd w:val="clear" w:color="auto" w:fill="auto"/>
            <w:noWrap/>
            <w:vAlign w:val="center"/>
            <w:hideMark/>
          </w:tcPr>
          <w:p w14:paraId="4552BD65"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761 325</w:t>
            </w:r>
          </w:p>
        </w:tc>
        <w:tc>
          <w:tcPr>
            <w:tcW w:w="545" w:type="pct"/>
            <w:tcBorders>
              <w:top w:val="nil"/>
              <w:left w:val="nil"/>
              <w:bottom w:val="nil"/>
              <w:right w:val="nil"/>
            </w:tcBorders>
            <w:shd w:val="clear" w:color="auto" w:fill="auto"/>
            <w:vAlign w:val="center"/>
          </w:tcPr>
          <w:p w14:paraId="1238B797"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-172 831</w:t>
            </w:r>
          </w:p>
        </w:tc>
      </w:tr>
      <w:tr w:rsidR="00826A47" w:rsidRPr="004310EE" w14:paraId="0CB8D43C" w14:textId="77777777" w:rsidTr="002E1FF0">
        <w:trPr>
          <w:trHeight w:val="283"/>
        </w:trPr>
        <w:tc>
          <w:tcPr>
            <w:tcW w:w="2813" w:type="pct"/>
            <w:tcBorders>
              <w:top w:val="nil"/>
              <w:left w:val="nil"/>
              <w:right w:val="nil"/>
            </w:tcBorders>
            <w:shd w:val="clear" w:color="auto" w:fill="auto"/>
            <w:noWrap/>
            <w:vAlign w:val="center"/>
            <w:hideMark/>
          </w:tcPr>
          <w:p w14:paraId="6F459C4D"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účet osobitného odvodu z podnikania v regulovaných odvetviach</w:t>
            </w:r>
          </w:p>
        </w:tc>
        <w:tc>
          <w:tcPr>
            <w:tcW w:w="548" w:type="pct"/>
            <w:tcBorders>
              <w:top w:val="nil"/>
              <w:left w:val="nil"/>
              <w:right w:val="nil"/>
            </w:tcBorders>
            <w:shd w:val="clear" w:color="auto" w:fill="auto"/>
            <w:noWrap/>
            <w:vAlign w:val="center"/>
            <w:hideMark/>
          </w:tcPr>
          <w:p w14:paraId="5C8A381F"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919 804</w:t>
            </w:r>
          </w:p>
        </w:tc>
        <w:tc>
          <w:tcPr>
            <w:tcW w:w="547" w:type="pct"/>
            <w:tcBorders>
              <w:top w:val="nil"/>
              <w:left w:val="nil"/>
              <w:right w:val="nil"/>
            </w:tcBorders>
            <w:shd w:val="clear" w:color="auto" w:fill="auto"/>
            <w:noWrap/>
            <w:vAlign w:val="center"/>
            <w:hideMark/>
          </w:tcPr>
          <w:p w14:paraId="3D97EABC"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1 018 922</w:t>
            </w:r>
          </w:p>
        </w:tc>
        <w:tc>
          <w:tcPr>
            <w:tcW w:w="547" w:type="pct"/>
            <w:tcBorders>
              <w:top w:val="nil"/>
              <w:left w:val="nil"/>
              <w:right w:val="nil"/>
            </w:tcBorders>
            <w:shd w:val="clear" w:color="auto" w:fill="auto"/>
            <w:noWrap/>
            <w:vAlign w:val="center"/>
            <w:hideMark/>
          </w:tcPr>
          <w:p w14:paraId="0814F03D"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775 912</w:t>
            </w:r>
          </w:p>
        </w:tc>
        <w:tc>
          <w:tcPr>
            <w:tcW w:w="545" w:type="pct"/>
            <w:tcBorders>
              <w:top w:val="nil"/>
              <w:left w:val="nil"/>
              <w:right w:val="nil"/>
            </w:tcBorders>
            <w:shd w:val="clear" w:color="auto" w:fill="auto"/>
            <w:vAlign w:val="center"/>
          </w:tcPr>
          <w:p w14:paraId="265101A5"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-243 010</w:t>
            </w:r>
          </w:p>
        </w:tc>
      </w:tr>
      <w:tr w:rsidR="00826A47" w:rsidRPr="004310EE" w14:paraId="7790D0AB" w14:textId="77777777" w:rsidTr="002E1FF0">
        <w:trPr>
          <w:trHeight w:val="283"/>
        </w:trPr>
        <w:tc>
          <w:tcPr>
            <w:tcW w:w="2813" w:type="pct"/>
            <w:tcBorders>
              <w:top w:val="nil"/>
              <w:left w:val="nil"/>
              <w:bottom w:val="single" w:sz="4" w:space="0" w:color="auto"/>
              <w:right w:val="nil"/>
            </w:tcBorders>
            <w:shd w:val="clear" w:color="auto" w:fill="auto"/>
            <w:noWrap/>
            <w:vAlign w:val="center"/>
            <w:hideMark/>
          </w:tcPr>
          <w:p w14:paraId="29B2CB9A" w14:textId="77777777" w:rsidR="00826A47" w:rsidRPr="004310EE" w:rsidRDefault="00826A47" w:rsidP="002E1FF0">
            <w:pPr>
              <w:spacing w:after="0" w:line="240" w:lineRule="auto"/>
              <w:jc w:val="left"/>
              <w:rPr>
                <w:rFonts w:eastAsia="Times New Roman" w:cs="Segoe UI"/>
                <w:color w:val="000000"/>
                <w:sz w:val="18"/>
                <w:szCs w:val="18"/>
                <w:lang w:eastAsia="sk-SK"/>
              </w:rPr>
            </w:pPr>
            <w:r w:rsidRPr="004310EE">
              <w:rPr>
                <w:rFonts w:eastAsia="Times New Roman" w:cs="Segoe UI"/>
                <w:color w:val="000000"/>
                <w:sz w:val="18"/>
                <w:szCs w:val="18"/>
                <w:lang w:eastAsia="sk-SK"/>
              </w:rPr>
              <w:t>ďalšie</w:t>
            </w:r>
          </w:p>
        </w:tc>
        <w:tc>
          <w:tcPr>
            <w:tcW w:w="548" w:type="pct"/>
            <w:tcBorders>
              <w:top w:val="nil"/>
              <w:left w:val="nil"/>
              <w:bottom w:val="single" w:sz="4" w:space="0" w:color="auto"/>
              <w:right w:val="nil"/>
            </w:tcBorders>
            <w:shd w:val="clear" w:color="auto" w:fill="auto"/>
            <w:noWrap/>
            <w:vAlign w:val="center"/>
            <w:hideMark/>
          </w:tcPr>
          <w:p w14:paraId="4B39A990"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76 863</w:t>
            </w:r>
          </w:p>
        </w:tc>
        <w:tc>
          <w:tcPr>
            <w:tcW w:w="547" w:type="pct"/>
            <w:tcBorders>
              <w:top w:val="nil"/>
              <w:left w:val="nil"/>
              <w:bottom w:val="single" w:sz="4" w:space="0" w:color="auto"/>
              <w:right w:val="nil"/>
            </w:tcBorders>
            <w:shd w:val="clear" w:color="auto" w:fill="auto"/>
            <w:noWrap/>
            <w:vAlign w:val="center"/>
            <w:hideMark/>
          </w:tcPr>
          <w:p w14:paraId="7E2AD240"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78 407</w:t>
            </w:r>
          </w:p>
        </w:tc>
        <w:tc>
          <w:tcPr>
            <w:tcW w:w="547" w:type="pct"/>
            <w:tcBorders>
              <w:top w:val="nil"/>
              <w:left w:val="nil"/>
              <w:bottom w:val="single" w:sz="4" w:space="0" w:color="auto"/>
              <w:right w:val="nil"/>
            </w:tcBorders>
            <w:shd w:val="clear" w:color="auto" w:fill="auto"/>
            <w:noWrap/>
            <w:vAlign w:val="center"/>
            <w:hideMark/>
          </w:tcPr>
          <w:p w14:paraId="4BD0D264"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color w:val="000000"/>
                <w:sz w:val="18"/>
                <w:szCs w:val="18"/>
                <w:lang w:eastAsia="sk-SK"/>
              </w:rPr>
              <w:t>48 689</w:t>
            </w:r>
          </w:p>
        </w:tc>
        <w:tc>
          <w:tcPr>
            <w:tcW w:w="545" w:type="pct"/>
            <w:tcBorders>
              <w:top w:val="nil"/>
              <w:left w:val="nil"/>
              <w:bottom w:val="single" w:sz="4" w:space="0" w:color="auto"/>
              <w:right w:val="nil"/>
            </w:tcBorders>
            <w:shd w:val="clear" w:color="auto" w:fill="auto"/>
            <w:vAlign w:val="center"/>
          </w:tcPr>
          <w:p w14:paraId="25242AF5" w14:textId="77777777" w:rsidR="00826A47" w:rsidRPr="004310EE" w:rsidRDefault="00826A47" w:rsidP="002E1FF0">
            <w:pPr>
              <w:spacing w:after="0" w:line="240" w:lineRule="auto"/>
              <w:jc w:val="right"/>
              <w:rPr>
                <w:rFonts w:eastAsia="Times New Roman" w:cs="Segoe UI"/>
                <w:color w:val="000000"/>
                <w:sz w:val="18"/>
                <w:szCs w:val="18"/>
                <w:lang w:eastAsia="sk-SK"/>
              </w:rPr>
            </w:pPr>
            <w:r w:rsidRPr="004310EE">
              <w:rPr>
                <w:rFonts w:eastAsia="Times New Roman" w:cs="Segoe UI"/>
                <w:b/>
                <w:bCs/>
                <w:color w:val="000000"/>
                <w:sz w:val="18"/>
                <w:szCs w:val="18"/>
                <w:lang w:eastAsia="sk-SK"/>
              </w:rPr>
              <w:t>-29 718</w:t>
            </w:r>
          </w:p>
        </w:tc>
      </w:tr>
    </w:tbl>
    <w:p w14:paraId="09A21DE5" w14:textId="77777777" w:rsidR="00826A47" w:rsidRPr="004310EE" w:rsidRDefault="00826A47" w:rsidP="00826A47">
      <w:pPr>
        <w:spacing w:line="240" w:lineRule="auto"/>
        <w:jc w:val="left"/>
        <w:rPr>
          <w:rFonts w:eastAsia="Calibri" w:cs="Times New Roman"/>
          <w:i/>
          <w:color w:val="314364"/>
          <w:sz w:val="16"/>
        </w:rPr>
      </w:pPr>
      <w:r w:rsidRPr="004310EE">
        <w:rPr>
          <w:rFonts w:eastAsia="Calibri" w:cs="Times New Roman"/>
          <w:i/>
          <w:color w:val="314364"/>
          <w:sz w:val="16"/>
        </w:rPr>
        <w:t>Zdroj: Návrh ŠZÚ 2024, MF SR.</w:t>
      </w:r>
    </w:p>
    <w:p w14:paraId="5FBE8148" w14:textId="7A0E1A97" w:rsidR="00DD5A54" w:rsidRPr="004310EE" w:rsidRDefault="00DD5A54" w:rsidP="00DD5A54">
      <w:pPr>
        <w:rPr>
          <w:rFonts w:eastAsia="Times New Roman" w:cs="Segoe UI"/>
          <w:szCs w:val="20"/>
        </w:rPr>
      </w:pPr>
      <w:r w:rsidRPr="004310EE">
        <w:rPr>
          <w:rFonts w:eastAsia="Calibri" w:cs="Times New Roman"/>
          <w:b/>
        </w:rPr>
        <w:t>Medzi najvýznamnejšie výdavky možno zaradiť kapitálové posilnenie EXIMBANKY SR v objeme 250 mil. eur, pokračujúce oddlžovanie nemocníc vo výške 166,8 mil. eur a investičný projekt Valaliky vo výške 114,4 mil. eur.</w:t>
      </w:r>
      <w:r w:rsidRPr="004310EE">
        <w:rPr>
          <w:rFonts w:eastAsia="Calibri" w:cs="Times New Roman"/>
        </w:rPr>
        <w:t xml:space="preserve"> Na základe uznesenia vlády boli použité </w:t>
      </w:r>
      <w:r w:rsidR="00630F3B">
        <w:rPr>
          <w:rFonts w:eastAsia="Calibri" w:cs="Times New Roman"/>
        </w:rPr>
        <w:t xml:space="preserve">prostriedky </w:t>
      </w:r>
      <w:r w:rsidRPr="004310EE">
        <w:rPr>
          <w:rFonts w:eastAsia="Calibri" w:cs="Times New Roman"/>
        </w:rPr>
        <w:t>ŠFA osobitného odvodu z podnikania v regulovaných odvetviach na zvýšenie ZI EXIMBANKY SR o 250 mil. eur. Zároveň bolo ZI o rovnakú sumu znížené a bol navýšený fond na záruky o 100 mil. eur a fond na krytie neobchodovateľných rizík o 150 mil. eur. Aj v roku 2024 pokračovalo oddlžovanie ZZ rozpúšťaním 575 mil. eur vyčlenených zo ŠFA ešte v</w:t>
      </w:r>
      <w:r w:rsidR="00630F3B">
        <w:rPr>
          <w:rFonts w:eastAsia="Calibri" w:cs="Times New Roman"/>
        </w:rPr>
        <w:t xml:space="preserve"> roku </w:t>
      </w:r>
      <w:r w:rsidRPr="004310EE">
        <w:rPr>
          <w:rFonts w:eastAsia="Calibri" w:cs="Times New Roman"/>
        </w:rPr>
        <w:t>2020. Tento</w:t>
      </w:r>
      <w:r w:rsidR="00A45DBA">
        <w:rPr>
          <w:rFonts w:eastAsia="Calibri" w:cs="Times New Roman"/>
        </w:rPr>
        <w:t>raz</w:t>
      </w:r>
      <w:r w:rsidRPr="004310EE">
        <w:rPr>
          <w:rFonts w:eastAsia="Calibri" w:cs="Times New Roman"/>
        </w:rPr>
        <w:t xml:space="preserve"> vo výške 166,8 mil. eur na transfer MZ SR a následne na vykrytie pohľadávok SP. Zo ŠFA bola podporená aj výstavba priemyselných parkov, keď sa uskutočnil vklad do spoločnosti Valaliky Industrial Park vo výške 114,4 mil. eur a financovanie investície Šurany Industrial Park sumou 54,5 mil. eur. </w:t>
      </w:r>
    </w:p>
    <w:p w14:paraId="2A728A83" w14:textId="4EC29D40" w:rsidR="00DD5A54" w:rsidRPr="004310EE" w:rsidRDefault="00DD5A54" w:rsidP="00DD5A54">
      <w:pPr>
        <w:rPr>
          <w:rFonts w:eastAsia="Times New Roman" w:cs="Segoe UI"/>
          <w:szCs w:val="20"/>
        </w:rPr>
      </w:pPr>
      <w:r w:rsidRPr="004310EE">
        <w:rPr>
          <w:rFonts w:eastAsia="Times New Roman" w:cs="Segoe UI"/>
          <w:b/>
          <w:szCs w:val="20"/>
        </w:rPr>
        <w:t xml:space="preserve">Príjmy ŠFA boli najmä zo splátok </w:t>
      </w:r>
      <w:r w:rsidR="00630F3B">
        <w:rPr>
          <w:rFonts w:eastAsia="Times New Roman" w:cs="Segoe UI"/>
          <w:b/>
          <w:szCs w:val="20"/>
        </w:rPr>
        <w:t>NFV</w:t>
      </w:r>
      <w:r w:rsidRPr="004310EE">
        <w:rPr>
          <w:rFonts w:eastAsia="Times New Roman" w:cs="Segoe UI"/>
          <w:b/>
          <w:szCs w:val="20"/>
        </w:rPr>
        <w:t xml:space="preserve"> v sume 88,8 mil. eur a z uvoľnenia prostriedkov po súdnom spore vo výške 29,4 mil. eur.</w:t>
      </w:r>
      <w:r w:rsidRPr="004310EE">
        <w:rPr>
          <w:rFonts w:eastAsia="Times New Roman" w:cs="Segoe UI"/>
          <w:szCs w:val="20"/>
        </w:rPr>
        <w:t xml:space="preserve"> Nárast na účte NFV pochádzal zo splátok od Agentúry pre núdzové zásoby ropy a ropných výrobkov (73 mil. eur), od cestovných kancelárií (7,1 mil. eur), mesta Košice (3,7 mil. eur), BSK (1,7 mil. eur) či akciovej spoločnosti GA </w:t>
      </w:r>
      <w:proofErr w:type="spellStart"/>
      <w:r w:rsidRPr="004310EE">
        <w:rPr>
          <w:rFonts w:eastAsia="Times New Roman" w:cs="Segoe UI"/>
          <w:szCs w:val="20"/>
        </w:rPr>
        <w:t>Drilling</w:t>
      </w:r>
      <w:proofErr w:type="spellEnd"/>
      <w:r w:rsidRPr="004310EE">
        <w:rPr>
          <w:rFonts w:eastAsia="Times New Roman" w:cs="Segoe UI"/>
          <w:szCs w:val="20"/>
        </w:rPr>
        <w:t xml:space="preserve"> (1 mil. eur). V roku 2024 boli tiež odpustené splátky VÚC vo výške 13 mil. eur. Po ukončení sporu so spoločnosťou </w:t>
      </w:r>
      <w:proofErr w:type="spellStart"/>
      <w:r w:rsidRPr="004310EE">
        <w:rPr>
          <w:rFonts w:eastAsia="Times New Roman" w:cs="Segoe UI"/>
          <w:szCs w:val="20"/>
        </w:rPr>
        <w:t>Achmea</w:t>
      </w:r>
      <w:proofErr w:type="spellEnd"/>
      <w:r w:rsidRPr="004310EE">
        <w:rPr>
          <w:rFonts w:eastAsia="Times New Roman" w:cs="Segoe UI"/>
          <w:szCs w:val="20"/>
        </w:rPr>
        <w:t xml:space="preserve"> B.V. boli vrátené blokované prostriedky vo výške 29,4 mil. eur. </w:t>
      </w:r>
    </w:p>
    <w:p w14:paraId="073897E3" w14:textId="3AD05E16" w:rsidR="00DD5A54" w:rsidRDefault="00DD5A54" w:rsidP="00DD5A54">
      <w:pPr>
        <w:rPr>
          <w:rFonts w:eastAsia="Times New Roman" w:cs="Segoe UI"/>
          <w:szCs w:val="20"/>
        </w:rPr>
      </w:pPr>
      <w:r w:rsidRPr="00630F3B">
        <w:rPr>
          <w:rFonts w:eastAsia="Times New Roman" w:cs="Segoe UI"/>
          <w:b/>
          <w:szCs w:val="20"/>
        </w:rPr>
        <w:t>NKÚ SR v rámci kontroly vykazovania vybraných údajov v individuálnej účtovnej závierke a </w:t>
      </w:r>
      <w:r w:rsidR="000A456E">
        <w:rPr>
          <w:rFonts w:eastAsia="Times New Roman" w:cs="Segoe UI"/>
          <w:b/>
          <w:szCs w:val="20"/>
        </w:rPr>
        <w:t>ZÚ</w:t>
      </w:r>
      <w:r w:rsidRPr="00630F3B">
        <w:rPr>
          <w:rFonts w:eastAsia="Times New Roman" w:cs="Segoe UI"/>
          <w:b/>
          <w:szCs w:val="20"/>
        </w:rPr>
        <w:t xml:space="preserve"> kapitoly MH SR skontroloval aj najvýznamnejší pohyb na účtoch ŠFA z roku 2022, ktorým bol vklad 500 mil. eur do SPP</w:t>
      </w:r>
      <w:r w:rsidRPr="004310EE">
        <w:rPr>
          <w:rFonts w:eastAsia="Times New Roman" w:cs="Segoe UI"/>
          <w:szCs w:val="20"/>
        </w:rPr>
        <w:t xml:space="preserve"> (</w:t>
      </w:r>
      <w:r>
        <w:rPr>
          <w:rFonts w:eastAsia="Times New Roman" w:cs="Segoe UI"/>
          <w:szCs w:val="20"/>
        </w:rPr>
        <w:t>box</w:t>
      </w:r>
      <w:r w:rsidRPr="004310EE">
        <w:rPr>
          <w:rFonts w:eastAsia="Times New Roman" w:cs="Segoe UI"/>
          <w:szCs w:val="20"/>
        </w:rPr>
        <w:t xml:space="preserve"> </w:t>
      </w:r>
      <w:r w:rsidR="00630F3B">
        <w:rPr>
          <w:rFonts w:eastAsia="Times New Roman" w:cs="Segoe UI"/>
          <w:szCs w:val="20"/>
        </w:rPr>
        <w:t>2</w:t>
      </w:r>
      <w:r w:rsidRPr="004310EE">
        <w:rPr>
          <w:rFonts w:eastAsia="Times New Roman" w:cs="Segoe UI"/>
          <w:szCs w:val="20"/>
        </w:rPr>
        <w:t>)</w:t>
      </w:r>
      <w:r w:rsidRPr="00630F3B">
        <w:rPr>
          <w:rFonts w:eastAsia="Times New Roman" w:cs="Segoe UI"/>
          <w:b/>
          <w:szCs w:val="20"/>
        </w:rPr>
        <w:t>.</w:t>
      </w:r>
      <w:r w:rsidRPr="004310EE">
        <w:rPr>
          <w:rFonts w:eastAsia="Times New Roman" w:cs="Segoe UI"/>
          <w:szCs w:val="20"/>
        </w:rPr>
        <w:t xml:space="preserve"> Podrobné </w:t>
      </w:r>
      <w:r w:rsidR="000A456E">
        <w:rPr>
          <w:rFonts w:eastAsia="Times New Roman" w:cs="Segoe UI"/>
          <w:szCs w:val="20"/>
        </w:rPr>
        <w:t>informácie budú</w:t>
      </w:r>
      <w:r w:rsidR="00665F54">
        <w:rPr>
          <w:rFonts w:eastAsia="Times New Roman" w:cs="Segoe UI"/>
          <w:szCs w:val="20"/>
        </w:rPr>
        <w:t xml:space="preserve"> zverejnené</w:t>
      </w:r>
      <w:r w:rsidRPr="004310EE">
        <w:rPr>
          <w:rFonts w:eastAsia="Times New Roman" w:cs="Segoe UI"/>
          <w:szCs w:val="20"/>
        </w:rPr>
        <w:t xml:space="preserve"> </w:t>
      </w:r>
      <w:r w:rsidR="00630F3B">
        <w:rPr>
          <w:rFonts w:eastAsia="Times New Roman" w:cs="Segoe UI"/>
          <w:szCs w:val="20"/>
        </w:rPr>
        <w:t>v správe z kontroly</w:t>
      </w:r>
      <w:r w:rsidR="00665F54">
        <w:rPr>
          <w:rFonts w:eastAsia="Times New Roman" w:cs="Segoe UI"/>
          <w:szCs w:val="20"/>
        </w:rPr>
        <w:t>.</w:t>
      </w:r>
    </w:p>
    <w:p w14:paraId="62C79239" w14:textId="77777777" w:rsidR="00665F54" w:rsidRPr="004310EE" w:rsidRDefault="00665F54" w:rsidP="00DD5A54">
      <w:pPr>
        <w:rPr>
          <w:rFonts w:eastAsia="Times New Roman" w:cs="Segoe UI"/>
          <w:szCs w:val="20"/>
        </w:rPr>
      </w:pPr>
    </w:p>
    <w:tbl>
      <w:tblPr>
        <w:tblStyle w:val="Mriekatabuky1"/>
        <w:tblW w:w="0" w:type="auto"/>
        <w:tblBorders>
          <w:top w:val="single" w:sz="4" w:space="0" w:color="314364"/>
          <w:left w:val="single" w:sz="4" w:space="0" w:color="314364"/>
          <w:bottom w:val="single" w:sz="4" w:space="0" w:color="314364"/>
          <w:right w:val="single" w:sz="4" w:space="0" w:color="314364"/>
          <w:insideH w:val="none" w:sz="0" w:space="0" w:color="auto"/>
          <w:insideV w:val="none" w:sz="0" w:space="0" w:color="auto"/>
        </w:tblBorders>
        <w:shd w:val="clear" w:color="auto" w:fill="EBF0FB"/>
        <w:tblLook w:val="04A0" w:firstRow="1" w:lastRow="0" w:firstColumn="1" w:lastColumn="0" w:noHBand="0" w:noVBand="1"/>
      </w:tblPr>
      <w:tblGrid>
        <w:gridCol w:w="9060"/>
      </w:tblGrid>
      <w:tr w:rsidR="006362C1" w:rsidRPr="00181D27" w14:paraId="7E140F7B" w14:textId="77777777" w:rsidTr="00706298">
        <w:tc>
          <w:tcPr>
            <w:tcW w:w="9060" w:type="dxa"/>
            <w:shd w:val="clear" w:color="auto" w:fill="EBF0FB"/>
          </w:tcPr>
          <w:p w14:paraId="62D7CC58" w14:textId="58603BDB" w:rsidR="006362C1" w:rsidRPr="00181D27" w:rsidRDefault="006362C1" w:rsidP="00706298">
            <w:pPr>
              <w:spacing w:before="120"/>
              <w:ind w:right="163"/>
              <w:rPr>
                <w:rFonts w:cs="Times New Roman"/>
                <w:b/>
              </w:rPr>
            </w:pPr>
            <w:r>
              <w:rPr>
                <w:rFonts w:cs="Times New Roman"/>
                <w:b/>
              </w:rPr>
              <w:lastRenderedPageBreak/>
              <w:t>BOX</w:t>
            </w:r>
            <w:r w:rsidRPr="00181D27">
              <w:rPr>
                <w:rFonts w:cs="Times New Roman"/>
                <w:b/>
              </w:rPr>
              <w:t xml:space="preserve"> </w:t>
            </w:r>
            <w:r w:rsidR="00060A3C">
              <w:rPr>
                <w:rFonts w:cs="Times New Roman"/>
                <w:b/>
              </w:rPr>
              <w:t>2</w:t>
            </w:r>
            <w:r w:rsidRPr="00181D27">
              <w:rPr>
                <w:rFonts w:cs="Times New Roman"/>
                <w:b/>
              </w:rPr>
              <w:t xml:space="preserve">: </w:t>
            </w:r>
            <w:r>
              <w:rPr>
                <w:rFonts w:cs="Times New Roman"/>
                <w:b/>
              </w:rPr>
              <w:t>Bezúročný vklad 500 mil. eur zo ŠFA do SPP v 2022 a</w:t>
            </w:r>
            <w:r w:rsidR="00F83757">
              <w:rPr>
                <w:rFonts w:cs="Times New Roman"/>
                <w:b/>
              </w:rPr>
              <w:t xml:space="preserve"> jeho </w:t>
            </w:r>
            <w:r>
              <w:rPr>
                <w:rFonts w:cs="Times New Roman"/>
                <w:b/>
              </w:rPr>
              <w:t>vrátenie do 2028</w:t>
            </w:r>
          </w:p>
          <w:p w14:paraId="0BC7371F" w14:textId="353EC040" w:rsidR="006362C1" w:rsidRPr="00C54882" w:rsidRDefault="006362C1" w:rsidP="00706298">
            <w:pPr>
              <w:spacing w:before="120"/>
              <w:ind w:right="163"/>
              <w:rPr>
                <w:rFonts w:eastAsia="Calibri" w:cs="Times New Roman"/>
                <w:sz w:val="18"/>
              </w:rPr>
            </w:pPr>
            <w:r w:rsidRPr="00C54882">
              <w:rPr>
                <w:rFonts w:eastAsia="Calibri" w:cs="Times New Roman"/>
                <w:b/>
                <w:sz w:val="18"/>
              </w:rPr>
              <w:t>Na základe uznesenia vlády SR č. 709 z</w:t>
            </w:r>
            <w:r w:rsidR="004F286A">
              <w:rPr>
                <w:rFonts w:eastAsia="Calibri" w:cs="Times New Roman"/>
                <w:b/>
                <w:sz w:val="18"/>
              </w:rPr>
              <w:t>o</w:t>
            </w:r>
            <w:r w:rsidRPr="00C54882">
              <w:rPr>
                <w:rFonts w:cs="Times New Roman"/>
                <w:b/>
                <w:sz w:val="18"/>
              </w:rPr>
              <w:t> </w:t>
            </w:r>
            <w:r w:rsidRPr="00C54882">
              <w:rPr>
                <w:rFonts w:eastAsia="Calibri" w:cs="Times New Roman"/>
                <w:b/>
                <w:sz w:val="18"/>
              </w:rPr>
              <w:t xml:space="preserve">14. </w:t>
            </w:r>
            <w:r w:rsidR="004F286A">
              <w:rPr>
                <w:rFonts w:eastAsia="Calibri" w:cs="Times New Roman"/>
                <w:b/>
                <w:sz w:val="18"/>
              </w:rPr>
              <w:t>11.</w:t>
            </w:r>
            <w:r w:rsidRPr="00C54882">
              <w:rPr>
                <w:rFonts w:eastAsia="Calibri" w:cs="Times New Roman"/>
                <w:b/>
                <w:sz w:val="18"/>
              </w:rPr>
              <w:t xml:space="preserve"> 2022 boli v</w:t>
            </w:r>
            <w:r w:rsidRPr="00C54882">
              <w:rPr>
                <w:rFonts w:cs="Times New Roman"/>
                <w:b/>
                <w:sz w:val="18"/>
              </w:rPr>
              <w:t> </w:t>
            </w:r>
            <w:r w:rsidRPr="00C54882">
              <w:rPr>
                <w:rFonts w:eastAsia="Calibri" w:cs="Times New Roman"/>
                <w:b/>
                <w:sz w:val="18"/>
              </w:rPr>
              <w:t>roku 2022 z</w:t>
            </w:r>
            <w:r w:rsidRPr="00C54882">
              <w:rPr>
                <w:rFonts w:cs="Times New Roman"/>
                <w:b/>
                <w:sz w:val="18"/>
              </w:rPr>
              <w:t> </w:t>
            </w:r>
            <w:r w:rsidRPr="00C54882">
              <w:rPr>
                <w:rFonts w:eastAsia="Calibri" w:cs="Times New Roman"/>
                <w:b/>
                <w:sz w:val="18"/>
              </w:rPr>
              <w:t xml:space="preserve">výdavkov </w:t>
            </w:r>
            <w:r w:rsidR="00F83757">
              <w:rPr>
                <w:rFonts w:eastAsia="Calibri" w:cs="Times New Roman"/>
                <w:b/>
                <w:sz w:val="18"/>
              </w:rPr>
              <w:t>ŠR</w:t>
            </w:r>
            <w:r w:rsidRPr="00C54882">
              <w:rPr>
                <w:rFonts w:eastAsia="Calibri" w:cs="Times New Roman"/>
                <w:b/>
                <w:sz w:val="18"/>
              </w:rPr>
              <w:t xml:space="preserve"> poskytnuté </w:t>
            </w:r>
            <w:r w:rsidRPr="00C54882">
              <w:rPr>
                <w:rFonts w:cs="Times New Roman"/>
                <w:b/>
                <w:sz w:val="18"/>
              </w:rPr>
              <w:t>ŠFA</w:t>
            </w:r>
            <w:r w:rsidRPr="00C54882">
              <w:rPr>
                <w:rFonts w:eastAsia="Calibri" w:cs="Times New Roman"/>
                <w:b/>
                <w:sz w:val="18"/>
              </w:rPr>
              <w:t xml:space="preserve"> v</w:t>
            </w:r>
            <w:r w:rsidRPr="00C54882">
              <w:rPr>
                <w:rFonts w:cs="Times New Roman"/>
                <w:b/>
                <w:sz w:val="18"/>
              </w:rPr>
              <w:t> </w:t>
            </w:r>
            <w:r w:rsidRPr="00C54882">
              <w:rPr>
                <w:rFonts w:eastAsia="Calibri" w:cs="Times New Roman"/>
                <w:b/>
                <w:sz w:val="18"/>
              </w:rPr>
              <w:t xml:space="preserve">sume 500 mil. eur formou vkladu do kapitálových fondov </w:t>
            </w:r>
            <w:r w:rsidRPr="00C54882">
              <w:rPr>
                <w:rFonts w:cs="Times New Roman"/>
                <w:b/>
                <w:sz w:val="18"/>
              </w:rPr>
              <w:t>SPP</w:t>
            </w:r>
            <w:r w:rsidRPr="00C54882">
              <w:rPr>
                <w:rFonts w:eastAsia="Calibri" w:cs="Times New Roman"/>
                <w:b/>
                <w:sz w:val="18"/>
              </w:rPr>
              <w:t>.</w:t>
            </w:r>
            <w:r w:rsidRPr="00C54882">
              <w:rPr>
                <w:rFonts w:eastAsia="Calibri" w:cs="Times New Roman"/>
                <w:sz w:val="18"/>
              </w:rPr>
              <w:t xml:space="preserve"> Vklad bol motivovaný potrebou zabezpečiť finančnú stabilitu spoločnosti v</w:t>
            </w:r>
            <w:r>
              <w:rPr>
                <w:rFonts w:cs="Times New Roman"/>
                <w:sz w:val="18"/>
              </w:rPr>
              <w:t> </w:t>
            </w:r>
            <w:r w:rsidRPr="00C54882">
              <w:rPr>
                <w:rFonts w:eastAsia="Calibri" w:cs="Times New Roman"/>
                <w:sz w:val="18"/>
              </w:rPr>
              <w:t>čase energetickej krízy a</w:t>
            </w:r>
            <w:r>
              <w:rPr>
                <w:rFonts w:cs="Times New Roman"/>
                <w:sz w:val="18"/>
              </w:rPr>
              <w:t> </w:t>
            </w:r>
            <w:r w:rsidRPr="00C54882">
              <w:rPr>
                <w:rFonts w:eastAsia="Calibri" w:cs="Times New Roman"/>
                <w:sz w:val="18"/>
              </w:rPr>
              <w:t xml:space="preserve">vysokých trhových cien plynu, najmä počas vykurovacej sezóny 2022/2023. </w:t>
            </w:r>
            <w:r>
              <w:rPr>
                <w:rFonts w:cs="Times New Roman"/>
                <w:sz w:val="18"/>
              </w:rPr>
              <w:t>U</w:t>
            </w:r>
            <w:r w:rsidRPr="00C54882">
              <w:rPr>
                <w:rFonts w:eastAsia="Calibri" w:cs="Times New Roman"/>
                <w:sz w:val="18"/>
              </w:rPr>
              <w:t>znesenie predpokladalo, že vložené prostriedky budú návratné, a že sa zabezpečí ich vrátenie vrátane prípadného úroku. Uznesením č. 709 boli uložené aj dve úlohy: v</w:t>
            </w:r>
            <w:r>
              <w:rPr>
                <w:rFonts w:cs="Times New Roman"/>
                <w:sz w:val="18"/>
              </w:rPr>
              <w:t> </w:t>
            </w:r>
            <w:r w:rsidRPr="00C54882">
              <w:rPr>
                <w:rFonts w:eastAsia="Calibri" w:cs="Times New Roman"/>
                <w:sz w:val="18"/>
              </w:rPr>
              <w:t>bode B.4 doh</w:t>
            </w:r>
            <w:r>
              <w:rPr>
                <w:rFonts w:cs="Times New Roman"/>
                <w:sz w:val="18"/>
              </w:rPr>
              <w:t>odnúť so spoločnosťou SPP</w:t>
            </w:r>
            <w:r w:rsidRPr="00C54882">
              <w:rPr>
                <w:rFonts w:eastAsia="Calibri" w:cs="Times New Roman"/>
                <w:sz w:val="18"/>
              </w:rPr>
              <w:t xml:space="preserve"> podmienky vrátenia vkladu v</w:t>
            </w:r>
            <w:r>
              <w:rPr>
                <w:rFonts w:cs="Times New Roman"/>
                <w:sz w:val="18"/>
              </w:rPr>
              <w:t> </w:t>
            </w:r>
            <w:r w:rsidRPr="00C54882">
              <w:rPr>
                <w:rFonts w:eastAsia="Calibri" w:cs="Times New Roman"/>
                <w:sz w:val="18"/>
              </w:rPr>
              <w:t>súlade s</w:t>
            </w:r>
            <w:r>
              <w:rPr>
                <w:rFonts w:cs="Times New Roman"/>
                <w:sz w:val="18"/>
              </w:rPr>
              <w:t> </w:t>
            </w:r>
            <w:r w:rsidRPr="00C54882">
              <w:rPr>
                <w:rFonts w:eastAsia="Calibri" w:cs="Times New Roman"/>
                <w:sz w:val="18"/>
              </w:rPr>
              <w:t>predpismi o</w:t>
            </w:r>
            <w:r>
              <w:rPr>
                <w:rFonts w:cs="Times New Roman"/>
                <w:sz w:val="18"/>
              </w:rPr>
              <w:t> </w:t>
            </w:r>
            <w:r w:rsidRPr="00C54882">
              <w:rPr>
                <w:rFonts w:eastAsia="Calibri" w:cs="Times New Roman"/>
                <w:sz w:val="18"/>
              </w:rPr>
              <w:t>štátnej pomoci a</w:t>
            </w:r>
            <w:r>
              <w:rPr>
                <w:rFonts w:cs="Times New Roman"/>
                <w:sz w:val="18"/>
              </w:rPr>
              <w:t> </w:t>
            </w:r>
            <w:r w:rsidRPr="00C54882">
              <w:rPr>
                <w:rFonts w:eastAsia="Calibri" w:cs="Times New Roman"/>
                <w:sz w:val="18"/>
              </w:rPr>
              <w:t>v</w:t>
            </w:r>
            <w:r>
              <w:rPr>
                <w:rFonts w:cs="Times New Roman"/>
                <w:sz w:val="18"/>
              </w:rPr>
              <w:t> </w:t>
            </w:r>
            <w:r w:rsidRPr="00C54882">
              <w:rPr>
                <w:rFonts w:eastAsia="Calibri" w:cs="Times New Roman"/>
                <w:sz w:val="18"/>
              </w:rPr>
              <w:t>bode B.5 prijať rozhodnutie jediného akcionára</w:t>
            </w:r>
            <w:r>
              <w:rPr>
                <w:rFonts w:cs="Times New Roman"/>
                <w:sz w:val="18"/>
              </w:rPr>
              <w:t xml:space="preserve"> (MH SR)</w:t>
            </w:r>
            <w:r w:rsidRPr="00C54882">
              <w:rPr>
                <w:rFonts w:eastAsia="Calibri" w:cs="Times New Roman"/>
                <w:sz w:val="18"/>
              </w:rPr>
              <w:t xml:space="preserve"> o</w:t>
            </w:r>
            <w:r>
              <w:rPr>
                <w:rFonts w:cs="Times New Roman"/>
                <w:sz w:val="18"/>
              </w:rPr>
              <w:t> </w:t>
            </w:r>
            <w:r w:rsidRPr="00C54882">
              <w:rPr>
                <w:rFonts w:eastAsia="Calibri" w:cs="Times New Roman"/>
                <w:sz w:val="18"/>
              </w:rPr>
              <w:t>vrátení celej sumy 500 mil. eur.</w:t>
            </w:r>
          </w:p>
          <w:p w14:paraId="749A49FE" w14:textId="1858A978" w:rsidR="006362C1" w:rsidRPr="00C54882" w:rsidRDefault="006362C1" w:rsidP="00706298">
            <w:pPr>
              <w:spacing w:before="120"/>
              <w:ind w:right="163"/>
              <w:rPr>
                <w:rFonts w:eastAsia="Calibri" w:cs="Times New Roman"/>
                <w:sz w:val="18"/>
              </w:rPr>
            </w:pPr>
            <w:r>
              <w:rPr>
                <w:rFonts w:cs="Times New Roman"/>
                <w:sz w:val="18"/>
              </w:rPr>
              <w:t xml:space="preserve">Počas </w:t>
            </w:r>
            <w:r w:rsidRPr="00C54882">
              <w:rPr>
                <w:rFonts w:eastAsia="Calibri" w:cs="Times New Roman"/>
                <w:sz w:val="18"/>
              </w:rPr>
              <w:t xml:space="preserve">roka </w:t>
            </w:r>
            <w:r>
              <w:rPr>
                <w:rFonts w:cs="Times New Roman"/>
                <w:sz w:val="18"/>
              </w:rPr>
              <w:t xml:space="preserve">2024 sa </w:t>
            </w:r>
            <w:r w:rsidRPr="00C54882">
              <w:rPr>
                <w:rFonts w:eastAsia="Calibri" w:cs="Times New Roman"/>
                <w:sz w:val="18"/>
              </w:rPr>
              <w:t>ukázalo, že SPP nedisponuje vlastnými zdrojmi na jednorazové vrátenie celej sumy a že návratnosť vkladu nemôže byť zabezpečená dohodou medzi spoločnosťou a</w:t>
            </w:r>
            <w:r>
              <w:rPr>
                <w:rFonts w:cs="Times New Roman"/>
                <w:sz w:val="18"/>
              </w:rPr>
              <w:t> </w:t>
            </w:r>
            <w:r w:rsidRPr="00C54882">
              <w:rPr>
                <w:rFonts w:eastAsia="Calibri" w:cs="Times New Roman"/>
                <w:sz w:val="18"/>
              </w:rPr>
              <w:t>akcionárom bez toho, aby to bolo v</w:t>
            </w:r>
            <w:r>
              <w:rPr>
                <w:rFonts w:cs="Times New Roman"/>
                <w:sz w:val="18"/>
              </w:rPr>
              <w:t> </w:t>
            </w:r>
            <w:r w:rsidRPr="00C54882">
              <w:rPr>
                <w:rFonts w:eastAsia="Calibri" w:cs="Times New Roman"/>
                <w:sz w:val="18"/>
              </w:rPr>
              <w:t>rozpore s</w:t>
            </w:r>
            <w:r>
              <w:rPr>
                <w:rFonts w:cs="Times New Roman"/>
                <w:sz w:val="18"/>
              </w:rPr>
              <w:t> </w:t>
            </w:r>
            <w:r w:rsidRPr="00C54882">
              <w:rPr>
                <w:rFonts w:eastAsia="Calibri" w:cs="Times New Roman"/>
                <w:sz w:val="18"/>
              </w:rPr>
              <w:t>ustanoveniami Obchodného zákonníka (§ 217a a § 190). Vyplatenie prostriedkov z</w:t>
            </w:r>
            <w:r>
              <w:rPr>
                <w:rFonts w:cs="Times New Roman"/>
                <w:sz w:val="18"/>
              </w:rPr>
              <w:t> </w:t>
            </w:r>
            <w:r w:rsidRPr="00C54882">
              <w:rPr>
                <w:rFonts w:eastAsia="Calibri" w:cs="Times New Roman"/>
                <w:sz w:val="18"/>
              </w:rPr>
              <w:t>kapitálového fondu je zákonne možné len na základe rozhodnutia valného zhromaždenia, resp. jediného akcionára, a</w:t>
            </w:r>
            <w:r>
              <w:rPr>
                <w:rFonts w:cs="Times New Roman"/>
                <w:sz w:val="18"/>
              </w:rPr>
              <w:t> </w:t>
            </w:r>
            <w:r w:rsidRPr="00C54882">
              <w:rPr>
                <w:rFonts w:eastAsia="Calibri" w:cs="Times New Roman"/>
                <w:sz w:val="18"/>
              </w:rPr>
              <w:t>po predchádzajúcom zverejnení zámeru 60 dní vopred v</w:t>
            </w:r>
            <w:r>
              <w:rPr>
                <w:rFonts w:cs="Times New Roman"/>
                <w:sz w:val="18"/>
              </w:rPr>
              <w:t> </w:t>
            </w:r>
            <w:r w:rsidRPr="00C54882">
              <w:rPr>
                <w:rFonts w:eastAsia="Calibri" w:cs="Times New Roman"/>
                <w:sz w:val="18"/>
              </w:rPr>
              <w:t>Obchodnom vestníku.</w:t>
            </w:r>
          </w:p>
          <w:p w14:paraId="5E159C25" w14:textId="2A1C117F" w:rsidR="006362C1" w:rsidRPr="00181D27" w:rsidRDefault="006362C1" w:rsidP="004F286A">
            <w:pPr>
              <w:spacing w:before="120"/>
              <w:ind w:right="163"/>
              <w:rPr>
                <w:rFonts w:cs="Times New Roman"/>
                <w:color w:val="314364"/>
                <w:sz w:val="16"/>
              </w:rPr>
            </w:pPr>
            <w:r w:rsidRPr="00C1257F">
              <w:rPr>
                <w:rFonts w:eastAsia="Calibri" w:cs="Times New Roman"/>
                <w:b/>
                <w:sz w:val="18"/>
              </w:rPr>
              <w:t xml:space="preserve">Vláda SR </w:t>
            </w:r>
            <w:r>
              <w:rPr>
                <w:rFonts w:cs="Times New Roman"/>
                <w:b/>
                <w:sz w:val="18"/>
              </w:rPr>
              <w:t>následne</w:t>
            </w:r>
            <w:r w:rsidRPr="00C1257F">
              <w:rPr>
                <w:rFonts w:eastAsia="Calibri" w:cs="Times New Roman"/>
                <w:b/>
                <w:sz w:val="18"/>
              </w:rPr>
              <w:t xml:space="preserve"> pristúpila k</w:t>
            </w:r>
            <w:r w:rsidRPr="00C1257F">
              <w:rPr>
                <w:rFonts w:cs="Times New Roman"/>
                <w:b/>
                <w:sz w:val="18"/>
              </w:rPr>
              <w:t> </w:t>
            </w:r>
            <w:r w:rsidRPr="00C1257F">
              <w:rPr>
                <w:rFonts w:eastAsia="Calibri" w:cs="Times New Roman"/>
                <w:b/>
                <w:sz w:val="18"/>
              </w:rPr>
              <w:t xml:space="preserve">zmene postupu. Uznesením č. 385 z 3. </w:t>
            </w:r>
            <w:r w:rsidR="004F286A">
              <w:rPr>
                <w:rFonts w:eastAsia="Calibri" w:cs="Times New Roman"/>
                <w:b/>
                <w:sz w:val="18"/>
              </w:rPr>
              <w:t>7.</w:t>
            </w:r>
            <w:r w:rsidRPr="00C1257F">
              <w:rPr>
                <w:rFonts w:eastAsia="Calibri" w:cs="Times New Roman"/>
                <w:b/>
                <w:sz w:val="18"/>
              </w:rPr>
              <w:t xml:space="preserve"> 2024 zrušila pôvodné úlohy B.4 a B.5 ako právne nevykonateľné a</w:t>
            </w:r>
            <w:r w:rsidRPr="00C1257F">
              <w:rPr>
                <w:rFonts w:cs="Times New Roman"/>
                <w:b/>
                <w:sz w:val="18"/>
              </w:rPr>
              <w:t> </w:t>
            </w:r>
            <w:r w:rsidRPr="00C1257F">
              <w:rPr>
                <w:rFonts w:eastAsia="Calibri" w:cs="Times New Roman"/>
                <w:b/>
                <w:sz w:val="18"/>
              </w:rPr>
              <w:t>upravila aj znenie bodu A.2 tak, aby sa odstránila zmienka o</w:t>
            </w:r>
            <w:r w:rsidRPr="00C1257F">
              <w:rPr>
                <w:rFonts w:cs="Times New Roman"/>
                <w:b/>
                <w:sz w:val="18"/>
              </w:rPr>
              <w:t> </w:t>
            </w:r>
            <w:r w:rsidRPr="00C1257F">
              <w:rPr>
                <w:rFonts w:eastAsia="Calibri" w:cs="Times New Roman"/>
                <w:b/>
                <w:sz w:val="18"/>
              </w:rPr>
              <w:t>dočasnosti a</w:t>
            </w:r>
            <w:r w:rsidRPr="00C1257F">
              <w:rPr>
                <w:rFonts w:cs="Times New Roman"/>
                <w:b/>
                <w:sz w:val="18"/>
              </w:rPr>
              <w:t> </w:t>
            </w:r>
            <w:r w:rsidRPr="00C1257F">
              <w:rPr>
                <w:rFonts w:eastAsia="Calibri" w:cs="Times New Roman"/>
                <w:b/>
                <w:sz w:val="18"/>
              </w:rPr>
              <w:t>úročení vkladu.</w:t>
            </w:r>
            <w:r w:rsidRPr="00C54882">
              <w:rPr>
                <w:rFonts w:eastAsia="Calibri" w:cs="Times New Roman"/>
                <w:sz w:val="18"/>
              </w:rPr>
              <w:t xml:space="preserve"> Materiál bol konzultovaný s</w:t>
            </w:r>
            <w:r>
              <w:rPr>
                <w:rFonts w:cs="Times New Roman"/>
                <w:sz w:val="18"/>
              </w:rPr>
              <w:t> MF</w:t>
            </w:r>
            <w:r w:rsidRPr="00C54882">
              <w:rPr>
                <w:rFonts w:eastAsia="Calibri" w:cs="Times New Roman"/>
                <w:sz w:val="18"/>
              </w:rPr>
              <w:t xml:space="preserve"> SR, ktorého odporúčania boli zapracované do návrhu uznesenia.</w:t>
            </w:r>
            <w:r>
              <w:rPr>
                <w:rFonts w:cs="Times New Roman"/>
                <w:sz w:val="18"/>
              </w:rPr>
              <w:t xml:space="preserve"> </w:t>
            </w:r>
            <w:r w:rsidRPr="00C54882">
              <w:rPr>
                <w:rFonts w:eastAsia="Calibri" w:cs="Times New Roman"/>
                <w:sz w:val="18"/>
              </w:rPr>
              <w:t>V</w:t>
            </w:r>
            <w:r>
              <w:rPr>
                <w:rFonts w:cs="Times New Roman"/>
                <w:sz w:val="18"/>
              </w:rPr>
              <w:t> </w:t>
            </w:r>
            <w:r w:rsidRPr="00C54882">
              <w:rPr>
                <w:rFonts w:eastAsia="Calibri" w:cs="Times New Roman"/>
                <w:sz w:val="18"/>
              </w:rPr>
              <w:t>súlade s</w:t>
            </w:r>
            <w:r>
              <w:rPr>
                <w:rFonts w:cs="Times New Roman"/>
                <w:sz w:val="18"/>
              </w:rPr>
              <w:t> </w:t>
            </w:r>
            <w:r w:rsidRPr="00C54882">
              <w:rPr>
                <w:rFonts w:eastAsia="Calibri" w:cs="Times New Roman"/>
                <w:sz w:val="18"/>
              </w:rPr>
              <w:t xml:space="preserve">týmto uznesením prijal jediný akcionár SPP 10. </w:t>
            </w:r>
            <w:r w:rsidR="004F286A">
              <w:rPr>
                <w:rFonts w:eastAsia="Calibri" w:cs="Times New Roman"/>
                <w:sz w:val="18"/>
              </w:rPr>
              <w:t>9.</w:t>
            </w:r>
            <w:r w:rsidRPr="00C54882">
              <w:rPr>
                <w:rFonts w:eastAsia="Calibri" w:cs="Times New Roman"/>
                <w:sz w:val="18"/>
              </w:rPr>
              <w:t xml:space="preserve"> 2024 rozhodnutie o vyplatení prvej časti kapitálového fondu vo výške 80 mil. eur, ktoré bolo zverejnené v</w:t>
            </w:r>
            <w:r>
              <w:rPr>
                <w:rFonts w:cs="Times New Roman"/>
                <w:sz w:val="18"/>
              </w:rPr>
              <w:t> </w:t>
            </w:r>
            <w:r w:rsidRPr="00C54882">
              <w:rPr>
                <w:rFonts w:eastAsia="Calibri" w:cs="Times New Roman"/>
                <w:sz w:val="18"/>
              </w:rPr>
              <w:t>Obchodnom vestníku a</w:t>
            </w:r>
            <w:r>
              <w:rPr>
                <w:rFonts w:cs="Times New Roman"/>
                <w:sz w:val="18"/>
              </w:rPr>
              <w:t> </w:t>
            </w:r>
            <w:r w:rsidRPr="00C54882">
              <w:rPr>
                <w:rFonts w:eastAsia="Calibri" w:cs="Times New Roman"/>
                <w:sz w:val="18"/>
              </w:rPr>
              <w:t>suma už bola vyplatená štátu</w:t>
            </w:r>
            <w:r>
              <w:rPr>
                <w:rFonts w:cs="Times New Roman"/>
                <w:sz w:val="18"/>
              </w:rPr>
              <w:t xml:space="preserve"> (do VPS)</w:t>
            </w:r>
            <w:r w:rsidRPr="00C54882">
              <w:rPr>
                <w:rFonts w:eastAsia="Calibri" w:cs="Times New Roman"/>
                <w:sz w:val="18"/>
              </w:rPr>
              <w:t xml:space="preserve">. V nasledujúcich rokoch budú realizované tri </w:t>
            </w:r>
            <w:proofErr w:type="spellStart"/>
            <w:r w:rsidRPr="00C54882">
              <w:rPr>
                <w:rFonts w:eastAsia="Calibri" w:cs="Times New Roman"/>
                <w:sz w:val="18"/>
              </w:rPr>
              <w:t>tranže</w:t>
            </w:r>
            <w:proofErr w:type="spellEnd"/>
            <w:r w:rsidRPr="00C54882">
              <w:rPr>
                <w:rFonts w:eastAsia="Calibri" w:cs="Times New Roman"/>
                <w:sz w:val="18"/>
              </w:rPr>
              <w:t xml:space="preserve"> po 140 mil. eur, vždy do konca roka 2025, 2026 a</w:t>
            </w:r>
            <w:r>
              <w:rPr>
                <w:rFonts w:cs="Times New Roman"/>
                <w:sz w:val="18"/>
              </w:rPr>
              <w:t> </w:t>
            </w:r>
            <w:r w:rsidRPr="00C54882">
              <w:rPr>
                <w:rFonts w:eastAsia="Calibri" w:cs="Times New Roman"/>
                <w:sz w:val="18"/>
              </w:rPr>
              <w:t>2027. Posledná výplata z</w:t>
            </w:r>
            <w:r>
              <w:rPr>
                <w:rFonts w:cs="Times New Roman"/>
                <w:sz w:val="18"/>
              </w:rPr>
              <w:t> </w:t>
            </w:r>
            <w:r w:rsidRPr="00C54882">
              <w:rPr>
                <w:rFonts w:eastAsia="Calibri" w:cs="Times New Roman"/>
                <w:sz w:val="18"/>
              </w:rPr>
              <w:t xml:space="preserve">kapitálového fondu má byť realizovaná najneskôr do 31. </w:t>
            </w:r>
            <w:r w:rsidR="004F286A">
              <w:rPr>
                <w:rFonts w:eastAsia="Calibri" w:cs="Times New Roman"/>
                <w:sz w:val="18"/>
              </w:rPr>
              <w:t>12.</w:t>
            </w:r>
            <w:r w:rsidRPr="00C54882">
              <w:rPr>
                <w:rFonts w:eastAsia="Calibri" w:cs="Times New Roman"/>
                <w:sz w:val="18"/>
              </w:rPr>
              <w:t xml:space="preserve"> 2028.</w:t>
            </w:r>
            <w:r>
              <w:rPr>
                <w:rFonts w:cs="Times New Roman"/>
                <w:sz w:val="18"/>
              </w:rPr>
              <w:t xml:space="preserve"> </w:t>
            </w:r>
            <w:r w:rsidRPr="00C54882">
              <w:rPr>
                <w:rFonts w:eastAsia="Calibri" w:cs="Times New Roman"/>
                <w:sz w:val="18"/>
              </w:rPr>
              <w:t>Prijatý postup bol nastavený tak, aby zároveň umožnil zachovať príjmy z dividend, ktoré sú predpokladané v</w:t>
            </w:r>
            <w:r>
              <w:rPr>
                <w:rFonts w:cs="Times New Roman"/>
                <w:sz w:val="18"/>
              </w:rPr>
              <w:t> </w:t>
            </w:r>
            <w:r w:rsidRPr="00C54882">
              <w:rPr>
                <w:rFonts w:eastAsia="Calibri" w:cs="Times New Roman"/>
                <w:sz w:val="18"/>
              </w:rPr>
              <w:t>rozp</w:t>
            </w:r>
            <w:r>
              <w:rPr>
                <w:rFonts w:cs="Times New Roman"/>
                <w:sz w:val="18"/>
              </w:rPr>
              <w:t>očte na roky 2024 až 2028</w:t>
            </w:r>
            <w:r w:rsidRPr="00C54882">
              <w:rPr>
                <w:rFonts w:eastAsia="Calibri" w:cs="Times New Roman"/>
                <w:sz w:val="18"/>
              </w:rPr>
              <w:t>.</w:t>
            </w:r>
            <w:r>
              <w:rPr>
                <w:rFonts w:cs="Times New Roman"/>
                <w:sz w:val="18"/>
              </w:rPr>
              <w:t xml:space="preserve"> </w:t>
            </w:r>
          </w:p>
        </w:tc>
      </w:tr>
    </w:tbl>
    <w:p w14:paraId="62A2CBEE" w14:textId="77777777" w:rsidR="006362C1" w:rsidRDefault="006362C1" w:rsidP="006362C1"/>
    <w:p w14:paraId="4FF106DA" w14:textId="77777777" w:rsidR="006362C1" w:rsidRPr="006362C1" w:rsidRDefault="006362C1" w:rsidP="006362C1"/>
    <w:p w14:paraId="50576A04" w14:textId="276A097D" w:rsidR="00946B24" w:rsidRDefault="00946B24" w:rsidP="00946B24">
      <w:pPr>
        <w:pStyle w:val="Nadpis1"/>
      </w:pPr>
      <w:bookmarkStart w:id="30" w:name="_Toc198637726"/>
      <w:r>
        <w:lastRenderedPageBreak/>
        <w:t>Vzťah štátneho rozpočtu k</w:t>
      </w:r>
      <w:r w:rsidR="001278BD">
        <w:t> </w:t>
      </w:r>
      <w:r>
        <w:t>E</w:t>
      </w:r>
      <w:r w:rsidR="001278BD">
        <w:t>urópskej únii</w:t>
      </w:r>
      <w:bookmarkEnd w:id="30"/>
    </w:p>
    <w:p w14:paraId="23DFD061" w14:textId="175608EE" w:rsidR="00787261" w:rsidRDefault="00B230DB" w:rsidP="00787261">
      <w:pPr>
        <w:rPr>
          <w:rFonts w:cs="Segoe UI"/>
        </w:rPr>
      </w:pPr>
      <w:r>
        <w:rPr>
          <w:rFonts w:eastAsia="Calibri" w:cs="Segoe UI"/>
          <w:b/>
        </w:rPr>
        <w:t>Slovensko je o</w:t>
      </w:r>
      <w:r w:rsidRPr="00CD4EE0">
        <w:rPr>
          <w:rFonts w:eastAsia="Calibri" w:cs="Segoe UI"/>
          <w:b/>
        </w:rPr>
        <w:t>d vstupu do EÚ</w:t>
      </w:r>
      <w:r>
        <w:rPr>
          <w:rFonts w:eastAsia="Calibri" w:cs="Segoe UI"/>
          <w:b/>
        </w:rPr>
        <w:t xml:space="preserve"> </w:t>
      </w:r>
      <w:r w:rsidRPr="00CD4EE0">
        <w:rPr>
          <w:rFonts w:eastAsia="Calibri" w:cs="Segoe UI"/>
          <w:b/>
        </w:rPr>
        <w:t>každoročne čist</w:t>
      </w:r>
      <w:r w:rsidR="00A12C57">
        <w:rPr>
          <w:rFonts w:eastAsia="Calibri" w:cs="Segoe UI"/>
          <w:b/>
        </w:rPr>
        <w:t>ým prijímateľom</w:t>
      </w:r>
      <w:r w:rsidRPr="007D3345">
        <w:rPr>
          <w:rFonts w:eastAsia="Calibri" w:cs="Segoe UI"/>
          <w:b/>
        </w:rPr>
        <w:t>, pričom v minulom roku dosiahlo tretie najvyššie príjmy z rozpočtu EÚ</w:t>
      </w:r>
      <w:r w:rsidR="00A12C57">
        <w:rPr>
          <w:rFonts w:eastAsia="Calibri" w:cs="Segoe UI"/>
          <w:b/>
        </w:rPr>
        <w:t xml:space="preserve"> za celú dobu ich čerpania</w:t>
      </w:r>
      <w:r w:rsidR="007848CA">
        <w:rPr>
          <w:rFonts w:eastAsia="Calibri" w:cs="Segoe UI"/>
          <w:b/>
        </w:rPr>
        <w:t xml:space="preserve"> </w:t>
      </w:r>
      <w:r w:rsidR="007848CA">
        <w:rPr>
          <w:rFonts w:eastAsia="Calibri" w:cs="Segoe UI"/>
        </w:rPr>
        <w:t>(graf 17)</w:t>
      </w:r>
      <w:r w:rsidRPr="007D3345">
        <w:rPr>
          <w:rFonts w:eastAsia="Calibri" w:cs="Segoe UI"/>
          <w:b/>
        </w:rPr>
        <w:t xml:space="preserve">. </w:t>
      </w:r>
      <w:r w:rsidR="00787261" w:rsidRPr="00787261">
        <w:rPr>
          <w:rFonts w:eastAsia="Calibri" w:cs="Segoe UI"/>
        </w:rPr>
        <w:t>V</w:t>
      </w:r>
      <w:r w:rsidR="00787261" w:rsidRPr="0042020D">
        <w:rPr>
          <w:rFonts w:cs="Segoe UI"/>
        </w:rPr>
        <w:t xml:space="preserve"> rok</w:t>
      </w:r>
      <w:r w:rsidR="00787261">
        <w:rPr>
          <w:rFonts w:cs="Segoe UI"/>
        </w:rPr>
        <w:t>u</w:t>
      </w:r>
      <w:r w:rsidR="00787261" w:rsidRPr="0042020D">
        <w:rPr>
          <w:rFonts w:cs="Segoe UI"/>
        </w:rPr>
        <w:t xml:space="preserve"> 2024</w:t>
      </w:r>
      <w:r w:rsidR="008C3BFA">
        <w:rPr>
          <w:rFonts w:cs="Segoe UI"/>
        </w:rPr>
        <w:t xml:space="preserve"> prijalo Slovensko z EÚ</w:t>
      </w:r>
      <w:r w:rsidR="00787261" w:rsidRPr="0042020D">
        <w:rPr>
          <w:rFonts w:cs="Segoe UI"/>
        </w:rPr>
        <w:t xml:space="preserve"> </w:t>
      </w:r>
      <w:r w:rsidR="00A12C57" w:rsidRPr="0042020D">
        <w:rPr>
          <w:rFonts w:cs="Segoe UI"/>
        </w:rPr>
        <w:t>pr</w:t>
      </w:r>
      <w:r w:rsidR="005812E5">
        <w:rPr>
          <w:rFonts w:cs="Segoe UI"/>
        </w:rPr>
        <w:t>ostriedky</w:t>
      </w:r>
      <w:r w:rsidR="00A12C57" w:rsidRPr="0042020D">
        <w:rPr>
          <w:rFonts w:cs="Segoe UI"/>
        </w:rPr>
        <w:t xml:space="preserve"> </w:t>
      </w:r>
      <w:r w:rsidR="008C3BFA">
        <w:rPr>
          <w:rFonts w:cs="Segoe UI"/>
        </w:rPr>
        <w:t>v objeme</w:t>
      </w:r>
      <w:r w:rsidR="00A12C57" w:rsidRPr="0042020D">
        <w:rPr>
          <w:rFonts w:cs="Segoe UI"/>
        </w:rPr>
        <w:t xml:space="preserve"> </w:t>
      </w:r>
      <w:r w:rsidR="00A12C57">
        <w:rPr>
          <w:rFonts w:cs="Segoe UI"/>
        </w:rPr>
        <w:t xml:space="preserve">4,1 </w:t>
      </w:r>
      <w:r w:rsidR="00A12C57" w:rsidRPr="0042020D">
        <w:rPr>
          <w:rFonts w:cs="Segoe UI"/>
        </w:rPr>
        <w:t>mld. eur</w:t>
      </w:r>
      <w:r w:rsidR="002413C8">
        <w:rPr>
          <w:rFonts w:cs="Segoe UI"/>
        </w:rPr>
        <w:t xml:space="preserve">, z toho </w:t>
      </w:r>
      <w:r w:rsidR="005812E5">
        <w:rPr>
          <w:rFonts w:cs="Segoe UI"/>
        </w:rPr>
        <w:t>0,9 mld</w:t>
      </w:r>
      <w:r w:rsidR="005812E5" w:rsidRPr="005812E5">
        <w:rPr>
          <w:rFonts w:cs="Segoe UI"/>
        </w:rPr>
        <w:t>.</w:t>
      </w:r>
      <w:r w:rsidR="002413C8" w:rsidRPr="005812E5">
        <w:rPr>
          <w:rFonts w:cs="Segoe UI"/>
        </w:rPr>
        <w:t xml:space="preserve"> eur</w:t>
      </w:r>
      <w:r w:rsidR="002413C8">
        <w:rPr>
          <w:rFonts w:cs="Segoe UI"/>
        </w:rPr>
        <w:t xml:space="preserve"> </w:t>
      </w:r>
      <w:r w:rsidR="005812E5">
        <w:rPr>
          <w:rFonts w:cs="Segoe UI"/>
        </w:rPr>
        <w:t xml:space="preserve">bolo </w:t>
      </w:r>
      <w:r w:rsidR="002413C8">
        <w:rPr>
          <w:rFonts w:cs="Segoe UI"/>
        </w:rPr>
        <w:t xml:space="preserve">z </w:t>
      </w:r>
      <w:r w:rsidR="00A12C57">
        <w:rPr>
          <w:rFonts w:cs="Segoe UI"/>
        </w:rPr>
        <w:t>POO</w:t>
      </w:r>
      <w:r w:rsidR="008C3BFA">
        <w:rPr>
          <w:rFonts w:cs="Segoe UI"/>
        </w:rPr>
        <w:t>.</w:t>
      </w:r>
      <w:r w:rsidR="00A12C57">
        <w:rPr>
          <w:rFonts w:cs="Segoe UI"/>
        </w:rPr>
        <w:t xml:space="preserve"> </w:t>
      </w:r>
      <w:r w:rsidR="008C3BFA">
        <w:rPr>
          <w:rFonts w:cs="Segoe UI"/>
        </w:rPr>
        <w:t>P</w:t>
      </w:r>
      <w:r w:rsidR="00787261" w:rsidRPr="0042020D">
        <w:rPr>
          <w:rFonts w:cs="Segoe UI"/>
        </w:rPr>
        <w:t>o odrátaní odvod</w:t>
      </w:r>
      <w:r w:rsidR="00F50BED">
        <w:rPr>
          <w:rFonts w:cs="Segoe UI"/>
        </w:rPr>
        <w:t>ov a príspevkov</w:t>
      </w:r>
      <w:r w:rsidR="00787261" w:rsidRPr="0042020D">
        <w:rPr>
          <w:rFonts w:cs="Segoe UI"/>
        </w:rPr>
        <w:t xml:space="preserve"> do </w:t>
      </w:r>
      <w:r w:rsidR="00F50BED">
        <w:rPr>
          <w:rFonts w:cs="Segoe UI"/>
        </w:rPr>
        <w:t xml:space="preserve">rozpočtu </w:t>
      </w:r>
      <w:r w:rsidR="00787261" w:rsidRPr="0042020D">
        <w:rPr>
          <w:rFonts w:cs="Segoe UI"/>
        </w:rPr>
        <w:t xml:space="preserve">EÚ vo výške </w:t>
      </w:r>
      <w:r w:rsidR="00787261">
        <w:rPr>
          <w:rFonts w:cs="Segoe UI"/>
        </w:rPr>
        <w:t>941,7</w:t>
      </w:r>
      <w:r w:rsidR="00787261" w:rsidRPr="0042020D">
        <w:rPr>
          <w:rFonts w:cs="Segoe UI"/>
        </w:rPr>
        <w:t xml:space="preserve"> mil.</w:t>
      </w:r>
      <w:r w:rsidR="00A12C57">
        <w:rPr>
          <w:rFonts w:cs="Segoe UI"/>
        </w:rPr>
        <w:t xml:space="preserve"> eur sa to</w:t>
      </w:r>
      <w:r w:rsidR="00787261">
        <w:rPr>
          <w:rFonts w:cs="Segoe UI"/>
        </w:rPr>
        <w:t xml:space="preserve"> premietlo do </w:t>
      </w:r>
      <w:r w:rsidR="007848CA">
        <w:rPr>
          <w:rFonts w:cs="Segoe UI"/>
        </w:rPr>
        <w:t>prebytku</w:t>
      </w:r>
      <w:r w:rsidR="00787261" w:rsidRPr="0042020D">
        <w:rPr>
          <w:rFonts w:cs="Segoe UI"/>
        </w:rPr>
        <w:t xml:space="preserve"> </w:t>
      </w:r>
      <w:r w:rsidR="00787261">
        <w:rPr>
          <w:rFonts w:cs="Segoe UI"/>
        </w:rPr>
        <w:t>3,2 mld.</w:t>
      </w:r>
      <w:r w:rsidR="00787261" w:rsidRPr="0042020D">
        <w:rPr>
          <w:rFonts w:cs="Segoe UI"/>
        </w:rPr>
        <w:t xml:space="preserve"> eur.</w:t>
      </w:r>
    </w:p>
    <w:p w14:paraId="2DC0FF7D" w14:textId="046ACC89" w:rsidR="00B230DB" w:rsidRPr="00CC5BFB" w:rsidRDefault="00B230DB" w:rsidP="00B230DB">
      <w:pPr>
        <w:keepNext/>
        <w:spacing w:after="0" w:line="240" w:lineRule="auto"/>
        <w:rPr>
          <w:b/>
          <w:iCs/>
          <w:color w:val="314364"/>
          <w:szCs w:val="18"/>
        </w:rPr>
      </w:pPr>
      <w:r w:rsidRPr="00630F3B">
        <w:rPr>
          <w:b/>
          <w:iCs/>
          <w:color w:val="314364"/>
          <w:szCs w:val="18"/>
        </w:rPr>
        <w:t xml:space="preserve">Graf </w:t>
      </w:r>
      <w:r w:rsidRPr="001F619C">
        <w:rPr>
          <w:b/>
          <w:iCs/>
          <w:color w:val="314364"/>
          <w:szCs w:val="18"/>
        </w:rPr>
        <w:t>1</w:t>
      </w:r>
      <w:r w:rsidR="007848CA">
        <w:rPr>
          <w:b/>
          <w:iCs/>
          <w:color w:val="314364"/>
          <w:szCs w:val="18"/>
        </w:rPr>
        <w:t>7</w:t>
      </w:r>
      <w:r w:rsidRPr="001F619C">
        <w:rPr>
          <w:b/>
          <w:iCs/>
          <w:color w:val="314364"/>
          <w:szCs w:val="18"/>
        </w:rPr>
        <w:t>: Vývoj</w:t>
      </w:r>
      <w:r>
        <w:rPr>
          <w:b/>
          <w:iCs/>
          <w:color w:val="314364"/>
          <w:szCs w:val="18"/>
        </w:rPr>
        <w:t xml:space="preserve"> čistej finančnej pozície SR v rokoch 2004 – 2024 (v mil. eur)</w:t>
      </w:r>
    </w:p>
    <w:tbl>
      <w:tblPr>
        <w:tblStyle w:val="Mriekatabuky10"/>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125"/>
      </w:tblGrid>
      <w:tr w:rsidR="00B230DB" w:rsidRPr="00CC5BFB" w14:paraId="4EC0E033" w14:textId="77777777" w:rsidTr="009F3DD9">
        <w:trPr>
          <w:trHeight w:val="3402"/>
        </w:trPr>
        <w:tc>
          <w:tcPr>
            <w:tcW w:w="9072" w:type="dxa"/>
            <w:tcBorders>
              <w:top w:val="single" w:sz="4" w:space="0" w:color="314364"/>
              <w:bottom w:val="single" w:sz="4" w:space="0" w:color="314364"/>
            </w:tcBorders>
            <w:vAlign w:val="center"/>
          </w:tcPr>
          <w:p w14:paraId="60163374" w14:textId="77777777" w:rsidR="00B230DB" w:rsidRPr="00CC5BFB" w:rsidRDefault="00B230DB" w:rsidP="009F3DD9">
            <w:pPr>
              <w:spacing w:after="0"/>
              <w:rPr>
                <w:b/>
                <w:color w:val="576431"/>
              </w:rPr>
            </w:pPr>
            <w:r>
              <w:rPr>
                <w:noProof/>
                <w:lang w:eastAsia="sk-SK"/>
              </w:rPr>
              <w:drawing>
                <wp:inline distT="0" distB="0" distL="0" distR="0" wp14:anchorId="5AAB444E" wp14:editId="77685194">
                  <wp:extent cx="5705475" cy="2143125"/>
                  <wp:effectExtent l="0" t="0" r="0" b="0"/>
                  <wp:docPr id="54" name="Graf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bl>
    <w:p w14:paraId="5865F66B" w14:textId="1957E618" w:rsidR="00B230DB" w:rsidRPr="00CC5BFB" w:rsidRDefault="00B230DB" w:rsidP="00B230DB">
      <w:pPr>
        <w:spacing w:line="240" w:lineRule="auto"/>
        <w:jc w:val="left"/>
        <w:rPr>
          <w:i/>
          <w:color w:val="314364" w:themeColor="text2"/>
          <w:sz w:val="16"/>
        </w:rPr>
      </w:pPr>
      <w:r w:rsidRPr="00CC5BFB">
        <w:rPr>
          <w:i/>
          <w:color w:val="314364" w:themeColor="text2"/>
          <w:sz w:val="16"/>
        </w:rPr>
        <w:t xml:space="preserve">Zdroj: </w:t>
      </w:r>
      <w:r w:rsidR="004755C5">
        <w:rPr>
          <w:i/>
          <w:color w:val="314364" w:themeColor="text2"/>
          <w:sz w:val="16"/>
        </w:rPr>
        <w:t>Návrh ŠZÚ SR 2024.</w:t>
      </w:r>
    </w:p>
    <w:p w14:paraId="7F10AE07" w14:textId="53AB3501" w:rsidR="00245469" w:rsidRPr="0042020D" w:rsidRDefault="001278BD" w:rsidP="00245469">
      <w:pPr>
        <w:rPr>
          <w:rFonts w:cs="Segoe UI"/>
        </w:rPr>
      </w:pPr>
      <w:r w:rsidRPr="0042020D">
        <w:rPr>
          <w:rFonts w:cs="Segoe UI"/>
          <w:b/>
        </w:rPr>
        <w:t xml:space="preserve">SR získala od </w:t>
      </w:r>
      <w:r>
        <w:rPr>
          <w:rFonts w:cs="Segoe UI"/>
          <w:b/>
        </w:rPr>
        <w:t xml:space="preserve">svojho </w:t>
      </w:r>
      <w:r w:rsidRPr="0042020D">
        <w:rPr>
          <w:rFonts w:cs="Segoe UI"/>
          <w:b/>
        </w:rPr>
        <w:t xml:space="preserve">vstupu do EÚ, odkedy uplynulo </w:t>
      </w:r>
      <w:r w:rsidR="007848CA">
        <w:rPr>
          <w:rFonts w:cs="Segoe UI"/>
          <w:b/>
        </w:rPr>
        <w:t xml:space="preserve">v roku </w:t>
      </w:r>
      <w:r w:rsidRPr="0042020D">
        <w:rPr>
          <w:rFonts w:cs="Segoe UI"/>
          <w:b/>
        </w:rPr>
        <w:t>202</w:t>
      </w:r>
      <w:r w:rsidR="007848CA">
        <w:rPr>
          <w:rFonts w:cs="Segoe UI"/>
          <w:b/>
        </w:rPr>
        <w:t>4</w:t>
      </w:r>
      <w:r w:rsidRPr="0042020D">
        <w:rPr>
          <w:rFonts w:cs="Segoe UI"/>
          <w:b/>
        </w:rPr>
        <w:t xml:space="preserve"> už 2</w:t>
      </w:r>
      <w:r w:rsidR="007848CA">
        <w:rPr>
          <w:rFonts w:cs="Segoe UI"/>
          <w:b/>
        </w:rPr>
        <w:t>0</w:t>
      </w:r>
      <w:r w:rsidRPr="0042020D">
        <w:rPr>
          <w:rFonts w:cs="Segoe UI"/>
          <w:b/>
        </w:rPr>
        <w:t xml:space="preserve"> rokov, 2</w:t>
      </w:r>
      <w:r>
        <w:rPr>
          <w:rFonts w:cs="Segoe UI"/>
          <w:b/>
        </w:rPr>
        <w:t>5,6</w:t>
      </w:r>
      <w:r w:rsidRPr="0042020D">
        <w:rPr>
          <w:rFonts w:cs="Segoe UI"/>
          <w:b/>
        </w:rPr>
        <w:t xml:space="preserve"> mld. eur</w:t>
      </w:r>
      <w:r>
        <w:rPr>
          <w:rFonts w:cs="Segoe UI"/>
          <w:b/>
        </w:rPr>
        <w:t>.</w:t>
      </w:r>
      <w:r w:rsidRPr="0042020D">
        <w:rPr>
          <w:rFonts w:cs="Segoe UI"/>
        </w:rPr>
        <w:t xml:space="preserve"> V tomto období bola SR čistým prijímateľom fondov </w:t>
      </w:r>
      <w:r>
        <w:rPr>
          <w:rFonts w:cs="Segoe UI"/>
        </w:rPr>
        <w:t xml:space="preserve">EÚ </w:t>
      </w:r>
      <w:r w:rsidRPr="0042020D">
        <w:rPr>
          <w:rFonts w:cs="Segoe UI"/>
        </w:rPr>
        <w:t xml:space="preserve">a ročne </w:t>
      </w:r>
      <w:r>
        <w:rPr>
          <w:rFonts w:cs="Segoe UI"/>
        </w:rPr>
        <w:t>jej</w:t>
      </w:r>
      <w:r w:rsidRPr="0042020D">
        <w:rPr>
          <w:rFonts w:cs="Segoe UI"/>
        </w:rPr>
        <w:t xml:space="preserve"> členstvo v EÚ prispelo</w:t>
      </w:r>
      <w:r w:rsidRPr="009F219F">
        <w:rPr>
          <w:rFonts w:cs="Segoe UI"/>
        </w:rPr>
        <w:t xml:space="preserve"> </w:t>
      </w:r>
      <w:r w:rsidRPr="0042020D">
        <w:rPr>
          <w:rFonts w:cs="Segoe UI"/>
        </w:rPr>
        <w:t>v priemere vo výške 1,1 % HDP</w:t>
      </w:r>
      <w:r w:rsidR="00404F76">
        <w:rPr>
          <w:rFonts w:cs="Segoe UI"/>
        </w:rPr>
        <w:t>.</w:t>
      </w:r>
      <w:r w:rsidRPr="009F219F">
        <w:rPr>
          <w:rStyle w:val="Odkaznapoznmkupodiarou"/>
          <w:rFonts w:cs="Segoe UI"/>
        </w:rPr>
        <w:footnoteReference w:id="7"/>
      </w:r>
      <w:r w:rsidR="00245469" w:rsidRPr="00245469">
        <w:rPr>
          <w:rFonts w:cs="Segoe UI"/>
        </w:rPr>
        <w:t xml:space="preserve"> </w:t>
      </w:r>
      <w:r w:rsidR="00245469">
        <w:rPr>
          <w:rFonts w:cs="Segoe UI"/>
        </w:rPr>
        <w:t>Ďalšou veľkou výhodou členstva v EÚ je pridaná hodnota, ktorá vzniká z medzinárodného obchodu. Pre SR je voľný pohyb ľudí, tovarov a služieb dôležitý najmä z dôvodu, že ekonomika SR je veľmi otvorená, čo dokazuje aj vysoký podiel medzinárodného obchodu na HDP. Celkový hrubý export SR dosiahol takmer 107 mld. eur v roku 2024, z ktorého 77,8 % smerovalo do EÚ a 22,2 % do zvyšku sveta.</w:t>
      </w:r>
    </w:p>
    <w:p w14:paraId="2EA883C7" w14:textId="448C6EBB" w:rsidR="004F0CD5" w:rsidRPr="00F50BED" w:rsidRDefault="004F0CD5" w:rsidP="004F0CD5">
      <w:pPr>
        <w:rPr>
          <w:rFonts w:eastAsia="Calibri" w:cs="Segoe UI"/>
        </w:rPr>
      </w:pPr>
      <w:r w:rsidRPr="008A05BC">
        <w:rPr>
          <w:rFonts w:eastAsia="Calibri" w:cs="Segoe UI"/>
          <w:b/>
        </w:rPr>
        <w:t xml:space="preserve">NKÚ SR </w:t>
      </w:r>
      <w:r>
        <w:rPr>
          <w:rFonts w:eastAsia="Calibri" w:cs="Segoe UI"/>
          <w:b/>
        </w:rPr>
        <w:t xml:space="preserve">dlhodobo </w:t>
      </w:r>
      <w:r w:rsidRPr="008A05BC">
        <w:rPr>
          <w:rFonts w:eastAsia="Calibri" w:cs="Segoe UI"/>
          <w:b/>
        </w:rPr>
        <w:t>upozorňuje, že</w:t>
      </w:r>
      <w:r>
        <w:rPr>
          <w:rFonts w:eastAsia="Calibri" w:cs="Segoe UI"/>
          <w:b/>
        </w:rPr>
        <w:t xml:space="preserve"> SR nedokáže naplno využívať potenciál</w:t>
      </w:r>
      <w:r w:rsidRPr="008A05BC">
        <w:rPr>
          <w:rFonts w:eastAsia="Calibri" w:cs="Segoe UI"/>
          <w:b/>
        </w:rPr>
        <w:t xml:space="preserve"> prostriedk</w:t>
      </w:r>
      <w:r>
        <w:rPr>
          <w:rFonts w:eastAsia="Calibri" w:cs="Segoe UI"/>
          <w:b/>
        </w:rPr>
        <w:t>ov</w:t>
      </w:r>
      <w:r w:rsidRPr="008A05BC">
        <w:rPr>
          <w:rFonts w:eastAsia="Calibri" w:cs="Segoe UI"/>
          <w:b/>
        </w:rPr>
        <w:t xml:space="preserve"> </w:t>
      </w:r>
      <w:r>
        <w:rPr>
          <w:rFonts w:eastAsia="Calibri" w:cs="Segoe UI"/>
          <w:b/>
        </w:rPr>
        <w:t>EÚ</w:t>
      </w:r>
      <w:r w:rsidR="00A45DBA">
        <w:rPr>
          <w:rFonts w:eastAsia="Calibri" w:cs="Segoe UI"/>
          <w:b/>
        </w:rPr>
        <w:t>,</w:t>
      </w:r>
      <w:r>
        <w:rPr>
          <w:rFonts w:eastAsia="Calibri" w:cs="Segoe UI"/>
          <w:b/>
        </w:rPr>
        <w:t xml:space="preserve"> </w:t>
      </w:r>
      <w:r w:rsidRPr="008A05BC">
        <w:rPr>
          <w:rFonts w:eastAsia="Calibri" w:cs="Segoe UI"/>
          <w:b/>
        </w:rPr>
        <w:t>prijat</w:t>
      </w:r>
      <w:r>
        <w:rPr>
          <w:rFonts w:eastAsia="Calibri" w:cs="Segoe UI"/>
          <w:b/>
        </w:rPr>
        <w:t>ých</w:t>
      </w:r>
      <w:r w:rsidRPr="008A05BC">
        <w:rPr>
          <w:rFonts w:eastAsia="Calibri" w:cs="Segoe UI"/>
          <w:b/>
        </w:rPr>
        <w:t xml:space="preserve"> vo forme nenávratnej pomoci na udržateľný rozvoj krajiny. </w:t>
      </w:r>
      <w:r w:rsidRPr="00F50BED">
        <w:rPr>
          <w:rFonts w:eastAsia="Calibri" w:cs="Segoe UI"/>
        </w:rPr>
        <w:t>Prevažuje financovanie tzv. mäkkých projektov na úkor strategických investícií, ktoré by priniesli dlhodobý pozitívny vplyv na ekonomiku a</w:t>
      </w:r>
      <w:r w:rsidRPr="00EC38AF">
        <w:rPr>
          <w:rFonts w:eastAsia="Calibri" w:cs="Segoe UI"/>
          <w:color w:val="EE0000"/>
        </w:rPr>
        <w:t xml:space="preserve"> </w:t>
      </w:r>
      <w:r w:rsidR="00803BCF">
        <w:rPr>
          <w:rFonts w:eastAsia="Calibri" w:cs="Segoe UI"/>
        </w:rPr>
        <w:t xml:space="preserve">sociálne istoty </w:t>
      </w:r>
      <w:r w:rsidRPr="00F50BED">
        <w:rPr>
          <w:rFonts w:eastAsia="Calibri" w:cs="Segoe UI"/>
        </w:rPr>
        <w:t>obyvateľov Slovenska.</w:t>
      </w:r>
    </w:p>
    <w:p w14:paraId="7ECD8EF1" w14:textId="6209C4CB" w:rsidR="00860B83" w:rsidRDefault="008A53BE" w:rsidP="00860B83">
      <w:pPr>
        <w:rPr>
          <w:lang w:eastAsia="sk-SK"/>
        </w:rPr>
      </w:pPr>
      <w:r w:rsidRPr="007D3345">
        <w:rPr>
          <w:b/>
          <w:lang w:eastAsia="sk-SK"/>
        </w:rPr>
        <w:t xml:space="preserve">Slovensko </w:t>
      </w:r>
      <w:r>
        <w:rPr>
          <w:b/>
          <w:lang w:eastAsia="sk-SK"/>
        </w:rPr>
        <w:t xml:space="preserve">sa nachádza v rámci </w:t>
      </w:r>
      <w:r w:rsidRPr="00821DC1">
        <w:rPr>
          <w:b/>
          <w:lang w:eastAsia="sk-SK"/>
        </w:rPr>
        <w:t>čerpania fondov EÚ</w:t>
      </w:r>
      <w:r>
        <w:rPr>
          <w:b/>
          <w:lang w:eastAsia="sk-SK"/>
        </w:rPr>
        <w:t xml:space="preserve"> vo svojom </w:t>
      </w:r>
      <w:r w:rsidRPr="007D3345">
        <w:rPr>
          <w:b/>
          <w:lang w:eastAsia="sk-SK"/>
        </w:rPr>
        <w:t>štvrt</w:t>
      </w:r>
      <w:r>
        <w:rPr>
          <w:b/>
          <w:lang w:eastAsia="sk-SK"/>
        </w:rPr>
        <w:t>om</w:t>
      </w:r>
      <w:r w:rsidRPr="007D3345">
        <w:rPr>
          <w:b/>
          <w:lang w:eastAsia="sk-SK"/>
        </w:rPr>
        <w:t xml:space="preserve"> </w:t>
      </w:r>
      <w:r w:rsidR="00860B83">
        <w:rPr>
          <w:b/>
          <w:lang w:eastAsia="sk-SK"/>
        </w:rPr>
        <w:t xml:space="preserve">programovom období </w:t>
      </w:r>
      <w:r w:rsidR="00860B83" w:rsidRPr="00860B83">
        <w:rPr>
          <w:lang w:eastAsia="sk-SK"/>
        </w:rPr>
        <w:t>(</w:t>
      </w:r>
      <w:r w:rsidRPr="00860B83">
        <w:rPr>
          <w:lang w:eastAsia="sk-SK"/>
        </w:rPr>
        <w:t>PO</w:t>
      </w:r>
      <w:r w:rsidR="00860B83" w:rsidRPr="00860B83">
        <w:rPr>
          <w:lang w:eastAsia="sk-SK"/>
        </w:rPr>
        <w:t>)</w:t>
      </w:r>
      <w:r>
        <w:rPr>
          <w:b/>
          <w:lang w:eastAsia="sk-SK"/>
        </w:rPr>
        <w:t>.</w:t>
      </w:r>
      <w:r w:rsidRPr="007D3345">
        <w:rPr>
          <w:b/>
          <w:lang w:eastAsia="sk-SK"/>
        </w:rPr>
        <w:t xml:space="preserve"> </w:t>
      </w:r>
      <w:r>
        <w:rPr>
          <w:lang w:eastAsia="sk-SK"/>
        </w:rPr>
        <w:t xml:space="preserve">V porovnaní s predchádzajúcimi </w:t>
      </w:r>
      <w:r w:rsidR="008C2FA1">
        <w:rPr>
          <w:lang w:eastAsia="sk-SK"/>
        </w:rPr>
        <w:t xml:space="preserve">PO </w:t>
      </w:r>
      <w:r>
        <w:rPr>
          <w:lang w:eastAsia="sk-SK"/>
        </w:rPr>
        <w:t xml:space="preserve">sa čerpanie rozbehlo s približne ročným oneskorením, keďže Program Slovensko </w:t>
      </w:r>
      <w:r w:rsidR="00860B83">
        <w:rPr>
          <w:lang w:eastAsia="sk-SK"/>
        </w:rPr>
        <w:t>(P</w:t>
      </w:r>
      <w:r w:rsidR="004A2F16">
        <w:rPr>
          <w:lang w:eastAsia="sk-SK"/>
        </w:rPr>
        <w:t xml:space="preserve"> </w:t>
      </w:r>
      <w:r w:rsidR="00860B83">
        <w:rPr>
          <w:lang w:eastAsia="sk-SK"/>
        </w:rPr>
        <w:t xml:space="preserve">SK) </w:t>
      </w:r>
      <w:r>
        <w:rPr>
          <w:lang w:eastAsia="sk-SK"/>
        </w:rPr>
        <w:t>schvál</w:t>
      </w:r>
      <w:r w:rsidR="00860B83">
        <w:rPr>
          <w:lang w:eastAsia="sk-SK"/>
        </w:rPr>
        <w:t>ila EK v novembri 2022, čo je takmer rok od spustenia PO. Od tohto momentu mohli prijímatelia predkladať žiadosti o platbu, pričom sa dalo požiadať o refundáciu výdavkov vzniknutých od 1. 1. 2021, ak to bolo v súlade s uzavretou zmluvou o </w:t>
      </w:r>
      <w:r w:rsidR="007848CA">
        <w:rPr>
          <w:lang w:eastAsia="sk-SK"/>
        </w:rPr>
        <w:t>NFP</w:t>
      </w:r>
      <w:r w:rsidR="00860B83">
        <w:rPr>
          <w:lang w:eastAsia="sk-SK"/>
        </w:rPr>
        <w:t>.</w:t>
      </w:r>
    </w:p>
    <w:p w14:paraId="1E32E683" w14:textId="623757D8" w:rsidR="008A53BE" w:rsidRDefault="008A53BE" w:rsidP="008A53BE">
      <w:pPr>
        <w:rPr>
          <w:b/>
          <w:lang w:eastAsia="sk-SK"/>
        </w:rPr>
      </w:pPr>
      <w:r>
        <w:rPr>
          <w:b/>
          <w:lang w:eastAsia="sk-SK"/>
        </w:rPr>
        <w:t>NKÚ SR vníma, že p</w:t>
      </w:r>
      <w:r w:rsidRPr="0092729A">
        <w:rPr>
          <w:b/>
          <w:lang w:eastAsia="sk-SK"/>
        </w:rPr>
        <w:t>omalý nábeh čerpania</w:t>
      </w:r>
      <w:r w:rsidRPr="007D3345">
        <w:rPr>
          <w:b/>
          <w:lang w:eastAsia="sk-SK"/>
        </w:rPr>
        <w:t xml:space="preserve"> je </w:t>
      </w:r>
      <w:r w:rsidRPr="0092729A">
        <w:rPr>
          <w:b/>
          <w:lang w:eastAsia="sk-SK"/>
        </w:rPr>
        <w:t>o</w:t>
      </w:r>
      <w:r w:rsidRPr="0099130F">
        <w:rPr>
          <w:b/>
          <w:lang w:eastAsia="sk-SK"/>
        </w:rPr>
        <w:t>pakujúcim sa problémom</w:t>
      </w:r>
      <w:r>
        <w:rPr>
          <w:b/>
          <w:lang w:eastAsia="sk-SK"/>
        </w:rPr>
        <w:t>,</w:t>
      </w:r>
      <w:r w:rsidRPr="007D3345">
        <w:rPr>
          <w:b/>
          <w:lang w:eastAsia="sk-SK"/>
        </w:rPr>
        <w:t xml:space="preserve"> pričom aj v tomto </w:t>
      </w:r>
      <w:r w:rsidR="00860B83">
        <w:rPr>
          <w:b/>
          <w:lang w:eastAsia="sk-SK"/>
        </w:rPr>
        <w:t>PO</w:t>
      </w:r>
      <w:r w:rsidRPr="007D3345">
        <w:rPr>
          <w:b/>
          <w:lang w:eastAsia="sk-SK"/>
        </w:rPr>
        <w:t xml:space="preserve"> boli prvé žiadosti prijímateľov o platbu predložené na schválenie až koncom septembra 2023, teda 10 mesiacov po schválení P</w:t>
      </w:r>
      <w:r w:rsidR="004A2F16">
        <w:rPr>
          <w:b/>
          <w:lang w:eastAsia="sk-SK"/>
        </w:rPr>
        <w:t xml:space="preserve"> </w:t>
      </w:r>
      <w:r w:rsidR="00860B83">
        <w:rPr>
          <w:b/>
          <w:lang w:eastAsia="sk-SK"/>
        </w:rPr>
        <w:t>SK</w:t>
      </w:r>
      <w:r w:rsidRPr="007D3345">
        <w:rPr>
          <w:b/>
          <w:lang w:eastAsia="sk-SK"/>
        </w:rPr>
        <w:t>.</w:t>
      </w:r>
    </w:p>
    <w:p w14:paraId="18BBB48D" w14:textId="13A83225" w:rsidR="004A7D52" w:rsidRPr="00FF6D0F" w:rsidRDefault="004A7D52" w:rsidP="004A7D52">
      <w:pPr>
        <w:rPr>
          <w:lang w:eastAsia="sk-SK"/>
        </w:rPr>
      </w:pPr>
      <w:r w:rsidRPr="00972704">
        <w:rPr>
          <w:b/>
          <w:lang w:eastAsia="sk-SK"/>
        </w:rPr>
        <w:t xml:space="preserve">Ďalším nedostatkom je, že najväčší objem čerpania sa </w:t>
      </w:r>
      <w:r w:rsidR="00EC38AF">
        <w:rPr>
          <w:b/>
          <w:lang w:eastAsia="sk-SK"/>
        </w:rPr>
        <w:t>kumuluje</w:t>
      </w:r>
      <w:r w:rsidR="00803BCF">
        <w:rPr>
          <w:b/>
          <w:lang w:eastAsia="sk-SK"/>
        </w:rPr>
        <w:t xml:space="preserve"> </w:t>
      </w:r>
      <w:r w:rsidRPr="00972704">
        <w:rPr>
          <w:b/>
          <w:lang w:eastAsia="sk-SK"/>
        </w:rPr>
        <w:t xml:space="preserve">vždy ku koncu oprávneného obdobia, pričom vrchol dosahuje rok pred svojim ukončením </w:t>
      </w:r>
      <w:r w:rsidRPr="00972704">
        <w:rPr>
          <w:lang w:eastAsia="sk-SK"/>
        </w:rPr>
        <w:t>(graf 1</w:t>
      </w:r>
      <w:r w:rsidR="007848CA">
        <w:rPr>
          <w:lang w:eastAsia="sk-SK"/>
        </w:rPr>
        <w:t>8</w:t>
      </w:r>
      <w:r w:rsidRPr="00972704">
        <w:rPr>
          <w:lang w:eastAsia="sk-SK"/>
        </w:rPr>
        <w:t>)</w:t>
      </w:r>
      <w:r w:rsidRPr="00972704">
        <w:rPr>
          <w:b/>
          <w:lang w:eastAsia="sk-SK"/>
        </w:rPr>
        <w:t>.</w:t>
      </w:r>
      <w:r w:rsidRPr="00FF6D0F">
        <w:rPr>
          <w:lang w:eastAsia="sk-SK"/>
        </w:rPr>
        <w:t xml:space="preserve"> S tým súvisí riziko zvýšenej chybovosti výdavkov a míňaním prostriedkov na projekty bez väčšej pridanej hodnoty.</w:t>
      </w:r>
      <w:r>
        <w:rPr>
          <w:lang w:eastAsia="sk-SK"/>
        </w:rPr>
        <w:t xml:space="preserve"> </w:t>
      </w:r>
    </w:p>
    <w:p w14:paraId="59027EB5" w14:textId="7FF24DDE" w:rsidR="008635EA" w:rsidRDefault="008635EA" w:rsidP="008635EA">
      <w:pPr>
        <w:keepNext/>
        <w:spacing w:after="0" w:line="240" w:lineRule="auto"/>
        <w:rPr>
          <w:b/>
          <w:iCs/>
          <w:color w:val="314364"/>
          <w:szCs w:val="18"/>
        </w:rPr>
      </w:pPr>
      <w:r w:rsidRPr="00CC5BFB">
        <w:rPr>
          <w:b/>
          <w:iCs/>
          <w:color w:val="314364"/>
          <w:szCs w:val="18"/>
        </w:rPr>
        <w:lastRenderedPageBreak/>
        <w:t>Graf</w:t>
      </w:r>
      <w:r>
        <w:rPr>
          <w:b/>
          <w:iCs/>
          <w:color w:val="314364"/>
          <w:szCs w:val="18"/>
        </w:rPr>
        <w:t xml:space="preserve"> 1</w:t>
      </w:r>
      <w:r w:rsidR="007848CA">
        <w:rPr>
          <w:b/>
          <w:iCs/>
          <w:color w:val="314364"/>
          <w:szCs w:val="18"/>
        </w:rPr>
        <w:t>8</w:t>
      </w:r>
      <w:r w:rsidRPr="00CC5BFB">
        <w:rPr>
          <w:b/>
          <w:iCs/>
          <w:color w:val="314364"/>
          <w:szCs w:val="18"/>
        </w:rPr>
        <w:t xml:space="preserve">: </w:t>
      </w:r>
      <w:r>
        <w:rPr>
          <w:b/>
          <w:iCs/>
          <w:color w:val="314364"/>
          <w:szCs w:val="18"/>
        </w:rPr>
        <w:t>Vývoj čerpania fondov EÚ za jednotlivé programové obdobia v rokoch 2004 až 2024</w:t>
      </w:r>
    </w:p>
    <w:p w14:paraId="4FC3C01E" w14:textId="77777777" w:rsidR="008635EA" w:rsidRPr="00CC5BFB" w:rsidRDefault="008635EA" w:rsidP="008635EA">
      <w:pPr>
        <w:keepNext/>
        <w:spacing w:after="0" w:line="240" w:lineRule="auto"/>
        <w:rPr>
          <w:b/>
          <w:iCs/>
          <w:color w:val="314364"/>
          <w:szCs w:val="18"/>
        </w:rPr>
      </w:pPr>
      <w:r>
        <w:rPr>
          <w:b/>
          <w:iCs/>
          <w:color w:val="314364"/>
          <w:szCs w:val="18"/>
        </w:rPr>
        <w:t>(% z celkového čerpania v jednotlivých rokoch obdobia oprávnenosti)</w:t>
      </w:r>
      <w:r w:rsidDel="00FE3FF0">
        <w:rPr>
          <w:b/>
          <w:iCs/>
          <w:color w:val="314364"/>
          <w:szCs w:val="18"/>
        </w:rPr>
        <w:t xml:space="preserve"> </w:t>
      </w:r>
    </w:p>
    <w:tbl>
      <w:tblPr>
        <w:tblStyle w:val="Mriekatabuky10"/>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8635EA" w:rsidRPr="00CC5BFB" w14:paraId="694E1873" w14:textId="77777777" w:rsidTr="008635EA">
        <w:trPr>
          <w:trHeight w:val="2652"/>
        </w:trPr>
        <w:tc>
          <w:tcPr>
            <w:tcW w:w="5000" w:type="pct"/>
            <w:tcBorders>
              <w:top w:val="single" w:sz="4" w:space="0" w:color="314364"/>
              <w:bottom w:val="single" w:sz="4" w:space="0" w:color="314364"/>
            </w:tcBorders>
            <w:vAlign w:val="center"/>
          </w:tcPr>
          <w:p w14:paraId="23AE1AFD" w14:textId="77777777" w:rsidR="008635EA" w:rsidRPr="00CC5BFB" w:rsidRDefault="008635EA" w:rsidP="004A2F16">
            <w:pPr>
              <w:spacing w:after="0"/>
              <w:rPr>
                <w:b/>
                <w:color w:val="576431"/>
              </w:rPr>
            </w:pPr>
            <w:r>
              <w:rPr>
                <w:noProof/>
                <w:lang w:eastAsia="sk-SK"/>
              </w:rPr>
              <mc:AlternateContent>
                <mc:Choice Requires="wps">
                  <w:drawing>
                    <wp:anchor distT="0" distB="0" distL="114300" distR="114300" simplePos="0" relativeHeight="251659264" behindDoc="0" locked="0" layoutInCell="1" allowOverlap="1" wp14:anchorId="4263C938" wp14:editId="092B3EEA">
                      <wp:simplePos x="0" y="0"/>
                      <wp:positionH relativeFrom="column">
                        <wp:posOffset>407670</wp:posOffset>
                      </wp:positionH>
                      <wp:positionV relativeFrom="paragraph">
                        <wp:posOffset>118110</wp:posOffset>
                      </wp:positionV>
                      <wp:extent cx="1295400" cy="352425"/>
                      <wp:effectExtent l="0" t="0" r="19050" b="28575"/>
                      <wp:wrapNone/>
                      <wp:docPr id="53" name="BlokTextu 4"/>
                      <wp:cNvGraphicFramePr/>
                      <a:graphic xmlns:a="http://schemas.openxmlformats.org/drawingml/2006/main">
                        <a:graphicData uri="http://schemas.microsoft.com/office/word/2010/wordprocessingShape">
                          <wps:wsp>
                            <wps:cNvSpPr txBox="1"/>
                            <wps:spPr>
                              <a:xfrm>
                                <a:off x="0" y="0"/>
                                <a:ext cx="1295400" cy="352425"/>
                              </a:xfrm>
                              <a:prstGeom prst="rect">
                                <a:avLst/>
                              </a:prstGeom>
                              <a:solidFill>
                                <a:sysClr val="window" lastClr="FFFFFF">
                                  <a:alpha val="27000"/>
                                </a:sysClr>
                              </a:solidFill>
                              <a:ln w="19050" cmpd="sng">
                                <a:solidFill>
                                  <a:schemeClr val="accent1">
                                    <a:alpha val="59000"/>
                                  </a:schemeClr>
                                </a:solidFill>
                                <a:prstDash val="sysDot"/>
                              </a:ln>
                              <a:effectLst/>
                            </wps:spPr>
                            <wps:txbx>
                              <w:txbxContent>
                                <w:p w14:paraId="2B899AC0" w14:textId="77777777" w:rsidR="005211A9" w:rsidRPr="00F354F6" w:rsidRDefault="005211A9" w:rsidP="008635EA">
                                  <w:pPr>
                                    <w:pStyle w:val="Normlnywebov"/>
                                    <w:spacing w:before="0" w:beforeAutospacing="0" w:after="0" w:afterAutospacing="0"/>
                                    <w:jc w:val="center"/>
                                    <w:rPr>
                                      <w:b/>
                                      <w:color w:val="314364" w:themeColor="text2"/>
                                      <w:sz w:val="16"/>
                                      <w:szCs w:val="12"/>
                                    </w:rPr>
                                  </w:pPr>
                                  <w:r w:rsidRPr="00F354F6">
                                    <w:rPr>
                                      <w:rFonts w:ascii="Segoe UI" w:eastAsia="+mn-ea" w:hAnsi="Segoe UI" w:cs="Segoe UI"/>
                                      <w:b/>
                                      <w:color w:val="314364" w:themeColor="text2"/>
                                      <w:sz w:val="16"/>
                                      <w:szCs w:val="12"/>
                                    </w:rPr>
                                    <w:t>Schválenie Programu Slovensko 22.11.2022</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type w14:anchorId="4263C938" id="_x0000_t202" coordsize="21600,21600" o:spt="202" path="m,l,21600r21600,l21600,xe">
                      <v:stroke joinstyle="miter"/>
                      <v:path gradientshapeok="t" o:connecttype="rect"/>
                    </v:shapetype>
                    <v:shape id="BlokTextu 4" o:spid="_x0000_s1026" type="#_x0000_t202" style="position:absolute;left:0;text-align:left;margin-left:32.1pt;margin-top:9.3pt;width:102pt;height:27.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T+gGAIAAEAEAAAOAAAAZHJzL2Uyb0RvYy54bWysU01z2yAQvXem/4HhHktWrLb2WM4k8biX&#10;TtOZpD8AI7CYAksBW3J/fRfkOIlz69QHLHaXt+/tx/JmMJochA8KbEOnk5ISYTm0yu4a+vNpc/WF&#10;khCZbZkGKxp6FIHerD5+WPZuISroQLfCEwSxYdG7hnYxukVRBN4Jw8IEnLDolOANi3j1u6L1rEd0&#10;o4uqLD8VPfjWeeAiBLSuRyddZXwpBY8PUgYRiW4ocov59PncprNYLdli55nrFD/RYP/AwjBlMekZ&#10;as0iI3uv3kEZxT0EkHHCwRQgpeIia0A10/JCzWPHnMhasDjBncsU/h8s/3744YlqG1pfU2KZwR7d&#10;afj1JIa4J7NUn96FBYY9OgyMwx0M2Odne0Bjkj1Ib9I/CiLox0ofz9VFJMLTo2pez0p0cfRd19Ws&#10;qhNM8fLa+RC/CjAkfTTUY/dyUdnhW4hj6HNIShZAq3ajtM6XY7jXnhwYNhrno4WeEs1CRGNDN/k3&#10;YmnXsTGs+lwinRE35OeZzRtYbUmP1OdlnYgbh4UKdpeR3sTlgRVnBoxzYeP0MmM9f5UxjXh68T5p&#10;ErlmoRtpIrU1xBNPbZNYkSf7VJTUn7EP6SsO2+HUtC20R+wZbmd8wENqQClcK0dJB/7Ppa3HLUB1&#10;v/fMC0p81PcwLg2zHOMbOjbDwu0+glS5ISnjmAZVpAuOadZzWqm0B6/vOepl8Vd/AQAA//8DAFBL&#10;AwQUAAYACAAAACEAXdXmU+AAAAAIAQAADwAAAGRycy9kb3ducmV2LnhtbEyPwU7DMBBE70j8g7VI&#10;XBB1UkUhDXEqBOKAxKEtSIibG2/jiHgdYrdN+Xq2JzjuzGj2TbWcXC8OOIbOk4J0loBAarzpqFXw&#10;/vZ8W4AIUZPRvSdUcMIAy/ryotKl8Uda42ETW8ElFEqtwMY4lFKGxqLTYeYHJPZ2fnQ68jm20oz6&#10;yOWul/MkyaXTHfEHqwd8tNh8bfZOwdPu47TIMF28/KxeP4v1yn6bG6vU9dX0cA8i4hT/wnDGZ3So&#10;mWnr92SC6BXk2ZyTrBc5CPbnecHCVsFdloKsK/l/QP0LAAD//wMAUEsBAi0AFAAGAAgAAAAhALaD&#10;OJL+AAAA4QEAABMAAAAAAAAAAAAAAAAAAAAAAFtDb250ZW50X1R5cGVzXS54bWxQSwECLQAUAAYA&#10;CAAAACEAOP0h/9YAAACUAQAACwAAAAAAAAAAAAAAAAAvAQAAX3JlbHMvLnJlbHNQSwECLQAUAAYA&#10;CAAAACEAodU/oBgCAABABAAADgAAAAAAAAAAAAAAAAAuAgAAZHJzL2Uyb0RvYy54bWxQSwECLQAU&#10;AAYACAAAACEAXdXmU+AAAAAIAQAADwAAAAAAAAAAAAAAAAByBAAAZHJzL2Rvd25yZXYueG1sUEsF&#10;BgAAAAAEAAQA8wAAAH8FAAAAAA==&#10;" fillcolor="window" strokecolor="#314364 [3204]" strokeweight="1.5pt">
                      <v:fill opacity="17733f"/>
                      <v:stroke dashstyle="1 1" opacity="38550f"/>
                      <v:textbox>
                        <w:txbxContent>
                          <w:p w14:paraId="2B899AC0" w14:textId="77777777" w:rsidR="005211A9" w:rsidRPr="00F354F6" w:rsidRDefault="005211A9" w:rsidP="008635EA">
                            <w:pPr>
                              <w:pStyle w:val="Normlnywebov"/>
                              <w:spacing w:before="0" w:beforeAutospacing="0" w:after="0" w:afterAutospacing="0"/>
                              <w:jc w:val="center"/>
                              <w:rPr>
                                <w:b/>
                                <w:color w:val="314364" w:themeColor="text2"/>
                                <w:sz w:val="16"/>
                                <w:szCs w:val="12"/>
                              </w:rPr>
                            </w:pPr>
                            <w:r w:rsidRPr="00F354F6">
                              <w:rPr>
                                <w:rFonts w:ascii="Segoe UI" w:eastAsia="+mn-ea" w:hAnsi="Segoe UI" w:cs="Segoe UI"/>
                                <w:b/>
                                <w:color w:val="314364" w:themeColor="text2"/>
                                <w:sz w:val="16"/>
                                <w:szCs w:val="12"/>
                              </w:rPr>
                              <w:t>Schválenie Programu Slovensko 22.11.2022</w:t>
                            </w:r>
                          </w:p>
                        </w:txbxContent>
                      </v:textbox>
                    </v:shape>
                  </w:pict>
                </mc:Fallback>
              </mc:AlternateContent>
            </w:r>
            <w:r w:rsidRPr="005F6754">
              <w:rPr>
                <w:noProof/>
                <w:color w:val="314364"/>
                <w:lang w:eastAsia="sk-SK"/>
              </w:rPr>
              <w:drawing>
                <wp:inline distT="0" distB="0" distL="0" distR="0" wp14:anchorId="5B195B1E" wp14:editId="35C8D70F">
                  <wp:extent cx="5657850" cy="1914525"/>
                  <wp:effectExtent l="0" t="0" r="0" b="0"/>
                  <wp:docPr id="141712265" name="Graf 1417122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740CEAFC" w14:textId="77777777" w:rsidR="008635EA" w:rsidRPr="008C60A0" w:rsidRDefault="008635EA" w:rsidP="004A2F16">
      <w:pPr>
        <w:pStyle w:val="Zdroj"/>
        <w:spacing w:after="0"/>
      </w:pPr>
      <w:r w:rsidRPr="008C60A0">
        <w:t>Zdroj: MF SR.</w:t>
      </w:r>
    </w:p>
    <w:p w14:paraId="104187A3" w14:textId="2E1E1FA0" w:rsidR="004A2F16" w:rsidRDefault="008635EA" w:rsidP="00932297">
      <w:pPr>
        <w:pStyle w:val="Zdroj"/>
        <w:spacing w:line="276" w:lineRule="auto"/>
        <w:jc w:val="both"/>
      </w:pPr>
      <w:r w:rsidRPr="00972704">
        <w:t xml:space="preserve">Poznámka: V prípade PO 2004 </w:t>
      </w:r>
      <w:r>
        <w:t xml:space="preserve">– </w:t>
      </w:r>
      <w:r w:rsidRPr="00972704">
        <w:t xml:space="preserve">2006 (štrukturálne fondy) platilo pravidlo n+2 pre čerpanie ročných záväzkov. V prípade PO 2007 – 2013 platilo pravidlo n+3, </w:t>
      </w:r>
      <w:r>
        <w:t>okrem</w:t>
      </w:r>
      <w:r w:rsidRPr="00972704">
        <w:t xml:space="preserve"> posledn</w:t>
      </w:r>
      <w:r>
        <w:t>ého</w:t>
      </w:r>
      <w:r w:rsidRPr="00972704">
        <w:t xml:space="preserve"> ročn</w:t>
      </w:r>
      <w:r>
        <w:t>ého</w:t>
      </w:r>
      <w:r w:rsidRPr="00972704">
        <w:t xml:space="preserve"> záväzk</w:t>
      </w:r>
      <w:r>
        <w:t>u</w:t>
      </w:r>
      <w:r w:rsidRPr="00972704">
        <w:t xml:space="preserve"> 2013, ktorý bolo potrebné vyčerpať do konca 2015 v zmysle pravidla n+2. Súčasne prvý záväzok 2007 bol v zmysle legislatívy EK prerozdelený rovnomerne na ostatné ročné záväzky (čl. 1 Nariadenia E</w:t>
      </w:r>
      <w:r w:rsidR="00932297">
        <w:t>urópskeho parlamentu</w:t>
      </w:r>
      <w:r w:rsidRPr="00972704">
        <w:t xml:space="preserve"> </w:t>
      </w:r>
      <w:r w:rsidR="00932297">
        <w:t xml:space="preserve">(EP) </w:t>
      </w:r>
      <w:r w:rsidRPr="00972704">
        <w:t>a Rady (EÚ) č. 539/2010 z</w:t>
      </w:r>
      <w:r>
        <w:t>o</w:t>
      </w:r>
      <w:r w:rsidRPr="00972704">
        <w:t xml:space="preserve"> 16. </w:t>
      </w:r>
      <w:r>
        <w:t>6.</w:t>
      </w:r>
      <w:r w:rsidRPr="00972704">
        <w:t xml:space="preserve"> 2010, ktorý novelizoval všeobecné Nariadenie EP a Rady (EÚ) č. 1083/2006). V prípade PO 2014 </w:t>
      </w:r>
      <w:r>
        <w:t xml:space="preserve">– </w:t>
      </w:r>
      <w:r w:rsidRPr="00972704">
        <w:t xml:space="preserve">2020 platilo pravidlo n+3 pre čerpanie ročných záväzkov. V prípade PO 2021 </w:t>
      </w:r>
      <w:r>
        <w:t xml:space="preserve">– </w:t>
      </w:r>
      <w:r w:rsidRPr="00972704">
        <w:t xml:space="preserve">2027 platí pravidlo n+3, </w:t>
      </w:r>
      <w:r>
        <w:t>okrem</w:t>
      </w:r>
      <w:r w:rsidRPr="00972704">
        <w:t xml:space="preserve"> posledn</w:t>
      </w:r>
      <w:r>
        <w:t>ého</w:t>
      </w:r>
      <w:r w:rsidRPr="00972704">
        <w:t xml:space="preserve"> ročn</w:t>
      </w:r>
      <w:r>
        <w:t>ého</w:t>
      </w:r>
      <w:r w:rsidRPr="00972704">
        <w:t xml:space="preserve"> záväzk</w:t>
      </w:r>
      <w:r>
        <w:t>u</w:t>
      </w:r>
      <w:r w:rsidRPr="00972704">
        <w:t xml:space="preserve"> 2027, ktorý je potrebné vyčerpať v zmysle pravidla n+2 do konca roka 2029. Prvý finančný záväzok pre Program Slovensko je rozpísaný až na rok 2022 (keďže EK vydala rozhodnutie o</w:t>
      </w:r>
      <w:r>
        <w:t xml:space="preserve"> jeho </w:t>
      </w:r>
      <w:r w:rsidRPr="00972704">
        <w:t>schválení až v roku 2022).</w:t>
      </w:r>
    </w:p>
    <w:p w14:paraId="2E5C15CF" w14:textId="2FEC218C" w:rsidR="001278BD" w:rsidRPr="0042020D" w:rsidRDefault="001278BD" w:rsidP="008635EA">
      <w:pPr>
        <w:rPr>
          <w:rFonts w:cs="Segoe UI"/>
        </w:rPr>
      </w:pPr>
      <w:r w:rsidRPr="008334DB">
        <w:rPr>
          <w:rFonts w:cs="Segoe UI"/>
          <w:b/>
        </w:rPr>
        <w:t>Cieľom finančných prostriedkov poskytovaných EÚ bolo znižovanie regionálnych rozdielov.</w:t>
      </w:r>
      <w:r>
        <w:rPr>
          <w:rFonts w:cs="Segoe UI"/>
        </w:rPr>
        <w:t xml:space="preserve"> </w:t>
      </w:r>
      <w:r w:rsidRPr="0042020D">
        <w:rPr>
          <w:rFonts w:cs="Segoe UI"/>
        </w:rPr>
        <w:t>SR vstupovala do EÚ spolu s ďalšími deviatimi krajinami</w:t>
      </w:r>
      <w:r w:rsidRPr="0042020D">
        <w:rPr>
          <w:rStyle w:val="Odkaznapoznmkupodiarou"/>
          <w:rFonts w:cs="Segoe UI"/>
        </w:rPr>
        <w:footnoteReference w:id="8"/>
      </w:r>
      <w:r w:rsidRPr="0042020D">
        <w:rPr>
          <w:rFonts w:cs="Segoe UI"/>
        </w:rPr>
        <w:t>, vrátane troch susedných krajín.</w:t>
      </w:r>
      <w:r>
        <w:rPr>
          <w:rFonts w:cs="Segoe UI"/>
        </w:rPr>
        <w:t xml:space="preserve"> </w:t>
      </w:r>
      <w:r w:rsidRPr="0042020D">
        <w:rPr>
          <w:rFonts w:cs="Segoe UI"/>
        </w:rPr>
        <w:t xml:space="preserve">NKÚ SR sa pri hodnotení tohto cieľa pozrel na vývoj medzinárodne porovnateľného kľúčového merateľného ukazovateľa – HDP na obyvateľa v parite kúpnej sily, počítaného ako percento </w:t>
      </w:r>
      <w:r w:rsidR="00256A74" w:rsidRPr="0042020D">
        <w:rPr>
          <w:rFonts w:cs="Segoe UI"/>
        </w:rPr>
        <w:t xml:space="preserve">priemeru </w:t>
      </w:r>
      <w:r w:rsidRPr="0042020D">
        <w:rPr>
          <w:rFonts w:cs="Segoe UI"/>
        </w:rPr>
        <w:t xml:space="preserve">EÚ27, </w:t>
      </w:r>
      <w:r w:rsidR="008A0D01">
        <w:rPr>
          <w:rFonts w:cs="Segoe UI"/>
        </w:rPr>
        <w:t xml:space="preserve">a </w:t>
      </w:r>
      <w:r w:rsidRPr="0042020D">
        <w:rPr>
          <w:rFonts w:cs="Segoe UI"/>
        </w:rPr>
        <w:t>taktiež na vývoj v regiónoch SR. Ďalším významným porovnaním je dobiehanie priemeru krajín voči regiónu hlavného mesta v danej krajine.</w:t>
      </w:r>
    </w:p>
    <w:p w14:paraId="65CA187E" w14:textId="77777777" w:rsidR="00327F0A" w:rsidRDefault="00327F0A" w:rsidP="00327F0A">
      <w:pPr>
        <w:spacing w:after="0" w:line="240" w:lineRule="auto"/>
        <w:rPr>
          <w:rFonts w:cs="Segoe UI"/>
          <w:b/>
          <w:color w:val="314364" w:themeColor="text2"/>
        </w:rPr>
      </w:pPr>
      <w:r w:rsidRPr="007D3345">
        <w:rPr>
          <w:rFonts w:cs="Segoe UI"/>
          <w:b/>
          <w:color w:val="314364" w:themeColor="text2"/>
        </w:rPr>
        <w:t xml:space="preserve">Graf </w:t>
      </w:r>
      <w:r>
        <w:rPr>
          <w:rFonts w:cs="Segoe UI"/>
          <w:b/>
          <w:color w:val="314364" w:themeColor="text2"/>
        </w:rPr>
        <w:t>19</w:t>
      </w:r>
      <w:r w:rsidRPr="007D3345">
        <w:rPr>
          <w:rFonts w:cs="Segoe UI"/>
          <w:b/>
          <w:color w:val="314364" w:themeColor="text2"/>
        </w:rPr>
        <w:t>: Vývoj HDP na obyvateľa v parite kúpnej sily v % priemeru EÚ27 v porovnaní s priemerom krajín vstupujúcich v roku 2004 spolu so SR do EÚ</w:t>
      </w:r>
    </w:p>
    <w:tbl>
      <w:tblPr>
        <w:tblStyle w:val="Mriekatabuky"/>
        <w:tblW w:w="0" w:type="auto"/>
        <w:tblCellMar>
          <w:left w:w="70" w:type="dxa"/>
          <w:right w:w="70" w:type="dxa"/>
        </w:tblCellMar>
        <w:tblLook w:val="04A0" w:firstRow="1" w:lastRow="0" w:firstColumn="1" w:lastColumn="0" w:noHBand="0" w:noVBand="1"/>
      </w:tblPr>
      <w:tblGrid>
        <w:gridCol w:w="9070"/>
      </w:tblGrid>
      <w:tr w:rsidR="00327F0A" w14:paraId="334ADA47" w14:textId="77777777" w:rsidTr="00A37C1D">
        <w:tc>
          <w:tcPr>
            <w:tcW w:w="9070" w:type="dxa"/>
            <w:tcBorders>
              <w:top w:val="single" w:sz="4" w:space="0" w:color="314364" w:themeColor="text2"/>
              <w:left w:val="nil"/>
              <w:bottom w:val="single" w:sz="4" w:space="0" w:color="314364" w:themeColor="text2"/>
              <w:right w:val="nil"/>
            </w:tcBorders>
          </w:tcPr>
          <w:p w14:paraId="151A76C3" w14:textId="77777777" w:rsidR="00327F0A" w:rsidRDefault="00327F0A" w:rsidP="00A37C1D">
            <w:pPr>
              <w:spacing w:after="0" w:line="240" w:lineRule="auto"/>
              <w:rPr>
                <w:rFonts w:cs="Segoe UI"/>
                <w:b/>
                <w:color w:val="314364" w:themeColor="text2"/>
              </w:rPr>
            </w:pPr>
            <w:r>
              <w:rPr>
                <w:noProof/>
                <w:lang w:eastAsia="sk-SK"/>
              </w:rPr>
              <w:drawing>
                <wp:inline distT="0" distB="0" distL="0" distR="0" wp14:anchorId="1AF04E2F" wp14:editId="5FA37AF8">
                  <wp:extent cx="5759450" cy="1800000"/>
                  <wp:effectExtent l="0" t="0" r="0" b="0"/>
                  <wp:docPr id="17" name="Graf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bl>
    <w:p w14:paraId="59A49B8D" w14:textId="77777777" w:rsidR="00327F0A" w:rsidRPr="004755C5" w:rsidRDefault="00327F0A" w:rsidP="00327F0A">
      <w:pPr>
        <w:pStyle w:val="Zdroj"/>
      </w:pPr>
      <w:r w:rsidRPr="004755C5">
        <w:t>Zdroj: Eurostat, spracovanie NKÚ SR</w:t>
      </w:r>
      <w:r>
        <w:t>.</w:t>
      </w:r>
    </w:p>
    <w:p w14:paraId="328CEBB9" w14:textId="1C48B277" w:rsidR="008C2FA1" w:rsidRPr="0042020D" w:rsidRDefault="008C2FA1" w:rsidP="008C2FA1">
      <w:pPr>
        <w:rPr>
          <w:rFonts w:cs="Segoe UI"/>
        </w:rPr>
      </w:pPr>
      <w:r w:rsidRPr="0042020D">
        <w:rPr>
          <w:rFonts w:cs="Segoe UI"/>
          <w:b/>
        </w:rPr>
        <w:t>SR dobehla v roku 2010 v HDP na obyvateľa v parite kúpnej sily, počítaného ako percento voči priemeru EÚ27</w:t>
      </w:r>
      <w:r w:rsidR="00803BCF">
        <w:rPr>
          <w:rFonts w:cs="Segoe UI"/>
          <w:b/>
        </w:rPr>
        <w:t>,</w:t>
      </w:r>
      <w:r w:rsidRPr="0042020D">
        <w:rPr>
          <w:rFonts w:cs="Segoe UI"/>
          <w:b/>
        </w:rPr>
        <w:t xml:space="preserve"> svojich desiatich partnerov, ktorí spolu so SR vstupovali v roku 2004 do EÚ </w:t>
      </w:r>
      <w:r w:rsidRPr="0042020D">
        <w:rPr>
          <w:rFonts w:cs="Segoe UI"/>
        </w:rPr>
        <w:t>(EÚ10-2004)</w:t>
      </w:r>
      <w:r w:rsidRPr="0042020D">
        <w:rPr>
          <w:rFonts w:cs="Segoe UI"/>
          <w:b/>
        </w:rPr>
        <w:t>.</w:t>
      </w:r>
      <w:r w:rsidRPr="0042020D">
        <w:rPr>
          <w:rFonts w:cs="Segoe UI"/>
        </w:rPr>
        <w:t xml:space="preserve"> V roku 2015 však nastal zlom a odvtedy sa vývoj tohto ukazovateľa značne zhoršil</w:t>
      </w:r>
      <w:r w:rsidR="00803BCF">
        <w:rPr>
          <w:rFonts w:cs="Segoe UI"/>
        </w:rPr>
        <w:t>.</w:t>
      </w:r>
      <w:r w:rsidRPr="0042020D">
        <w:rPr>
          <w:rFonts w:cs="Segoe UI"/>
        </w:rPr>
        <w:t xml:space="preserve"> SR prestala dobiehať EÚ10-2004 a začala sa od partnerov súčasne prijatých do EÚ vzďaľovať (graf </w:t>
      </w:r>
      <w:r w:rsidR="00006326">
        <w:rPr>
          <w:rFonts w:cs="Segoe UI"/>
        </w:rPr>
        <w:t>19</w:t>
      </w:r>
      <w:r w:rsidRPr="0042020D">
        <w:rPr>
          <w:rFonts w:cs="Segoe UI"/>
        </w:rPr>
        <w:t>). Výkonnostne sa SR voči priemeru EÚ27 nachádzala v roku 2023 na úrovni 74 % a zaostávala tak za svojimi partnermi EÚ10-2004 o 11 p. b.</w:t>
      </w:r>
      <w:r>
        <w:rPr>
          <w:rFonts w:cs="Segoe UI"/>
        </w:rPr>
        <w:t>,</w:t>
      </w:r>
      <w:r w:rsidRPr="0042020D">
        <w:rPr>
          <w:rFonts w:cs="Segoe UI"/>
        </w:rPr>
        <w:t xml:space="preserve"> pričom v roku 2004 to bolo o 10 p. b.</w:t>
      </w:r>
    </w:p>
    <w:p w14:paraId="2A01740B" w14:textId="0E39F463" w:rsidR="00CD5BDC" w:rsidRDefault="00CD5BDC" w:rsidP="00CD5BDC">
      <w:pPr>
        <w:spacing w:before="120"/>
        <w:rPr>
          <w:rFonts w:cs="Segoe UI"/>
        </w:rPr>
      </w:pPr>
      <w:r w:rsidRPr="0042020D">
        <w:rPr>
          <w:rFonts w:cs="Segoe UI"/>
          <w:b/>
        </w:rPr>
        <w:lastRenderedPageBreak/>
        <w:t>V SR je od roku 2004 nad priemerom EÚ27 v HDP na obyvateľa v parite kúpnej sily, počítaného ako percento priemeru EÚ27 len Bratislavský kraj, zvyšné kraje nedosiahli od vstupu do EÚ úroveň priemeru EÚ27.</w:t>
      </w:r>
      <w:r w:rsidRPr="0042020D">
        <w:rPr>
          <w:rFonts w:cs="Segoe UI"/>
        </w:rPr>
        <w:t xml:space="preserve"> Najbližšie k regiónu hlavného mesta SR má Trnavský kraj, ktorý sa za 20 rokov od vstupu do EÚ priblížil k priemeru EÚ27 o 20 p. b (zo 61 % na 81 %). Najhoršie výsledky od vstupu SR do EÚ dlhodobo dosahuje Prešovský kraj, ktorý sa od roku 2004 priblížil k priemeru EÚ27 len o 12 p. b. (z  34  % na 46 %). V priemere dosahovali zvyšné kraje bez regiónu hlavného mesta v roku 2023 úroveň 63 % priemeru EÚ27, v roku 2004 dosahovali 49 %. Približovanie zvyšných regiónov SR k regiónu hlavného mesta nemusí byť teda nevyhnutne len zlepšenie v týchto regiónoch, ale aj zhoršovanie úrovne voči priemeru EÚ27 v regióne hlavného mesta.</w:t>
      </w:r>
    </w:p>
    <w:p w14:paraId="2560B659" w14:textId="2F17A348" w:rsidR="001278BD" w:rsidRPr="0042020D" w:rsidRDefault="001278BD" w:rsidP="001278BD">
      <w:pPr>
        <w:rPr>
          <w:rFonts w:cs="Segoe UI"/>
        </w:rPr>
      </w:pPr>
      <w:r w:rsidRPr="0042020D">
        <w:rPr>
          <w:rFonts w:cs="Segoe UI"/>
          <w:b/>
        </w:rPr>
        <w:t>Regionálne rozdiely medzi hlavným mestom a zvyškom krajiny sú stále viditeľné naprieč všetkými krajinami EÚ</w:t>
      </w:r>
      <w:r>
        <w:rPr>
          <w:rFonts w:cs="Segoe UI"/>
          <w:b/>
        </w:rPr>
        <w:t>10-20</w:t>
      </w:r>
      <w:r w:rsidRPr="0042020D">
        <w:rPr>
          <w:rFonts w:cs="Segoe UI"/>
          <w:b/>
        </w:rPr>
        <w:t>04.</w:t>
      </w:r>
      <w:r w:rsidRPr="0042020D">
        <w:rPr>
          <w:rFonts w:cs="Segoe UI"/>
        </w:rPr>
        <w:t xml:space="preserve"> Väčšina krajín nedobehla ani po 20 rokoch v EÚ úroveň regiónu hlavného mesta z roku 2004 (graf </w:t>
      </w:r>
      <w:r w:rsidR="00DE28E8">
        <w:rPr>
          <w:rFonts w:cs="Segoe UI"/>
        </w:rPr>
        <w:t>2</w:t>
      </w:r>
      <w:r w:rsidR="00006326">
        <w:rPr>
          <w:rFonts w:cs="Segoe UI"/>
        </w:rPr>
        <w:t>0</w:t>
      </w:r>
      <w:r w:rsidRPr="0042020D">
        <w:rPr>
          <w:rFonts w:cs="Segoe UI"/>
        </w:rPr>
        <w:t>). Úroveň SR v HDP na obyvateľa v parite kúpnej sily, počítaného ako percento priemeru EÚ27 sa zvýšila za 20 rokov o 16. p. b.</w:t>
      </w:r>
      <w:r w:rsidR="00803BCF">
        <w:rPr>
          <w:rFonts w:cs="Segoe UI"/>
        </w:rPr>
        <w:t xml:space="preserve"> –</w:t>
      </w:r>
      <w:r w:rsidRPr="0042020D">
        <w:rPr>
          <w:rFonts w:cs="Segoe UI"/>
        </w:rPr>
        <w:t xml:space="preserve"> z 58 % na 74 % priemeru EÚ27, pričom úroveň regiónu hlavného mesta</w:t>
      </w:r>
      <w:r w:rsidR="00803BCF">
        <w:rPr>
          <w:rFonts w:cs="Segoe UI"/>
        </w:rPr>
        <w:t>,</w:t>
      </w:r>
      <w:r w:rsidRPr="0042020D">
        <w:rPr>
          <w:rFonts w:cs="Segoe UI"/>
        </w:rPr>
        <w:t xml:space="preserve"> zastúpená Bratislavským krajom</w:t>
      </w:r>
      <w:r w:rsidR="00803BCF">
        <w:rPr>
          <w:rFonts w:cs="Segoe UI"/>
        </w:rPr>
        <w:t>,</w:t>
      </w:r>
      <w:r w:rsidRPr="0042020D">
        <w:rPr>
          <w:rFonts w:cs="Segoe UI"/>
        </w:rPr>
        <w:t xml:space="preserve"> si polepšila o 13 p. b. </w:t>
      </w:r>
      <w:r w:rsidR="00803BCF">
        <w:rPr>
          <w:rFonts w:cs="Segoe UI"/>
        </w:rPr>
        <w:t xml:space="preserve">– </w:t>
      </w:r>
      <w:r w:rsidRPr="0042020D">
        <w:rPr>
          <w:rFonts w:cs="Segoe UI"/>
        </w:rPr>
        <w:t>zo 135 % na 148 % priemeru EÚ27. Po 20 rokoch v EÚ možn</w:t>
      </w:r>
      <w:r w:rsidR="00803BCF">
        <w:rPr>
          <w:rFonts w:cs="Segoe UI"/>
        </w:rPr>
        <w:t>o</w:t>
      </w:r>
      <w:r w:rsidRPr="0042020D">
        <w:rPr>
          <w:rFonts w:cs="Segoe UI"/>
        </w:rPr>
        <w:t xml:space="preserve"> konštatovať, že priemer SR sa mierne priblížil k úrovni hlavného mesta. V rámci EÚ</w:t>
      </w:r>
      <w:r>
        <w:rPr>
          <w:rFonts w:cs="Segoe UI"/>
        </w:rPr>
        <w:t>10-20</w:t>
      </w:r>
      <w:r w:rsidRPr="0042020D">
        <w:rPr>
          <w:rFonts w:cs="Segoe UI"/>
        </w:rPr>
        <w:t>04 najprudší nárast zaznamenal región Varšavy v Poľsku, kde úroveň HDP na obyvateľa v parite kúpnej sily, počítaného ako percento priemeru EÚ27</w:t>
      </w:r>
      <w:r w:rsidR="00803BCF">
        <w:rPr>
          <w:rFonts w:cs="Segoe UI"/>
        </w:rPr>
        <w:t>,</w:t>
      </w:r>
      <w:r w:rsidRPr="0042020D">
        <w:rPr>
          <w:rFonts w:cs="Segoe UI"/>
        </w:rPr>
        <w:t xml:space="preserve"> sa zvýšila o 64 p. b., čím sa región hlavného mesta ešte viac vzďaľuje od priemeru celej krajiny. Z vybranej vzorky rástol tento ukazovateľ vo všetkých krajinách s výnimkou Cypru, ktorému tento ukazovateľ po 20 rokoch v EÚ klesol o 3 p. b.</w:t>
      </w:r>
    </w:p>
    <w:p w14:paraId="680FA435" w14:textId="28A4CB3B" w:rsidR="00CD5BDC" w:rsidRDefault="00CD5BDC" w:rsidP="00CD5BDC">
      <w:pPr>
        <w:spacing w:after="0" w:line="240" w:lineRule="auto"/>
        <w:rPr>
          <w:rFonts w:cs="Segoe UI"/>
        </w:rPr>
      </w:pPr>
      <w:r w:rsidRPr="007D3345">
        <w:rPr>
          <w:rFonts w:cs="Segoe UI"/>
          <w:b/>
          <w:color w:val="314364" w:themeColor="text2"/>
        </w:rPr>
        <w:t>Graf 2</w:t>
      </w:r>
      <w:r w:rsidR="00006326">
        <w:rPr>
          <w:rFonts w:cs="Segoe UI"/>
          <w:b/>
          <w:color w:val="314364" w:themeColor="text2"/>
        </w:rPr>
        <w:t>0</w:t>
      </w:r>
      <w:r w:rsidRPr="007D3345">
        <w:rPr>
          <w:rFonts w:cs="Segoe UI"/>
          <w:b/>
          <w:color w:val="314364" w:themeColor="text2"/>
        </w:rPr>
        <w:t>: HDP na obyvateľa v parite kúpnej sily v % priemeru EÚ27 za rok 2004 a 2023 za krajiny a regióny hlavných miest</w:t>
      </w:r>
    </w:p>
    <w:tbl>
      <w:tblPr>
        <w:tblStyle w:val="Mriekatabuky"/>
        <w:tblW w:w="0" w:type="auto"/>
        <w:tblLook w:val="04A0" w:firstRow="1" w:lastRow="0" w:firstColumn="1" w:lastColumn="0" w:noHBand="0" w:noVBand="1"/>
      </w:tblPr>
      <w:tblGrid>
        <w:gridCol w:w="9036"/>
      </w:tblGrid>
      <w:tr w:rsidR="00CD5BDC" w14:paraId="295D30DE" w14:textId="77777777" w:rsidTr="006267BA">
        <w:trPr>
          <w:trHeight w:val="2729"/>
        </w:trPr>
        <w:tc>
          <w:tcPr>
            <w:tcW w:w="8570" w:type="dxa"/>
            <w:tcBorders>
              <w:top w:val="single" w:sz="4" w:space="0" w:color="314364" w:themeColor="text2"/>
              <w:left w:val="nil"/>
              <w:bottom w:val="single" w:sz="4" w:space="0" w:color="314364" w:themeColor="text2"/>
              <w:right w:val="nil"/>
            </w:tcBorders>
          </w:tcPr>
          <w:p w14:paraId="3B1B8229" w14:textId="77777777" w:rsidR="00CD5BDC" w:rsidRDefault="00CD5BDC" w:rsidP="002E1FF0">
            <w:pPr>
              <w:spacing w:after="0"/>
              <w:rPr>
                <w:rFonts w:cs="Segoe UI"/>
              </w:rPr>
            </w:pPr>
            <w:r w:rsidRPr="0042020D">
              <w:rPr>
                <w:rFonts w:cs="Segoe UI"/>
                <w:noProof/>
                <w:lang w:eastAsia="sk-SK"/>
              </w:rPr>
              <w:drawing>
                <wp:inline distT="0" distB="0" distL="0" distR="0" wp14:anchorId="684B75F6" wp14:editId="1DB15CE7">
                  <wp:extent cx="5600700" cy="1692000"/>
                  <wp:effectExtent l="0" t="0" r="0" b="3810"/>
                  <wp:docPr id="141712260" name="Graf 14171226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14:paraId="7728838B" w14:textId="77777777" w:rsidR="00CD5BDC" w:rsidRPr="004755C5" w:rsidRDefault="00CD5BDC" w:rsidP="00CD5BDC">
      <w:pPr>
        <w:spacing w:after="0" w:line="240" w:lineRule="auto"/>
        <w:jc w:val="left"/>
        <w:rPr>
          <w:i/>
          <w:color w:val="314364" w:themeColor="text2"/>
          <w:sz w:val="16"/>
        </w:rPr>
      </w:pPr>
      <w:r w:rsidRPr="004755C5">
        <w:rPr>
          <w:i/>
          <w:color w:val="314364" w:themeColor="text2"/>
          <w:sz w:val="16"/>
        </w:rPr>
        <w:t>Zdroj: Eurostat, spracovanie NKÚ SR.</w:t>
      </w:r>
    </w:p>
    <w:p w14:paraId="23CA006F" w14:textId="77777777" w:rsidR="001278BD" w:rsidRPr="004755C5" w:rsidRDefault="001278BD" w:rsidP="00AC1F7A">
      <w:pPr>
        <w:spacing w:after="0" w:line="240" w:lineRule="auto"/>
        <w:jc w:val="left"/>
        <w:rPr>
          <w:i/>
          <w:color w:val="314364" w:themeColor="text2"/>
          <w:sz w:val="16"/>
        </w:rPr>
      </w:pPr>
      <w:r w:rsidRPr="004755C5">
        <w:rPr>
          <w:i/>
          <w:color w:val="314364" w:themeColor="text2"/>
          <w:sz w:val="16"/>
        </w:rPr>
        <w:t>Pozn.: HDP na obyvateľa v parite kúpnej sily v % priemeru EÚ-27 je za krajinu počítané ako hodnota vrátane regiónu hlavného mesta. Údaj za región hlavného mesta Lotyšska (Riga) a za región hlavného mesta Poľska (Varšava) je za rok 2022.</w:t>
      </w:r>
    </w:p>
    <w:p w14:paraId="4D0E9EA6" w14:textId="29FA5252" w:rsidR="008A53BE" w:rsidRDefault="008A53BE" w:rsidP="008A53BE">
      <w:pPr>
        <w:pStyle w:val="Nadpis2"/>
        <w:rPr>
          <w:color w:val="314364" w:themeColor="text2"/>
        </w:rPr>
      </w:pPr>
      <w:bookmarkStart w:id="31" w:name="_Toc197091795"/>
      <w:bookmarkStart w:id="32" w:name="_Toc198045142"/>
      <w:bookmarkStart w:id="33" w:name="_Toc198637727"/>
      <w:r>
        <w:rPr>
          <w:color w:val="314364" w:themeColor="text2"/>
        </w:rPr>
        <w:t>4</w:t>
      </w:r>
      <w:r w:rsidRPr="00B41B68">
        <w:rPr>
          <w:color w:val="314364" w:themeColor="text2"/>
        </w:rPr>
        <w:t>.1</w:t>
      </w:r>
      <w:r>
        <w:rPr>
          <w:color w:val="314364" w:themeColor="text2"/>
        </w:rPr>
        <w:t xml:space="preserve"> </w:t>
      </w:r>
      <w:r w:rsidRPr="00B41B68">
        <w:rPr>
          <w:color w:val="314364" w:themeColor="text2"/>
        </w:rPr>
        <w:t xml:space="preserve"> </w:t>
      </w:r>
      <w:bookmarkEnd w:id="31"/>
      <w:bookmarkEnd w:id="32"/>
      <w:r w:rsidR="00A41298" w:rsidRPr="00052A0A">
        <w:rPr>
          <w:color w:val="314364" w:themeColor="text2"/>
        </w:rPr>
        <w:t>Programové obdobie 2014 – 2020 a 2021 – 2027</w:t>
      </w:r>
      <w:bookmarkEnd w:id="33"/>
    </w:p>
    <w:p w14:paraId="2698E0DD" w14:textId="67078E02" w:rsidR="00B230DB" w:rsidRDefault="00B230DB" w:rsidP="00B230DB">
      <w:pPr>
        <w:rPr>
          <w:rFonts w:eastAsia="Calibri" w:cs="Segoe UI"/>
        </w:rPr>
      </w:pPr>
      <w:r w:rsidRPr="00B230DB">
        <w:rPr>
          <w:rFonts w:eastAsia="Calibri" w:cs="Segoe UI"/>
          <w:b/>
        </w:rPr>
        <w:t>V roku 2024 pokračovalo zúčtovanie posledných výdavkov operačných programov PO 2014 – 2020, ktoré z hľadiska oprávnenosti museli byť realizované z úrovne prijímateľov na zhotoviteľov do konca roku 2023.</w:t>
      </w:r>
      <w:r w:rsidRPr="00C717B8">
        <w:rPr>
          <w:rFonts w:eastAsia="Calibri" w:cs="Segoe UI"/>
        </w:rPr>
        <w:t xml:space="preserve"> Posledné výdavky boli na národnej úrovni</w:t>
      </w:r>
      <w:r w:rsidR="00052A0A">
        <w:rPr>
          <w:rFonts w:eastAsia="Calibri" w:cs="Segoe UI"/>
        </w:rPr>
        <w:t>,</w:t>
      </w:r>
      <w:r w:rsidRPr="00C717B8">
        <w:rPr>
          <w:rFonts w:eastAsia="Calibri" w:cs="Segoe UI"/>
        </w:rPr>
        <w:t xml:space="preserve"> z </w:t>
      </w:r>
      <w:r>
        <w:rPr>
          <w:rFonts w:eastAsia="Calibri" w:cs="Segoe UI"/>
        </w:rPr>
        <w:t>pozície</w:t>
      </w:r>
      <w:r w:rsidRPr="00C717B8">
        <w:rPr>
          <w:rFonts w:eastAsia="Calibri" w:cs="Segoe UI"/>
        </w:rPr>
        <w:t xml:space="preserve"> </w:t>
      </w:r>
      <w:r>
        <w:rPr>
          <w:rFonts w:eastAsia="Calibri" w:cs="Segoe UI"/>
        </w:rPr>
        <w:t>certifikačného orgánu</w:t>
      </w:r>
      <w:r w:rsidRPr="00C717B8">
        <w:rPr>
          <w:rFonts w:eastAsia="Calibri" w:cs="Segoe UI"/>
        </w:rPr>
        <w:t xml:space="preserve"> MF SR</w:t>
      </w:r>
      <w:r w:rsidR="00052A0A">
        <w:rPr>
          <w:rFonts w:eastAsia="Calibri" w:cs="Segoe UI"/>
        </w:rPr>
        <w:t>,</w:t>
      </w:r>
      <w:r w:rsidRPr="00C717B8">
        <w:rPr>
          <w:rFonts w:eastAsia="Calibri" w:cs="Segoe UI"/>
        </w:rPr>
        <w:t xml:space="preserve"> schválené v novembri 2024</w:t>
      </w:r>
      <w:r>
        <w:rPr>
          <w:rFonts w:eastAsia="Calibri" w:cs="Segoe UI"/>
        </w:rPr>
        <w:t>.</w:t>
      </w:r>
    </w:p>
    <w:p w14:paraId="44E922C4" w14:textId="1BC43FE1" w:rsidR="008A53BE" w:rsidRDefault="008A53BE" w:rsidP="008A53BE">
      <w:r w:rsidRPr="007D3345">
        <w:rPr>
          <w:b/>
        </w:rPr>
        <w:t xml:space="preserve">Čerpanie EŠIF </w:t>
      </w:r>
      <w:r w:rsidRPr="002413C8">
        <w:t>(bez P</w:t>
      </w:r>
      <w:r w:rsidR="00404F76" w:rsidRPr="002413C8">
        <w:t>rogramu rozvoja vidieka – P</w:t>
      </w:r>
      <w:r w:rsidRPr="002413C8">
        <w:t>RV)</w:t>
      </w:r>
      <w:r w:rsidRPr="007D3345">
        <w:rPr>
          <w:b/>
        </w:rPr>
        <w:t xml:space="preserve"> končiaceho PO 2014 – 2020 za rok 2024 predstavovalo 2 148,2 mil. eur.</w:t>
      </w:r>
      <w:r w:rsidRPr="0053217C">
        <w:t xml:space="preserve"> </w:t>
      </w:r>
      <w:r>
        <w:t>K čerpaniu sa viaže aj spolufinancovanie zo ŠR, ktoré bolo hradené z rozpočtov kapitol plniacich funkciu platobných jednotiek v celkovej výške 348,3 mil. eur, ako aj zo zdrojov pro rata v sume 32,1 mil. eur.</w:t>
      </w:r>
      <w:r>
        <w:rPr>
          <w:rStyle w:val="Odkaznapoznmkupodiarou"/>
          <w:rFonts w:eastAsia="Calibri" w:cs="Segoe UI"/>
        </w:rPr>
        <w:footnoteReference w:id="9"/>
      </w:r>
      <w:r>
        <w:t xml:space="preserve">  </w:t>
      </w:r>
    </w:p>
    <w:p w14:paraId="3EE79896" w14:textId="5097CFFD" w:rsidR="008A53BE" w:rsidRDefault="003F3CD7" w:rsidP="008A53BE">
      <w:pPr>
        <w:pStyle w:val="Odsekzoznamu"/>
        <w:ind w:left="0"/>
        <w:rPr>
          <w:rFonts w:eastAsia="Calibri" w:cs="Segoe UI"/>
        </w:rPr>
      </w:pPr>
      <w:r w:rsidRPr="003F3CD7">
        <w:rPr>
          <w:rFonts w:eastAsia="Calibri" w:cs="Segoe UI"/>
          <w:b/>
        </w:rPr>
        <w:lastRenderedPageBreak/>
        <w:t>Miera kumulatívneho čerpania dosiahla ku koncu decembra 2024 úroveň 100,2 % z celkovej alokácie.</w:t>
      </w:r>
      <w:r w:rsidR="008A53BE" w:rsidRPr="0053217C">
        <w:rPr>
          <w:rFonts w:eastAsia="Calibri" w:cs="Segoe UI"/>
        </w:rPr>
        <w:t xml:space="preserve"> Za prvý štvrťrok 2025 došlo </w:t>
      </w:r>
      <w:r w:rsidR="008A53BE">
        <w:rPr>
          <w:rFonts w:eastAsia="Calibri" w:cs="Segoe UI"/>
        </w:rPr>
        <w:t xml:space="preserve">oproti roku 2024 </w:t>
      </w:r>
      <w:r w:rsidR="008A53BE" w:rsidRPr="0053217C">
        <w:rPr>
          <w:rFonts w:eastAsia="Calibri" w:cs="Segoe UI"/>
        </w:rPr>
        <w:t>k poklesu čerpania o 15,3 mil. eur na úroveň 1</w:t>
      </w:r>
      <w:r w:rsidR="008A53BE">
        <w:rPr>
          <w:rFonts w:eastAsia="Calibri" w:cs="Segoe UI"/>
        </w:rPr>
        <w:t>00,1 % z celkovej alokácie 14,5 </w:t>
      </w:r>
      <w:r w:rsidR="008A53BE" w:rsidRPr="0053217C">
        <w:rPr>
          <w:rFonts w:eastAsia="Calibri" w:cs="Segoe UI"/>
        </w:rPr>
        <w:t xml:space="preserve">mld. eur, a to z dôvodu nových nezrovnalostí a realizovaných </w:t>
      </w:r>
      <w:proofErr w:type="spellStart"/>
      <w:r w:rsidR="008A53BE" w:rsidRPr="0053217C">
        <w:rPr>
          <w:rFonts w:eastAsia="Calibri" w:cs="Segoe UI"/>
        </w:rPr>
        <w:t>vratiek</w:t>
      </w:r>
      <w:proofErr w:type="spellEnd"/>
      <w:r w:rsidR="00BC0B52">
        <w:rPr>
          <w:rFonts w:eastAsia="Calibri" w:cs="Segoe UI"/>
        </w:rPr>
        <w:t xml:space="preserve"> (tabuľka 14)</w:t>
      </w:r>
      <w:r w:rsidR="008A53BE" w:rsidRPr="0053217C">
        <w:rPr>
          <w:rFonts w:eastAsia="Calibri" w:cs="Segoe UI"/>
        </w:rPr>
        <w:t xml:space="preserve">. </w:t>
      </w:r>
      <w:r w:rsidR="008A53BE">
        <w:rPr>
          <w:rFonts w:eastAsia="Calibri" w:cs="Segoe UI"/>
        </w:rPr>
        <w:t>Konečná</w:t>
      </w:r>
      <w:r w:rsidR="008A53BE" w:rsidRPr="0053217C">
        <w:rPr>
          <w:rFonts w:eastAsia="Calibri" w:cs="Segoe UI"/>
        </w:rPr>
        <w:t xml:space="preserve"> výška čerpania </w:t>
      </w:r>
      <w:r>
        <w:rPr>
          <w:rFonts w:eastAsia="Calibri" w:cs="Segoe UI"/>
        </w:rPr>
        <w:t>OP</w:t>
      </w:r>
      <w:r w:rsidR="008A53BE">
        <w:rPr>
          <w:rFonts w:eastAsia="Calibri" w:cs="Segoe UI"/>
        </w:rPr>
        <w:t xml:space="preserve"> </w:t>
      </w:r>
      <w:r>
        <w:rPr>
          <w:rFonts w:eastAsia="Calibri" w:cs="Segoe UI"/>
        </w:rPr>
        <w:t>bude známa až</w:t>
      </w:r>
      <w:r w:rsidR="00FF49E8">
        <w:rPr>
          <w:rFonts w:eastAsia="Calibri" w:cs="Segoe UI"/>
        </w:rPr>
        <w:t xml:space="preserve"> </w:t>
      </w:r>
      <w:r w:rsidR="00052A0A">
        <w:rPr>
          <w:rFonts w:eastAsia="Calibri" w:cs="Segoe UI"/>
        </w:rPr>
        <w:t xml:space="preserve">vtedy, </w:t>
      </w:r>
      <w:r w:rsidR="00FF49E8">
        <w:rPr>
          <w:rFonts w:eastAsia="Calibri" w:cs="Segoe UI"/>
        </w:rPr>
        <w:t>keď EK schváli záverečné Účty</w:t>
      </w:r>
      <w:r w:rsidR="004B552F">
        <w:rPr>
          <w:rFonts w:eastAsia="Calibri" w:cs="Segoe UI"/>
        </w:rPr>
        <w:t>.</w:t>
      </w:r>
    </w:p>
    <w:p w14:paraId="55D59519" w14:textId="56E66DF2" w:rsidR="008A53BE" w:rsidRPr="004F758A" w:rsidRDefault="008A53BE" w:rsidP="008A53BE">
      <w:pPr>
        <w:keepNext/>
        <w:spacing w:after="0" w:line="240" w:lineRule="auto"/>
        <w:rPr>
          <w:b/>
          <w:iCs/>
          <w:color w:val="314364"/>
          <w:szCs w:val="18"/>
        </w:rPr>
      </w:pPr>
      <w:r w:rsidRPr="004F758A">
        <w:rPr>
          <w:b/>
          <w:iCs/>
          <w:color w:val="314364"/>
          <w:szCs w:val="18"/>
        </w:rPr>
        <w:t>Tabuľka</w:t>
      </w:r>
      <w:r w:rsidR="00630F3B">
        <w:rPr>
          <w:b/>
          <w:iCs/>
          <w:color w:val="314364"/>
          <w:szCs w:val="18"/>
        </w:rPr>
        <w:t xml:space="preserve"> 1</w:t>
      </w:r>
      <w:r w:rsidR="00EF2A4E">
        <w:rPr>
          <w:b/>
          <w:iCs/>
          <w:color w:val="314364"/>
          <w:szCs w:val="18"/>
        </w:rPr>
        <w:t>4</w:t>
      </w:r>
      <w:r w:rsidRPr="004F758A">
        <w:rPr>
          <w:b/>
          <w:iCs/>
          <w:color w:val="314364"/>
          <w:szCs w:val="18"/>
        </w:rPr>
        <w:t xml:space="preserve">: Čerpanie EŠIF </w:t>
      </w:r>
      <w:r w:rsidR="00E521DE">
        <w:rPr>
          <w:b/>
          <w:iCs/>
          <w:color w:val="314364"/>
          <w:szCs w:val="18"/>
        </w:rPr>
        <w:t>PO</w:t>
      </w:r>
      <w:r w:rsidRPr="004F758A">
        <w:rPr>
          <w:b/>
          <w:iCs/>
          <w:color w:val="314364"/>
          <w:szCs w:val="18"/>
        </w:rPr>
        <w:t xml:space="preserve"> 2014 </w:t>
      </w:r>
      <w:r>
        <w:rPr>
          <w:b/>
          <w:iCs/>
          <w:color w:val="314364"/>
          <w:szCs w:val="18"/>
        </w:rPr>
        <w:t>–</w:t>
      </w:r>
      <w:r w:rsidRPr="004F758A">
        <w:rPr>
          <w:b/>
          <w:iCs/>
          <w:color w:val="314364"/>
          <w:szCs w:val="18"/>
        </w:rPr>
        <w:t xml:space="preserve"> 2020</w:t>
      </w:r>
      <w:r>
        <w:rPr>
          <w:b/>
          <w:iCs/>
          <w:color w:val="314364"/>
          <w:szCs w:val="18"/>
        </w:rPr>
        <w:t xml:space="preserve"> za zdroj EÚ (v mil. eur</w:t>
      </w:r>
      <w:r w:rsidR="00832BC2">
        <w:rPr>
          <w:b/>
          <w:iCs/>
          <w:color w:val="314364"/>
          <w:szCs w:val="18"/>
        </w:rPr>
        <w:t>;</w:t>
      </w:r>
      <w:r>
        <w:rPr>
          <w:b/>
          <w:iCs/>
          <w:color w:val="314364"/>
          <w:szCs w:val="18"/>
        </w:rPr>
        <w:t xml:space="preserve"> v %)</w:t>
      </w:r>
    </w:p>
    <w:tbl>
      <w:tblPr>
        <w:tblW w:w="5000" w:type="pct"/>
        <w:tblCellMar>
          <w:left w:w="70" w:type="dxa"/>
          <w:right w:w="70" w:type="dxa"/>
        </w:tblCellMar>
        <w:tblLook w:val="04A0" w:firstRow="1" w:lastRow="0" w:firstColumn="1" w:lastColumn="0" w:noHBand="0" w:noVBand="1"/>
      </w:tblPr>
      <w:tblGrid>
        <w:gridCol w:w="2533"/>
        <w:gridCol w:w="821"/>
        <w:gridCol w:w="1181"/>
        <w:gridCol w:w="1041"/>
        <w:gridCol w:w="1110"/>
        <w:gridCol w:w="1181"/>
        <w:gridCol w:w="1203"/>
      </w:tblGrid>
      <w:tr w:rsidR="008A53BE" w:rsidRPr="008A0F05" w14:paraId="47A39350" w14:textId="77777777" w:rsidTr="00630F3B">
        <w:trPr>
          <w:trHeight w:val="283"/>
        </w:trPr>
        <w:tc>
          <w:tcPr>
            <w:tcW w:w="1396" w:type="pct"/>
            <w:tcBorders>
              <w:top w:val="nil"/>
              <w:left w:val="nil"/>
              <w:bottom w:val="nil"/>
              <w:right w:val="nil"/>
            </w:tcBorders>
            <w:shd w:val="clear" w:color="000000" w:fill="314364"/>
            <w:vAlign w:val="center"/>
            <w:hideMark/>
          </w:tcPr>
          <w:p w14:paraId="7DC5BB6B" w14:textId="77777777" w:rsidR="008A53BE" w:rsidRPr="008A0F05" w:rsidRDefault="008A53BE" w:rsidP="00630F3B">
            <w:pPr>
              <w:spacing w:after="0" w:line="240" w:lineRule="auto"/>
              <w:jc w:val="left"/>
              <w:rPr>
                <w:rFonts w:eastAsia="Times New Roman" w:cs="Segoe UI"/>
                <w:b/>
                <w:bCs/>
                <w:color w:val="FFFFFF"/>
                <w:sz w:val="16"/>
                <w:szCs w:val="16"/>
                <w:lang w:eastAsia="sk-SK"/>
              </w:rPr>
            </w:pPr>
            <w:r w:rsidRPr="008A0F05">
              <w:rPr>
                <w:rFonts w:eastAsia="Times New Roman" w:cs="Segoe UI"/>
                <w:b/>
                <w:bCs/>
                <w:color w:val="FFFFFF"/>
                <w:sz w:val="16"/>
                <w:szCs w:val="16"/>
                <w:lang w:eastAsia="sk-SK"/>
              </w:rPr>
              <w:t>Operačný program</w:t>
            </w:r>
          </w:p>
        </w:tc>
        <w:tc>
          <w:tcPr>
            <w:tcW w:w="452" w:type="pct"/>
            <w:tcBorders>
              <w:top w:val="nil"/>
              <w:left w:val="nil"/>
              <w:bottom w:val="nil"/>
              <w:right w:val="nil"/>
            </w:tcBorders>
            <w:shd w:val="clear" w:color="000000" w:fill="314364"/>
            <w:vAlign w:val="center"/>
            <w:hideMark/>
          </w:tcPr>
          <w:p w14:paraId="25B3E1D2" w14:textId="77777777" w:rsidR="008A53BE" w:rsidRPr="008A0F05" w:rsidRDefault="008A53BE" w:rsidP="00630F3B">
            <w:pPr>
              <w:spacing w:after="0" w:line="240" w:lineRule="auto"/>
              <w:jc w:val="center"/>
              <w:rPr>
                <w:rFonts w:eastAsia="Times New Roman" w:cs="Segoe UI"/>
                <w:b/>
                <w:bCs/>
                <w:color w:val="FFFFFF"/>
                <w:sz w:val="16"/>
                <w:szCs w:val="16"/>
                <w:lang w:eastAsia="sk-SK"/>
              </w:rPr>
            </w:pPr>
            <w:r w:rsidRPr="008A0F05">
              <w:rPr>
                <w:rFonts w:eastAsia="Times New Roman" w:cs="Segoe UI"/>
                <w:b/>
                <w:bCs/>
                <w:color w:val="FFFFFF"/>
                <w:sz w:val="16"/>
                <w:szCs w:val="16"/>
                <w:lang w:eastAsia="sk-SK"/>
              </w:rPr>
              <w:t>Alokácia</w:t>
            </w:r>
          </w:p>
        </w:tc>
        <w:tc>
          <w:tcPr>
            <w:tcW w:w="651" w:type="pct"/>
            <w:tcBorders>
              <w:top w:val="nil"/>
              <w:left w:val="nil"/>
              <w:bottom w:val="nil"/>
              <w:right w:val="nil"/>
            </w:tcBorders>
            <w:shd w:val="clear" w:color="000000" w:fill="314364"/>
            <w:vAlign w:val="center"/>
            <w:hideMark/>
          </w:tcPr>
          <w:p w14:paraId="00EB0923" w14:textId="77777777" w:rsidR="008A53BE" w:rsidRPr="008A0F05" w:rsidRDefault="008A53BE" w:rsidP="00630F3B">
            <w:pPr>
              <w:spacing w:after="0" w:line="240" w:lineRule="auto"/>
              <w:jc w:val="center"/>
              <w:rPr>
                <w:rFonts w:eastAsia="Times New Roman" w:cs="Segoe UI"/>
                <w:b/>
                <w:bCs/>
                <w:color w:val="FFFFFF"/>
                <w:sz w:val="16"/>
                <w:szCs w:val="16"/>
                <w:lang w:eastAsia="sk-SK"/>
              </w:rPr>
            </w:pPr>
            <w:r w:rsidRPr="008A0F05">
              <w:rPr>
                <w:rFonts w:eastAsia="Times New Roman" w:cs="Segoe UI"/>
                <w:b/>
                <w:bCs/>
                <w:color w:val="FFFFFF"/>
                <w:sz w:val="16"/>
                <w:szCs w:val="16"/>
                <w:lang w:eastAsia="sk-SK"/>
              </w:rPr>
              <w:t>Čerpanie za rok 2024</w:t>
            </w:r>
          </w:p>
        </w:tc>
        <w:tc>
          <w:tcPr>
            <w:tcW w:w="574" w:type="pct"/>
            <w:tcBorders>
              <w:top w:val="nil"/>
              <w:left w:val="nil"/>
              <w:bottom w:val="nil"/>
              <w:right w:val="nil"/>
            </w:tcBorders>
            <w:shd w:val="clear" w:color="000000" w:fill="314364"/>
            <w:vAlign w:val="center"/>
            <w:hideMark/>
          </w:tcPr>
          <w:p w14:paraId="53CA4101" w14:textId="77777777" w:rsidR="008A53BE" w:rsidRPr="008A0F05" w:rsidRDefault="008A53BE" w:rsidP="00630F3B">
            <w:pPr>
              <w:spacing w:after="0" w:line="240" w:lineRule="auto"/>
              <w:jc w:val="center"/>
              <w:rPr>
                <w:rFonts w:eastAsia="Times New Roman" w:cs="Segoe UI"/>
                <w:b/>
                <w:bCs/>
                <w:color w:val="FFFFFF"/>
                <w:sz w:val="16"/>
                <w:szCs w:val="16"/>
                <w:lang w:eastAsia="sk-SK"/>
              </w:rPr>
            </w:pPr>
            <w:r w:rsidRPr="008A0F05">
              <w:rPr>
                <w:rFonts w:eastAsia="Times New Roman" w:cs="Segoe UI"/>
                <w:b/>
                <w:bCs/>
                <w:color w:val="FFFFFF"/>
                <w:sz w:val="16"/>
                <w:szCs w:val="16"/>
                <w:lang w:eastAsia="sk-SK"/>
              </w:rPr>
              <w:t>Čerpanie k 31.12.2024</w:t>
            </w:r>
          </w:p>
        </w:tc>
        <w:tc>
          <w:tcPr>
            <w:tcW w:w="612" w:type="pct"/>
            <w:tcBorders>
              <w:top w:val="nil"/>
              <w:left w:val="nil"/>
              <w:bottom w:val="nil"/>
              <w:right w:val="nil"/>
            </w:tcBorders>
            <w:shd w:val="clear" w:color="000000" w:fill="314364"/>
            <w:vAlign w:val="center"/>
            <w:hideMark/>
          </w:tcPr>
          <w:p w14:paraId="112CB389" w14:textId="77777777" w:rsidR="008A53BE" w:rsidRPr="008A0F05" w:rsidRDefault="008A53BE" w:rsidP="00630F3B">
            <w:pPr>
              <w:spacing w:after="0" w:line="240" w:lineRule="auto"/>
              <w:jc w:val="center"/>
              <w:rPr>
                <w:rFonts w:eastAsia="Times New Roman" w:cs="Segoe UI"/>
                <w:b/>
                <w:bCs/>
                <w:color w:val="FFFFFF"/>
                <w:sz w:val="16"/>
                <w:szCs w:val="16"/>
                <w:lang w:eastAsia="sk-SK"/>
              </w:rPr>
            </w:pPr>
            <w:r w:rsidRPr="008A0F05">
              <w:rPr>
                <w:rFonts w:eastAsia="Times New Roman" w:cs="Segoe UI"/>
                <w:b/>
                <w:bCs/>
                <w:color w:val="FFFFFF"/>
                <w:sz w:val="16"/>
                <w:szCs w:val="16"/>
                <w:lang w:eastAsia="sk-SK"/>
              </w:rPr>
              <w:t>Čerpanie k 31.3.2025</w:t>
            </w:r>
          </w:p>
        </w:tc>
        <w:tc>
          <w:tcPr>
            <w:tcW w:w="651" w:type="pct"/>
            <w:tcBorders>
              <w:top w:val="nil"/>
              <w:left w:val="nil"/>
              <w:bottom w:val="nil"/>
              <w:right w:val="nil"/>
            </w:tcBorders>
            <w:shd w:val="clear" w:color="000000" w:fill="314364"/>
            <w:vAlign w:val="center"/>
            <w:hideMark/>
          </w:tcPr>
          <w:p w14:paraId="7AF04A7C" w14:textId="77777777" w:rsidR="008A53BE" w:rsidRPr="008A0F05" w:rsidRDefault="008A53BE" w:rsidP="00630F3B">
            <w:pPr>
              <w:spacing w:after="0" w:line="240" w:lineRule="auto"/>
              <w:jc w:val="center"/>
              <w:rPr>
                <w:rFonts w:eastAsia="Times New Roman" w:cs="Segoe UI"/>
                <w:b/>
                <w:bCs/>
                <w:color w:val="FFFFFF"/>
                <w:sz w:val="16"/>
                <w:szCs w:val="16"/>
                <w:lang w:eastAsia="sk-SK"/>
              </w:rPr>
            </w:pPr>
            <w:r w:rsidRPr="008A0F05">
              <w:rPr>
                <w:rFonts w:eastAsia="Times New Roman" w:cs="Segoe UI"/>
                <w:b/>
                <w:bCs/>
                <w:color w:val="FFFFFF"/>
                <w:sz w:val="16"/>
                <w:szCs w:val="16"/>
                <w:lang w:eastAsia="sk-SK"/>
              </w:rPr>
              <w:t xml:space="preserve">Zmena čerpania </w:t>
            </w:r>
            <w:r>
              <w:rPr>
                <w:rFonts w:eastAsia="Times New Roman" w:cs="Segoe UI"/>
                <w:b/>
                <w:bCs/>
                <w:color w:val="FFFFFF"/>
                <w:sz w:val="16"/>
                <w:szCs w:val="16"/>
                <w:lang w:eastAsia="sk-SK"/>
              </w:rPr>
              <w:t xml:space="preserve">             </w:t>
            </w:r>
            <w:r w:rsidRPr="008A0F05">
              <w:rPr>
                <w:rFonts w:eastAsia="Times New Roman" w:cs="Segoe UI"/>
                <w:b/>
                <w:bCs/>
                <w:color w:val="FFFFFF"/>
                <w:sz w:val="16"/>
                <w:szCs w:val="16"/>
                <w:lang w:eastAsia="sk-SK"/>
              </w:rPr>
              <w:t>od 1.1.2025 do 31.3.2025</w:t>
            </w:r>
          </w:p>
        </w:tc>
        <w:tc>
          <w:tcPr>
            <w:tcW w:w="663" w:type="pct"/>
            <w:tcBorders>
              <w:top w:val="nil"/>
              <w:left w:val="nil"/>
              <w:bottom w:val="nil"/>
              <w:right w:val="nil"/>
            </w:tcBorders>
            <w:shd w:val="clear" w:color="000000" w:fill="314364"/>
            <w:vAlign w:val="center"/>
            <w:hideMark/>
          </w:tcPr>
          <w:p w14:paraId="6F666E55" w14:textId="77777777" w:rsidR="008A53BE" w:rsidRPr="008A0F05" w:rsidRDefault="008A53BE" w:rsidP="00630F3B">
            <w:pPr>
              <w:spacing w:after="0" w:line="240" w:lineRule="auto"/>
              <w:jc w:val="center"/>
              <w:rPr>
                <w:rFonts w:eastAsia="Times New Roman" w:cs="Segoe UI"/>
                <w:b/>
                <w:bCs/>
                <w:color w:val="FFFFFF"/>
                <w:sz w:val="16"/>
                <w:szCs w:val="16"/>
                <w:lang w:eastAsia="sk-SK"/>
              </w:rPr>
            </w:pPr>
            <w:r w:rsidRPr="008A0F05">
              <w:rPr>
                <w:rFonts w:eastAsia="Times New Roman" w:cs="Segoe UI"/>
                <w:b/>
                <w:bCs/>
                <w:color w:val="FFFFFF"/>
                <w:sz w:val="16"/>
                <w:szCs w:val="16"/>
                <w:lang w:eastAsia="sk-SK"/>
              </w:rPr>
              <w:t>% čerpania z alokácie k 31.3.2025</w:t>
            </w:r>
          </w:p>
        </w:tc>
      </w:tr>
      <w:tr w:rsidR="008A53BE" w:rsidRPr="008A0F05" w14:paraId="59982F46" w14:textId="77777777" w:rsidTr="00630F3B">
        <w:trPr>
          <w:trHeight w:val="283"/>
        </w:trPr>
        <w:tc>
          <w:tcPr>
            <w:tcW w:w="1396" w:type="pct"/>
            <w:tcBorders>
              <w:top w:val="nil"/>
              <w:left w:val="nil"/>
              <w:bottom w:val="nil"/>
              <w:right w:val="nil"/>
            </w:tcBorders>
            <w:shd w:val="clear" w:color="auto" w:fill="auto"/>
            <w:vAlign w:val="center"/>
            <w:hideMark/>
          </w:tcPr>
          <w:p w14:paraId="69573535" w14:textId="77777777" w:rsidR="008A53BE" w:rsidRPr="008A0F05" w:rsidRDefault="008A53BE" w:rsidP="00630F3B">
            <w:pPr>
              <w:spacing w:after="0" w:line="240" w:lineRule="auto"/>
              <w:jc w:val="left"/>
              <w:rPr>
                <w:rFonts w:eastAsia="Times New Roman" w:cs="Segoe UI"/>
                <w:color w:val="000000"/>
                <w:sz w:val="16"/>
                <w:szCs w:val="16"/>
                <w:lang w:eastAsia="sk-SK"/>
              </w:rPr>
            </w:pPr>
            <w:r>
              <w:rPr>
                <w:rFonts w:eastAsia="Times New Roman" w:cs="Segoe UI"/>
                <w:color w:val="000000"/>
                <w:sz w:val="16"/>
                <w:szCs w:val="16"/>
                <w:lang w:eastAsia="sk-SK"/>
              </w:rPr>
              <w:t xml:space="preserve">Integrovaný regionálny </w:t>
            </w:r>
            <w:r w:rsidRPr="008A0F05">
              <w:rPr>
                <w:rFonts w:eastAsia="Times New Roman" w:cs="Segoe UI"/>
                <w:color w:val="000000"/>
                <w:sz w:val="16"/>
                <w:szCs w:val="16"/>
                <w:lang w:eastAsia="sk-SK"/>
              </w:rPr>
              <w:t>OP</w:t>
            </w:r>
          </w:p>
        </w:tc>
        <w:tc>
          <w:tcPr>
            <w:tcW w:w="452" w:type="pct"/>
            <w:tcBorders>
              <w:top w:val="nil"/>
              <w:left w:val="nil"/>
              <w:bottom w:val="nil"/>
              <w:right w:val="nil"/>
            </w:tcBorders>
            <w:shd w:val="clear" w:color="auto" w:fill="auto"/>
            <w:vAlign w:val="center"/>
            <w:hideMark/>
          </w:tcPr>
          <w:p w14:paraId="51A12797"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1 935,7</w:t>
            </w:r>
          </w:p>
        </w:tc>
        <w:tc>
          <w:tcPr>
            <w:tcW w:w="651" w:type="pct"/>
            <w:tcBorders>
              <w:top w:val="nil"/>
              <w:left w:val="nil"/>
              <w:bottom w:val="nil"/>
              <w:right w:val="nil"/>
            </w:tcBorders>
            <w:shd w:val="clear" w:color="auto" w:fill="auto"/>
            <w:vAlign w:val="center"/>
            <w:hideMark/>
          </w:tcPr>
          <w:p w14:paraId="2E78B6EE"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327,2</w:t>
            </w:r>
          </w:p>
        </w:tc>
        <w:tc>
          <w:tcPr>
            <w:tcW w:w="574" w:type="pct"/>
            <w:tcBorders>
              <w:top w:val="nil"/>
              <w:left w:val="nil"/>
              <w:bottom w:val="nil"/>
              <w:right w:val="nil"/>
            </w:tcBorders>
            <w:shd w:val="clear" w:color="auto" w:fill="auto"/>
            <w:vAlign w:val="center"/>
            <w:hideMark/>
          </w:tcPr>
          <w:p w14:paraId="680E9197"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2 113,2</w:t>
            </w:r>
          </w:p>
        </w:tc>
        <w:tc>
          <w:tcPr>
            <w:tcW w:w="612" w:type="pct"/>
            <w:tcBorders>
              <w:top w:val="nil"/>
              <w:left w:val="nil"/>
              <w:bottom w:val="nil"/>
              <w:right w:val="nil"/>
            </w:tcBorders>
            <w:shd w:val="clear" w:color="auto" w:fill="auto"/>
            <w:vAlign w:val="center"/>
            <w:hideMark/>
          </w:tcPr>
          <w:p w14:paraId="11F4327D"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2 113,1</w:t>
            </w:r>
          </w:p>
        </w:tc>
        <w:tc>
          <w:tcPr>
            <w:tcW w:w="651" w:type="pct"/>
            <w:tcBorders>
              <w:top w:val="nil"/>
              <w:left w:val="nil"/>
              <w:bottom w:val="nil"/>
              <w:right w:val="nil"/>
            </w:tcBorders>
            <w:shd w:val="clear" w:color="auto" w:fill="auto"/>
            <w:vAlign w:val="center"/>
            <w:hideMark/>
          </w:tcPr>
          <w:p w14:paraId="604196B6"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-0,1</w:t>
            </w:r>
          </w:p>
        </w:tc>
        <w:tc>
          <w:tcPr>
            <w:tcW w:w="663" w:type="pct"/>
            <w:tcBorders>
              <w:top w:val="nil"/>
              <w:left w:val="nil"/>
              <w:bottom w:val="nil"/>
              <w:right w:val="nil"/>
            </w:tcBorders>
            <w:shd w:val="clear" w:color="auto" w:fill="auto"/>
            <w:vAlign w:val="center"/>
            <w:hideMark/>
          </w:tcPr>
          <w:p w14:paraId="4F3FB1E3"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109,2%</w:t>
            </w:r>
          </w:p>
        </w:tc>
      </w:tr>
      <w:tr w:rsidR="008A53BE" w:rsidRPr="008A0F05" w14:paraId="1CB0ABDE" w14:textId="77777777" w:rsidTr="00630F3B">
        <w:trPr>
          <w:trHeight w:val="283"/>
        </w:trPr>
        <w:tc>
          <w:tcPr>
            <w:tcW w:w="1396" w:type="pct"/>
            <w:tcBorders>
              <w:top w:val="nil"/>
              <w:left w:val="nil"/>
              <w:bottom w:val="nil"/>
              <w:right w:val="nil"/>
            </w:tcBorders>
            <w:shd w:val="clear" w:color="auto" w:fill="auto"/>
            <w:vAlign w:val="center"/>
            <w:hideMark/>
          </w:tcPr>
          <w:p w14:paraId="3E5A7A27" w14:textId="77777777" w:rsidR="008A53BE" w:rsidRPr="008A0F05" w:rsidRDefault="008A53BE" w:rsidP="00630F3B">
            <w:pPr>
              <w:spacing w:after="0" w:line="240" w:lineRule="auto"/>
              <w:jc w:val="left"/>
              <w:rPr>
                <w:rFonts w:eastAsia="Times New Roman" w:cs="Segoe UI"/>
                <w:color w:val="000000"/>
                <w:sz w:val="16"/>
                <w:szCs w:val="16"/>
                <w:lang w:eastAsia="sk-SK"/>
              </w:rPr>
            </w:pPr>
            <w:r w:rsidRPr="008A0F05">
              <w:rPr>
                <w:rFonts w:eastAsia="Times New Roman" w:cs="Segoe UI"/>
                <w:color w:val="000000"/>
                <w:sz w:val="16"/>
                <w:szCs w:val="16"/>
                <w:lang w:eastAsia="sk-SK"/>
              </w:rPr>
              <w:t xml:space="preserve">OP </w:t>
            </w:r>
            <w:r>
              <w:rPr>
                <w:rFonts w:eastAsia="Times New Roman" w:cs="Segoe UI"/>
                <w:color w:val="000000"/>
                <w:sz w:val="16"/>
                <w:szCs w:val="16"/>
                <w:lang w:eastAsia="sk-SK"/>
              </w:rPr>
              <w:t>Technická pomoc</w:t>
            </w:r>
          </w:p>
        </w:tc>
        <w:tc>
          <w:tcPr>
            <w:tcW w:w="452" w:type="pct"/>
            <w:tcBorders>
              <w:top w:val="nil"/>
              <w:left w:val="nil"/>
              <w:bottom w:val="nil"/>
              <w:right w:val="nil"/>
            </w:tcBorders>
            <w:shd w:val="clear" w:color="auto" w:fill="auto"/>
            <w:vAlign w:val="center"/>
            <w:hideMark/>
          </w:tcPr>
          <w:p w14:paraId="300D0F53"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159,1</w:t>
            </w:r>
          </w:p>
        </w:tc>
        <w:tc>
          <w:tcPr>
            <w:tcW w:w="651" w:type="pct"/>
            <w:tcBorders>
              <w:top w:val="nil"/>
              <w:left w:val="nil"/>
              <w:bottom w:val="nil"/>
              <w:right w:val="nil"/>
            </w:tcBorders>
            <w:shd w:val="clear" w:color="auto" w:fill="auto"/>
            <w:vAlign w:val="center"/>
            <w:hideMark/>
          </w:tcPr>
          <w:p w14:paraId="00119EE0"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1,5</w:t>
            </w:r>
          </w:p>
        </w:tc>
        <w:tc>
          <w:tcPr>
            <w:tcW w:w="574" w:type="pct"/>
            <w:tcBorders>
              <w:top w:val="nil"/>
              <w:left w:val="nil"/>
              <w:bottom w:val="nil"/>
              <w:right w:val="nil"/>
            </w:tcBorders>
            <w:shd w:val="clear" w:color="auto" w:fill="auto"/>
            <w:vAlign w:val="center"/>
            <w:hideMark/>
          </w:tcPr>
          <w:p w14:paraId="3F08A1EF"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159,1</w:t>
            </w:r>
          </w:p>
        </w:tc>
        <w:tc>
          <w:tcPr>
            <w:tcW w:w="612" w:type="pct"/>
            <w:tcBorders>
              <w:top w:val="nil"/>
              <w:left w:val="nil"/>
              <w:bottom w:val="nil"/>
              <w:right w:val="nil"/>
            </w:tcBorders>
            <w:shd w:val="clear" w:color="auto" w:fill="auto"/>
            <w:vAlign w:val="center"/>
            <w:hideMark/>
          </w:tcPr>
          <w:p w14:paraId="49392E42"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159,1</w:t>
            </w:r>
          </w:p>
        </w:tc>
        <w:tc>
          <w:tcPr>
            <w:tcW w:w="651" w:type="pct"/>
            <w:tcBorders>
              <w:top w:val="nil"/>
              <w:left w:val="nil"/>
              <w:bottom w:val="nil"/>
              <w:right w:val="nil"/>
            </w:tcBorders>
            <w:shd w:val="clear" w:color="auto" w:fill="auto"/>
            <w:vAlign w:val="center"/>
            <w:hideMark/>
          </w:tcPr>
          <w:p w14:paraId="31B078B0"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0,0</w:t>
            </w:r>
          </w:p>
        </w:tc>
        <w:tc>
          <w:tcPr>
            <w:tcW w:w="663" w:type="pct"/>
            <w:tcBorders>
              <w:top w:val="nil"/>
              <w:left w:val="nil"/>
              <w:bottom w:val="nil"/>
              <w:right w:val="nil"/>
            </w:tcBorders>
            <w:shd w:val="clear" w:color="auto" w:fill="auto"/>
            <w:vAlign w:val="center"/>
            <w:hideMark/>
          </w:tcPr>
          <w:p w14:paraId="5A12C231"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100,0%</w:t>
            </w:r>
          </w:p>
        </w:tc>
      </w:tr>
      <w:tr w:rsidR="008A53BE" w:rsidRPr="008A0F05" w14:paraId="5B13C7F5" w14:textId="77777777" w:rsidTr="00630F3B">
        <w:trPr>
          <w:trHeight w:val="283"/>
        </w:trPr>
        <w:tc>
          <w:tcPr>
            <w:tcW w:w="1396" w:type="pct"/>
            <w:tcBorders>
              <w:top w:val="nil"/>
              <w:left w:val="nil"/>
              <w:bottom w:val="nil"/>
              <w:right w:val="nil"/>
            </w:tcBorders>
            <w:shd w:val="clear" w:color="auto" w:fill="auto"/>
            <w:vAlign w:val="center"/>
            <w:hideMark/>
          </w:tcPr>
          <w:p w14:paraId="40BE23DD" w14:textId="77777777" w:rsidR="008A53BE" w:rsidRPr="008A0F05" w:rsidRDefault="008A53BE" w:rsidP="00630F3B">
            <w:pPr>
              <w:spacing w:after="0" w:line="240" w:lineRule="auto"/>
              <w:jc w:val="left"/>
              <w:rPr>
                <w:rFonts w:eastAsia="Times New Roman" w:cs="Segoe UI"/>
                <w:color w:val="000000"/>
                <w:sz w:val="16"/>
                <w:szCs w:val="16"/>
                <w:lang w:eastAsia="sk-SK"/>
              </w:rPr>
            </w:pPr>
            <w:r w:rsidRPr="008A0F05">
              <w:rPr>
                <w:rFonts w:eastAsia="Times New Roman" w:cs="Segoe UI"/>
                <w:color w:val="000000"/>
                <w:sz w:val="16"/>
                <w:szCs w:val="16"/>
                <w:lang w:eastAsia="sk-SK"/>
              </w:rPr>
              <w:t xml:space="preserve">PS INTERACT III </w:t>
            </w:r>
          </w:p>
        </w:tc>
        <w:tc>
          <w:tcPr>
            <w:tcW w:w="452" w:type="pct"/>
            <w:tcBorders>
              <w:top w:val="nil"/>
              <w:left w:val="nil"/>
              <w:bottom w:val="nil"/>
              <w:right w:val="nil"/>
            </w:tcBorders>
            <w:shd w:val="clear" w:color="auto" w:fill="auto"/>
            <w:vAlign w:val="center"/>
            <w:hideMark/>
          </w:tcPr>
          <w:p w14:paraId="5972A24F"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39,4</w:t>
            </w:r>
          </w:p>
        </w:tc>
        <w:tc>
          <w:tcPr>
            <w:tcW w:w="651" w:type="pct"/>
            <w:tcBorders>
              <w:top w:val="nil"/>
              <w:left w:val="nil"/>
              <w:bottom w:val="nil"/>
              <w:right w:val="nil"/>
            </w:tcBorders>
            <w:shd w:val="clear" w:color="auto" w:fill="auto"/>
            <w:vAlign w:val="center"/>
            <w:hideMark/>
          </w:tcPr>
          <w:p w14:paraId="1DC9A66A"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0,0</w:t>
            </w:r>
          </w:p>
        </w:tc>
        <w:tc>
          <w:tcPr>
            <w:tcW w:w="574" w:type="pct"/>
            <w:tcBorders>
              <w:top w:val="nil"/>
              <w:left w:val="nil"/>
              <w:bottom w:val="nil"/>
              <w:right w:val="nil"/>
            </w:tcBorders>
            <w:shd w:val="clear" w:color="auto" w:fill="auto"/>
            <w:vAlign w:val="center"/>
            <w:hideMark/>
          </w:tcPr>
          <w:p w14:paraId="5C01F1B2"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39,1</w:t>
            </w:r>
          </w:p>
        </w:tc>
        <w:tc>
          <w:tcPr>
            <w:tcW w:w="612" w:type="pct"/>
            <w:tcBorders>
              <w:top w:val="nil"/>
              <w:left w:val="nil"/>
              <w:bottom w:val="nil"/>
              <w:right w:val="nil"/>
            </w:tcBorders>
            <w:shd w:val="clear" w:color="auto" w:fill="auto"/>
            <w:vAlign w:val="center"/>
            <w:hideMark/>
          </w:tcPr>
          <w:p w14:paraId="51A2148D"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39,1</w:t>
            </w:r>
          </w:p>
        </w:tc>
        <w:tc>
          <w:tcPr>
            <w:tcW w:w="651" w:type="pct"/>
            <w:tcBorders>
              <w:top w:val="nil"/>
              <w:left w:val="nil"/>
              <w:bottom w:val="nil"/>
              <w:right w:val="nil"/>
            </w:tcBorders>
            <w:shd w:val="clear" w:color="auto" w:fill="auto"/>
            <w:vAlign w:val="center"/>
            <w:hideMark/>
          </w:tcPr>
          <w:p w14:paraId="51FB4BB9"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0,0</w:t>
            </w:r>
          </w:p>
        </w:tc>
        <w:tc>
          <w:tcPr>
            <w:tcW w:w="663" w:type="pct"/>
            <w:tcBorders>
              <w:top w:val="nil"/>
              <w:left w:val="nil"/>
              <w:bottom w:val="nil"/>
              <w:right w:val="nil"/>
            </w:tcBorders>
            <w:shd w:val="clear" w:color="auto" w:fill="auto"/>
            <w:vAlign w:val="center"/>
            <w:hideMark/>
          </w:tcPr>
          <w:p w14:paraId="3094E4A1"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99,3%</w:t>
            </w:r>
          </w:p>
        </w:tc>
      </w:tr>
      <w:tr w:rsidR="008A53BE" w:rsidRPr="008A0F05" w14:paraId="45DF4202" w14:textId="77777777" w:rsidTr="00630F3B">
        <w:trPr>
          <w:trHeight w:val="283"/>
        </w:trPr>
        <w:tc>
          <w:tcPr>
            <w:tcW w:w="1396" w:type="pct"/>
            <w:tcBorders>
              <w:top w:val="nil"/>
              <w:left w:val="nil"/>
              <w:bottom w:val="nil"/>
              <w:right w:val="nil"/>
            </w:tcBorders>
            <w:shd w:val="clear" w:color="auto" w:fill="auto"/>
            <w:vAlign w:val="center"/>
            <w:hideMark/>
          </w:tcPr>
          <w:p w14:paraId="20EAE92F" w14:textId="77777777" w:rsidR="008A53BE" w:rsidRPr="008A0F05" w:rsidRDefault="008A53BE" w:rsidP="00630F3B">
            <w:pPr>
              <w:spacing w:after="0" w:line="240" w:lineRule="auto"/>
              <w:jc w:val="left"/>
              <w:rPr>
                <w:rFonts w:eastAsia="Times New Roman" w:cs="Segoe UI"/>
                <w:color w:val="000000"/>
                <w:sz w:val="16"/>
                <w:szCs w:val="16"/>
                <w:lang w:eastAsia="sk-SK"/>
              </w:rPr>
            </w:pPr>
            <w:r w:rsidRPr="008A0F05">
              <w:rPr>
                <w:rFonts w:eastAsia="Times New Roman" w:cs="Segoe UI"/>
                <w:color w:val="000000"/>
                <w:sz w:val="16"/>
                <w:szCs w:val="16"/>
                <w:lang w:eastAsia="sk-SK"/>
              </w:rPr>
              <w:t>OP</w:t>
            </w:r>
            <w:r>
              <w:rPr>
                <w:rFonts w:eastAsia="Times New Roman" w:cs="Segoe UI"/>
                <w:color w:val="000000"/>
                <w:sz w:val="16"/>
                <w:szCs w:val="16"/>
                <w:lang w:eastAsia="sk-SK"/>
              </w:rPr>
              <w:t xml:space="preserve"> Integrovaná infraštruktúra</w:t>
            </w:r>
          </w:p>
        </w:tc>
        <w:tc>
          <w:tcPr>
            <w:tcW w:w="452" w:type="pct"/>
            <w:tcBorders>
              <w:top w:val="nil"/>
              <w:left w:val="nil"/>
              <w:bottom w:val="nil"/>
              <w:right w:val="nil"/>
            </w:tcBorders>
            <w:shd w:val="clear" w:color="auto" w:fill="auto"/>
            <w:vAlign w:val="center"/>
            <w:hideMark/>
          </w:tcPr>
          <w:p w14:paraId="6F00681E"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6 009,9</w:t>
            </w:r>
          </w:p>
        </w:tc>
        <w:tc>
          <w:tcPr>
            <w:tcW w:w="651" w:type="pct"/>
            <w:tcBorders>
              <w:top w:val="nil"/>
              <w:left w:val="nil"/>
              <w:bottom w:val="nil"/>
              <w:right w:val="nil"/>
            </w:tcBorders>
            <w:shd w:val="clear" w:color="auto" w:fill="auto"/>
            <w:vAlign w:val="center"/>
            <w:hideMark/>
          </w:tcPr>
          <w:p w14:paraId="7DA74201"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779,4</w:t>
            </w:r>
          </w:p>
        </w:tc>
        <w:tc>
          <w:tcPr>
            <w:tcW w:w="574" w:type="pct"/>
            <w:tcBorders>
              <w:top w:val="nil"/>
              <w:left w:val="nil"/>
              <w:bottom w:val="nil"/>
              <w:right w:val="nil"/>
            </w:tcBorders>
            <w:shd w:val="clear" w:color="auto" w:fill="auto"/>
            <w:vAlign w:val="center"/>
            <w:hideMark/>
          </w:tcPr>
          <w:p w14:paraId="149C0AFD"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5 962,6</w:t>
            </w:r>
          </w:p>
        </w:tc>
        <w:tc>
          <w:tcPr>
            <w:tcW w:w="612" w:type="pct"/>
            <w:tcBorders>
              <w:top w:val="nil"/>
              <w:left w:val="nil"/>
              <w:bottom w:val="nil"/>
              <w:right w:val="nil"/>
            </w:tcBorders>
            <w:shd w:val="clear" w:color="auto" w:fill="auto"/>
            <w:vAlign w:val="center"/>
            <w:hideMark/>
          </w:tcPr>
          <w:p w14:paraId="415E51AB"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5 961,6</w:t>
            </w:r>
          </w:p>
        </w:tc>
        <w:tc>
          <w:tcPr>
            <w:tcW w:w="651" w:type="pct"/>
            <w:tcBorders>
              <w:top w:val="nil"/>
              <w:left w:val="nil"/>
              <w:bottom w:val="nil"/>
              <w:right w:val="nil"/>
            </w:tcBorders>
            <w:shd w:val="clear" w:color="auto" w:fill="auto"/>
            <w:vAlign w:val="center"/>
            <w:hideMark/>
          </w:tcPr>
          <w:p w14:paraId="5A6FEB14"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-1,0</w:t>
            </w:r>
          </w:p>
        </w:tc>
        <w:tc>
          <w:tcPr>
            <w:tcW w:w="663" w:type="pct"/>
            <w:tcBorders>
              <w:top w:val="nil"/>
              <w:left w:val="nil"/>
              <w:bottom w:val="nil"/>
              <w:right w:val="nil"/>
            </w:tcBorders>
            <w:shd w:val="clear" w:color="auto" w:fill="auto"/>
            <w:vAlign w:val="center"/>
            <w:hideMark/>
          </w:tcPr>
          <w:p w14:paraId="129A55EE"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99,2%</w:t>
            </w:r>
          </w:p>
        </w:tc>
      </w:tr>
      <w:tr w:rsidR="008A53BE" w:rsidRPr="008A0F05" w14:paraId="14DCA713" w14:textId="77777777" w:rsidTr="00630F3B">
        <w:trPr>
          <w:trHeight w:val="283"/>
        </w:trPr>
        <w:tc>
          <w:tcPr>
            <w:tcW w:w="1396" w:type="pct"/>
            <w:tcBorders>
              <w:top w:val="nil"/>
              <w:left w:val="nil"/>
              <w:bottom w:val="nil"/>
              <w:right w:val="nil"/>
            </w:tcBorders>
            <w:shd w:val="clear" w:color="auto" w:fill="auto"/>
            <w:vAlign w:val="center"/>
            <w:hideMark/>
          </w:tcPr>
          <w:p w14:paraId="20F4298F" w14:textId="77777777" w:rsidR="008A53BE" w:rsidRPr="008A0F05" w:rsidRDefault="008A53BE" w:rsidP="00630F3B">
            <w:pPr>
              <w:spacing w:after="0" w:line="240" w:lineRule="auto"/>
              <w:jc w:val="left"/>
              <w:rPr>
                <w:rFonts w:eastAsia="Times New Roman" w:cs="Segoe UI"/>
                <w:color w:val="000000"/>
                <w:sz w:val="16"/>
                <w:szCs w:val="16"/>
                <w:lang w:eastAsia="sk-SK"/>
              </w:rPr>
            </w:pPr>
            <w:r w:rsidRPr="008A0F05">
              <w:rPr>
                <w:rFonts w:eastAsia="Times New Roman" w:cs="Segoe UI"/>
                <w:color w:val="000000"/>
                <w:sz w:val="16"/>
                <w:szCs w:val="16"/>
                <w:lang w:eastAsia="sk-SK"/>
              </w:rPr>
              <w:t>OP Ľ</w:t>
            </w:r>
            <w:r>
              <w:rPr>
                <w:rFonts w:eastAsia="Times New Roman" w:cs="Segoe UI"/>
                <w:color w:val="000000"/>
                <w:sz w:val="16"/>
                <w:szCs w:val="16"/>
                <w:lang w:eastAsia="sk-SK"/>
              </w:rPr>
              <w:t>udské zdroje</w:t>
            </w:r>
          </w:p>
        </w:tc>
        <w:tc>
          <w:tcPr>
            <w:tcW w:w="452" w:type="pct"/>
            <w:tcBorders>
              <w:top w:val="nil"/>
              <w:left w:val="nil"/>
              <w:bottom w:val="nil"/>
              <w:right w:val="nil"/>
            </w:tcBorders>
            <w:shd w:val="clear" w:color="auto" w:fill="auto"/>
            <w:vAlign w:val="center"/>
            <w:hideMark/>
          </w:tcPr>
          <w:p w14:paraId="51EB1CD4"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2 996,5</w:t>
            </w:r>
          </w:p>
        </w:tc>
        <w:tc>
          <w:tcPr>
            <w:tcW w:w="651" w:type="pct"/>
            <w:tcBorders>
              <w:top w:val="nil"/>
              <w:left w:val="nil"/>
              <w:bottom w:val="nil"/>
              <w:right w:val="nil"/>
            </w:tcBorders>
            <w:shd w:val="clear" w:color="auto" w:fill="auto"/>
            <w:vAlign w:val="center"/>
            <w:hideMark/>
          </w:tcPr>
          <w:p w14:paraId="43BDCE9A"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306,2</w:t>
            </w:r>
          </w:p>
        </w:tc>
        <w:tc>
          <w:tcPr>
            <w:tcW w:w="574" w:type="pct"/>
            <w:tcBorders>
              <w:top w:val="nil"/>
              <w:left w:val="nil"/>
              <w:bottom w:val="nil"/>
              <w:right w:val="nil"/>
            </w:tcBorders>
            <w:shd w:val="clear" w:color="auto" w:fill="auto"/>
            <w:vAlign w:val="center"/>
            <w:hideMark/>
          </w:tcPr>
          <w:p w14:paraId="63ABBEC3"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2 965,1</w:t>
            </w:r>
          </w:p>
        </w:tc>
        <w:tc>
          <w:tcPr>
            <w:tcW w:w="612" w:type="pct"/>
            <w:tcBorders>
              <w:top w:val="nil"/>
              <w:left w:val="nil"/>
              <w:bottom w:val="nil"/>
              <w:right w:val="nil"/>
            </w:tcBorders>
            <w:shd w:val="clear" w:color="auto" w:fill="auto"/>
            <w:vAlign w:val="center"/>
            <w:hideMark/>
          </w:tcPr>
          <w:p w14:paraId="4EC2305B"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2 965,0</w:t>
            </w:r>
          </w:p>
        </w:tc>
        <w:tc>
          <w:tcPr>
            <w:tcW w:w="651" w:type="pct"/>
            <w:tcBorders>
              <w:top w:val="nil"/>
              <w:left w:val="nil"/>
              <w:bottom w:val="nil"/>
              <w:right w:val="nil"/>
            </w:tcBorders>
            <w:shd w:val="clear" w:color="auto" w:fill="auto"/>
            <w:vAlign w:val="center"/>
            <w:hideMark/>
          </w:tcPr>
          <w:p w14:paraId="0AC5F405"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-0,1</w:t>
            </w:r>
          </w:p>
        </w:tc>
        <w:tc>
          <w:tcPr>
            <w:tcW w:w="663" w:type="pct"/>
            <w:tcBorders>
              <w:top w:val="nil"/>
              <w:left w:val="nil"/>
              <w:bottom w:val="nil"/>
              <w:right w:val="nil"/>
            </w:tcBorders>
            <w:shd w:val="clear" w:color="auto" w:fill="auto"/>
            <w:vAlign w:val="center"/>
            <w:hideMark/>
          </w:tcPr>
          <w:p w14:paraId="672F18F0"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99,0%</w:t>
            </w:r>
          </w:p>
        </w:tc>
      </w:tr>
      <w:tr w:rsidR="008A53BE" w:rsidRPr="008A0F05" w14:paraId="5DB2F50C" w14:textId="77777777" w:rsidTr="00630F3B">
        <w:trPr>
          <w:trHeight w:val="283"/>
        </w:trPr>
        <w:tc>
          <w:tcPr>
            <w:tcW w:w="1396" w:type="pct"/>
            <w:tcBorders>
              <w:top w:val="nil"/>
              <w:left w:val="nil"/>
              <w:bottom w:val="nil"/>
              <w:right w:val="nil"/>
            </w:tcBorders>
            <w:shd w:val="clear" w:color="auto" w:fill="auto"/>
            <w:vAlign w:val="center"/>
            <w:hideMark/>
          </w:tcPr>
          <w:p w14:paraId="70024F5A" w14:textId="77777777" w:rsidR="008A53BE" w:rsidRPr="008A0F05" w:rsidRDefault="008A53BE" w:rsidP="00630F3B">
            <w:pPr>
              <w:spacing w:after="0" w:line="240" w:lineRule="auto"/>
              <w:jc w:val="left"/>
              <w:rPr>
                <w:rFonts w:eastAsia="Times New Roman" w:cs="Segoe UI"/>
                <w:color w:val="000000"/>
                <w:sz w:val="16"/>
                <w:szCs w:val="16"/>
                <w:lang w:eastAsia="sk-SK"/>
              </w:rPr>
            </w:pPr>
            <w:r w:rsidRPr="008A0F05">
              <w:rPr>
                <w:rFonts w:eastAsia="Times New Roman" w:cs="Segoe UI"/>
                <w:color w:val="000000"/>
                <w:sz w:val="16"/>
                <w:szCs w:val="16"/>
                <w:lang w:eastAsia="sk-SK"/>
              </w:rPr>
              <w:t>OP E</w:t>
            </w:r>
            <w:r>
              <w:rPr>
                <w:rFonts w:eastAsia="Times New Roman" w:cs="Segoe UI"/>
                <w:color w:val="000000"/>
                <w:sz w:val="16"/>
                <w:szCs w:val="16"/>
                <w:lang w:eastAsia="sk-SK"/>
              </w:rPr>
              <w:t>fektívna verejná správa</w:t>
            </w:r>
          </w:p>
        </w:tc>
        <w:tc>
          <w:tcPr>
            <w:tcW w:w="452" w:type="pct"/>
            <w:tcBorders>
              <w:top w:val="nil"/>
              <w:left w:val="nil"/>
              <w:bottom w:val="nil"/>
              <w:right w:val="nil"/>
            </w:tcBorders>
            <w:shd w:val="clear" w:color="auto" w:fill="auto"/>
            <w:vAlign w:val="center"/>
            <w:hideMark/>
          </w:tcPr>
          <w:p w14:paraId="23AB2C87"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354,7</w:t>
            </w:r>
          </w:p>
        </w:tc>
        <w:tc>
          <w:tcPr>
            <w:tcW w:w="651" w:type="pct"/>
            <w:tcBorders>
              <w:top w:val="nil"/>
              <w:left w:val="nil"/>
              <w:bottom w:val="nil"/>
              <w:right w:val="nil"/>
            </w:tcBorders>
            <w:shd w:val="clear" w:color="auto" w:fill="auto"/>
            <w:vAlign w:val="center"/>
            <w:hideMark/>
          </w:tcPr>
          <w:p w14:paraId="78D80231"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20,7</w:t>
            </w:r>
          </w:p>
        </w:tc>
        <w:tc>
          <w:tcPr>
            <w:tcW w:w="574" w:type="pct"/>
            <w:tcBorders>
              <w:top w:val="nil"/>
              <w:left w:val="nil"/>
              <w:bottom w:val="nil"/>
              <w:right w:val="nil"/>
            </w:tcBorders>
            <w:shd w:val="clear" w:color="auto" w:fill="auto"/>
            <w:vAlign w:val="center"/>
            <w:hideMark/>
          </w:tcPr>
          <w:p w14:paraId="11D91920"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350,1</w:t>
            </w:r>
          </w:p>
        </w:tc>
        <w:tc>
          <w:tcPr>
            <w:tcW w:w="612" w:type="pct"/>
            <w:tcBorders>
              <w:top w:val="nil"/>
              <w:left w:val="nil"/>
              <w:bottom w:val="nil"/>
              <w:right w:val="nil"/>
            </w:tcBorders>
            <w:shd w:val="clear" w:color="auto" w:fill="auto"/>
            <w:vAlign w:val="center"/>
            <w:hideMark/>
          </w:tcPr>
          <w:p w14:paraId="50A595E6"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350,1</w:t>
            </w:r>
          </w:p>
        </w:tc>
        <w:tc>
          <w:tcPr>
            <w:tcW w:w="651" w:type="pct"/>
            <w:tcBorders>
              <w:top w:val="nil"/>
              <w:left w:val="nil"/>
              <w:bottom w:val="nil"/>
              <w:right w:val="nil"/>
            </w:tcBorders>
            <w:shd w:val="clear" w:color="auto" w:fill="auto"/>
            <w:vAlign w:val="center"/>
            <w:hideMark/>
          </w:tcPr>
          <w:p w14:paraId="7B747803"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0,0</w:t>
            </w:r>
          </w:p>
        </w:tc>
        <w:tc>
          <w:tcPr>
            <w:tcW w:w="663" w:type="pct"/>
            <w:tcBorders>
              <w:top w:val="nil"/>
              <w:left w:val="nil"/>
              <w:bottom w:val="nil"/>
              <w:right w:val="nil"/>
            </w:tcBorders>
            <w:shd w:val="clear" w:color="auto" w:fill="auto"/>
            <w:vAlign w:val="center"/>
            <w:hideMark/>
          </w:tcPr>
          <w:p w14:paraId="3E2CF4AA"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98,7%</w:t>
            </w:r>
          </w:p>
        </w:tc>
      </w:tr>
      <w:tr w:rsidR="008A53BE" w:rsidRPr="008A0F05" w14:paraId="3B5C0EAC" w14:textId="77777777" w:rsidTr="00630F3B">
        <w:trPr>
          <w:trHeight w:val="283"/>
        </w:trPr>
        <w:tc>
          <w:tcPr>
            <w:tcW w:w="1396" w:type="pct"/>
            <w:tcBorders>
              <w:top w:val="nil"/>
              <w:left w:val="nil"/>
              <w:bottom w:val="nil"/>
              <w:right w:val="nil"/>
            </w:tcBorders>
            <w:shd w:val="clear" w:color="auto" w:fill="auto"/>
            <w:vAlign w:val="center"/>
            <w:hideMark/>
          </w:tcPr>
          <w:p w14:paraId="356FBEA7" w14:textId="77777777" w:rsidR="008A53BE" w:rsidRPr="008A0F05" w:rsidRDefault="008A53BE" w:rsidP="00630F3B">
            <w:pPr>
              <w:spacing w:after="0" w:line="240" w:lineRule="auto"/>
              <w:jc w:val="left"/>
              <w:rPr>
                <w:rFonts w:eastAsia="Times New Roman" w:cs="Segoe UI"/>
                <w:color w:val="000000"/>
                <w:sz w:val="16"/>
                <w:szCs w:val="16"/>
                <w:lang w:eastAsia="sk-SK"/>
              </w:rPr>
            </w:pPr>
            <w:r>
              <w:rPr>
                <w:rFonts w:eastAsia="Times New Roman" w:cs="Segoe UI"/>
                <w:color w:val="000000"/>
                <w:sz w:val="16"/>
                <w:szCs w:val="16"/>
                <w:lang w:eastAsia="sk-SK"/>
              </w:rPr>
              <w:t>OP Kvalita životného prostredia</w:t>
            </w:r>
          </w:p>
        </w:tc>
        <w:tc>
          <w:tcPr>
            <w:tcW w:w="452" w:type="pct"/>
            <w:tcBorders>
              <w:top w:val="nil"/>
              <w:left w:val="nil"/>
              <w:bottom w:val="nil"/>
              <w:right w:val="nil"/>
            </w:tcBorders>
            <w:shd w:val="clear" w:color="auto" w:fill="auto"/>
            <w:vAlign w:val="center"/>
            <w:hideMark/>
          </w:tcPr>
          <w:p w14:paraId="1AF1D8B9"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2 832,5</w:t>
            </w:r>
          </w:p>
        </w:tc>
        <w:tc>
          <w:tcPr>
            <w:tcW w:w="651" w:type="pct"/>
            <w:tcBorders>
              <w:top w:val="nil"/>
              <w:left w:val="nil"/>
              <w:bottom w:val="nil"/>
              <w:right w:val="nil"/>
            </w:tcBorders>
            <w:shd w:val="clear" w:color="auto" w:fill="auto"/>
            <w:vAlign w:val="center"/>
            <w:hideMark/>
          </w:tcPr>
          <w:p w14:paraId="4B13F2B2"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684,4</w:t>
            </w:r>
          </w:p>
        </w:tc>
        <w:tc>
          <w:tcPr>
            <w:tcW w:w="574" w:type="pct"/>
            <w:tcBorders>
              <w:top w:val="nil"/>
              <w:left w:val="nil"/>
              <w:bottom w:val="nil"/>
              <w:right w:val="nil"/>
            </w:tcBorders>
            <w:shd w:val="clear" w:color="auto" w:fill="auto"/>
            <w:vAlign w:val="center"/>
            <w:hideMark/>
          </w:tcPr>
          <w:p w14:paraId="57526710"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2 782,3</w:t>
            </w:r>
          </w:p>
        </w:tc>
        <w:tc>
          <w:tcPr>
            <w:tcW w:w="612" w:type="pct"/>
            <w:tcBorders>
              <w:top w:val="nil"/>
              <w:left w:val="nil"/>
              <w:bottom w:val="nil"/>
              <w:right w:val="nil"/>
            </w:tcBorders>
            <w:shd w:val="clear" w:color="auto" w:fill="auto"/>
            <w:vAlign w:val="center"/>
            <w:hideMark/>
          </w:tcPr>
          <w:p w14:paraId="0F48A6D5"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2 768,4</w:t>
            </w:r>
          </w:p>
        </w:tc>
        <w:tc>
          <w:tcPr>
            <w:tcW w:w="651" w:type="pct"/>
            <w:tcBorders>
              <w:top w:val="nil"/>
              <w:left w:val="nil"/>
              <w:bottom w:val="nil"/>
              <w:right w:val="nil"/>
            </w:tcBorders>
            <w:shd w:val="clear" w:color="auto" w:fill="auto"/>
            <w:vAlign w:val="center"/>
            <w:hideMark/>
          </w:tcPr>
          <w:p w14:paraId="713500EF"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-13,9</w:t>
            </w:r>
          </w:p>
        </w:tc>
        <w:tc>
          <w:tcPr>
            <w:tcW w:w="663" w:type="pct"/>
            <w:tcBorders>
              <w:top w:val="nil"/>
              <w:left w:val="nil"/>
              <w:bottom w:val="nil"/>
              <w:right w:val="nil"/>
            </w:tcBorders>
            <w:shd w:val="clear" w:color="auto" w:fill="auto"/>
            <w:vAlign w:val="center"/>
            <w:hideMark/>
          </w:tcPr>
          <w:p w14:paraId="1971BC93"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97,7%</w:t>
            </w:r>
          </w:p>
        </w:tc>
      </w:tr>
      <w:tr w:rsidR="008A53BE" w:rsidRPr="008A0F05" w14:paraId="74FB9B1A" w14:textId="77777777" w:rsidTr="00630F3B">
        <w:trPr>
          <w:trHeight w:val="283"/>
        </w:trPr>
        <w:tc>
          <w:tcPr>
            <w:tcW w:w="1396" w:type="pct"/>
            <w:tcBorders>
              <w:top w:val="nil"/>
              <w:left w:val="nil"/>
              <w:bottom w:val="nil"/>
              <w:right w:val="nil"/>
            </w:tcBorders>
            <w:shd w:val="clear" w:color="auto" w:fill="auto"/>
            <w:vAlign w:val="center"/>
            <w:hideMark/>
          </w:tcPr>
          <w:p w14:paraId="55ABA9F6" w14:textId="77777777" w:rsidR="008A53BE" w:rsidRPr="008A0F05" w:rsidRDefault="008A53BE" w:rsidP="00630F3B">
            <w:pPr>
              <w:spacing w:after="0" w:line="240" w:lineRule="auto"/>
              <w:jc w:val="left"/>
              <w:rPr>
                <w:rFonts w:eastAsia="Times New Roman" w:cs="Segoe UI"/>
                <w:color w:val="000000"/>
                <w:sz w:val="16"/>
                <w:szCs w:val="16"/>
                <w:lang w:eastAsia="sk-SK"/>
              </w:rPr>
            </w:pPr>
            <w:proofErr w:type="spellStart"/>
            <w:r w:rsidRPr="008A0F05">
              <w:rPr>
                <w:rFonts w:eastAsia="Times New Roman" w:cs="Segoe UI"/>
                <w:color w:val="000000"/>
                <w:sz w:val="16"/>
                <w:szCs w:val="16"/>
                <w:lang w:eastAsia="sk-SK"/>
              </w:rPr>
              <w:t>Interreg</w:t>
            </w:r>
            <w:proofErr w:type="spellEnd"/>
            <w:r w:rsidRPr="008A0F05">
              <w:rPr>
                <w:rFonts w:eastAsia="Times New Roman" w:cs="Segoe UI"/>
                <w:color w:val="000000"/>
                <w:sz w:val="16"/>
                <w:szCs w:val="16"/>
                <w:lang w:eastAsia="sk-SK"/>
              </w:rPr>
              <w:t xml:space="preserve"> V-A SK-CZ </w:t>
            </w:r>
          </w:p>
        </w:tc>
        <w:tc>
          <w:tcPr>
            <w:tcW w:w="452" w:type="pct"/>
            <w:tcBorders>
              <w:top w:val="nil"/>
              <w:left w:val="nil"/>
              <w:bottom w:val="nil"/>
              <w:right w:val="nil"/>
            </w:tcBorders>
            <w:shd w:val="clear" w:color="auto" w:fill="auto"/>
            <w:vAlign w:val="center"/>
            <w:hideMark/>
          </w:tcPr>
          <w:p w14:paraId="35A4152A"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90,1</w:t>
            </w:r>
          </w:p>
        </w:tc>
        <w:tc>
          <w:tcPr>
            <w:tcW w:w="651" w:type="pct"/>
            <w:tcBorders>
              <w:top w:val="nil"/>
              <w:left w:val="nil"/>
              <w:bottom w:val="nil"/>
              <w:right w:val="nil"/>
            </w:tcBorders>
            <w:shd w:val="clear" w:color="auto" w:fill="auto"/>
            <w:vAlign w:val="center"/>
            <w:hideMark/>
          </w:tcPr>
          <w:p w14:paraId="72CCBB14"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13,3</w:t>
            </w:r>
          </w:p>
        </w:tc>
        <w:tc>
          <w:tcPr>
            <w:tcW w:w="574" w:type="pct"/>
            <w:tcBorders>
              <w:top w:val="nil"/>
              <w:left w:val="nil"/>
              <w:bottom w:val="nil"/>
              <w:right w:val="nil"/>
            </w:tcBorders>
            <w:shd w:val="clear" w:color="auto" w:fill="auto"/>
            <w:vAlign w:val="center"/>
            <w:hideMark/>
          </w:tcPr>
          <w:p w14:paraId="3331F1C4"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87,8</w:t>
            </w:r>
          </w:p>
        </w:tc>
        <w:tc>
          <w:tcPr>
            <w:tcW w:w="612" w:type="pct"/>
            <w:tcBorders>
              <w:top w:val="nil"/>
              <w:left w:val="nil"/>
              <w:bottom w:val="nil"/>
              <w:right w:val="nil"/>
            </w:tcBorders>
            <w:shd w:val="clear" w:color="auto" w:fill="auto"/>
            <w:vAlign w:val="center"/>
            <w:hideMark/>
          </w:tcPr>
          <w:p w14:paraId="1E14BDA7"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87,6</w:t>
            </w:r>
          </w:p>
        </w:tc>
        <w:tc>
          <w:tcPr>
            <w:tcW w:w="651" w:type="pct"/>
            <w:tcBorders>
              <w:top w:val="nil"/>
              <w:left w:val="nil"/>
              <w:bottom w:val="nil"/>
              <w:right w:val="nil"/>
            </w:tcBorders>
            <w:shd w:val="clear" w:color="auto" w:fill="auto"/>
            <w:vAlign w:val="center"/>
            <w:hideMark/>
          </w:tcPr>
          <w:p w14:paraId="1CBC7428"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-0,2</w:t>
            </w:r>
          </w:p>
        </w:tc>
        <w:tc>
          <w:tcPr>
            <w:tcW w:w="663" w:type="pct"/>
            <w:tcBorders>
              <w:top w:val="nil"/>
              <w:left w:val="nil"/>
              <w:bottom w:val="nil"/>
              <w:right w:val="nil"/>
            </w:tcBorders>
            <w:shd w:val="clear" w:color="auto" w:fill="auto"/>
            <w:vAlign w:val="center"/>
            <w:hideMark/>
          </w:tcPr>
          <w:p w14:paraId="04C0D6C3"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97,2%</w:t>
            </w:r>
          </w:p>
        </w:tc>
      </w:tr>
      <w:tr w:rsidR="008A53BE" w:rsidRPr="008A0F05" w14:paraId="4EFF0377" w14:textId="77777777" w:rsidTr="00630F3B">
        <w:trPr>
          <w:trHeight w:val="283"/>
        </w:trPr>
        <w:tc>
          <w:tcPr>
            <w:tcW w:w="1396" w:type="pct"/>
            <w:tcBorders>
              <w:top w:val="nil"/>
              <w:left w:val="nil"/>
              <w:bottom w:val="nil"/>
              <w:right w:val="nil"/>
            </w:tcBorders>
            <w:shd w:val="clear" w:color="auto" w:fill="auto"/>
            <w:vAlign w:val="center"/>
            <w:hideMark/>
          </w:tcPr>
          <w:p w14:paraId="737A3159" w14:textId="77777777" w:rsidR="008A53BE" w:rsidRPr="008A0F05" w:rsidRDefault="008A53BE" w:rsidP="00630F3B">
            <w:pPr>
              <w:spacing w:after="0" w:line="240" w:lineRule="auto"/>
              <w:jc w:val="left"/>
              <w:rPr>
                <w:rFonts w:eastAsia="Times New Roman" w:cs="Segoe UI"/>
                <w:color w:val="000000"/>
                <w:sz w:val="16"/>
                <w:szCs w:val="16"/>
                <w:lang w:eastAsia="sk-SK"/>
              </w:rPr>
            </w:pPr>
            <w:proofErr w:type="spellStart"/>
            <w:r w:rsidRPr="008A0F05">
              <w:rPr>
                <w:rFonts w:eastAsia="Times New Roman" w:cs="Segoe UI"/>
                <w:color w:val="000000"/>
                <w:sz w:val="16"/>
                <w:szCs w:val="16"/>
                <w:lang w:eastAsia="sk-SK"/>
              </w:rPr>
              <w:t>Interreg</w:t>
            </w:r>
            <w:proofErr w:type="spellEnd"/>
            <w:r w:rsidRPr="008A0F05">
              <w:rPr>
                <w:rFonts w:eastAsia="Times New Roman" w:cs="Segoe UI"/>
                <w:color w:val="000000"/>
                <w:sz w:val="16"/>
                <w:szCs w:val="16"/>
                <w:lang w:eastAsia="sk-SK"/>
              </w:rPr>
              <w:t xml:space="preserve"> V-A SK-AT </w:t>
            </w:r>
          </w:p>
        </w:tc>
        <w:tc>
          <w:tcPr>
            <w:tcW w:w="452" w:type="pct"/>
            <w:tcBorders>
              <w:top w:val="nil"/>
              <w:left w:val="nil"/>
              <w:bottom w:val="nil"/>
              <w:right w:val="nil"/>
            </w:tcBorders>
            <w:shd w:val="clear" w:color="auto" w:fill="auto"/>
            <w:vAlign w:val="center"/>
            <w:hideMark/>
          </w:tcPr>
          <w:p w14:paraId="31C41BBE"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75,9</w:t>
            </w:r>
          </w:p>
        </w:tc>
        <w:tc>
          <w:tcPr>
            <w:tcW w:w="651" w:type="pct"/>
            <w:tcBorders>
              <w:top w:val="nil"/>
              <w:left w:val="nil"/>
              <w:bottom w:val="nil"/>
              <w:right w:val="nil"/>
            </w:tcBorders>
            <w:shd w:val="clear" w:color="auto" w:fill="auto"/>
            <w:vAlign w:val="center"/>
            <w:hideMark/>
          </w:tcPr>
          <w:p w14:paraId="4B691DF7"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14,7</w:t>
            </w:r>
          </w:p>
        </w:tc>
        <w:tc>
          <w:tcPr>
            <w:tcW w:w="574" w:type="pct"/>
            <w:tcBorders>
              <w:top w:val="nil"/>
              <w:left w:val="nil"/>
              <w:bottom w:val="nil"/>
              <w:right w:val="nil"/>
            </w:tcBorders>
            <w:shd w:val="clear" w:color="auto" w:fill="auto"/>
            <w:vAlign w:val="center"/>
            <w:hideMark/>
          </w:tcPr>
          <w:p w14:paraId="1AAF73AF"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69,1</w:t>
            </w:r>
          </w:p>
        </w:tc>
        <w:tc>
          <w:tcPr>
            <w:tcW w:w="612" w:type="pct"/>
            <w:tcBorders>
              <w:top w:val="nil"/>
              <w:left w:val="nil"/>
              <w:bottom w:val="nil"/>
              <w:right w:val="nil"/>
            </w:tcBorders>
            <w:shd w:val="clear" w:color="auto" w:fill="auto"/>
            <w:vAlign w:val="center"/>
            <w:hideMark/>
          </w:tcPr>
          <w:p w14:paraId="57F5CA14"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69,1</w:t>
            </w:r>
          </w:p>
        </w:tc>
        <w:tc>
          <w:tcPr>
            <w:tcW w:w="651" w:type="pct"/>
            <w:tcBorders>
              <w:top w:val="nil"/>
              <w:left w:val="nil"/>
              <w:bottom w:val="nil"/>
              <w:right w:val="nil"/>
            </w:tcBorders>
            <w:shd w:val="clear" w:color="auto" w:fill="auto"/>
            <w:vAlign w:val="center"/>
            <w:hideMark/>
          </w:tcPr>
          <w:p w14:paraId="0B564260"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0,0</w:t>
            </w:r>
          </w:p>
        </w:tc>
        <w:tc>
          <w:tcPr>
            <w:tcW w:w="663" w:type="pct"/>
            <w:tcBorders>
              <w:top w:val="nil"/>
              <w:left w:val="nil"/>
              <w:bottom w:val="nil"/>
              <w:right w:val="nil"/>
            </w:tcBorders>
            <w:shd w:val="clear" w:color="auto" w:fill="auto"/>
            <w:vAlign w:val="center"/>
            <w:hideMark/>
          </w:tcPr>
          <w:p w14:paraId="073D1FF1"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91,0%</w:t>
            </w:r>
          </w:p>
        </w:tc>
      </w:tr>
      <w:tr w:rsidR="008A53BE" w:rsidRPr="008A0F05" w14:paraId="1C98E382" w14:textId="77777777" w:rsidTr="00630F3B">
        <w:trPr>
          <w:trHeight w:val="283"/>
        </w:trPr>
        <w:tc>
          <w:tcPr>
            <w:tcW w:w="1396" w:type="pct"/>
            <w:tcBorders>
              <w:top w:val="nil"/>
              <w:left w:val="nil"/>
              <w:bottom w:val="single" w:sz="8" w:space="0" w:color="314364"/>
              <w:right w:val="nil"/>
            </w:tcBorders>
            <w:shd w:val="clear" w:color="auto" w:fill="auto"/>
            <w:vAlign w:val="center"/>
            <w:hideMark/>
          </w:tcPr>
          <w:p w14:paraId="2834DECC" w14:textId="77777777" w:rsidR="008A53BE" w:rsidRPr="008A0F05" w:rsidRDefault="008A53BE" w:rsidP="00630F3B">
            <w:pPr>
              <w:spacing w:after="0" w:line="240" w:lineRule="auto"/>
              <w:jc w:val="left"/>
              <w:rPr>
                <w:rFonts w:eastAsia="Times New Roman" w:cs="Segoe UI"/>
                <w:color w:val="000000"/>
                <w:sz w:val="16"/>
                <w:szCs w:val="16"/>
                <w:lang w:eastAsia="sk-SK"/>
              </w:rPr>
            </w:pPr>
            <w:r w:rsidRPr="008A0F05">
              <w:rPr>
                <w:rFonts w:eastAsia="Times New Roman" w:cs="Segoe UI"/>
                <w:color w:val="000000"/>
                <w:sz w:val="16"/>
                <w:szCs w:val="16"/>
                <w:lang w:eastAsia="sk-SK"/>
              </w:rPr>
              <w:t>OP R</w:t>
            </w:r>
            <w:r>
              <w:rPr>
                <w:rFonts w:eastAsia="Times New Roman" w:cs="Segoe UI"/>
                <w:color w:val="000000"/>
                <w:sz w:val="16"/>
                <w:szCs w:val="16"/>
                <w:lang w:eastAsia="sk-SK"/>
              </w:rPr>
              <w:t>ybné hospodárstvo</w:t>
            </w:r>
            <w:r w:rsidRPr="008A0F05">
              <w:rPr>
                <w:rFonts w:eastAsia="Times New Roman" w:cs="Segoe UI"/>
                <w:color w:val="000000"/>
                <w:sz w:val="16"/>
                <w:szCs w:val="16"/>
                <w:lang w:eastAsia="sk-SK"/>
              </w:rPr>
              <w:t xml:space="preserve"> </w:t>
            </w:r>
          </w:p>
        </w:tc>
        <w:tc>
          <w:tcPr>
            <w:tcW w:w="452" w:type="pct"/>
            <w:tcBorders>
              <w:top w:val="nil"/>
              <w:left w:val="nil"/>
              <w:bottom w:val="single" w:sz="8" w:space="0" w:color="314364"/>
              <w:right w:val="nil"/>
            </w:tcBorders>
            <w:shd w:val="clear" w:color="auto" w:fill="auto"/>
            <w:vAlign w:val="center"/>
            <w:hideMark/>
          </w:tcPr>
          <w:p w14:paraId="0F540789"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7,7</w:t>
            </w:r>
          </w:p>
        </w:tc>
        <w:tc>
          <w:tcPr>
            <w:tcW w:w="651" w:type="pct"/>
            <w:tcBorders>
              <w:top w:val="nil"/>
              <w:left w:val="nil"/>
              <w:bottom w:val="single" w:sz="8" w:space="0" w:color="314364"/>
              <w:right w:val="nil"/>
            </w:tcBorders>
            <w:shd w:val="clear" w:color="auto" w:fill="auto"/>
            <w:vAlign w:val="center"/>
            <w:hideMark/>
          </w:tcPr>
          <w:p w14:paraId="25B1DAED"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0,7</w:t>
            </w:r>
          </w:p>
        </w:tc>
        <w:tc>
          <w:tcPr>
            <w:tcW w:w="574" w:type="pct"/>
            <w:tcBorders>
              <w:top w:val="nil"/>
              <w:left w:val="nil"/>
              <w:bottom w:val="single" w:sz="8" w:space="0" w:color="314364"/>
              <w:right w:val="nil"/>
            </w:tcBorders>
            <w:shd w:val="clear" w:color="auto" w:fill="auto"/>
            <w:vAlign w:val="center"/>
            <w:hideMark/>
          </w:tcPr>
          <w:p w14:paraId="33288CDE"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3,3</w:t>
            </w:r>
          </w:p>
        </w:tc>
        <w:tc>
          <w:tcPr>
            <w:tcW w:w="612" w:type="pct"/>
            <w:tcBorders>
              <w:top w:val="nil"/>
              <w:left w:val="nil"/>
              <w:bottom w:val="single" w:sz="8" w:space="0" w:color="314364"/>
              <w:right w:val="nil"/>
            </w:tcBorders>
            <w:shd w:val="clear" w:color="auto" w:fill="auto"/>
            <w:vAlign w:val="center"/>
            <w:hideMark/>
          </w:tcPr>
          <w:p w14:paraId="35B0E12A"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3,3</w:t>
            </w:r>
          </w:p>
        </w:tc>
        <w:tc>
          <w:tcPr>
            <w:tcW w:w="651" w:type="pct"/>
            <w:tcBorders>
              <w:top w:val="nil"/>
              <w:left w:val="nil"/>
              <w:bottom w:val="single" w:sz="8" w:space="0" w:color="314364"/>
              <w:right w:val="nil"/>
            </w:tcBorders>
            <w:shd w:val="clear" w:color="auto" w:fill="auto"/>
            <w:vAlign w:val="center"/>
            <w:hideMark/>
          </w:tcPr>
          <w:p w14:paraId="5DBACACB"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0,0</w:t>
            </w:r>
          </w:p>
        </w:tc>
        <w:tc>
          <w:tcPr>
            <w:tcW w:w="663" w:type="pct"/>
            <w:tcBorders>
              <w:top w:val="nil"/>
              <w:left w:val="nil"/>
              <w:bottom w:val="single" w:sz="8" w:space="0" w:color="314364"/>
              <w:right w:val="nil"/>
            </w:tcBorders>
            <w:shd w:val="clear" w:color="auto" w:fill="auto"/>
            <w:vAlign w:val="center"/>
            <w:hideMark/>
          </w:tcPr>
          <w:p w14:paraId="6202B2F9" w14:textId="77777777" w:rsidR="008A53BE" w:rsidRPr="008A0F05" w:rsidRDefault="008A53BE" w:rsidP="00630F3B">
            <w:pPr>
              <w:spacing w:after="0" w:line="240" w:lineRule="auto"/>
              <w:jc w:val="center"/>
              <w:rPr>
                <w:rFonts w:eastAsia="Times New Roman" w:cs="Segoe UI"/>
                <w:color w:val="000000"/>
                <w:sz w:val="16"/>
                <w:szCs w:val="16"/>
                <w:lang w:eastAsia="sk-SK"/>
              </w:rPr>
            </w:pPr>
            <w:r w:rsidRPr="008A0F05">
              <w:rPr>
                <w:rFonts w:eastAsia="Times New Roman" w:cs="Segoe UI"/>
                <w:color w:val="000000"/>
                <w:sz w:val="16"/>
                <w:szCs w:val="16"/>
                <w:lang w:eastAsia="sk-SK"/>
              </w:rPr>
              <w:t>42,4%</w:t>
            </w:r>
          </w:p>
        </w:tc>
      </w:tr>
      <w:tr w:rsidR="008A53BE" w:rsidRPr="008A0F05" w14:paraId="3B4BC8C1" w14:textId="77777777" w:rsidTr="00630F3B">
        <w:trPr>
          <w:trHeight w:val="283"/>
        </w:trPr>
        <w:tc>
          <w:tcPr>
            <w:tcW w:w="1396" w:type="pct"/>
            <w:tcBorders>
              <w:top w:val="nil"/>
              <w:left w:val="nil"/>
              <w:bottom w:val="single" w:sz="8" w:space="0" w:color="002060"/>
              <w:right w:val="nil"/>
            </w:tcBorders>
            <w:shd w:val="clear" w:color="000000" w:fill="FFFFFF"/>
            <w:vAlign w:val="center"/>
            <w:hideMark/>
          </w:tcPr>
          <w:p w14:paraId="305CBF08" w14:textId="77777777" w:rsidR="008A53BE" w:rsidRPr="008A0F05" w:rsidRDefault="008A53BE" w:rsidP="00630F3B">
            <w:pPr>
              <w:spacing w:after="0" w:line="240" w:lineRule="auto"/>
              <w:jc w:val="left"/>
              <w:rPr>
                <w:rFonts w:eastAsia="Times New Roman" w:cs="Segoe UI"/>
                <w:b/>
                <w:bCs/>
                <w:color w:val="000000"/>
                <w:sz w:val="16"/>
                <w:szCs w:val="16"/>
                <w:lang w:eastAsia="sk-SK"/>
              </w:rPr>
            </w:pPr>
            <w:r w:rsidRPr="008A0F05">
              <w:rPr>
                <w:rFonts w:eastAsia="Times New Roman" w:cs="Segoe UI"/>
                <w:b/>
                <w:bCs/>
                <w:color w:val="000000"/>
                <w:sz w:val="16"/>
                <w:szCs w:val="16"/>
                <w:lang w:eastAsia="sk-SK"/>
              </w:rPr>
              <w:t>SPOLU EŠIF (bez PRV)</w:t>
            </w:r>
          </w:p>
        </w:tc>
        <w:tc>
          <w:tcPr>
            <w:tcW w:w="452" w:type="pct"/>
            <w:tcBorders>
              <w:top w:val="nil"/>
              <w:left w:val="nil"/>
              <w:bottom w:val="single" w:sz="8" w:space="0" w:color="002060"/>
              <w:right w:val="nil"/>
            </w:tcBorders>
            <w:shd w:val="clear" w:color="000000" w:fill="FFFFFF"/>
            <w:vAlign w:val="center"/>
            <w:hideMark/>
          </w:tcPr>
          <w:p w14:paraId="71195059" w14:textId="77777777" w:rsidR="008A53BE" w:rsidRPr="008A0F05" w:rsidRDefault="008A53BE" w:rsidP="00630F3B">
            <w:pPr>
              <w:spacing w:after="0" w:line="240" w:lineRule="auto"/>
              <w:jc w:val="center"/>
              <w:rPr>
                <w:rFonts w:eastAsia="Times New Roman" w:cs="Segoe UI"/>
                <w:b/>
                <w:bCs/>
                <w:color w:val="000000"/>
                <w:sz w:val="16"/>
                <w:szCs w:val="16"/>
                <w:lang w:eastAsia="sk-SK"/>
              </w:rPr>
            </w:pPr>
            <w:r w:rsidRPr="008A0F05">
              <w:rPr>
                <w:rFonts w:eastAsia="Times New Roman" w:cs="Segoe UI"/>
                <w:b/>
                <w:bCs/>
                <w:color w:val="000000"/>
                <w:sz w:val="16"/>
                <w:szCs w:val="16"/>
                <w:lang w:eastAsia="sk-SK"/>
              </w:rPr>
              <w:t>14 501,5</w:t>
            </w:r>
          </w:p>
        </w:tc>
        <w:tc>
          <w:tcPr>
            <w:tcW w:w="651" w:type="pct"/>
            <w:tcBorders>
              <w:top w:val="nil"/>
              <w:left w:val="nil"/>
              <w:bottom w:val="single" w:sz="8" w:space="0" w:color="002060"/>
              <w:right w:val="nil"/>
            </w:tcBorders>
            <w:shd w:val="clear" w:color="000000" w:fill="FFFFFF"/>
            <w:vAlign w:val="center"/>
            <w:hideMark/>
          </w:tcPr>
          <w:p w14:paraId="732C5A3E" w14:textId="77777777" w:rsidR="008A53BE" w:rsidRPr="008A0F05" w:rsidRDefault="008A53BE" w:rsidP="00630F3B">
            <w:pPr>
              <w:spacing w:after="0" w:line="240" w:lineRule="auto"/>
              <w:jc w:val="center"/>
              <w:rPr>
                <w:rFonts w:eastAsia="Times New Roman" w:cs="Segoe UI"/>
                <w:b/>
                <w:bCs/>
                <w:color w:val="000000"/>
                <w:sz w:val="16"/>
                <w:szCs w:val="16"/>
                <w:lang w:eastAsia="sk-SK"/>
              </w:rPr>
            </w:pPr>
            <w:r w:rsidRPr="008A0F05">
              <w:rPr>
                <w:rFonts w:eastAsia="Times New Roman" w:cs="Segoe UI"/>
                <w:b/>
                <w:bCs/>
                <w:color w:val="000000"/>
                <w:sz w:val="16"/>
                <w:szCs w:val="16"/>
                <w:lang w:eastAsia="sk-SK"/>
              </w:rPr>
              <w:t>2 148,2</w:t>
            </w:r>
          </w:p>
        </w:tc>
        <w:tc>
          <w:tcPr>
            <w:tcW w:w="574" w:type="pct"/>
            <w:tcBorders>
              <w:top w:val="nil"/>
              <w:left w:val="nil"/>
              <w:bottom w:val="single" w:sz="8" w:space="0" w:color="002060"/>
              <w:right w:val="nil"/>
            </w:tcBorders>
            <w:shd w:val="clear" w:color="000000" w:fill="FFFFFF"/>
            <w:vAlign w:val="center"/>
            <w:hideMark/>
          </w:tcPr>
          <w:p w14:paraId="078EFCBB" w14:textId="77777777" w:rsidR="008A53BE" w:rsidRPr="008A0F05" w:rsidRDefault="008A53BE" w:rsidP="00630F3B">
            <w:pPr>
              <w:spacing w:after="0" w:line="240" w:lineRule="auto"/>
              <w:jc w:val="center"/>
              <w:rPr>
                <w:rFonts w:eastAsia="Times New Roman" w:cs="Segoe UI"/>
                <w:b/>
                <w:bCs/>
                <w:color w:val="000000"/>
                <w:sz w:val="16"/>
                <w:szCs w:val="16"/>
                <w:lang w:eastAsia="sk-SK"/>
              </w:rPr>
            </w:pPr>
            <w:r w:rsidRPr="008A0F05">
              <w:rPr>
                <w:rFonts w:eastAsia="Times New Roman" w:cs="Segoe UI"/>
                <w:b/>
                <w:bCs/>
                <w:color w:val="000000"/>
                <w:sz w:val="16"/>
                <w:szCs w:val="16"/>
                <w:lang w:eastAsia="sk-SK"/>
              </w:rPr>
              <w:t>14 531,8</w:t>
            </w:r>
          </w:p>
        </w:tc>
        <w:tc>
          <w:tcPr>
            <w:tcW w:w="612" w:type="pct"/>
            <w:tcBorders>
              <w:top w:val="nil"/>
              <w:left w:val="nil"/>
              <w:bottom w:val="single" w:sz="8" w:space="0" w:color="002060"/>
              <w:right w:val="nil"/>
            </w:tcBorders>
            <w:shd w:val="clear" w:color="000000" w:fill="FFFFFF"/>
            <w:vAlign w:val="center"/>
            <w:hideMark/>
          </w:tcPr>
          <w:p w14:paraId="13823D52" w14:textId="77777777" w:rsidR="008A53BE" w:rsidRPr="008A0F05" w:rsidRDefault="008A53BE" w:rsidP="00630F3B">
            <w:pPr>
              <w:spacing w:after="0" w:line="240" w:lineRule="auto"/>
              <w:jc w:val="center"/>
              <w:rPr>
                <w:rFonts w:eastAsia="Times New Roman" w:cs="Segoe UI"/>
                <w:b/>
                <w:bCs/>
                <w:color w:val="000000"/>
                <w:sz w:val="16"/>
                <w:szCs w:val="16"/>
                <w:lang w:eastAsia="sk-SK"/>
              </w:rPr>
            </w:pPr>
            <w:r w:rsidRPr="008A0F05">
              <w:rPr>
                <w:rFonts w:eastAsia="Times New Roman" w:cs="Segoe UI"/>
                <w:b/>
                <w:bCs/>
                <w:color w:val="000000"/>
                <w:sz w:val="16"/>
                <w:szCs w:val="16"/>
                <w:lang w:eastAsia="sk-SK"/>
              </w:rPr>
              <w:t>14 516,5</w:t>
            </w:r>
          </w:p>
        </w:tc>
        <w:tc>
          <w:tcPr>
            <w:tcW w:w="651" w:type="pct"/>
            <w:tcBorders>
              <w:top w:val="nil"/>
              <w:left w:val="nil"/>
              <w:bottom w:val="single" w:sz="8" w:space="0" w:color="002060"/>
              <w:right w:val="nil"/>
            </w:tcBorders>
            <w:shd w:val="clear" w:color="000000" w:fill="FFFFFF"/>
            <w:vAlign w:val="center"/>
            <w:hideMark/>
          </w:tcPr>
          <w:p w14:paraId="06772CCA" w14:textId="77777777" w:rsidR="008A53BE" w:rsidRPr="008A0F05" w:rsidRDefault="008A53BE" w:rsidP="00630F3B">
            <w:pPr>
              <w:spacing w:after="0" w:line="240" w:lineRule="auto"/>
              <w:jc w:val="center"/>
              <w:rPr>
                <w:rFonts w:eastAsia="Times New Roman" w:cs="Segoe UI"/>
                <w:b/>
                <w:bCs/>
                <w:color w:val="000000"/>
                <w:sz w:val="16"/>
                <w:szCs w:val="16"/>
                <w:lang w:eastAsia="sk-SK"/>
              </w:rPr>
            </w:pPr>
            <w:r w:rsidRPr="008A0F05">
              <w:rPr>
                <w:rFonts w:eastAsia="Times New Roman" w:cs="Segoe UI"/>
                <w:b/>
                <w:bCs/>
                <w:color w:val="000000"/>
                <w:sz w:val="16"/>
                <w:szCs w:val="16"/>
                <w:lang w:eastAsia="sk-SK"/>
              </w:rPr>
              <w:t>-15,3</w:t>
            </w:r>
          </w:p>
        </w:tc>
        <w:tc>
          <w:tcPr>
            <w:tcW w:w="663" w:type="pct"/>
            <w:tcBorders>
              <w:top w:val="nil"/>
              <w:left w:val="nil"/>
              <w:bottom w:val="single" w:sz="8" w:space="0" w:color="002060"/>
              <w:right w:val="nil"/>
            </w:tcBorders>
            <w:shd w:val="clear" w:color="000000" w:fill="FFFFFF"/>
            <w:vAlign w:val="center"/>
            <w:hideMark/>
          </w:tcPr>
          <w:p w14:paraId="24FDE520" w14:textId="77777777" w:rsidR="008A53BE" w:rsidRPr="008A0F05" w:rsidRDefault="008A53BE" w:rsidP="00630F3B">
            <w:pPr>
              <w:spacing w:after="0" w:line="240" w:lineRule="auto"/>
              <w:jc w:val="center"/>
              <w:rPr>
                <w:rFonts w:eastAsia="Times New Roman" w:cs="Segoe UI"/>
                <w:b/>
                <w:bCs/>
                <w:color w:val="000000"/>
                <w:sz w:val="16"/>
                <w:szCs w:val="16"/>
                <w:lang w:eastAsia="sk-SK"/>
              </w:rPr>
            </w:pPr>
            <w:r w:rsidRPr="008A0F05">
              <w:rPr>
                <w:rFonts w:eastAsia="Times New Roman" w:cs="Segoe UI"/>
                <w:b/>
                <w:bCs/>
                <w:color w:val="000000"/>
                <w:sz w:val="16"/>
                <w:szCs w:val="16"/>
                <w:lang w:eastAsia="sk-SK"/>
              </w:rPr>
              <w:t>100,1%</w:t>
            </w:r>
          </w:p>
        </w:tc>
      </w:tr>
    </w:tbl>
    <w:p w14:paraId="65615C91" w14:textId="64157208" w:rsidR="008A53BE" w:rsidRDefault="008A53BE" w:rsidP="008A53BE">
      <w:pPr>
        <w:spacing w:after="0" w:line="240" w:lineRule="auto"/>
        <w:jc w:val="left"/>
        <w:rPr>
          <w:i/>
          <w:color w:val="314364" w:themeColor="text2"/>
          <w:sz w:val="16"/>
        </w:rPr>
      </w:pPr>
      <w:r w:rsidRPr="00CC5BFB">
        <w:rPr>
          <w:i/>
          <w:color w:val="314364" w:themeColor="text2"/>
          <w:sz w:val="16"/>
        </w:rPr>
        <w:t xml:space="preserve">Zdroj: </w:t>
      </w:r>
      <w:r>
        <w:rPr>
          <w:i/>
          <w:color w:val="314364" w:themeColor="text2"/>
          <w:sz w:val="16"/>
        </w:rPr>
        <w:t>MF SR</w:t>
      </w:r>
      <w:r w:rsidR="00831F76">
        <w:rPr>
          <w:i/>
          <w:color w:val="314364" w:themeColor="text2"/>
          <w:sz w:val="16"/>
        </w:rPr>
        <w:t>.</w:t>
      </w:r>
    </w:p>
    <w:p w14:paraId="63291950" w14:textId="5DC2520B" w:rsidR="008A53BE" w:rsidRPr="00B82820" w:rsidRDefault="008A53BE" w:rsidP="008A53BE">
      <w:pPr>
        <w:pStyle w:val="Zdroj"/>
        <w:jc w:val="both"/>
      </w:pPr>
      <w:r w:rsidRPr="00B82820">
        <w:t>Poznámka:</w:t>
      </w:r>
      <w:r>
        <w:t xml:space="preserve"> Čerpanie </w:t>
      </w:r>
      <w:r w:rsidRPr="006F0A60">
        <w:t>na základe skutočne schválených SŽP</w:t>
      </w:r>
      <w:r>
        <w:t xml:space="preserve"> zo strany C</w:t>
      </w:r>
      <w:r w:rsidR="004A2F16">
        <w:t>ertifikačného orgánu</w:t>
      </w:r>
      <w:r>
        <w:t xml:space="preserve"> (MF SR), ktoré boli resp. budú uhradené do príjmov rozpočtov kapitol, plniacich funkciu platobných jednotiek. </w:t>
      </w:r>
    </w:p>
    <w:p w14:paraId="658B7D0E" w14:textId="52875CB9" w:rsidR="00FD74D3" w:rsidRDefault="008A53BE" w:rsidP="00FD74D3">
      <w:pPr>
        <w:rPr>
          <w:b/>
        </w:rPr>
      </w:pPr>
      <w:r>
        <w:rPr>
          <w:b/>
        </w:rPr>
        <w:t>O</w:t>
      </w:r>
      <w:r w:rsidRPr="001B2E96">
        <w:rPr>
          <w:b/>
        </w:rPr>
        <w:t xml:space="preserve">dhadovaná výška prepadnutých prostriedkov </w:t>
      </w:r>
      <w:r w:rsidR="00FF49E8">
        <w:rPr>
          <w:b/>
        </w:rPr>
        <w:t>z alokácie (</w:t>
      </w:r>
      <w:proofErr w:type="spellStart"/>
      <w:r w:rsidR="00FF49E8">
        <w:rPr>
          <w:b/>
        </w:rPr>
        <w:t>dekomitment</w:t>
      </w:r>
      <w:proofErr w:type="spellEnd"/>
      <w:r w:rsidR="00FF49E8">
        <w:rPr>
          <w:b/>
        </w:rPr>
        <w:t xml:space="preserve">) </w:t>
      </w:r>
      <w:r w:rsidRPr="001B2E96">
        <w:rPr>
          <w:b/>
        </w:rPr>
        <w:t xml:space="preserve">ku koncu </w:t>
      </w:r>
      <w:r>
        <w:rPr>
          <w:b/>
        </w:rPr>
        <w:t>PO</w:t>
      </w:r>
      <w:r w:rsidRPr="001B2E96">
        <w:rPr>
          <w:b/>
        </w:rPr>
        <w:t xml:space="preserve"> 2014 – 2020 predstavuje </w:t>
      </w:r>
      <w:r w:rsidR="00FF49E8">
        <w:rPr>
          <w:b/>
        </w:rPr>
        <w:t xml:space="preserve">celkom </w:t>
      </w:r>
      <w:r w:rsidR="002413C8">
        <w:rPr>
          <w:b/>
        </w:rPr>
        <w:t xml:space="preserve">165,1 mil. eur. </w:t>
      </w:r>
      <w:r w:rsidR="002413C8" w:rsidRPr="002413C8">
        <w:t>Z toho už</w:t>
      </w:r>
      <w:r w:rsidR="002413C8">
        <w:rPr>
          <w:b/>
        </w:rPr>
        <w:t xml:space="preserve"> </w:t>
      </w:r>
      <w:r w:rsidRPr="007D3345">
        <w:t xml:space="preserve">potvrdený </w:t>
      </w:r>
      <w:proofErr w:type="spellStart"/>
      <w:r w:rsidRPr="007D3345">
        <w:t>dekomitment</w:t>
      </w:r>
      <w:proofErr w:type="spellEnd"/>
      <w:r w:rsidRPr="007D3345">
        <w:t xml:space="preserve"> za záväzky rokov 2014 </w:t>
      </w:r>
      <w:r w:rsidR="004B552F" w:rsidRPr="004B552F">
        <w:t>–</w:t>
      </w:r>
      <w:r w:rsidRPr="007D3345">
        <w:t xml:space="preserve"> 2019 </w:t>
      </w:r>
      <w:r w:rsidR="002413C8">
        <w:t xml:space="preserve">je </w:t>
      </w:r>
      <w:r w:rsidRPr="007D3345">
        <w:t>154,4 mil. eur</w:t>
      </w:r>
      <w:r w:rsidR="002413C8">
        <w:t xml:space="preserve"> a </w:t>
      </w:r>
      <w:r w:rsidR="00FD74D3">
        <w:t xml:space="preserve">odhad za posledný rok oprávneného obdobia 2023 predstavuje 10,7 mil. eur. Tieto prostriedky </w:t>
      </w:r>
      <w:r w:rsidR="008A0D01">
        <w:t xml:space="preserve">mala </w:t>
      </w:r>
      <w:r w:rsidR="00FD74D3">
        <w:t>S</w:t>
      </w:r>
      <w:r w:rsidR="008A0D01">
        <w:t>R</w:t>
      </w:r>
      <w:r w:rsidR="00FD74D3">
        <w:t xml:space="preserve"> k dispozícii, no ich využitie nedokázalo včas a za dohodnutých pravidiel oprávnenosti vyúčtovať EK. </w:t>
      </w:r>
      <w:r w:rsidR="00A1201C" w:rsidRPr="00A1201C">
        <w:rPr>
          <w:b/>
        </w:rPr>
        <w:t xml:space="preserve">NKÚ SR upozorňuje, že tieto prostriedky </w:t>
      </w:r>
      <w:r w:rsidR="00A1201C">
        <w:rPr>
          <w:b/>
        </w:rPr>
        <w:t xml:space="preserve">z PO 2014 – 2020 </w:t>
      </w:r>
      <w:r w:rsidR="00A1201C" w:rsidRPr="00A1201C">
        <w:rPr>
          <w:b/>
        </w:rPr>
        <w:t>p</w:t>
      </w:r>
      <w:r w:rsidR="00FD74D3" w:rsidRPr="00A1201C">
        <w:rPr>
          <w:b/>
        </w:rPr>
        <w:t xml:space="preserve">redstavujú premrhanú príležitosť využiť </w:t>
      </w:r>
      <w:r w:rsidR="00A1201C">
        <w:rPr>
          <w:b/>
        </w:rPr>
        <w:t>naplno</w:t>
      </w:r>
      <w:r w:rsidR="00FD74D3" w:rsidRPr="00A1201C">
        <w:rPr>
          <w:b/>
        </w:rPr>
        <w:t xml:space="preserve"> potenciál disponibilných nenávratných finančných zdrojov </w:t>
      </w:r>
      <w:r w:rsidR="00FD74D3" w:rsidRPr="00A1201C">
        <w:t>(tabuľka 15)</w:t>
      </w:r>
      <w:r w:rsidR="00FD74D3" w:rsidRPr="00A1201C">
        <w:rPr>
          <w:b/>
        </w:rPr>
        <w:t>.</w:t>
      </w:r>
    </w:p>
    <w:p w14:paraId="01EE5254" w14:textId="5685C961" w:rsidR="008A53BE" w:rsidRDefault="008A53BE" w:rsidP="004A2F16">
      <w:pPr>
        <w:spacing w:after="0"/>
      </w:pPr>
      <w:r w:rsidRPr="004F758A">
        <w:rPr>
          <w:b/>
          <w:iCs/>
          <w:color w:val="314364"/>
          <w:szCs w:val="18"/>
        </w:rPr>
        <w:t>Tabuľka</w:t>
      </w:r>
      <w:r w:rsidR="00630F3B">
        <w:rPr>
          <w:b/>
          <w:iCs/>
          <w:color w:val="314364"/>
          <w:szCs w:val="18"/>
        </w:rPr>
        <w:t xml:space="preserve"> 1</w:t>
      </w:r>
      <w:r w:rsidR="00EF2A4E">
        <w:rPr>
          <w:b/>
          <w:iCs/>
          <w:color w:val="314364"/>
          <w:szCs w:val="18"/>
        </w:rPr>
        <w:t>5</w:t>
      </w:r>
      <w:r w:rsidRPr="004F758A">
        <w:rPr>
          <w:b/>
          <w:iCs/>
          <w:color w:val="314364"/>
          <w:szCs w:val="18"/>
        </w:rPr>
        <w:t xml:space="preserve">: </w:t>
      </w:r>
      <w:proofErr w:type="spellStart"/>
      <w:r>
        <w:rPr>
          <w:b/>
          <w:iCs/>
          <w:color w:val="314364"/>
          <w:szCs w:val="18"/>
        </w:rPr>
        <w:t>Dekomitment</w:t>
      </w:r>
      <w:proofErr w:type="spellEnd"/>
      <w:r>
        <w:rPr>
          <w:b/>
          <w:iCs/>
          <w:color w:val="314364"/>
          <w:szCs w:val="18"/>
        </w:rPr>
        <w:t xml:space="preserve"> za </w:t>
      </w:r>
      <w:r w:rsidR="00D62B2C">
        <w:rPr>
          <w:b/>
          <w:iCs/>
          <w:color w:val="314364"/>
          <w:szCs w:val="18"/>
        </w:rPr>
        <w:t>program</w:t>
      </w:r>
      <w:r w:rsidR="003F3CD7">
        <w:rPr>
          <w:b/>
          <w:iCs/>
          <w:color w:val="314364"/>
          <w:szCs w:val="18"/>
        </w:rPr>
        <w:t>y</w:t>
      </w:r>
      <w:r w:rsidRPr="004F758A">
        <w:rPr>
          <w:b/>
          <w:iCs/>
          <w:color w:val="314364"/>
          <w:szCs w:val="18"/>
        </w:rPr>
        <w:t xml:space="preserve"> EŠIF </w:t>
      </w:r>
      <w:r w:rsidR="00D62B2C">
        <w:rPr>
          <w:b/>
          <w:iCs/>
          <w:color w:val="314364"/>
          <w:szCs w:val="18"/>
        </w:rPr>
        <w:t>PO</w:t>
      </w:r>
      <w:r w:rsidRPr="004F758A">
        <w:rPr>
          <w:b/>
          <w:iCs/>
          <w:color w:val="314364"/>
          <w:szCs w:val="18"/>
        </w:rPr>
        <w:t xml:space="preserve"> 2014 </w:t>
      </w:r>
      <w:r>
        <w:rPr>
          <w:b/>
          <w:iCs/>
          <w:color w:val="314364"/>
          <w:szCs w:val="18"/>
        </w:rPr>
        <w:t>–</w:t>
      </w:r>
      <w:r w:rsidRPr="004F758A">
        <w:rPr>
          <w:b/>
          <w:iCs/>
          <w:color w:val="314364"/>
          <w:szCs w:val="18"/>
        </w:rPr>
        <w:t xml:space="preserve"> 2020</w:t>
      </w:r>
      <w:r>
        <w:rPr>
          <w:b/>
          <w:iCs/>
          <w:color w:val="314364"/>
          <w:szCs w:val="18"/>
        </w:rPr>
        <w:t xml:space="preserve"> (v tis. eur)</w:t>
      </w:r>
    </w:p>
    <w:tbl>
      <w:tblPr>
        <w:tblW w:w="5000" w:type="pct"/>
        <w:tblCellMar>
          <w:left w:w="70" w:type="dxa"/>
          <w:right w:w="70" w:type="dxa"/>
        </w:tblCellMar>
        <w:tblLook w:val="04A0" w:firstRow="1" w:lastRow="0" w:firstColumn="1" w:lastColumn="0" w:noHBand="0" w:noVBand="1"/>
      </w:tblPr>
      <w:tblGrid>
        <w:gridCol w:w="4395"/>
        <w:gridCol w:w="2382"/>
        <w:gridCol w:w="2293"/>
      </w:tblGrid>
      <w:tr w:rsidR="008A53BE" w:rsidRPr="004323E4" w14:paraId="471A408F" w14:textId="77777777" w:rsidTr="00630F3B">
        <w:trPr>
          <w:trHeight w:val="283"/>
        </w:trPr>
        <w:tc>
          <w:tcPr>
            <w:tcW w:w="2423" w:type="pct"/>
            <w:tcBorders>
              <w:top w:val="nil"/>
              <w:left w:val="nil"/>
              <w:bottom w:val="nil"/>
              <w:right w:val="nil"/>
            </w:tcBorders>
            <w:shd w:val="clear" w:color="000000" w:fill="314364"/>
            <w:vAlign w:val="center"/>
            <w:hideMark/>
          </w:tcPr>
          <w:p w14:paraId="2ED9114C" w14:textId="77777777" w:rsidR="008A53BE" w:rsidRPr="007D3345" w:rsidRDefault="008A53BE" w:rsidP="00630F3B">
            <w:pPr>
              <w:spacing w:after="0" w:line="240" w:lineRule="auto"/>
              <w:jc w:val="left"/>
              <w:rPr>
                <w:rFonts w:eastAsia="Times New Roman" w:cs="Segoe UI"/>
                <w:b/>
                <w:bCs/>
                <w:color w:val="FFFFFF"/>
                <w:sz w:val="18"/>
                <w:szCs w:val="16"/>
                <w:lang w:eastAsia="sk-SK"/>
              </w:rPr>
            </w:pPr>
            <w:r w:rsidRPr="007D3345">
              <w:rPr>
                <w:rFonts w:eastAsia="Times New Roman" w:cs="Segoe UI"/>
                <w:b/>
                <w:bCs/>
                <w:color w:val="FFFFFF"/>
                <w:sz w:val="18"/>
                <w:szCs w:val="16"/>
                <w:lang w:eastAsia="sk-SK"/>
              </w:rPr>
              <w:t>Operačný program</w:t>
            </w:r>
          </w:p>
        </w:tc>
        <w:tc>
          <w:tcPr>
            <w:tcW w:w="1313" w:type="pct"/>
            <w:tcBorders>
              <w:top w:val="nil"/>
              <w:left w:val="nil"/>
              <w:bottom w:val="nil"/>
              <w:right w:val="nil"/>
            </w:tcBorders>
            <w:shd w:val="clear" w:color="000000" w:fill="314364"/>
            <w:vAlign w:val="center"/>
            <w:hideMark/>
          </w:tcPr>
          <w:p w14:paraId="58794D9A" w14:textId="77777777" w:rsidR="008A53BE" w:rsidRPr="007D3345" w:rsidRDefault="008A53BE" w:rsidP="00630F3B">
            <w:pPr>
              <w:spacing w:after="0" w:line="240" w:lineRule="auto"/>
              <w:jc w:val="center"/>
              <w:rPr>
                <w:rFonts w:eastAsia="Times New Roman" w:cs="Segoe UI"/>
                <w:b/>
                <w:bCs/>
                <w:color w:val="FFFFFF"/>
                <w:sz w:val="18"/>
                <w:szCs w:val="16"/>
                <w:lang w:eastAsia="sk-SK"/>
              </w:rPr>
            </w:pPr>
            <w:r w:rsidRPr="007D3345">
              <w:rPr>
                <w:rFonts w:eastAsia="Times New Roman" w:cs="Segoe UI"/>
                <w:b/>
                <w:bCs/>
                <w:color w:val="FFFFFF"/>
                <w:sz w:val="18"/>
                <w:szCs w:val="16"/>
                <w:lang w:eastAsia="sk-SK"/>
              </w:rPr>
              <w:t xml:space="preserve">Potvrdený </w:t>
            </w:r>
            <w:proofErr w:type="spellStart"/>
            <w:r w:rsidRPr="007D3345">
              <w:rPr>
                <w:rFonts w:eastAsia="Times New Roman" w:cs="Segoe UI"/>
                <w:b/>
                <w:bCs/>
                <w:color w:val="FFFFFF"/>
                <w:sz w:val="18"/>
                <w:szCs w:val="16"/>
                <w:lang w:eastAsia="sk-SK"/>
              </w:rPr>
              <w:t>dekomitment</w:t>
            </w:r>
            <w:proofErr w:type="spellEnd"/>
            <w:r w:rsidRPr="007D3345">
              <w:rPr>
                <w:rFonts w:eastAsia="Times New Roman" w:cs="Segoe UI"/>
                <w:b/>
                <w:bCs/>
                <w:color w:val="FFFFFF"/>
                <w:sz w:val="18"/>
                <w:szCs w:val="16"/>
                <w:lang w:eastAsia="sk-SK"/>
              </w:rPr>
              <w:t xml:space="preserve"> (ročné záväzky 2014 - 2019)</w:t>
            </w:r>
          </w:p>
        </w:tc>
        <w:tc>
          <w:tcPr>
            <w:tcW w:w="1264" w:type="pct"/>
            <w:tcBorders>
              <w:top w:val="nil"/>
              <w:left w:val="nil"/>
              <w:bottom w:val="nil"/>
              <w:right w:val="nil"/>
            </w:tcBorders>
            <w:shd w:val="clear" w:color="000000" w:fill="314364"/>
            <w:vAlign w:val="center"/>
            <w:hideMark/>
          </w:tcPr>
          <w:p w14:paraId="40A2F83E" w14:textId="77777777" w:rsidR="008A53BE" w:rsidRPr="007D3345" w:rsidRDefault="008A53BE" w:rsidP="00630F3B">
            <w:pPr>
              <w:spacing w:after="0" w:line="240" w:lineRule="auto"/>
              <w:jc w:val="center"/>
              <w:rPr>
                <w:rFonts w:eastAsia="Times New Roman" w:cs="Segoe UI"/>
                <w:b/>
                <w:bCs/>
                <w:color w:val="FFFFFF"/>
                <w:sz w:val="18"/>
                <w:szCs w:val="16"/>
                <w:lang w:eastAsia="sk-SK"/>
              </w:rPr>
            </w:pPr>
            <w:r w:rsidRPr="007D3345">
              <w:rPr>
                <w:rFonts w:eastAsia="Times New Roman" w:cs="Segoe UI"/>
                <w:b/>
                <w:bCs/>
                <w:color w:val="FFFFFF"/>
                <w:sz w:val="18"/>
                <w:szCs w:val="16"/>
                <w:lang w:eastAsia="sk-SK"/>
              </w:rPr>
              <w:t xml:space="preserve">Odhadovaný </w:t>
            </w:r>
            <w:proofErr w:type="spellStart"/>
            <w:r w:rsidRPr="007D3345">
              <w:rPr>
                <w:rFonts w:eastAsia="Times New Roman" w:cs="Segoe UI"/>
                <w:b/>
                <w:bCs/>
                <w:color w:val="FFFFFF"/>
                <w:sz w:val="18"/>
                <w:szCs w:val="16"/>
                <w:lang w:eastAsia="sk-SK"/>
              </w:rPr>
              <w:t>dekomitment</w:t>
            </w:r>
            <w:proofErr w:type="spellEnd"/>
            <w:r w:rsidRPr="007D3345">
              <w:rPr>
                <w:rFonts w:eastAsia="Times New Roman" w:cs="Segoe UI"/>
                <w:b/>
                <w:bCs/>
                <w:color w:val="FFFFFF"/>
                <w:sz w:val="18"/>
                <w:szCs w:val="16"/>
                <w:lang w:eastAsia="sk-SK"/>
              </w:rPr>
              <w:t xml:space="preserve"> ku koncu PO*</w:t>
            </w:r>
          </w:p>
        </w:tc>
      </w:tr>
      <w:tr w:rsidR="008A53BE" w:rsidRPr="004323E4" w14:paraId="20581E4B" w14:textId="77777777" w:rsidTr="00630F3B">
        <w:trPr>
          <w:trHeight w:val="283"/>
        </w:trPr>
        <w:tc>
          <w:tcPr>
            <w:tcW w:w="2423" w:type="pct"/>
            <w:tcBorders>
              <w:top w:val="nil"/>
              <w:left w:val="nil"/>
              <w:bottom w:val="nil"/>
              <w:right w:val="nil"/>
            </w:tcBorders>
            <w:shd w:val="clear" w:color="auto" w:fill="auto"/>
            <w:vAlign w:val="center"/>
            <w:hideMark/>
          </w:tcPr>
          <w:p w14:paraId="552B8637" w14:textId="77777777" w:rsidR="008A53BE" w:rsidRPr="00862458" w:rsidRDefault="008A53BE" w:rsidP="00630F3B">
            <w:pPr>
              <w:spacing w:after="0" w:line="240" w:lineRule="auto"/>
              <w:jc w:val="left"/>
              <w:rPr>
                <w:rFonts w:eastAsia="Times New Roman" w:cs="Segoe UI"/>
                <w:color w:val="000000"/>
                <w:sz w:val="18"/>
                <w:szCs w:val="16"/>
                <w:lang w:eastAsia="sk-SK"/>
              </w:rPr>
            </w:pPr>
            <w:r w:rsidRPr="00862458">
              <w:rPr>
                <w:rFonts w:eastAsia="Times New Roman" w:cs="Segoe UI"/>
                <w:color w:val="000000"/>
                <w:sz w:val="18"/>
                <w:szCs w:val="16"/>
                <w:lang w:eastAsia="sk-SK"/>
              </w:rPr>
              <w:t xml:space="preserve">Integrovaný regionálny OP </w:t>
            </w:r>
          </w:p>
        </w:tc>
        <w:tc>
          <w:tcPr>
            <w:tcW w:w="1313" w:type="pct"/>
            <w:tcBorders>
              <w:top w:val="nil"/>
              <w:left w:val="nil"/>
              <w:bottom w:val="nil"/>
              <w:right w:val="nil"/>
            </w:tcBorders>
            <w:shd w:val="clear" w:color="auto" w:fill="auto"/>
            <w:vAlign w:val="center"/>
            <w:hideMark/>
          </w:tcPr>
          <w:p w14:paraId="01C8C4C6"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38 892,3</w:t>
            </w:r>
          </w:p>
        </w:tc>
        <w:tc>
          <w:tcPr>
            <w:tcW w:w="1264" w:type="pct"/>
            <w:tcBorders>
              <w:top w:val="nil"/>
              <w:left w:val="nil"/>
              <w:bottom w:val="nil"/>
              <w:right w:val="nil"/>
            </w:tcBorders>
            <w:shd w:val="clear" w:color="auto" w:fill="auto"/>
            <w:vAlign w:val="center"/>
            <w:hideMark/>
          </w:tcPr>
          <w:p w14:paraId="0E319CC6"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r>
      <w:tr w:rsidR="008A53BE" w:rsidRPr="004323E4" w14:paraId="50A4A5D7" w14:textId="77777777" w:rsidTr="00630F3B">
        <w:trPr>
          <w:trHeight w:val="283"/>
        </w:trPr>
        <w:tc>
          <w:tcPr>
            <w:tcW w:w="2423" w:type="pct"/>
            <w:tcBorders>
              <w:top w:val="nil"/>
              <w:left w:val="nil"/>
              <w:bottom w:val="nil"/>
              <w:right w:val="nil"/>
            </w:tcBorders>
            <w:shd w:val="clear" w:color="auto" w:fill="auto"/>
            <w:vAlign w:val="center"/>
            <w:hideMark/>
          </w:tcPr>
          <w:p w14:paraId="6F8EDCDD" w14:textId="77777777" w:rsidR="008A53BE" w:rsidRPr="00862458" w:rsidRDefault="008A53BE" w:rsidP="00630F3B">
            <w:pPr>
              <w:spacing w:after="0" w:line="240" w:lineRule="auto"/>
              <w:jc w:val="left"/>
              <w:rPr>
                <w:rFonts w:eastAsia="Times New Roman" w:cs="Segoe UI"/>
                <w:color w:val="000000"/>
                <w:sz w:val="18"/>
                <w:szCs w:val="16"/>
                <w:lang w:eastAsia="sk-SK"/>
              </w:rPr>
            </w:pPr>
            <w:r w:rsidRPr="00862458">
              <w:rPr>
                <w:rFonts w:eastAsia="Times New Roman" w:cs="Segoe UI"/>
                <w:color w:val="000000"/>
                <w:sz w:val="18"/>
                <w:szCs w:val="16"/>
                <w:lang w:eastAsia="sk-SK"/>
              </w:rPr>
              <w:t>OP Technická pomoc</w:t>
            </w:r>
          </w:p>
        </w:tc>
        <w:tc>
          <w:tcPr>
            <w:tcW w:w="1313" w:type="pct"/>
            <w:tcBorders>
              <w:top w:val="nil"/>
              <w:left w:val="nil"/>
              <w:bottom w:val="nil"/>
              <w:right w:val="nil"/>
            </w:tcBorders>
            <w:shd w:val="clear" w:color="auto" w:fill="auto"/>
            <w:vAlign w:val="center"/>
            <w:hideMark/>
          </w:tcPr>
          <w:p w14:paraId="56BBFE46"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c>
          <w:tcPr>
            <w:tcW w:w="1264" w:type="pct"/>
            <w:tcBorders>
              <w:top w:val="nil"/>
              <w:left w:val="nil"/>
              <w:bottom w:val="nil"/>
              <w:right w:val="nil"/>
            </w:tcBorders>
            <w:shd w:val="clear" w:color="auto" w:fill="auto"/>
            <w:vAlign w:val="center"/>
            <w:hideMark/>
          </w:tcPr>
          <w:p w14:paraId="0516A42B"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r>
      <w:tr w:rsidR="008A53BE" w:rsidRPr="004323E4" w14:paraId="1D704547" w14:textId="77777777" w:rsidTr="00630F3B">
        <w:trPr>
          <w:trHeight w:val="283"/>
        </w:trPr>
        <w:tc>
          <w:tcPr>
            <w:tcW w:w="2423" w:type="pct"/>
            <w:tcBorders>
              <w:top w:val="nil"/>
              <w:left w:val="nil"/>
              <w:bottom w:val="nil"/>
              <w:right w:val="nil"/>
            </w:tcBorders>
            <w:shd w:val="clear" w:color="auto" w:fill="auto"/>
            <w:vAlign w:val="center"/>
            <w:hideMark/>
          </w:tcPr>
          <w:p w14:paraId="577B06FD" w14:textId="77777777" w:rsidR="008A53BE" w:rsidRPr="00862458" w:rsidRDefault="008A53BE" w:rsidP="00630F3B">
            <w:pPr>
              <w:spacing w:after="0" w:line="240" w:lineRule="auto"/>
              <w:jc w:val="left"/>
              <w:rPr>
                <w:rFonts w:eastAsia="Times New Roman" w:cs="Segoe UI"/>
                <w:color w:val="000000"/>
                <w:sz w:val="18"/>
                <w:szCs w:val="16"/>
                <w:lang w:eastAsia="sk-SK"/>
              </w:rPr>
            </w:pPr>
            <w:r w:rsidRPr="00862458">
              <w:rPr>
                <w:rFonts w:eastAsia="Times New Roman" w:cs="Segoe UI"/>
                <w:color w:val="000000"/>
                <w:sz w:val="18"/>
                <w:szCs w:val="16"/>
                <w:lang w:eastAsia="sk-SK"/>
              </w:rPr>
              <w:t>OP Výskum a inovácie (v rámci OP Integrovaná Infraštruktúra)</w:t>
            </w:r>
          </w:p>
        </w:tc>
        <w:tc>
          <w:tcPr>
            <w:tcW w:w="1313" w:type="pct"/>
            <w:tcBorders>
              <w:top w:val="nil"/>
              <w:left w:val="nil"/>
              <w:bottom w:val="nil"/>
              <w:right w:val="nil"/>
            </w:tcBorders>
            <w:shd w:val="clear" w:color="auto" w:fill="auto"/>
            <w:vAlign w:val="center"/>
            <w:hideMark/>
          </w:tcPr>
          <w:p w14:paraId="25C8089B"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108 424,3</w:t>
            </w:r>
          </w:p>
        </w:tc>
        <w:tc>
          <w:tcPr>
            <w:tcW w:w="1264" w:type="pct"/>
            <w:tcBorders>
              <w:top w:val="nil"/>
              <w:left w:val="nil"/>
              <w:bottom w:val="nil"/>
              <w:right w:val="nil"/>
            </w:tcBorders>
            <w:shd w:val="clear" w:color="auto" w:fill="auto"/>
            <w:vAlign w:val="center"/>
            <w:hideMark/>
          </w:tcPr>
          <w:p w14:paraId="05FEDCFB" w14:textId="77777777" w:rsidR="008A53BE" w:rsidRPr="00862458" w:rsidRDefault="008A53BE" w:rsidP="00630F3B">
            <w:pPr>
              <w:spacing w:after="0" w:line="240" w:lineRule="auto"/>
              <w:jc w:val="center"/>
              <w:rPr>
                <w:rFonts w:eastAsia="Times New Roman" w:cs="Segoe UI"/>
                <w:i/>
                <w:color w:val="000000"/>
                <w:sz w:val="18"/>
                <w:szCs w:val="16"/>
                <w:lang w:eastAsia="sk-SK"/>
              </w:rPr>
            </w:pPr>
            <w:r w:rsidRPr="00862458">
              <w:rPr>
                <w:rFonts w:eastAsia="Times New Roman" w:cs="Segoe UI"/>
                <w:i/>
                <w:color w:val="000000"/>
                <w:sz w:val="18"/>
                <w:szCs w:val="16"/>
                <w:lang w:eastAsia="sk-SK"/>
              </w:rPr>
              <w:t>-</w:t>
            </w:r>
          </w:p>
        </w:tc>
      </w:tr>
      <w:tr w:rsidR="008A53BE" w:rsidRPr="004323E4" w14:paraId="0D3E931C" w14:textId="77777777" w:rsidTr="00630F3B">
        <w:trPr>
          <w:trHeight w:val="283"/>
        </w:trPr>
        <w:tc>
          <w:tcPr>
            <w:tcW w:w="2423" w:type="pct"/>
            <w:tcBorders>
              <w:top w:val="nil"/>
              <w:left w:val="nil"/>
              <w:bottom w:val="nil"/>
              <w:right w:val="nil"/>
            </w:tcBorders>
            <w:shd w:val="clear" w:color="auto" w:fill="auto"/>
            <w:vAlign w:val="center"/>
            <w:hideMark/>
          </w:tcPr>
          <w:p w14:paraId="771E8231" w14:textId="77777777" w:rsidR="008A53BE" w:rsidRPr="00862458" w:rsidRDefault="008A53BE" w:rsidP="00630F3B">
            <w:pPr>
              <w:spacing w:after="0" w:line="240" w:lineRule="auto"/>
              <w:jc w:val="left"/>
              <w:rPr>
                <w:rFonts w:eastAsia="Times New Roman" w:cs="Segoe UI"/>
                <w:color w:val="000000"/>
                <w:sz w:val="18"/>
                <w:szCs w:val="16"/>
                <w:lang w:eastAsia="sk-SK"/>
              </w:rPr>
            </w:pPr>
            <w:r w:rsidRPr="00862458">
              <w:rPr>
                <w:rFonts w:eastAsia="Times New Roman" w:cs="Segoe UI"/>
                <w:color w:val="000000"/>
                <w:sz w:val="18"/>
                <w:szCs w:val="16"/>
                <w:lang w:eastAsia="sk-SK"/>
              </w:rPr>
              <w:t xml:space="preserve">PS INTERACT III </w:t>
            </w:r>
          </w:p>
        </w:tc>
        <w:tc>
          <w:tcPr>
            <w:tcW w:w="1313" w:type="pct"/>
            <w:tcBorders>
              <w:top w:val="nil"/>
              <w:left w:val="nil"/>
              <w:bottom w:val="nil"/>
              <w:right w:val="nil"/>
            </w:tcBorders>
            <w:shd w:val="clear" w:color="auto" w:fill="auto"/>
            <w:vAlign w:val="center"/>
            <w:hideMark/>
          </w:tcPr>
          <w:p w14:paraId="687583FD"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c>
          <w:tcPr>
            <w:tcW w:w="1264" w:type="pct"/>
            <w:tcBorders>
              <w:top w:val="nil"/>
              <w:left w:val="nil"/>
              <w:bottom w:val="nil"/>
              <w:right w:val="nil"/>
            </w:tcBorders>
            <w:shd w:val="clear" w:color="auto" w:fill="auto"/>
            <w:vAlign w:val="center"/>
            <w:hideMark/>
          </w:tcPr>
          <w:p w14:paraId="7F557A37"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277,2</w:t>
            </w:r>
          </w:p>
        </w:tc>
      </w:tr>
      <w:tr w:rsidR="008A53BE" w:rsidRPr="004323E4" w14:paraId="2AE45DDE" w14:textId="77777777" w:rsidTr="00630F3B">
        <w:trPr>
          <w:trHeight w:val="283"/>
        </w:trPr>
        <w:tc>
          <w:tcPr>
            <w:tcW w:w="2423" w:type="pct"/>
            <w:tcBorders>
              <w:top w:val="nil"/>
              <w:left w:val="nil"/>
              <w:bottom w:val="nil"/>
              <w:right w:val="nil"/>
            </w:tcBorders>
            <w:shd w:val="clear" w:color="auto" w:fill="auto"/>
            <w:vAlign w:val="center"/>
            <w:hideMark/>
          </w:tcPr>
          <w:p w14:paraId="349E47DA" w14:textId="77777777" w:rsidR="008A53BE" w:rsidRPr="00862458" w:rsidRDefault="008A53BE" w:rsidP="00630F3B">
            <w:pPr>
              <w:spacing w:after="0" w:line="240" w:lineRule="auto"/>
              <w:jc w:val="left"/>
              <w:rPr>
                <w:rFonts w:eastAsia="Times New Roman" w:cs="Segoe UI"/>
                <w:color w:val="000000"/>
                <w:sz w:val="18"/>
                <w:szCs w:val="16"/>
                <w:lang w:eastAsia="sk-SK"/>
              </w:rPr>
            </w:pPr>
            <w:r w:rsidRPr="00862458">
              <w:rPr>
                <w:rFonts w:eastAsia="Times New Roman" w:cs="Segoe UI"/>
                <w:color w:val="000000"/>
                <w:sz w:val="18"/>
                <w:szCs w:val="16"/>
                <w:lang w:eastAsia="sk-SK"/>
              </w:rPr>
              <w:t>OP Ľudské zdroje</w:t>
            </w:r>
          </w:p>
        </w:tc>
        <w:tc>
          <w:tcPr>
            <w:tcW w:w="1313" w:type="pct"/>
            <w:tcBorders>
              <w:top w:val="nil"/>
              <w:left w:val="nil"/>
              <w:bottom w:val="nil"/>
              <w:right w:val="nil"/>
            </w:tcBorders>
            <w:shd w:val="clear" w:color="auto" w:fill="auto"/>
            <w:vAlign w:val="center"/>
            <w:hideMark/>
          </w:tcPr>
          <w:p w14:paraId="37375641"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c>
          <w:tcPr>
            <w:tcW w:w="1264" w:type="pct"/>
            <w:tcBorders>
              <w:top w:val="nil"/>
              <w:left w:val="nil"/>
              <w:bottom w:val="nil"/>
              <w:right w:val="nil"/>
            </w:tcBorders>
            <w:shd w:val="clear" w:color="auto" w:fill="auto"/>
            <w:vAlign w:val="center"/>
            <w:hideMark/>
          </w:tcPr>
          <w:p w14:paraId="60F4D035"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6 816,5</w:t>
            </w:r>
          </w:p>
        </w:tc>
      </w:tr>
      <w:tr w:rsidR="008A53BE" w:rsidRPr="004323E4" w14:paraId="29A87605" w14:textId="77777777" w:rsidTr="00630F3B">
        <w:trPr>
          <w:trHeight w:val="283"/>
        </w:trPr>
        <w:tc>
          <w:tcPr>
            <w:tcW w:w="2423" w:type="pct"/>
            <w:tcBorders>
              <w:top w:val="nil"/>
              <w:left w:val="nil"/>
              <w:bottom w:val="nil"/>
              <w:right w:val="nil"/>
            </w:tcBorders>
            <w:shd w:val="clear" w:color="auto" w:fill="auto"/>
            <w:vAlign w:val="center"/>
            <w:hideMark/>
          </w:tcPr>
          <w:p w14:paraId="15F1D49C" w14:textId="77777777" w:rsidR="008A53BE" w:rsidRPr="00862458" w:rsidRDefault="008A53BE" w:rsidP="00630F3B">
            <w:pPr>
              <w:spacing w:after="0" w:line="240" w:lineRule="auto"/>
              <w:jc w:val="left"/>
              <w:rPr>
                <w:rFonts w:eastAsia="Times New Roman" w:cs="Segoe UI"/>
                <w:color w:val="000000"/>
                <w:sz w:val="18"/>
                <w:szCs w:val="16"/>
                <w:lang w:eastAsia="sk-SK"/>
              </w:rPr>
            </w:pPr>
            <w:r w:rsidRPr="00862458">
              <w:rPr>
                <w:rFonts w:eastAsia="Times New Roman" w:cs="Segoe UI"/>
                <w:color w:val="000000"/>
                <w:sz w:val="18"/>
                <w:szCs w:val="16"/>
                <w:lang w:eastAsia="sk-SK"/>
              </w:rPr>
              <w:t>OP Efektívna verejná správa</w:t>
            </w:r>
          </w:p>
        </w:tc>
        <w:tc>
          <w:tcPr>
            <w:tcW w:w="1313" w:type="pct"/>
            <w:tcBorders>
              <w:top w:val="nil"/>
              <w:left w:val="nil"/>
              <w:bottom w:val="nil"/>
              <w:right w:val="nil"/>
            </w:tcBorders>
            <w:shd w:val="clear" w:color="auto" w:fill="auto"/>
            <w:vAlign w:val="center"/>
            <w:hideMark/>
          </w:tcPr>
          <w:p w14:paraId="797618AB"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c>
          <w:tcPr>
            <w:tcW w:w="1264" w:type="pct"/>
            <w:tcBorders>
              <w:top w:val="nil"/>
              <w:left w:val="nil"/>
              <w:bottom w:val="nil"/>
              <w:right w:val="nil"/>
            </w:tcBorders>
            <w:shd w:val="clear" w:color="auto" w:fill="auto"/>
            <w:vAlign w:val="center"/>
            <w:hideMark/>
          </w:tcPr>
          <w:p w14:paraId="429D5A92"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4,6</w:t>
            </w:r>
          </w:p>
        </w:tc>
      </w:tr>
      <w:tr w:rsidR="008A53BE" w:rsidRPr="004323E4" w14:paraId="33EA5C68" w14:textId="77777777" w:rsidTr="00630F3B">
        <w:trPr>
          <w:trHeight w:val="283"/>
        </w:trPr>
        <w:tc>
          <w:tcPr>
            <w:tcW w:w="2423" w:type="pct"/>
            <w:tcBorders>
              <w:top w:val="nil"/>
              <w:left w:val="nil"/>
              <w:bottom w:val="nil"/>
              <w:right w:val="nil"/>
            </w:tcBorders>
            <w:shd w:val="clear" w:color="auto" w:fill="auto"/>
            <w:vAlign w:val="center"/>
            <w:hideMark/>
          </w:tcPr>
          <w:p w14:paraId="3EC475A2" w14:textId="77777777" w:rsidR="008A53BE" w:rsidRPr="00862458" w:rsidRDefault="008A53BE" w:rsidP="00630F3B">
            <w:pPr>
              <w:spacing w:after="0" w:line="240" w:lineRule="auto"/>
              <w:jc w:val="left"/>
              <w:rPr>
                <w:rFonts w:eastAsia="Times New Roman" w:cs="Segoe UI"/>
                <w:color w:val="000000"/>
                <w:sz w:val="18"/>
                <w:szCs w:val="16"/>
                <w:lang w:eastAsia="sk-SK"/>
              </w:rPr>
            </w:pPr>
            <w:r w:rsidRPr="00862458">
              <w:rPr>
                <w:rFonts w:eastAsia="Times New Roman" w:cs="Segoe UI"/>
                <w:color w:val="000000"/>
                <w:sz w:val="18"/>
                <w:szCs w:val="16"/>
                <w:lang w:eastAsia="sk-SK"/>
              </w:rPr>
              <w:t>OP Kvalita životného prostredia</w:t>
            </w:r>
          </w:p>
        </w:tc>
        <w:tc>
          <w:tcPr>
            <w:tcW w:w="1313" w:type="pct"/>
            <w:tcBorders>
              <w:top w:val="nil"/>
              <w:left w:val="nil"/>
              <w:bottom w:val="nil"/>
              <w:right w:val="nil"/>
            </w:tcBorders>
            <w:shd w:val="clear" w:color="auto" w:fill="auto"/>
            <w:vAlign w:val="center"/>
            <w:hideMark/>
          </w:tcPr>
          <w:p w14:paraId="11E19D33"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c>
          <w:tcPr>
            <w:tcW w:w="1264" w:type="pct"/>
            <w:tcBorders>
              <w:top w:val="nil"/>
              <w:left w:val="nil"/>
              <w:bottom w:val="nil"/>
              <w:right w:val="nil"/>
            </w:tcBorders>
            <w:shd w:val="clear" w:color="auto" w:fill="auto"/>
            <w:vAlign w:val="center"/>
            <w:hideMark/>
          </w:tcPr>
          <w:p w14:paraId="17585CBC"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r>
      <w:tr w:rsidR="008A53BE" w:rsidRPr="004323E4" w14:paraId="72539943" w14:textId="77777777" w:rsidTr="00630F3B">
        <w:trPr>
          <w:trHeight w:val="283"/>
        </w:trPr>
        <w:tc>
          <w:tcPr>
            <w:tcW w:w="2423" w:type="pct"/>
            <w:tcBorders>
              <w:top w:val="nil"/>
              <w:left w:val="nil"/>
              <w:bottom w:val="nil"/>
              <w:right w:val="nil"/>
            </w:tcBorders>
            <w:shd w:val="clear" w:color="auto" w:fill="auto"/>
            <w:vAlign w:val="center"/>
            <w:hideMark/>
          </w:tcPr>
          <w:p w14:paraId="40E7DFE4" w14:textId="77777777" w:rsidR="008A53BE" w:rsidRPr="00862458" w:rsidRDefault="008A53BE" w:rsidP="00630F3B">
            <w:pPr>
              <w:spacing w:after="0" w:line="240" w:lineRule="auto"/>
              <w:jc w:val="left"/>
              <w:rPr>
                <w:rFonts w:eastAsia="Times New Roman" w:cs="Segoe UI"/>
                <w:color w:val="000000"/>
                <w:sz w:val="18"/>
                <w:szCs w:val="16"/>
                <w:lang w:eastAsia="sk-SK"/>
              </w:rPr>
            </w:pPr>
            <w:proofErr w:type="spellStart"/>
            <w:r w:rsidRPr="00862458">
              <w:rPr>
                <w:rFonts w:eastAsia="Times New Roman" w:cs="Segoe UI"/>
                <w:color w:val="000000"/>
                <w:sz w:val="18"/>
                <w:szCs w:val="16"/>
                <w:lang w:eastAsia="sk-SK"/>
              </w:rPr>
              <w:t>Interreg</w:t>
            </w:r>
            <w:proofErr w:type="spellEnd"/>
            <w:r w:rsidRPr="00862458">
              <w:rPr>
                <w:rFonts w:eastAsia="Times New Roman" w:cs="Segoe UI"/>
                <w:color w:val="000000"/>
                <w:sz w:val="18"/>
                <w:szCs w:val="16"/>
                <w:lang w:eastAsia="sk-SK"/>
              </w:rPr>
              <w:t xml:space="preserve"> V-A SK-CZ </w:t>
            </w:r>
          </w:p>
        </w:tc>
        <w:tc>
          <w:tcPr>
            <w:tcW w:w="1313" w:type="pct"/>
            <w:tcBorders>
              <w:top w:val="nil"/>
              <w:left w:val="nil"/>
              <w:bottom w:val="nil"/>
              <w:right w:val="nil"/>
            </w:tcBorders>
            <w:shd w:val="clear" w:color="auto" w:fill="auto"/>
            <w:vAlign w:val="center"/>
            <w:hideMark/>
          </w:tcPr>
          <w:p w14:paraId="1A850D11"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c>
          <w:tcPr>
            <w:tcW w:w="1264" w:type="pct"/>
            <w:tcBorders>
              <w:top w:val="nil"/>
              <w:left w:val="nil"/>
              <w:bottom w:val="nil"/>
              <w:right w:val="nil"/>
            </w:tcBorders>
            <w:shd w:val="clear" w:color="auto" w:fill="auto"/>
            <w:vAlign w:val="center"/>
            <w:hideMark/>
          </w:tcPr>
          <w:p w14:paraId="7D52F37A"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r>
      <w:tr w:rsidR="008A53BE" w:rsidRPr="004323E4" w14:paraId="284B7D29" w14:textId="77777777" w:rsidTr="00630F3B">
        <w:trPr>
          <w:trHeight w:val="283"/>
        </w:trPr>
        <w:tc>
          <w:tcPr>
            <w:tcW w:w="2423" w:type="pct"/>
            <w:tcBorders>
              <w:top w:val="nil"/>
              <w:left w:val="nil"/>
              <w:bottom w:val="nil"/>
              <w:right w:val="nil"/>
            </w:tcBorders>
            <w:shd w:val="clear" w:color="auto" w:fill="auto"/>
            <w:vAlign w:val="center"/>
            <w:hideMark/>
          </w:tcPr>
          <w:p w14:paraId="0C2B889E" w14:textId="77777777" w:rsidR="008A53BE" w:rsidRPr="00862458" w:rsidRDefault="008A53BE" w:rsidP="00630F3B">
            <w:pPr>
              <w:spacing w:after="0" w:line="240" w:lineRule="auto"/>
              <w:jc w:val="left"/>
              <w:rPr>
                <w:rFonts w:eastAsia="Times New Roman" w:cs="Segoe UI"/>
                <w:color w:val="000000"/>
                <w:sz w:val="18"/>
                <w:szCs w:val="16"/>
                <w:lang w:eastAsia="sk-SK"/>
              </w:rPr>
            </w:pPr>
            <w:proofErr w:type="spellStart"/>
            <w:r w:rsidRPr="00862458">
              <w:rPr>
                <w:rFonts w:eastAsia="Times New Roman" w:cs="Segoe UI"/>
                <w:color w:val="000000"/>
                <w:sz w:val="18"/>
                <w:szCs w:val="16"/>
                <w:lang w:eastAsia="sk-SK"/>
              </w:rPr>
              <w:t>Interreg</w:t>
            </w:r>
            <w:proofErr w:type="spellEnd"/>
            <w:r w:rsidRPr="00862458">
              <w:rPr>
                <w:rFonts w:eastAsia="Times New Roman" w:cs="Segoe UI"/>
                <w:color w:val="000000"/>
                <w:sz w:val="18"/>
                <w:szCs w:val="16"/>
                <w:lang w:eastAsia="sk-SK"/>
              </w:rPr>
              <w:t xml:space="preserve"> V-A SK-AT </w:t>
            </w:r>
          </w:p>
        </w:tc>
        <w:tc>
          <w:tcPr>
            <w:tcW w:w="1313" w:type="pct"/>
            <w:tcBorders>
              <w:top w:val="nil"/>
              <w:left w:val="nil"/>
              <w:bottom w:val="nil"/>
              <w:right w:val="nil"/>
            </w:tcBorders>
            <w:shd w:val="clear" w:color="auto" w:fill="auto"/>
            <w:vAlign w:val="center"/>
            <w:hideMark/>
          </w:tcPr>
          <w:p w14:paraId="7D24D0D0"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c>
          <w:tcPr>
            <w:tcW w:w="1264" w:type="pct"/>
            <w:tcBorders>
              <w:top w:val="nil"/>
              <w:left w:val="nil"/>
              <w:bottom w:val="nil"/>
              <w:right w:val="nil"/>
            </w:tcBorders>
            <w:shd w:val="clear" w:color="auto" w:fill="auto"/>
            <w:vAlign w:val="center"/>
            <w:hideMark/>
          </w:tcPr>
          <w:p w14:paraId="086BBD58"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0,0</w:t>
            </w:r>
          </w:p>
        </w:tc>
      </w:tr>
      <w:tr w:rsidR="008A53BE" w:rsidRPr="004323E4" w14:paraId="1A9B165E" w14:textId="77777777" w:rsidTr="00630F3B">
        <w:trPr>
          <w:trHeight w:val="283"/>
        </w:trPr>
        <w:tc>
          <w:tcPr>
            <w:tcW w:w="2423" w:type="pct"/>
            <w:tcBorders>
              <w:top w:val="nil"/>
              <w:left w:val="nil"/>
              <w:bottom w:val="nil"/>
              <w:right w:val="nil"/>
            </w:tcBorders>
            <w:shd w:val="clear" w:color="auto" w:fill="auto"/>
            <w:vAlign w:val="center"/>
            <w:hideMark/>
          </w:tcPr>
          <w:p w14:paraId="730D5D77" w14:textId="77777777" w:rsidR="008A53BE" w:rsidRPr="00862458" w:rsidRDefault="008A53BE" w:rsidP="00630F3B">
            <w:pPr>
              <w:spacing w:after="0" w:line="240" w:lineRule="auto"/>
              <w:jc w:val="left"/>
              <w:rPr>
                <w:rFonts w:eastAsia="Times New Roman" w:cs="Segoe UI"/>
                <w:color w:val="000000"/>
                <w:sz w:val="18"/>
                <w:szCs w:val="16"/>
                <w:lang w:eastAsia="sk-SK"/>
              </w:rPr>
            </w:pPr>
            <w:r w:rsidRPr="00862458">
              <w:rPr>
                <w:rFonts w:eastAsia="Times New Roman" w:cs="Segoe UI"/>
                <w:color w:val="000000"/>
                <w:sz w:val="18"/>
                <w:szCs w:val="16"/>
                <w:lang w:eastAsia="sk-SK"/>
              </w:rPr>
              <w:t xml:space="preserve">OP Rybné hospodárstvo </w:t>
            </w:r>
          </w:p>
        </w:tc>
        <w:tc>
          <w:tcPr>
            <w:tcW w:w="1313" w:type="pct"/>
            <w:tcBorders>
              <w:top w:val="nil"/>
              <w:left w:val="nil"/>
              <w:bottom w:val="nil"/>
              <w:right w:val="nil"/>
            </w:tcBorders>
            <w:shd w:val="clear" w:color="auto" w:fill="auto"/>
            <w:vAlign w:val="center"/>
            <w:hideMark/>
          </w:tcPr>
          <w:p w14:paraId="62C79AAF"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7 101,3</w:t>
            </w:r>
          </w:p>
        </w:tc>
        <w:tc>
          <w:tcPr>
            <w:tcW w:w="1264" w:type="pct"/>
            <w:tcBorders>
              <w:top w:val="nil"/>
              <w:left w:val="nil"/>
              <w:bottom w:val="nil"/>
              <w:right w:val="nil"/>
            </w:tcBorders>
            <w:shd w:val="clear" w:color="auto" w:fill="auto"/>
            <w:vAlign w:val="center"/>
            <w:hideMark/>
          </w:tcPr>
          <w:p w14:paraId="1E86208A" w14:textId="77777777" w:rsidR="008A53BE" w:rsidRPr="00862458" w:rsidRDefault="008A53BE" w:rsidP="00630F3B">
            <w:pPr>
              <w:spacing w:after="0" w:line="240" w:lineRule="auto"/>
              <w:jc w:val="center"/>
              <w:rPr>
                <w:rFonts w:eastAsia="Times New Roman" w:cs="Segoe UI"/>
                <w:color w:val="000000"/>
                <w:sz w:val="18"/>
                <w:szCs w:val="16"/>
                <w:lang w:eastAsia="sk-SK"/>
              </w:rPr>
            </w:pPr>
            <w:r w:rsidRPr="00862458">
              <w:rPr>
                <w:rFonts w:eastAsia="Times New Roman" w:cs="Segoe UI"/>
                <w:color w:val="000000"/>
                <w:sz w:val="18"/>
                <w:szCs w:val="16"/>
                <w:lang w:eastAsia="sk-SK"/>
              </w:rPr>
              <w:t>3 571,9</w:t>
            </w:r>
          </w:p>
        </w:tc>
      </w:tr>
      <w:tr w:rsidR="008A53BE" w:rsidRPr="004323E4" w14:paraId="040F6C46" w14:textId="77777777" w:rsidTr="00630F3B">
        <w:trPr>
          <w:trHeight w:val="283"/>
        </w:trPr>
        <w:tc>
          <w:tcPr>
            <w:tcW w:w="2423" w:type="pct"/>
            <w:tcBorders>
              <w:top w:val="single" w:sz="4" w:space="0" w:color="002060"/>
              <w:left w:val="nil"/>
              <w:bottom w:val="single" w:sz="4" w:space="0" w:color="002060"/>
              <w:right w:val="nil"/>
            </w:tcBorders>
            <w:shd w:val="clear" w:color="000000" w:fill="FFFFFF"/>
            <w:noWrap/>
            <w:vAlign w:val="center"/>
            <w:hideMark/>
          </w:tcPr>
          <w:p w14:paraId="4AB5CB85" w14:textId="635F7F27" w:rsidR="008A53BE" w:rsidRPr="00862458" w:rsidRDefault="008A53BE" w:rsidP="00630F3B">
            <w:pPr>
              <w:spacing w:after="0" w:line="240" w:lineRule="auto"/>
              <w:jc w:val="left"/>
              <w:rPr>
                <w:rFonts w:eastAsia="Times New Roman" w:cs="Segoe UI"/>
                <w:b/>
                <w:bCs/>
                <w:color w:val="000000"/>
                <w:sz w:val="18"/>
                <w:szCs w:val="16"/>
                <w:lang w:eastAsia="sk-SK"/>
              </w:rPr>
            </w:pPr>
            <w:r w:rsidRPr="00862458">
              <w:rPr>
                <w:rFonts w:eastAsia="Times New Roman" w:cs="Segoe UI"/>
                <w:b/>
                <w:bCs/>
                <w:color w:val="000000"/>
                <w:sz w:val="18"/>
                <w:szCs w:val="16"/>
                <w:lang w:eastAsia="sk-SK"/>
              </w:rPr>
              <w:t xml:space="preserve">SPOLU EŠIF </w:t>
            </w:r>
            <w:r w:rsidR="004165F7">
              <w:rPr>
                <w:rFonts w:eastAsia="Times New Roman" w:cs="Segoe UI"/>
                <w:b/>
                <w:bCs/>
                <w:color w:val="000000"/>
                <w:sz w:val="18"/>
                <w:szCs w:val="16"/>
                <w:lang w:eastAsia="sk-SK"/>
              </w:rPr>
              <w:t>(bez PRV)</w:t>
            </w:r>
          </w:p>
        </w:tc>
        <w:tc>
          <w:tcPr>
            <w:tcW w:w="1313" w:type="pct"/>
            <w:tcBorders>
              <w:top w:val="single" w:sz="4" w:space="0" w:color="002060"/>
              <w:left w:val="nil"/>
              <w:bottom w:val="single" w:sz="4" w:space="0" w:color="002060"/>
              <w:right w:val="nil"/>
            </w:tcBorders>
            <w:shd w:val="clear" w:color="000000" w:fill="FFFFFF"/>
            <w:noWrap/>
            <w:vAlign w:val="center"/>
            <w:hideMark/>
          </w:tcPr>
          <w:p w14:paraId="3B4D9013" w14:textId="77777777" w:rsidR="008A53BE" w:rsidRPr="00862458" w:rsidRDefault="008A53BE" w:rsidP="00630F3B">
            <w:pPr>
              <w:spacing w:after="0" w:line="240" w:lineRule="auto"/>
              <w:jc w:val="center"/>
              <w:rPr>
                <w:rFonts w:eastAsia="Times New Roman" w:cs="Segoe UI"/>
                <w:b/>
                <w:bCs/>
                <w:color w:val="000000"/>
                <w:sz w:val="18"/>
                <w:szCs w:val="16"/>
                <w:lang w:eastAsia="sk-SK"/>
              </w:rPr>
            </w:pPr>
            <w:r w:rsidRPr="00862458">
              <w:rPr>
                <w:rFonts w:eastAsia="Times New Roman" w:cs="Segoe UI"/>
                <w:b/>
                <w:bCs/>
                <w:color w:val="000000"/>
                <w:sz w:val="18"/>
                <w:szCs w:val="16"/>
                <w:lang w:eastAsia="sk-SK"/>
              </w:rPr>
              <w:t>154 417,9</w:t>
            </w:r>
          </w:p>
        </w:tc>
        <w:tc>
          <w:tcPr>
            <w:tcW w:w="1264" w:type="pct"/>
            <w:tcBorders>
              <w:top w:val="single" w:sz="4" w:space="0" w:color="002060"/>
              <w:left w:val="nil"/>
              <w:bottom w:val="single" w:sz="4" w:space="0" w:color="002060"/>
              <w:right w:val="nil"/>
            </w:tcBorders>
            <w:shd w:val="clear" w:color="000000" w:fill="FFFFFF"/>
            <w:noWrap/>
            <w:vAlign w:val="center"/>
            <w:hideMark/>
          </w:tcPr>
          <w:p w14:paraId="299CEBD1" w14:textId="77777777" w:rsidR="008A53BE" w:rsidRPr="00862458" w:rsidRDefault="008A53BE" w:rsidP="00630F3B">
            <w:pPr>
              <w:spacing w:after="0" w:line="240" w:lineRule="auto"/>
              <w:jc w:val="center"/>
              <w:rPr>
                <w:rFonts w:eastAsia="Times New Roman" w:cs="Segoe UI"/>
                <w:b/>
                <w:bCs/>
                <w:color w:val="000000"/>
                <w:sz w:val="18"/>
                <w:szCs w:val="16"/>
                <w:lang w:eastAsia="sk-SK"/>
              </w:rPr>
            </w:pPr>
            <w:r w:rsidRPr="00862458">
              <w:rPr>
                <w:rFonts w:eastAsia="Times New Roman" w:cs="Segoe UI"/>
                <w:b/>
                <w:bCs/>
                <w:color w:val="000000"/>
                <w:sz w:val="18"/>
                <w:szCs w:val="16"/>
                <w:lang w:eastAsia="sk-SK"/>
              </w:rPr>
              <w:t>10 670,1</w:t>
            </w:r>
          </w:p>
        </w:tc>
      </w:tr>
    </w:tbl>
    <w:p w14:paraId="5EB96782" w14:textId="7BBC4D17" w:rsidR="008A53BE" w:rsidRPr="009C0055" w:rsidRDefault="008A53BE" w:rsidP="008A53BE">
      <w:pPr>
        <w:pStyle w:val="Zdroj"/>
        <w:spacing w:after="0"/>
        <w:jc w:val="both"/>
      </w:pPr>
      <w:r w:rsidRPr="009C0055">
        <w:t>Zdroj: MF SR</w:t>
      </w:r>
      <w:r w:rsidR="00831F76">
        <w:t>.</w:t>
      </w:r>
    </w:p>
    <w:p w14:paraId="09C4DB45" w14:textId="449C50D1" w:rsidR="008A53BE" w:rsidRDefault="008A53BE" w:rsidP="008A53BE">
      <w:pPr>
        <w:pStyle w:val="Zdroj"/>
        <w:jc w:val="both"/>
      </w:pPr>
      <w:r w:rsidRPr="009C0055">
        <w:t xml:space="preserve">* V prípade OP </w:t>
      </w:r>
      <w:r w:rsidRPr="00CD7D9D">
        <w:t>Integrovaná Infraštruktúra</w:t>
      </w:r>
      <w:r w:rsidRPr="009C0055">
        <w:t xml:space="preserve"> údaj nie je známy, keďže </w:t>
      </w:r>
      <w:r>
        <w:t xml:space="preserve">k stanovenému termínu </w:t>
      </w:r>
      <w:r w:rsidRPr="009C0055">
        <w:t xml:space="preserve">nebola predložená na EK záverečná žiadosť o platbu za posledný </w:t>
      </w:r>
      <w:r>
        <w:t>ú</w:t>
      </w:r>
      <w:r w:rsidRPr="009C0055">
        <w:t>čtovný rok.</w:t>
      </w:r>
      <w:r>
        <w:t xml:space="preserve"> V prípade OP Technická pomoc, vzhľadom na schválenie Účtov za posledný účtovný rok zo</w:t>
      </w:r>
      <w:r w:rsidR="00AA2F5D">
        <w:t xml:space="preserve"> strany EK, ide o finálny údaj.</w:t>
      </w:r>
    </w:p>
    <w:p w14:paraId="72C73315" w14:textId="50348AF3" w:rsidR="004165F7" w:rsidRPr="00DD1AAC" w:rsidRDefault="000946E8" w:rsidP="004165F7">
      <w:pPr>
        <w:pStyle w:val="Zdroj"/>
        <w:spacing w:line="276" w:lineRule="auto"/>
        <w:jc w:val="both"/>
        <w:rPr>
          <w:b/>
          <w:i w:val="0"/>
          <w:color w:val="auto"/>
          <w:sz w:val="20"/>
          <w:szCs w:val="20"/>
        </w:rPr>
      </w:pPr>
      <w:r w:rsidRPr="00DD1AAC">
        <w:rPr>
          <w:b/>
          <w:i w:val="0"/>
          <w:color w:val="auto"/>
          <w:sz w:val="20"/>
          <w:szCs w:val="20"/>
        </w:rPr>
        <w:lastRenderedPageBreak/>
        <w:t>V rámci PRV</w:t>
      </w:r>
      <w:r w:rsidR="004165F7" w:rsidRPr="00DD1AAC">
        <w:rPr>
          <w:b/>
          <w:i w:val="0"/>
          <w:color w:val="auto"/>
          <w:sz w:val="20"/>
          <w:szCs w:val="20"/>
        </w:rPr>
        <w:t xml:space="preserve"> 2014 – 2022 NKÚ SR</w:t>
      </w:r>
      <w:r w:rsidR="00052A0A">
        <w:rPr>
          <w:b/>
          <w:i w:val="0"/>
          <w:color w:val="auto"/>
          <w:sz w:val="20"/>
          <w:szCs w:val="20"/>
        </w:rPr>
        <w:t>,</w:t>
      </w:r>
      <w:r w:rsidR="004165F7" w:rsidRPr="00DD1AAC">
        <w:rPr>
          <w:b/>
          <w:i w:val="0"/>
          <w:color w:val="auto"/>
          <w:sz w:val="20"/>
          <w:szCs w:val="20"/>
        </w:rPr>
        <w:t xml:space="preserve"> vzhľadom na pomalé rozbiehanie implementácie projektov realizovaných prostredníctvom miestnych akčných skupín </w:t>
      </w:r>
      <w:r w:rsidR="004165F7" w:rsidRPr="00DD1AAC">
        <w:rPr>
          <w:i w:val="0"/>
          <w:color w:val="auto"/>
          <w:sz w:val="20"/>
          <w:szCs w:val="20"/>
        </w:rPr>
        <w:t>(MAS</w:t>
      </w:r>
      <w:r w:rsidR="004165F7" w:rsidRPr="00BC0B52">
        <w:rPr>
          <w:i w:val="0"/>
          <w:color w:val="auto"/>
          <w:sz w:val="20"/>
          <w:szCs w:val="20"/>
        </w:rPr>
        <w:t>)</w:t>
      </w:r>
      <w:r w:rsidR="00052A0A">
        <w:rPr>
          <w:i w:val="0"/>
          <w:color w:val="auto"/>
          <w:sz w:val="20"/>
          <w:szCs w:val="20"/>
        </w:rPr>
        <w:t>,</w:t>
      </w:r>
      <w:r w:rsidR="004165F7" w:rsidRPr="00DD1AAC">
        <w:rPr>
          <w:b/>
          <w:i w:val="0"/>
          <w:color w:val="auto"/>
          <w:sz w:val="20"/>
          <w:szCs w:val="20"/>
        </w:rPr>
        <w:t xml:space="preserve"> </w:t>
      </w:r>
      <w:r w:rsidR="00DD1AAC" w:rsidRPr="00DD1AAC">
        <w:rPr>
          <w:b/>
          <w:i w:val="0"/>
          <w:color w:val="auto"/>
          <w:sz w:val="20"/>
          <w:szCs w:val="20"/>
        </w:rPr>
        <w:t>vykonal kontrolu</w:t>
      </w:r>
      <w:r w:rsidR="004165F7" w:rsidRPr="00DD1AAC">
        <w:rPr>
          <w:b/>
          <w:i w:val="0"/>
          <w:color w:val="auto"/>
          <w:sz w:val="20"/>
          <w:szCs w:val="20"/>
        </w:rPr>
        <w:t xml:space="preserve"> na P</w:t>
      </w:r>
      <w:r w:rsidR="008A0D01">
        <w:rPr>
          <w:b/>
          <w:i w:val="0"/>
          <w:color w:val="auto"/>
          <w:sz w:val="20"/>
          <w:szCs w:val="20"/>
        </w:rPr>
        <w:t>ôdohospodárskej platobnej agentúre</w:t>
      </w:r>
      <w:r w:rsidR="00DD1AAC" w:rsidRPr="00DD1AAC">
        <w:rPr>
          <w:b/>
          <w:i w:val="0"/>
          <w:color w:val="auto"/>
          <w:sz w:val="20"/>
          <w:szCs w:val="20"/>
        </w:rPr>
        <w:t>, ktorá</w:t>
      </w:r>
      <w:r w:rsidRPr="00DD1AAC">
        <w:rPr>
          <w:b/>
          <w:i w:val="0"/>
          <w:color w:val="auto"/>
          <w:sz w:val="20"/>
          <w:szCs w:val="20"/>
        </w:rPr>
        <w:t xml:space="preserve"> potvrdila viaceré identifikované riziká</w:t>
      </w:r>
      <w:r w:rsidR="00DD1AAC">
        <w:rPr>
          <w:b/>
          <w:i w:val="0"/>
          <w:color w:val="auto"/>
          <w:sz w:val="20"/>
          <w:szCs w:val="20"/>
        </w:rPr>
        <w:t xml:space="preserve"> </w:t>
      </w:r>
      <w:r w:rsidR="00DD1AAC">
        <w:rPr>
          <w:i w:val="0"/>
          <w:color w:val="auto"/>
          <w:sz w:val="20"/>
          <w:szCs w:val="20"/>
        </w:rPr>
        <w:t>(box 3)</w:t>
      </w:r>
      <w:r w:rsidR="004165F7" w:rsidRPr="00DD1AAC">
        <w:rPr>
          <w:b/>
          <w:i w:val="0"/>
          <w:color w:val="auto"/>
          <w:sz w:val="20"/>
          <w:szCs w:val="20"/>
        </w:rPr>
        <w:t>.</w:t>
      </w:r>
    </w:p>
    <w:tbl>
      <w:tblPr>
        <w:tblStyle w:val="Mriekatabuky"/>
        <w:tblW w:w="0" w:type="auto"/>
        <w:tblBorders>
          <w:top w:val="single" w:sz="4" w:space="0" w:color="314364" w:themeColor="text2"/>
          <w:left w:val="single" w:sz="4" w:space="0" w:color="314364" w:themeColor="text2"/>
          <w:bottom w:val="single" w:sz="4" w:space="0" w:color="314364" w:themeColor="text2"/>
          <w:right w:val="single" w:sz="4" w:space="0" w:color="314364" w:themeColor="text2"/>
          <w:insideH w:val="none" w:sz="0" w:space="0" w:color="auto"/>
          <w:insideV w:val="none" w:sz="0" w:space="0" w:color="auto"/>
        </w:tblBorders>
        <w:shd w:val="clear" w:color="auto" w:fill="EBF0FB" w:themeFill="background2" w:themeFillTint="33"/>
        <w:tblLook w:val="04A0" w:firstRow="1" w:lastRow="0" w:firstColumn="1" w:lastColumn="0" w:noHBand="0" w:noVBand="1"/>
      </w:tblPr>
      <w:tblGrid>
        <w:gridCol w:w="9060"/>
      </w:tblGrid>
      <w:tr w:rsidR="008A53BE" w:rsidRPr="00AC3675" w14:paraId="7578BFB9" w14:textId="77777777" w:rsidTr="00630F3B">
        <w:tc>
          <w:tcPr>
            <w:tcW w:w="9060" w:type="dxa"/>
            <w:shd w:val="clear" w:color="auto" w:fill="EBF0FB" w:themeFill="background2" w:themeFillTint="33"/>
          </w:tcPr>
          <w:p w14:paraId="601C8EE7" w14:textId="61AA7DD0" w:rsidR="008A53BE" w:rsidRPr="0047527E" w:rsidRDefault="008A53BE" w:rsidP="00AC3345">
            <w:pPr>
              <w:tabs>
                <w:tab w:val="left" w:pos="3024"/>
              </w:tabs>
              <w:spacing w:before="120"/>
              <w:rPr>
                <w:b/>
                <w:szCs w:val="18"/>
              </w:rPr>
            </w:pPr>
            <w:r>
              <w:rPr>
                <w:b/>
                <w:szCs w:val="18"/>
              </w:rPr>
              <w:t xml:space="preserve">BOX </w:t>
            </w:r>
            <w:r w:rsidR="00630F3B">
              <w:rPr>
                <w:b/>
                <w:szCs w:val="18"/>
              </w:rPr>
              <w:t>3</w:t>
            </w:r>
            <w:r>
              <w:rPr>
                <w:b/>
                <w:szCs w:val="18"/>
              </w:rPr>
              <w:t xml:space="preserve">: Čerpanie Programu rozvoja vidieka </w:t>
            </w:r>
            <w:r w:rsidR="008A0D01">
              <w:rPr>
                <w:b/>
                <w:szCs w:val="18"/>
              </w:rPr>
              <w:t xml:space="preserve">(PRV) </w:t>
            </w:r>
            <w:r>
              <w:rPr>
                <w:b/>
                <w:szCs w:val="18"/>
              </w:rPr>
              <w:t xml:space="preserve">2014 – 2022 </w:t>
            </w:r>
            <w:r w:rsidRPr="0047527E">
              <w:rPr>
                <w:b/>
                <w:szCs w:val="18"/>
              </w:rPr>
              <w:t xml:space="preserve">v kapitole </w:t>
            </w:r>
            <w:r>
              <w:rPr>
                <w:b/>
                <w:szCs w:val="18"/>
              </w:rPr>
              <w:t>MPRV</w:t>
            </w:r>
            <w:r w:rsidRPr="0047527E">
              <w:rPr>
                <w:b/>
                <w:szCs w:val="18"/>
              </w:rPr>
              <w:t xml:space="preserve"> SR</w:t>
            </w:r>
          </w:p>
          <w:p w14:paraId="42A30D88" w14:textId="0F655068" w:rsidR="008A53BE" w:rsidRPr="00CD4EE0" w:rsidRDefault="008A53BE" w:rsidP="00630F3B">
            <w:pPr>
              <w:rPr>
                <w:sz w:val="18"/>
              </w:rPr>
            </w:pPr>
            <w:r w:rsidRPr="00CD4EE0">
              <w:rPr>
                <w:sz w:val="18"/>
              </w:rPr>
              <w:t>V rámci kapitoly M</w:t>
            </w:r>
            <w:r w:rsidR="008A0D01">
              <w:rPr>
                <w:sz w:val="18"/>
              </w:rPr>
              <w:t>inisterstva pôdohospodárstva a rozvoja vidieka</w:t>
            </w:r>
            <w:r w:rsidRPr="00CD4EE0">
              <w:rPr>
                <w:sz w:val="18"/>
              </w:rPr>
              <w:t xml:space="preserve"> SR boli v roku 2024 rozpočtované výdavky na implementáciu P</w:t>
            </w:r>
            <w:r w:rsidR="00E555E3">
              <w:rPr>
                <w:sz w:val="18"/>
              </w:rPr>
              <w:t>RV</w:t>
            </w:r>
            <w:r w:rsidRPr="00CD4EE0">
              <w:rPr>
                <w:sz w:val="18"/>
              </w:rPr>
              <w:t xml:space="preserve"> 2014 – 2022 v sume 115,2 mil. eur. Ku koncu roka 2024 </w:t>
            </w:r>
            <w:r w:rsidR="00E555E3">
              <w:rPr>
                <w:sz w:val="18"/>
              </w:rPr>
              <w:t>sa z toho vy</w:t>
            </w:r>
            <w:r w:rsidRPr="00CD4EE0">
              <w:rPr>
                <w:sz w:val="18"/>
              </w:rPr>
              <w:t>čerpa</w:t>
            </w:r>
            <w:r w:rsidR="00E555E3">
              <w:rPr>
                <w:sz w:val="18"/>
              </w:rPr>
              <w:t>lo</w:t>
            </w:r>
            <w:r w:rsidRPr="00CD4EE0">
              <w:rPr>
                <w:sz w:val="18"/>
              </w:rPr>
              <w:t xml:space="preserve"> 161,2 mil. eur, pričom takmer 100 % týchto výdavkov bolo realizovaných z prenesených minuloročných zdrojov.</w:t>
            </w:r>
          </w:p>
          <w:p w14:paraId="044AFD8A" w14:textId="47B66638" w:rsidR="008A53BE" w:rsidRPr="00CD4EE0" w:rsidRDefault="008A53BE" w:rsidP="00630F3B">
            <w:pPr>
              <w:rPr>
                <w:b/>
                <w:sz w:val="18"/>
              </w:rPr>
            </w:pPr>
            <w:r w:rsidRPr="00CD4EE0">
              <w:rPr>
                <w:b/>
                <w:sz w:val="18"/>
              </w:rPr>
              <w:t xml:space="preserve">Od roku 2023, kedy PRV </w:t>
            </w:r>
            <w:r w:rsidRPr="00CD4EE0">
              <w:rPr>
                <w:rFonts w:eastAsiaTheme="majorEastAsia" w:cs="Segoe UI"/>
                <w:b/>
                <w:sz w:val="18"/>
                <w:szCs w:val="20"/>
              </w:rPr>
              <w:t xml:space="preserve">prvýkrát definitívne prišiel o časť alokácie z ročného záväzku 2020 v sume 46,5 mil. eur </w:t>
            </w:r>
            <w:r w:rsidRPr="00C2735E">
              <w:rPr>
                <w:rFonts w:eastAsiaTheme="majorEastAsia" w:cs="Segoe UI"/>
                <w:sz w:val="18"/>
                <w:szCs w:val="20"/>
              </w:rPr>
              <w:t>(2  % z alokácie)</w:t>
            </w:r>
            <w:r w:rsidRPr="00CD4EE0">
              <w:rPr>
                <w:rFonts w:eastAsiaTheme="majorEastAsia" w:cs="Segoe UI"/>
                <w:b/>
                <w:sz w:val="18"/>
                <w:szCs w:val="20"/>
              </w:rPr>
              <w:t xml:space="preserve">, pokračuje trend nedostatočného čerpania a ku koncu roka 2024 </w:t>
            </w:r>
            <w:r w:rsidR="00E555E3">
              <w:rPr>
                <w:rFonts w:eastAsiaTheme="majorEastAsia" w:cs="Segoe UI"/>
                <w:b/>
                <w:sz w:val="18"/>
                <w:szCs w:val="20"/>
              </w:rPr>
              <w:t xml:space="preserve">SR </w:t>
            </w:r>
            <w:r w:rsidRPr="00CD4EE0">
              <w:rPr>
                <w:rFonts w:eastAsiaTheme="majorEastAsia" w:cs="Segoe UI"/>
                <w:b/>
                <w:sz w:val="18"/>
                <w:szCs w:val="20"/>
              </w:rPr>
              <w:t>opätovne čelí prepadu časti alokácie za záväzok roku 2021 v</w:t>
            </w:r>
            <w:r w:rsidR="00E555E3">
              <w:rPr>
                <w:rFonts w:eastAsiaTheme="majorEastAsia" w:cs="Segoe UI"/>
                <w:b/>
                <w:sz w:val="18"/>
                <w:szCs w:val="20"/>
              </w:rPr>
              <w:t xml:space="preserve"> sume</w:t>
            </w:r>
            <w:r w:rsidRPr="00CD4EE0">
              <w:rPr>
                <w:rFonts w:eastAsiaTheme="majorEastAsia" w:cs="Segoe UI"/>
                <w:b/>
                <w:sz w:val="18"/>
                <w:szCs w:val="20"/>
              </w:rPr>
              <w:t xml:space="preserve"> 180,32 mil. eur</w:t>
            </w:r>
            <w:r w:rsidRPr="00E555E3">
              <w:rPr>
                <w:rStyle w:val="Odkaznapoznmkupodiarou"/>
                <w:rFonts w:eastAsiaTheme="majorEastAsia" w:cs="Segoe UI"/>
                <w:sz w:val="18"/>
                <w:szCs w:val="20"/>
              </w:rPr>
              <w:footnoteReference w:id="10"/>
            </w:r>
            <w:r w:rsidRPr="00E555E3">
              <w:rPr>
                <w:rFonts w:eastAsiaTheme="majorEastAsia" w:cs="Segoe UI"/>
                <w:sz w:val="18"/>
                <w:szCs w:val="20"/>
              </w:rPr>
              <w:t xml:space="preserve"> </w:t>
            </w:r>
            <w:r w:rsidRPr="00C2735E">
              <w:rPr>
                <w:rFonts w:eastAsiaTheme="majorEastAsia" w:cs="Segoe UI"/>
                <w:sz w:val="18"/>
                <w:szCs w:val="20"/>
              </w:rPr>
              <w:t>(8,1% z alokácie)</w:t>
            </w:r>
            <w:r w:rsidRPr="00CD4EE0">
              <w:rPr>
                <w:rFonts w:eastAsiaTheme="majorEastAsia" w:cs="Segoe UI"/>
                <w:b/>
                <w:sz w:val="18"/>
                <w:szCs w:val="20"/>
              </w:rPr>
              <w:t xml:space="preserve">. </w:t>
            </w:r>
          </w:p>
          <w:p w14:paraId="4BED5686" w14:textId="3EC274C4" w:rsidR="008A53BE" w:rsidRDefault="008A53BE" w:rsidP="00630F3B">
            <w:pPr>
              <w:rPr>
                <w:sz w:val="18"/>
              </w:rPr>
            </w:pPr>
            <w:r w:rsidRPr="00CD4EE0">
              <w:rPr>
                <w:sz w:val="18"/>
              </w:rPr>
              <w:t>V rámci PRV bola v opatrení Podpora na miestny rozvoj v rámci iniciatívy LEADER alokovan</w:t>
            </w:r>
            <w:r w:rsidR="00C2735E">
              <w:rPr>
                <w:sz w:val="18"/>
              </w:rPr>
              <w:t>á suma 77,2 mil. eur (zdroj EÚ).</w:t>
            </w:r>
            <w:r w:rsidRPr="00CD4EE0">
              <w:rPr>
                <w:sz w:val="18"/>
              </w:rPr>
              <w:t xml:space="preserve"> </w:t>
            </w:r>
            <w:r w:rsidR="00C2735E">
              <w:rPr>
                <w:sz w:val="18"/>
              </w:rPr>
              <w:t>V</w:t>
            </w:r>
            <w:r w:rsidRPr="00CD4EE0">
              <w:rPr>
                <w:sz w:val="18"/>
              </w:rPr>
              <w:t xml:space="preserve">ykonávacím rozhodnutím EK č. C(2021)5109 zo dňa 5. </w:t>
            </w:r>
            <w:r w:rsidR="00A52684">
              <w:rPr>
                <w:sz w:val="18"/>
              </w:rPr>
              <w:t xml:space="preserve">7. </w:t>
            </w:r>
            <w:r w:rsidRPr="00CD4EE0">
              <w:rPr>
                <w:sz w:val="18"/>
              </w:rPr>
              <w:t xml:space="preserve">2021 bola v dôsledku predĺženia obdobia implementácie o dva roky alokácia navýšená na sumu 106,8 mil. eur, s možnosťou čerpať prostriedky v zmysle pravidla n+3 do konca roku 2025. Aj napriek tomu, že v roku 2024 bol v rámci PRV realizovaný druhý najväčší objem výdavkov práve z opatrenia LEADER (9,4 mil. eur za zdroj EÚ), čerpanie bolo len </w:t>
            </w:r>
            <w:r>
              <w:rPr>
                <w:sz w:val="18"/>
              </w:rPr>
              <w:t xml:space="preserve">na úrovni </w:t>
            </w:r>
            <w:r w:rsidRPr="00CD4EE0">
              <w:rPr>
                <w:sz w:val="18"/>
              </w:rPr>
              <w:t xml:space="preserve">16,3 mil. eur, čo predstavuje 15,2 % </w:t>
            </w:r>
            <w:r>
              <w:rPr>
                <w:sz w:val="18"/>
              </w:rPr>
              <w:t>z</w:t>
            </w:r>
            <w:r w:rsidRPr="00CD4EE0">
              <w:rPr>
                <w:sz w:val="18"/>
              </w:rPr>
              <w:t xml:space="preserve"> celkovej alokáci</w:t>
            </w:r>
            <w:r>
              <w:rPr>
                <w:sz w:val="18"/>
              </w:rPr>
              <w:t>e.</w:t>
            </w:r>
          </w:p>
          <w:p w14:paraId="6B1D1FC7" w14:textId="5115FFD0" w:rsidR="008A53BE" w:rsidRPr="00CD4EE0" w:rsidRDefault="008A53BE" w:rsidP="00630F3B">
            <w:pPr>
              <w:rPr>
                <w:b/>
                <w:sz w:val="18"/>
              </w:rPr>
            </w:pPr>
            <w:r>
              <w:rPr>
                <w:b/>
                <w:sz w:val="18"/>
              </w:rPr>
              <w:t>Z</w:t>
            </w:r>
            <w:r w:rsidRPr="00CD4EE0">
              <w:rPr>
                <w:b/>
                <w:sz w:val="18"/>
              </w:rPr>
              <w:t xml:space="preserve"> dôvodu alarmujúco nízkeho čerpania NKÚ SR upozorňuje na riziko, že alokované prostriedky </w:t>
            </w:r>
            <w:r w:rsidR="009749E0" w:rsidRPr="0036313C">
              <w:rPr>
                <w:sz w:val="18"/>
              </w:rPr>
              <w:t>(106,8 mil. eur)</w:t>
            </w:r>
            <w:r w:rsidR="009749E0" w:rsidRPr="00CD4EE0">
              <w:rPr>
                <w:b/>
                <w:sz w:val="18"/>
              </w:rPr>
              <w:t xml:space="preserve"> </w:t>
            </w:r>
            <w:r w:rsidRPr="00CD4EE0">
              <w:rPr>
                <w:b/>
                <w:sz w:val="18"/>
              </w:rPr>
              <w:t xml:space="preserve">sa na toto opatrenie nestihnú vyčerpať. S uvedeným súvisí riziko budúceho zaťaženia </w:t>
            </w:r>
            <w:r>
              <w:rPr>
                <w:b/>
                <w:sz w:val="18"/>
              </w:rPr>
              <w:t>ŠR</w:t>
            </w:r>
            <w:r w:rsidRPr="00CD4EE0">
              <w:rPr>
                <w:b/>
                <w:sz w:val="18"/>
              </w:rPr>
              <w:t xml:space="preserve"> z dôvodu potreby</w:t>
            </w:r>
            <w:r w:rsidR="000020C7">
              <w:rPr>
                <w:b/>
                <w:sz w:val="18"/>
              </w:rPr>
              <w:t xml:space="preserve"> nahradenia </w:t>
            </w:r>
            <w:r w:rsidRPr="00CD4EE0">
              <w:rPr>
                <w:b/>
                <w:sz w:val="18"/>
              </w:rPr>
              <w:t>týchto nepreplatených výdavkov z uzavretých zmlúv o NFP.</w:t>
            </w:r>
          </w:p>
          <w:p w14:paraId="575911F9" w14:textId="42DFCF2A" w:rsidR="008A53BE" w:rsidRPr="00CD4EE0" w:rsidRDefault="008A53BE" w:rsidP="00630F3B">
            <w:pPr>
              <w:rPr>
                <w:rFonts w:eastAsiaTheme="minorEastAsia" w:cs="Times New Roman"/>
                <w:sz w:val="18"/>
                <w:szCs w:val="18"/>
                <w:lang w:eastAsia="sk-SK"/>
              </w:rPr>
            </w:pPr>
            <w:r w:rsidRPr="00CD4EE0">
              <w:rPr>
                <w:b/>
                <w:sz w:val="18"/>
              </w:rPr>
              <w:t xml:space="preserve">Kontrola </w:t>
            </w:r>
            <w:r w:rsidR="0036313C">
              <w:rPr>
                <w:b/>
                <w:sz w:val="18"/>
              </w:rPr>
              <w:t>Miestnych akčných skupín</w:t>
            </w:r>
            <w:r w:rsidR="00665F54">
              <w:rPr>
                <w:rStyle w:val="Odkaznapoznmkupodiarou"/>
                <w:b/>
                <w:sz w:val="18"/>
              </w:rPr>
              <w:footnoteReference w:id="11"/>
            </w:r>
            <w:r w:rsidR="0036313C">
              <w:rPr>
                <w:b/>
                <w:sz w:val="18"/>
              </w:rPr>
              <w:t xml:space="preserve"> </w:t>
            </w:r>
            <w:r w:rsidR="0036313C" w:rsidRPr="0036313C">
              <w:rPr>
                <w:sz w:val="18"/>
              </w:rPr>
              <w:t>(</w:t>
            </w:r>
            <w:r w:rsidRPr="0036313C">
              <w:rPr>
                <w:sz w:val="18"/>
              </w:rPr>
              <w:t>MAS</w:t>
            </w:r>
            <w:r w:rsidR="0036313C" w:rsidRPr="0036313C">
              <w:rPr>
                <w:sz w:val="18"/>
              </w:rPr>
              <w:t>)</w:t>
            </w:r>
            <w:r w:rsidR="00052A0A">
              <w:rPr>
                <w:sz w:val="18"/>
              </w:rPr>
              <w:t>,</w:t>
            </w:r>
            <w:r w:rsidRPr="00CD4EE0">
              <w:rPr>
                <w:b/>
                <w:sz w:val="18"/>
              </w:rPr>
              <w:t xml:space="preserve"> realizovaná NKÚ SR v roku 2024</w:t>
            </w:r>
            <w:r w:rsidR="00052A0A">
              <w:rPr>
                <w:b/>
                <w:sz w:val="18"/>
              </w:rPr>
              <w:t>,</w:t>
            </w:r>
            <w:r w:rsidRPr="00CD4EE0">
              <w:rPr>
                <w:b/>
                <w:sz w:val="18"/>
              </w:rPr>
              <w:t xml:space="preserve"> aj v rámci PRV </w:t>
            </w:r>
            <w:r w:rsidRPr="0036313C">
              <w:rPr>
                <w:sz w:val="18"/>
              </w:rPr>
              <w:t>(opatrenie LEADER)</w:t>
            </w:r>
            <w:r w:rsidRPr="00CD4EE0">
              <w:rPr>
                <w:b/>
                <w:sz w:val="18"/>
              </w:rPr>
              <w:t xml:space="preserve"> poukázala na neefektívne manažovanie systému riadenia stratégií miestneho rozvoja vedeného komunitou zo strany </w:t>
            </w:r>
            <w:r>
              <w:rPr>
                <w:b/>
                <w:sz w:val="18"/>
              </w:rPr>
              <w:t>MPRV</w:t>
            </w:r>
            <w:r w:rsidRPr="00CD4EE0">
              <w:rPr>
                <w:b/>
                <w:sz w:val="18"/>
              </w:rPr>
              <w:t xml:space="preserve"> SR. </w:t>
            </w:r>
            <w:r w:rsidRPr="00CD4EE0">
              <w:rPr>
                <w:sz w:val="18"/>
              </w:rPr>
              <w:t>Zistenia sa týkali predovšetkým neskorého vyhlasovania výziev a odborného hodnotenia, mimoriadne rozsiahlej riadiacej dokumentácie a jej neskorého zverejnenia</w:t>
            </w:r>
            <w:r w:rsidR="0036313C">
              <w:rPr>
                <w:sz w:val="18"/>
              </w:rPr>
              <w:t>. Tiež</w:t>
            </w:r>
            <w:r w:rsidRPr="00CD4EE0">
              <w:rPr>
                <w:sz w:val="18"/>
              </w:rPr>
              <w:t xml:space="preserve"> </w:t>
            </w:r>
            <w:r w:rsidRPr="00CD4EE0">
              <w:rPr>
                <w:rFonts w:eastAsiaTheme="minorEastAsia" w:cs="Times New Roman"/>
                <w:sz w:val="18"/>
                <w:lang w:eastAsia="sk-SK"/>
              </w:rPr>
              <w:t>nízkeho záujmu žiadateľov o NFP v zmysle výziev vyhlásených MAS a aj ťažkost</w:t>
            </w:r>
            <w:r w:rsidR="0036313C">
              <w:rPr>
                <w:rFonts w:eastAsiaTheme="minorEastAsia" w:cs="Times New Roman"/>
                <w:sz w:val="18"/>
                <w:lang w:eastAsia="sk-SK"/>
              </w:rPr>
              <w:t>í</w:t>
            </w:r>
            <w:r w:rsidRPr="00CD4EE0">
              <w:rPr>
                <w:rFonts w:eastAsiaTheme="minorEastAsia" w:cs="Times New Roman"/>
                <w:sz w:val="18"/>
                <w:lang w:eastAsia="sk-SK"/>
              </w:rPr>
              <w:t xml:space="preserve"> s napĺňaním merateľných ukazovateľov vyplývajúcich z uzavretých zmlúv o</w:t>
            </w:r>
            <w:r w:rsidR="0036313C">
              <w:rPr>
                <w:rFonts w:eastAsiaTheme="minorEastAsia" w:cs="Times New Roman"/>
                <w:sz w:val="18"/>
                <w:lang w:eastAsia="sk-SK"/>
              </w:rPr>
              <w:t> </w:t>
            </w:r>
            <w:r w:rsidRPr="00CD4EE0">
              <w:rPr>
                <w:rFonts w:eastAsiaTheme="minorEastAsia" w:cs="Times New Roman"/>
                <w:sz w:val="18"/>
                <w:lang w:eastAsia="sk-SK"/>
              </w:rPr>
              <w:t>NFP</w:t>
            </w:r>
            <w:r w:rsidR="0036313C">
              <w:rPr>
                <w:rFonts w:eastAsiaTheme="minorEastAsia" w:cs="Times New Roman"/>
                <w:sz w:val="18"/>
                <w:lang w:eastAsia="sk-SK"/>
              </w:rPr>
              <w:t xml:space="preserve"> n</w:t>
            </w:r>
            <w:r w:rsidRPr="00CD4EE0">
              <w:rPr>
                <w:rFonts w:eastAsiaTheme="minorEastAsia" w:cs="Times New Roman"/>
                <w:sz w:val="18"/>
                <w:lang w:eastAsia="sk-SK"/>
              </w:rPr>
              <w:t xml:space="preserve">ajmä z dôvodu nemožnosti uskutočniť výraznejšiu revíziu niekoľkoročne platnej stratégie, v ktorej by mohli byť merateľné ukazovatele upravené v zmysle aktuálnych potrieb daného územia. Niekoľkoročné lehoty realizácie kontroly verejného obstarávania zo strany </w:t>
            </w:r>
            <w:r w:rsidR="00C613BA">
              <w:rPr>
                <w:rFonts w:eastAsiaTheme="minorEastAsia" w:cs="Times New Roman"/>
                <w:sz w:val="18"/>
                <w:lang w:eastAsia="sk-SK"/>
              </w:rPr>
              <w:t>Pôdohospodárskej platobnej agentúry (</w:t>
            </w:r>
            <w:r w:rsidRPr="00CD4EE0">
              <w:rPr>
                <w:rFonts w:eastAsiaTheme="minorEastAsia" w:cs="Times New Roman"/>
                <w:sz w:val="18"/>
                <w:lang w:eastAsia="sk-SK"/>
              </w:rPr>
              <w:t>PPA</w:t>
            </w:r>
            <w:r w:rsidR="00C613BA">
              <w:rPr>
                <w:rFonts w:eastAsiaTheme="minorEastAsia" w:cs="Times New Roman"/>
                <w:sz w:val="18"/>
                <w:lang w:eastAsia="sk-SK"/>
              </w:rPr>
              <w:t>)</w:t>
            </w:r>
            <w:r w:rsidRPr="00CD4EE0">
              <w:rPr>
                <w:rFonts w:eastAsiaTheme="minorEastAsia" w:cs="Times New Roman"/>
                <w:sz w:val="18"/>
                <w:lang w:eastAsia="sk-SK"/>
              </w:rPr>
              <w:t xml:space="preserve"> spôsobovali neistotu na strane MAS aj žiadateľa. Najdlhší proces kontroly verejného obstarávania od ukončenia procesov MAS na PPA bol identifikovaný v dĺžke 777 pracovných dní. Priemerná doba kontroly žiadosti o platbu zo strany PPA bola 184 pracovných dní</w:t>
            </w:r>
            <w:r w:rsidR="000A5A5A">
              <w:rPr>
                <w:rFonts w:eastAsiaTheme="minorEastAsia" w:cs="Times New Roman"/>
                <w:sz w:val="18"/>
                <w:lang w:eastAsia="sk-SK"/>
              </w:rPr>
              <w:t>,</w:t>
            </w:r>
            <w:r w:rsidRPr="00CD4EE0">
              <w:rPr>
                <w:rFonts w:eastAsiaTheme="minorEastAsia" w:cs="Times New Roman"/>
                <w:sz w:val="18"/>
                <w:lang w:eastAsia="sk-SK"/>
              </w:rPr>
              <w:t xml:space="preserve"> maximálna (</w:t>
            </w:r>
            <w:r w:rsidRPr="00CD4EE0">
              <w:rPr>
                <w:rFonts w:eastAsiaTheme="minorEastAsia" w:cs="Times New Roman"/>
                <w:sz w:val="18"/>
                <w:szCs w:val="18"/>
                <w:lang w:eastAsia="sk-SK"/>
              </w:rPr>
              <w:t>zo vzorky NKÚ SR) 437 pracovných dní. NKÚ SR konštatoval, že PPA nevytvorila pre žiadateľov dostatočné pod</w:t>
            </w:r>
            <w:r w:rsidR="0036313C">
              <w:rPr>
                <w:rFonts w:eastAsiaTheme="minorEastAsia" w:cs="Times New Roman"/>
                <w:sz w:val="18"/>
                <w:szCs w:val="18"/>
                <w:lang w:eastAsia="sk-SK"/>
              </w:rPr>
              <w:t>mienky na realizáciu projektov.</w:t>
            </w:r>
          </w:p>
          <w:p w14:paraId="0F1360E4" w14:textId="683DCBB3" w:rsidR="008A53BE" w:rsidRPr="00EB4521" w:rsidRDefault="008A53BE" w:rsidP="00665F54">
            <w:pPr>
              <w:rPr>
                <w:sz w:val="18"/>
              </w:rPr>
            </w:pPr>
            <w:r w:rsidRPr="00CD4EE0">
              <w:rPr>
                <w:sz w:val="18"/>
                <w:szCs w:val="18"/>
              </w:rPr>
              <w:t>V porovnaní s úspešnejšie implementujúcou Č</w:t>
            </w:r>
            <w:r w:rsidR="003F3E3F">
              <w:rPr>
                <w:sz w:val="18"/>
                <w:szCs w:val="18"/>
              </w:rPr>
              <w:t>R</w:t>
            </w:r>
            <w:r w:rsidR="000A5A5A">
              <w:rPr>
                <w:sz w:val="18"/>
                <w:szCs w:val="18"/>
              </w:rPr>
              <w:t>,</w:t>
            </w:r>
            <w:r w:rsidRPr="00CD4EE0">
              <w:rPr>
                <w:sz w:val="18"/>
                <w:szCs w:val="18"/>
              </w:rPr>
              <w:t xml:space="preserve"> v oblasti MAS maximálna výška podpory v rámci PRV na jeden projekt na Slovensku bola do výšky 100 tis. eur z celkových oprávnených nákladov, pričom v Č</w:t>
            </w:r>
            <w:r w:rsidR="00546FA1">
              <w:rPr>
                <w:sz w:val="18"/>
                <w:szCs w:val="18"/>
              </w:rPr>
              <w:t>R</w:t>
            </w:r>
            <w:r w:rsidRPr="00CD4EE0">
              <w:rPr>
                <w:sz w:val="18"/>
                <w:szCs w:val="18"/>
              </w:rPr>
              <w:t xml:space="preserve"> išlo o sumu 200 tis. eur. Č</w:t>
            </w:r>
            <w:r w:rsidR="00546FA1">
              <w:rPr>
                <w:sz w:val="18"/>
                <w:szCs w:val="18"/>
              </w:rPr>
              <w:t>R</w:t>
            </w:r>
            <w:r w:rsidRPr="00CD4EE0">
              <w:rPr>
                <w:sz w:val="18"/>
                <w:szCs w:val="18"/>
              </w:rPr>
              <w:t xml:space="preserve"> využila maximálny </w:t>
            </w:r>
            <w:r>
              <w:rPr>
                <w:sz w:val="18"/>
                <w:szCs w:val="18"/>
              </w:rPr>
              <w:t xml:space="preserve">možný </w:t>
            </w:r>
            <w:r w:rsidRPr="00CD4EE0">
              <w:rPr>
                <w:sz w:val="18"/>
                <w:szCs w:val="18"/>
              </w:rPr>
              <w:t xml:space="preserve">limit na podporu prevádzkových nákladov na úrovni 25 % z celkových verejných nákladov na celé </w:t>
            </w:r>
            <w:r w:rsidR="00546FA1">
              <w:rPr>
                <w:sz w:val="18"/>
                <w:szCs w:val="18"/>
              </w:rPr>
              <w:t>PO</w:t>
            </w:r>
            <w:r>
              <w:rPr>
                <w:sz w:val="18"/>
                <w:szCs w:val="18"/>
              </w:rPr>
              <w:t>.</w:t>
            </w:r>
            <w:r w:rsidRPr="00CD4EE0">
              <w:rPr>
                <w:sz w:val="18"/>
                <w:szCs w:val="18"/>
              </w:rPr>
              <w:t xml:space="preserve"> </w:t>
            </w:r>
            <w:r>
              <w:rPr>
                <w:sz w:val="18"/>
                <w:szCs w:val="18"/>
              </w:rPr>
              <w:t>N</w:t>
            </w:r>
            <w:r w:rsidRPr="00CD4EE0">
              <w:rPr>
                <w:sz w:val="18"/>
                <w:szCs w:val="18"/>
              </w:rPr>
              <w:t xml:space="preserve">a Slovensku bol tento limit </w:t>
            </w:r>
            <w:r>
              <w:rPr>
                <w:sz w:val="18"/>
                <w:szCs w:val="18"/>
              </w:rPr>
              <w:t>nastavený</w:t>
            </w:r>
            <w:r w:rsidRPr="00CD4EE0">
              <w:rPr>
                <w:sz w:val="18"/>
                <w:szCs w:val="18"/>
              </w:rPr>
              <w:t xml:space="preserve"> prísnejšie, </w:t>
            </w:r>
            <w:r>
              <w:rPr>
                <w:sz w:val="18"/>
                <w:szCs w:val="18"/>
              </w:rPr>
              <w:t xml:space="preserve">a to </w:t>
            </w:r>
            <w:r w:rsidRPr="00CD4EE0">
              <w:rPr>
                <w:sz w:val="18"/>
                <w:szCs w:val="18"/>
              </w:rPr>
              <w:t>na úrovni 20</w:t>
            </w:r>
            <w:r w:rsidR="000A5A5A">
              <w:rPr>
                <w:sz w:val="18"/>
                <w:szCs w:val="18"/>
              </w:rPr>
              <w:t xml:space="preserve"> </w:t>
            </w:r>
            <w:r w:rsidRPr="00CD4EE0">
              <w:rPr>
                <w:sz w:val="18"/>
                <w:szCs w:val="18"/>
              </w:rPr>
              <w:t>%. V</w:t>
            </w:r>
            <w:r>
              <w:rPr>
                <w:sz w:val="18"/>
                <w:szCs w:val="18"/>
              </w:rPr>
              <w:t> </w:t>
            </w:r>
            <w:r w:rsidRPr="00CD4EE0">
              <w:rPr>
                <w:sz w:val="18"/>
                <w:szCs w:val="18"/>
              </w:rPr>
              <w:t>Č</w:t>
            </w:r>
            <w:r w:rsidR="00546FA1">
              <w:rPr>
                <w:sz w:val="18"/>
                <w:szCs w:val="18"/>
              </w:rPr>
              <w:t>R</w:t>
            </w:r>
            <w:r>
              <w:rPr>
                <w:sz w:val="18"/>
                <w:szCs w:val="18"/>
              </w:rPr>
              <w:t xml:space="preserve"> </w:t>
            </w:r>
            <w:r w:rsidRPr="00CD4EE0">
              <w:rPr>
                <w:sz w:val="18"/>
                <w:szCs w:val="18"/>
              </w:rPr>
              <w:t>boli projekty</w:t>
            </w:r>
            <w:r>
              <w:rPr>
                <w:sz w:val="18"/>
                <w:szCs w:val="18"/>
              </w:rPr>
              <w:t xml:space="preserve"> </w:t>
            </w:r>
            <w:r w:rsidRPr="00CD4EE0">
              <w:rPr>
                <w:sz w:val="18"/>
                <w:szCs w:val="18"/>
              </w:rPr>
              <w:t>prepl</w:t>
            </w:r>
            <w:r>
              <w:rPr>
                <w:sz w:val="18"/>
                <w:szCs w:val="18"/>
              </w:rPr>
              <w:t>atené</w:t>
            </w:r>
            <w:r w:rsidRPr="00CD4EE0">
              <w:rPr>
                <w:sz w:val="18"/>
                <w:szCs w:val="18"/>
              </w:rPr>
              <w:t xml:space="preserve"> </w:t>
            </w:r>
            <w:r>
              <w:rPr>
                <w:sz w:val="18"/>
                <w:szCs w:val="18"/>
              </w:rPr>
              <w:t>v</w:t>
            </w:r>
            <w:r w:rsidRPr="00CD4EE0">
              <w:rPr>
                <w:sz w:val="18"/>
                <w:szCs w:val="18"/>
              </w:rPr>
              <w:t xml:space="preserve"> prieme</w:t>
            </w:r>
            <w:r>
              <w:rPr>
                <w:sz w:val="18"/>
                <w:szCs w:val="18"/>
              </w:rPr>
              <w:t>re</w:t>
            </w:r>
            <w:r w:rsidRPr="00CD4EE0">
              <w:rPr>
                <w:sz w:val="18"/>
                <w:szCs w:val="18"/>
              </w:rPr>
              <w:t xml:space="preserve"> </w:t>
            </w:r>
            <w:r>
              <w:rPr>
                <w:sz w:val="18"/>
                <w:szCs w:val="18"/>
              </w:rPr>
              <w:t xml:space="preserve">od </w:t>
            </w:r>
            <w:r w:rsidRPr="00CD4EE0">
              <w:rPr>
                <w:sz w:val="18"/>
                <w:szCs w:val="18"/>
              </w:rPr>
              <w:t xml:space="preserve">3 </w:t>
            </w:r>
            <w:r>
              <w:rPr>
                <w:sz w:val="18"/>
                <w:szCs w:val="18"/>
              </w:rPr>
              <w:t>do</w:t>
            </w:r>
            <w:r w:rsidRPr="00CD4EE0">
              <w:rPr>
                <w:sz w:val="18"/>
                <w:szCs w:val="18"/>
              </w:rPr>
              <w:t xml:space="preserve"> 6 mesiacov od podania žiadosti o</w:t>
            </w:r>
            <w:r>
              <w:rPr>
                <w:sz w:val="18"/>
                <w:szCs w:val="18"/>
              </w:rPr>
              <w:t> </w:t>
            </w:r>
            <w:r w:rsidRPr="00CD4EE0">
              <w:rPr>
                <w:sz w:val="18"/>
                <w:szCs w:val="18"/>
              </w:rPr>
              <w:t>platbu</w:t>
            </w:r>
            <w:r>
              <w:rPr>
                <w:bCs/>
                <w:sz w:val="18"/>
                <w:szCs w:val="18"/>
              </w:rPr>
              <w:t>. Na Slovensku</w:t>
            </w:r>
            <w:r w:rsidRPr="00CD4EE0">
              <w:rPr>
                <w:bCs/>
                <w:sz w:val="18"/>
                <w:szCs w:val="18"/>
              </w:rPr>
              <w:t xml:space="preserve"> prijímatelia čakali na preplatenie žiadosti o platbu v priemere tri roky</w:t>
            </w:r>
            <w:r>
              <w:rPr>
                <w:bCs/>
                <w:sz w:val="18"/>
                <w:szCs w:val="18"/>
              </w:rPr>
              <w:t xml:space="preserve"> (</w:t>
            </w:r>
            <w:r w:rsidRPr="00CD4EE0">
              <w:rPr>
                <w:bCs/>
                <w:sz w:val="18"/>
                <w:szCs w:val="18"/>
              </w:rPr>
              <w:t>najdlhšia lehota bola päť rokov</w:t>
            </w:r>
            <w:r>
              <w:rPr>
                <w:bCs/>
                <w:sz w:val="18"/>
                <w:szCs w:val="18"/>
              </w:rPr>
              <w:t>)</w:t>
            </w:r>
            <w:r w:rsidR="00665F54">
              <w:rPr>
                <w:sz w:val="18"/>
                <w:szCs w:val="18"/>
              </w:rPr>
              <w:t xml:space="preserve">, </w:t>
            </w:r>
            <w:r w:rsidR="00665F54">
              <w:rPr>
                <w:bCs/>
                <w:sz w:val="18"/>
                <w:szCs w:val="18"/>
              </w:rPr>
              <w:t>pričom</w:t>
            </w:r>
            <w:r w:rsidR="00665F54" w:rsidRPr="00CD4EE0">
              <w:rPr>
                <w:bCs/>
                <w:sz w:val="18"/>
                <w:szCs w:val="18"/>
              </w:rPr>
              <w:t xml:space="preserve"> prvé projekty</w:t>
            </w:r>
            <w:r w:rsidR="00665F54">
              <w:rPr>
                <w:bCs/>
                <w:sz w:val="18"/>
                <w:szCs w:val="18"/>
              </w:rPr>
              <w:t xml:space="preserve"> </w:t>
            </w:r>
            <w:r w:rsidR="00665F54" w:rsidRPr="00CD4EE0">
              <w:rPr>
                <w:bCs/>
                <w:sz w:val="18"/>
                <w:szCs w:val="18"/>
              </w:rPr>
              <w:t xml:space="preserve">boli preplatené </w:t>
            </w:r>
            <w:r w:rsidR="00665F54">
              <w:rPr>
                <w:bCs/>
                <w:sz w:val="18"/>
                <w:szCs w:val="18"/>
              </w:rPr>
              <w:t>až</w:t>
            </w:r>
            <w:r w:rsidR="00665F54" w:rsidRPr="00CD4EE0">
              <w:rPr>
                <w:bCs/>
                <w:sz w:val="18"/>
                <w:szCs w:val="18"/>
              </w:rPr>
              <w:t xml:space="preserve"> po ôsmich rokoch od začiatku </w:t>
            </w:r>
            <w:r w:rsidR="00665F54">
              <w:rPr>
                <w:bCs/>
                <w:sz w:val="18"/>
                <w:szCs w:val="18"/>
              </w:rPr>
              <w:t>PO.</w:t>
            </w:r>
          </w:p>
        </w:tc>
      </w:tr>
    </w:tbl>
    <w:p w14:paraId="678D6A1D" w14:textId="1431B8DF" w:rsidR="008A53BE" w:rsidRDefault="008A53BE" w:rsidP="00D02C22">
      <w:pPr>
        <w:spacing w:before="120"/>
      </w:pPr>
      <w:r w:rsidRPr="007D3345">
        <w:rPr>
          <w:b/>
        </w:rPr>
        <w:t xml:space="preserve">V roku 2024 boli na implementáciu programov PO </w:t>
      </w:r>
      <w:r w:rsidR="00D02C22">
        <w:rPr>
          <w:b/>
        </w:rPr>
        <w:t xml:space="preserve">2021 – 2027 </w:t>
      </w:r>
      <w:r w:rsidRPr="007D3345">
        <w:rPr>
          <w:b/>
        </w:rPr>
        <w:t>rozpočtované prostriedky EÚ v celkovej výške 1 122,1 mil. eur a zdroje spolufinancovania zo ŠR vo výške 295 mil. eur, a to v ôsmich kapitol</w:t>
      </w:r>
      <w:r w:rsidR="008C2FA1">
        <w:rPr>
          <w:b/>
        </w:rPr>
        <w:t>ách</w:t>
      </w:r>
      <w:r w:rsidR="008A0D01">
        <w:rPr>
          <w:b/>
        </w:rPr>
        <w:t xml:space="preserve"> ŠR</w:t>
      </w:r>
      <w:r w:rsidRPr="007D3345">
        <w:rPr>
          <w:b/>
        </w:rPr>
        <w:t xml:space="preserve">. </w:t>
      </w:r>
      <w:r>
        <w:t xml:space="preserve">Ku koncu roka 2024 </w:t>
      </w:r>
      <w:r w:rsidR="00461B7E">
        <w:t xml:space="preserve">sa </w:t>
      </w:r>
      <w:r>
        <w:t>realizova</w:t>
      </w:r>
      <w:r w:rsidR="00461B7E">
        <w:t>li</w:t>
      </w:r>
      <w:r>
        <w:t xml:space="preserve"> výdavky 1 481,6 mil. eur. Súvisiace výdavky na spolufinancovanie zo ŠR </w:t>
      </w:r>
      <w:r w:rsidR="00461B7E">
        <w:t>predstavovali</w:t>
      </w:r>
      <w:r>
        <w:t xml:space="preserve"> 218,1 mil. eur (tabuľka </w:t>
      </w:r>
      <w:r w:rsidR="002046F2">
        <w:t>1</w:t>
      </w:r>
      <w:r w:rsidR="00EF2A4E">
        <w:t>6</w:t>
      </w:r>
      <w:r>
        <w:t xml:space="preserve">). </w:t>
      </w:r>
    </w:p>
    <w:p w14:paraId="496F7447" w14:textId="5C5FC4C6" w:rsidR="008A53BE" w:rsidRDefault="008A53BE" w:rsidP="008A53BE">
      <w:pPr>
        <w:keepNext/>
        <w:spacing w:after="0" w:line="240" w:lineRule="auto"/>
      </w:pPr>
      <w:r w:rsidRPr="004F758A">
        <w:rPr>
          <w:b/>
          <w:iCs/>
          <w:color w:val="314364"/>
          <w:szCs w:val="18"/>
        </w:rPr>
        <w:lastRenderedPageBreak/>
        <w:t>Tabuľka</w:t>
      </w:r>
      <w:r>
        <w:rPr>
          <w:b/>
          <w:iCs/>
          <w:color w:val="314364"/>
          <w:szCs w:val="18"/>
        </w:rPr>
        <w:t xml:space="preserve"> </w:t>
      </w:r>
      <w:r w:rsidR="002046F2">
        <w:rPr>
          <w:b/>
          <w:iCs/>
          <w:color w:val="314364"/>
          <w:szCs w:val="18"/>
        </w:rPr>
        <w:t>1</w:t>
      </w:r>
      <w:r w:rsidR="00EF2A4E">
        <w:rPr>
          <w:b/>
          <w:iCs/>
          <w:color w:val="314364"/>
          <w:szCs w:val="18"/>
        </w:rPr>
        <w:t>6</w:t>
      </w:r>
      <w:r w:rsidRPr="004F758A">
        <w:rPr>
          <w:b/>
          <w:iCs/>
          <w:color w:val="314364"/>
          <w:szCs w:val="18"/>
        </w:rPr>
        <w:t xml:space="preserve">: </w:t>
      </w:r>
      <w:r w:rsidRPr="003C2658">
        <w:rPr>
          <w:b/>
          <w:iCs/>
          <w:color w:val="314364"/>
          <w:szCs w:val="18"/>
        </w:rPr>
        <w:t xml:space="preserve">Prehľad rozpočtovanej a čerpanej sumy za PO 2021 </w:t>
      </w:r>
      <w:r w:rsidR="004A2F16">
        <w:rPr>
          <w:b/>
          <w:iCs/>
          <w:color w:val="314364"/>
          <w:szCs w:val="18"/>
        </w:rPr>
        <w:t xml:space="preserve">– </w:t>
      </w:r>
      <w:r w:rsidRPr="003C2658">
        <w:rPr>
          <w:b/>
          <w:iCs/>
          <w:color w:val="314364"/>
          <w:szCs w:val="18"/>
        </w:rPr>
        <w:t>2027 v kapitol</w:t>
      </w:r>
      <w:r w:rsidR="004A2F16">
        <w:rPr>
          <w:b/>
          <w:iCs/>
          <w:color w:val="314364"/>
          <w:szCs w:val="18"/>
        </w:rPr>
        <w:t>ách</w:t>
      </w:r>
      <w:r w:rsidRPr="003C2658">
        <w:rPr>
          <w:b/>
          <w:iCs/>
          <w:color w:val="314364"/>
          <w:szCs w:val="18"/>
        </w:rPr>
        <w:t xml:space="preserve"> ŠR (v mil. eur)</w:t>
      </w:r>
    </w:p>
    <w:tbl>
      <w:tblPr>
        <w:tblW w:w="5000" w:type="pct"/>
        <w:tblCellMar>
          <w:left w:w="70" w:type="dxa"/>
          <w:right w:w="70" w:type="dxa"/>
        </w:tblCellMar>
        <w:tblLook w:val="04A0" w:firstRow="1" w:lastRow="0" w:firstColumn="1" w:lastColumn="0" w:noHBand="0" w:noVBand="1"/>
      </w:tblPr>
      <w:tblGrid>
        <w:gridCol w:w="2507"/>
        <w:gridCol w:w="1232"/>
        <w:gridCol w:w="1598"/>
        <w:gridCol w:w="1805"/>
        <w:gridCol w:w="1928"/>
      </w:tblGrid>
      <w:tr w:rsidR="008A53BE" w:rsidRPr="00694CF0" w14:paraId="14A411CC" w14:textId="77777777" w:rsidTr="002529E5">
        <w:trPr>
          <w:trHeight w:val="283"/>
        </w:trPr>
        <w:tc>
          <w:tcPr>
            <w:tcW w:w="1382" w:type="pct"/>
            <w:vMerge w:val="restart"/>
            <w:tcBorders>
              <w:top w:val="nil"/>
              <w:left w:val="nil"/>
              <w:bottom w:val="nil"/>
              <w:right w:val="nil"/>
            </w:tcBorders>
            <w:shd w:val="clear" w:color="000000" w:fill="314364"/>
            <w:vAlign w:val="center"/>
            <w:hideMark/>
          </w:tcPr>
          <w:p w14:paraId="53CCB2A4" w14:textId="77777777" w:rsidR="008A53BE" w:rsidRPr="00862458" w:rsidRDefault="008A53BE" w:rsidP="00630F3B">
            <w:pPr>
              <w:spacing w:after="0" w:line="240" w:lineRule="auto"/>
              <w:jc w:val="left"/>
              <w:rPr>
                <w:rFonts w:eastAsia="Times New Roman" w:cs="Segoe UI"/>
                <w:b/>
                <w:bCs/>
                <w:color w:val="FFFFFF"/>
                <w:sz w:val="18"/>
                <w:szCs w:val="18"/>
                <w:lang w:eastAsia="sk-SK"/>
              </w:rPr>
            </w:pPr>
            <w:r w:rsidRPr="00862458">
              <w:rPr>
                <w:rFonts w:eastAsia="Times New Roman" w:cs="Segoe UI"/>
                <w:b/>
                <w:bCs/>
                <w:color w:val="FFFFFF"/>
                <w:sz w:val="18"/>
                <w:szCs w:val="18"/>
                <w:lang w:eastAsia="sk-SK"/>
              </w:rPr>
              <w:t>Kapitola</w:t>
            </w:r>
          </w:p>
        </w:tc>
        <w:tc>
          <w:tcPr>
            <w:tcW w:w="1560" w:type="pct"/>
            <w:gridSpan w:val="2"/>
            <w:tcBorders>
              <w:top w:val="nil"/>
              <w:left w:val="nil"/>
              <w:bottom w:val="nil"/>
              <w:right w:val="nil"/>
            </w:tcBorders>
            <w:shd w:val="clear" w:color="000000" w:fill="314364"/>
            <w:vAlign w:val="center"/>
            <w:hideMark/>
          </w:tcPr>
          <w:p w14:paraId="6EEE182A" w14:textId="77777777" w:rsidR="008A53BE" w:rsidRPr="00862458" w:rsidRDefault="008A53BE" w:rsidP="00630F3B">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Prostriedky EÚ</w:t>
            </w:r>
          </w:p>
        </w:tc>
        <w:tc>
          <w:tcPr>
            <w:tcW w:w="2058" w:type="pct"/>
            <w:gridSpan w:val="2"/>
            <w:tcBorders>
              <w:top w:val="nil"/>
              <w:left w:val="nil"/>
              <w:bottom w:val="nil"/>
              <w:right w:val="nil"/>
            </w:tcBorders>
            <w:shd w:val="clear" w:color="000000" w:fill="314364"/>
            <w:vAlign w:val="center"/>
            <w:hideMark/>
          </w:tcPr>
          <w:p w14:paraId="3F21F440" w14:textId="77777777" w:rsidR="008A53BE" w:rsidRPr="00862458" w:rsidRDefault="008A53BE" w:rsidP="00630F3B">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Prostriedky na spolufinancovanie zo ŠR</w:t>
            </w:r>
          </w:p>
        </w:tc>
      </w:tr>
      <w:tr w:rsidR="008A53BE" w:rsidRPr="00694CF0" w14:paraId="25AA10E6" w14:textId="77777777" w:rsidTr="00630F3B">
        <w:trPr>
          <w:trHeight w:val="283"/>
        </w:trPr>
        <w:tc>
          <w:tcPr>
            <w:tcW w:w="1382" w:type="pct"/>
            <w:vMerge/>
            <w:tcBorders>
              <w:top w:val="nil"/>
              <w:left w:val="nil"/>
              <w:bottom w:val="nil"/>
              <w:right w:val="nil"/>
            </w:tcBorders>
            <w:vAlign w:val="center"/>
            <w:hideMark/>
          </w:tcPr>
          <w:p w14:paraId="754B6AB7" w14:textId="77777777" w:rsidR="008A53BE" w:rsidRPr="00862458" w:rsidRDefault="008A53BE" w:rsidP="00630F3B">
            <w:pPr>
              <w:spacing w:after="0" w:line="240" w:lineRule="auto"/>
              <w:jc w:val="left"/>
              <w:rPr>
                <w:rFonts w:eastAsia="Times New Roman" w:cs="Segoe UI"/>
                <w:b/>
                <w:bCs/>
                <w:color w:val="FFFFFF"/>
                <w:sz w:val="18"/>
                <w:szCs w:val="18"/>
                <w:lang w:eastAsia="sk-SK"/>
              </w:rPr>
            </w:pPr>
          </w:p>
        </w:tc>
        <w:tc>
          <w:tcPr>
            <w:tcW w:w="679" w:type="pct"/>
            <w:tcBorders>
              <w:top w:val="nil"/>
              <w:left w:val="nil"/>
              <w:bottom w:val="nil"/>
              <w:right w:val="nil"/>
            </w:tcBorders>
            <w:shd w:val="clear" w:color="000000" w:fill="314364"/>
            <w:vAlign w:val="center"/>
            <w:hideMark/>
          </w:tcPr>
          <w:p w14:paraId="6949E3BE" w14:textId="77777777" w:rsidR="008A53BE" w:rsidRPr="00862458" w:rsidRDefault="008A53BE" w:rsidP="00630F3B">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Rozpočet</w:t>
            </w:r>
          </w:p>
        </w:tc>
        <w:tc>
          <w:tcPr>
            <w:tcW w:w="881" w:type="pct"/>
            <w:tcBorders>
              <w:top w:val="nil"/>
              <w:left w:val="nil"/>
              <w:bottom w:val="nil"/>
              <w:right w:val="nil"/>
            </w:tcBorders>
            <w:shd w:val="clear" w:color="000000" w:fill="314364"/>
            <w:vAlign w:val="center"/>
            <w:hideMark/>
          </w:tcPr>
          <w:p w14:paraId="52B2D434" w14:textId="77777777" w:rsidR="008A53BE" w:rsidRPr="00862458" w:rsidRDefault="008A53BE" w:rsidP="00630F3B">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Čerpanie</w:t>
            </w:r>
          </w:p>
        </w:tc>
        <w:tc>
          <w:tcPr>
            <w:tcW w:w="995" w:type="pct"/>
            <w:tcBorders>
              <w:top w:val="nil"/>
              <w:left w:val="nil"/>
              <w:bottom w:val="nil"/>
              <w:right w:val="nil"/>
            </w:tcBorders>
            <w:shd w:val="clear" w:color="000000" w:fill="314364"/>
            <w:vAlign w:val="center"/>
            <w:hideMark/>
          </w:tcPr>
          <w:p w14:paraId="3183A31C" w14:textId="77777777" w:rsidR="008A53BE" w:rsidRPr="00862458" w:rsidRDefault="008A53BE" w:rsidP="00630F3B">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Rozpočet</w:t>
            </w:r>
          </w:p>
        </w:tc>
        <w:tc>
          <w:tcPr>
            <w:tcW w:w="1063" w:type="pct"/>
            <w:tcBorders>
              <w:top w:val="nil"/>
              <w:left w:val="nil"/>
              <w:bottom w:val="nil"/>
              <w:right w:val="nil"/>
            </w:tcBorders>
            <w:shd w:val="clear" w:color="000000" w:fill="314364"/>
            <w:vAlign w:val="center"/>
            <w:hideMark/>
          </w:tcPr>
          <w:p w14:paraId="2215494F" w14:textId="77777777" w:rsidR="008A53BE" w:rsidRPr="00862458" w:rsidRDefault="008A53BE" w:rsidP="00630F3B">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Čerpanie</w:t>
            </w:r>
          </w:p>
        </w:tc>
      </w:tr>
      <w:tr w:rsidR="002529E5" w:rsidRPr="00694CF0" w14:paraId="53015731" w14:textId="77777777" w:rsidTr="00630F3B">
        <w:trPr>
          <w:trHeight w:val="283"/>
        </w:trPr>
        <w:tc>
          <w:tcPr>
            <w:tcW w:w="1382" w:type="pct"/>
            <w:tcBorders>
              <w:top w:val="nil"/>
              <w:left w:val="nil"/>
              <w:bottom w:val="nil"/>
              <w:right w:val="nil"/>
            </w:tcBorders>
            <w:shd w:val="clear" w:color="auto" w:fill="auto"/>
            <w:vAlign w:val="center"/>
            <w:hideMark/>
          </w:tcPr>
          <w:p w14:paraId="0857200C" w14:textId="561A26DC"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MPRV SR</w:t>
            </w:r>
          </w:p>
        </w:tc>
        <w:tc>
          <w:tcPr>
            <w:tcW w:w="679" w:type="pct"/>
            <w:tcBorders>
              <w:top w:val="nil"/>
              <w:left w:val="nil"/>
              <w:bottom w:val="nil"/>
              <w:right w:val="nil"/>
            </w:tcBorders>
            <w:shd w:val="clear" w:color="auto" w:fill="auto"/>
            <w:vAlign w:val="center"/>
            <w:hideMark/>
          </w:tcPr>
          <w:p w14:paraId="117533B2" w14:textId="0CC0B29E"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641,8</w:t>
            </w:r>
          </w:p>
        </w:tc>
        <w:tc>
          <w:tcPr>
            <w:tcW w:w="881" w:type="pct"/>
            <w:tcBorders>
              <w:top w:val="nil"/>
              <w:left w:val="nil"/>
              <w:bottom w:val="nil"/>
              <w:right w:val="nil"/>
            </w:tcBorders>
            <w:shd w:val="clear" w:color="auto" w:fill="auto"/>
            <w:vAlign w:val="center"/>
            <w:hideMark/>
          </w:tcPr>
          <w:p w14:paraId="584CE424" w14:textId="704FDC95"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770,3</w:t>
            </w:r>
          </w:p>
        </w:tc>
        <w:tc>
          <w:tcPr>
            <w:tcW w:w="995" w:type="pct"/>
            <w:tcBorders>
              <w:top w:val="nil"/>
              <w:left w:val="nil"/>
              <w:bottom w:val="nil"/>
              <w:right w:val="nil"/>
            </w:tcBorders>
            <w:shd w:val="clear" w:color="auto" w:fill="auto"/>
            <w:vAlign w:val="center"/>
            <w:hideMark/>
          </w:tcPr>
          <w:p w14:paraId="18D926ED" w14:textId="7AE06D25"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173,5</w:t>
            </w:r>
          </w:p>
        </w:tc>
        <w:tc>
          <w:tcPr>
            <w:tcW w:w="1063" w:type="pct"/>
            <w:tcBorders>
              <w:top w:val="nil"/>
              <w:left w:val="nil"/>
              <w:bottom w:val="nil"/>
              <w:right w:val="nil"/>
            </w:tcBorders>
            <w:shd w:val="clear" w:color="auto" w:fill="auto"/>
            <w:vAlign w:val="center"/>
            <w:hideMark/>
          </w:tcPr>
          <w:p w14:paraId="5DB71083" w14:textId="2C725F73"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111,4</w:t>
            </w:r>
          </w:p>
        </w:tc>
      </w:tr>
      <w:tr w:rsidR="002529E5" w:rsidRPr="00694CF0" w14:paraId="2EB53EB8" w14:textId="77777777" w:rsidTr="00630F3B">
        <w:trPr>
          <w:trHeight w:val="283"/>
        </w:trPr>
        <w:tc>
          <w:tcPr>
            <w:tcW w:w="1382" w:type="pct"/>
            <w:tcBorders>
              <w:top w:val="nil"/>
              <w:left w:val="nil"/>
              <w:bottom w:val="nil"/>
              <w:right w:val="nil"/>
            </w:tcBorders>
            <w:shd w:val="clear" w:color="auto" w:fill="auto"/>
            <w:vAlign w:val="center"/>
            <w:hideMark/>
          </w:tcPr>
          <w:p w14:paraId="757AD853" w14:textId="2139ECEE"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MPSVR SR</w:t>
            </w:r>
          </w:p>
        </w:tc>
        <w:tc>
          <w:tcPr>
            <w:tcW w:w="679" w:type="pct"/>
            <w:tcBorders>
              <w:top w:val="nil"/>
              <w:left w:val="nil"/>
              <w:bottom w:val="nil"/>
              <w:right w:val="nil"/>
            </w:tcBorders>
            <w:shd w:val="clear" w:color="auto" w:fill="auto"/>
            <w:vAlign w:val="center"/>
            <w:hideMark/>
          </w:tcPr>
          <w:p w14:paraId="04C9ED14" w14:textId="1818B46C"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60,1</w:t>
            </w:r>
          </w:p>
        </w:tc>
        <w:tc>
          <w:tcPr>
            <w:tcW w:w="881" w:type="pct"/>
            <w:tcBorders>
              <w:top w:val="nil"/>
              <w:left w:val="nil"/>
              <w:bottom w:val="nil"/>
              <w:right w:val="nil"/>
            </w:tcBorders>
            <w:shd w:val="clear" w:color="auto" w:fill="auto"/>
            <w:vAlign w:val="center"/>
            <w:hideMark/>
          </w:tcPr>
          <w:p w14:paraId="5198D4BB" w14:textId="33531C17"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201,9</w:t>
            </w:r>
          </w:p>
        </w:tc>
        <w:tc>
          <w:tcPr>
            <w:tcW w:w="995" w:type="pct"/>
            <w:tcBorders>
              <w:top w:val="nil"/>
              <w:left w:val="nil"/>
              <w:bottom w:val="nil"/>
              <w:right w:val="nil"/>
            </w:tcBorders>
            <w:shd w:val="clear" w:color="auto" w:fill="auto"/>
            <w:vAlign w:val="center"/>
            <w:hideMark/>
          </w:tcPr>
          <w:p w14:paraId="6F25FA2C" w14:textId="66D04C5C"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12,5</w:t>
            </w:r>
          </w:p>
        </w:tc>
        <w:tc>
          <w:tcPr>
            <w:tcW w:w="1063" w:type="pct"/>
            <w:tcBorders>
              <w:top w:val="nil"/>
              <w:left w:val="nil"/>
              <w:bottom w:val="nil"/>
              <w:right w:val="nil"/>
            </w:tcBorders>
            <w:shd w:val="clear" w:color="auto" w:fill="auto"/>
            <w:vAlign w:val="center"/>
            <w:hideMark/>
          </w:tcPr>
          <w:p w14:paraId="1EFB6DEF" w14:textId="21EAAD7B"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42,4</w:t>
            </w:r>
          </w:p>
        </w:tc>
      </w:tr>
      <w:tr w:rsidR="002529E5" w:rsidRPr="00694CF0" w14:paraId="69C589DA" w14:textId="77777777" w:rsidTr="00630F3B">
        <w:trPr>
          <w:trHeight w:val="283"/>
        </w:trPr>
        <w:tc>
          <w:tcPr>
            <w:tcW w:w="1382" w:type="pct"/>
            <w:tcBorders>
              <w:top w:val="nil"/>
              <w:left w:val="nil"/>
              <w:bottom w:val="nil"/>
              <w:right w:val="nil"/>
            </w:tcBorders>
            <w:shd w:val="clear" w:color="auto" w:fill="auto"/>
            <w:vAlign w:val="center"/>
            <w:hideMark/>
          </w:tcPr>
          <w:p w14:paraId="7A33EAF6" w14:textId="0F45CD92"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MIRRI SR</w:t>
            </w:r>
          </w:p>
        </w:tc>
        <w:tc>
          <w:tcPr>
            <w:tcW w:w="679" w:type="pct"/>
            <w:tcBorders>
              <w:top w:val="nil"/>
              <w:left w:val="nil"/>
              <w:bottom w:val="nil"/>
              <w:right w:val="nil"/>
            </w:tcBorders>
            <w:shd w:val="clear" w:color="auto" w:fill="auto"/>
            <w:vAlign w:val="center"/>
            <w:hideMark/>
          </w:tcPr>
          <w:p w14:paraId="34C9E291" w14:textId="1489D334"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77,0</w:t>
            </w:r>
          </w:p>
        </w:tc>
        <w:tc>
          <w:tcPr>
            <w:tcW w:w="881" w:type="pct"/>
            <w:tcBorders>
              <w:top w:val="nil"/>
              <w:left w:val="nil"/>
              <w:bottom w:val="nil"/>
              <w:right w:val="nil"/>
            </w:tcBorders>
            <w:shd w:val="clear" w:color="auto" w:fill="auto"/>
            <w:vAlign w:val="center"/>
            <w:hideMark/>
          </w:tcPr>
          <w:p w14:paraId="4005B09D" w14:textId="4994C073"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82,0</w:t>
            </w:r>
          </w:p>
        </w:tc>
        <w:tc>
          <w:tcPr>
            <w:tcW w:w="995" w:type="pct"/>
            <w:tcBorders>
              <w:top w:val="nil"/>
              <w:left w:val="nil"/>
              <w:bottom w:val="nil"/>
              <w:right w:val="nil"/>
            </w:tcBorders>
            <w:shd w:val="clear" w:color="auto" w:fill="auto"/>
            <w:vAlign w:val="center"/>
            <w:hideMark/>
          </w:tcPr>
          <w:p w14:paraId="35554C01" w14:textId="459AEA79"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18,7</w:t>
            </w:r>
          </w:p>
        </w:tc>
        <w:tc>
          <w:tcPr>
            <w:tcW w:w="1063" w:type="pct"/>
            <w:tcBorders>
              <w:top w:val="nil"/>
              <w:left w:val="nil"/>
              <w:bottom w:val="nil"/>
              <w:right w:val="nil"/>
            </w:tcBorders>
            <w:shd w:val="clear" w:color="auto" w:fill="auto"/>
            <w:vAlign w:val="center"/>
            <w:hideMark/>
          </w:tcPr>
          <w:p w14:paraId="24519B74" w14:textId="2A5A298D"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19,5</w:t>
            </w:r>
          </w:p>
        </w:tc>
      </w:tr>
      <w:tr w:rsidR="002529E5" w:rsidRPr="00694CF0" w14:paraId="03394885" w14:textId="77777777" w:rsidTr="00630F3B">
        <w:trPr>
          <w:trHeight w:val="283"/>
        </w:trPr>
        <w:tc>
          <w:tcPr>
            <w:tcW w:w="1382" w:type="pct"/>
            <w:tcBorders>
              <w:top w:val="nil"/>
              <w:left w:val="nil"/>
              <w:bottom w:val="nil"/>
              <w:right w:val="nil"/>
            </w:tcBorders>
            <w:shd w:val="clear" w:color="auto" w:fill="auto"/>
            <w:vAlign w:val="center"/>
            <w:hideMark/>
          </w:tcPr>
          <w:p w14:paraId="5A4672CB" w14:textId="65B665A7"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MŠVVM SR</w:t>
            </w:r>
          </w:p>
        </w:tc>
        <w:tc>
          <w:tcPr>
            <w:tcW w:w="679" w:type="pct"/>
            <w:tcBorders>
              <w:top w:val="nil"/>
              <w:left w:val="nil"/>
              <w:bottom w:val="nil"/>
              <w:right w:val="nil"/>
            </w:tcBorders>
            <w:shd w:val="clear" w:color="auto" w:fill="auto"/>
            <w:vAlign w:val="center"/>
            <w:hideMark/>
          </w:tcPr>
          <w:p w14:paraId="5BAEC696" w14:textId="78DA4386"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108,5</w:t>
            </w:r>
          </w:p>
        </w:tc>
        <w:tc>
          <w:tcPr>
            <w:tcW w:w="881" w:type="pct"/>
            <w:tcBorders>
              <w:top w:val="nil"/>
              <w:left w:val="nil"/>
              <w:bottom w:val="nil"/>
              <w:right w:val="nil"/>
            </w:tcBorders>
            <w:shd w:val="clear" w:color="auto" w:fill="auto"/>
            <w:vAlign w:val="center"/>
            <w:hideMark/>
          </w:tcPr>
          <w:p w14:paraId="5B055776" w14:textId="5F93D65E"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112,7</w:t>
            </w:r>
          </w:p>
        </w:tc>
        <w:tc>
          <w:tcPr>
            <w:tcW w:w="995" w:type="pct"/>
            <w:tcBorders>
              <w:top w:val="nil"/>
              <w:left w:val="nil"/>
              <w:bottom w:val="nil"/>
              <w:right w:val="nil"/>
            </w:tcBorders>
            <w:shd w:val="clear" w:color="auto" w:fill="auto"/>
            <w:vAlign w:val="center"/>
            <w:hideMark/>
          </w:tcPr>
          <w:p w14:paraId="76F92414" w14:textId="4E302CF4"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11,9</w:t>
            </w:r>
          </w:p>
        </w:tc>
        <w:tc>
          <w:tcPr>
            <w:tcW w:w="1063" w:type="pct"/>
            <w:tcBorders>
              <w:top w:val="nil"/>
              <w:left w:val="nil"/>
              <w:bottom w:val="nil"/>
              <w:right w:val="nil"/>
            </w:tcBorders>
            <w:shd w:val="clear" w:color="auto" w:fill="auto"/>
            <w:vAlign w:val="center"/>
            <w:hideMark/>
          </w:tcPr>
          <w:p w14:paraId="4EEA07C7" w14:textId="181AC582"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16,7</w:t>
            </w:r>
          </w:p>
        </w:tc>
      </w:tr>
      <w:tr w:rsidR="002529E5" w:rsidRPr="00694CF0" w14:paraId="35315CBA" w14:textId="77777777" w:rsidTr="00630F3B">
        <w:trPr>
          <w:trHeight w:val="283"/>
        </w:trPr>
        <w:tc>
          <w:tcPr>
            <w:tcW w:w="1382" w:type="pct"/>
            <w:tcBorders>
              <w:top w:val="nil"/>
              <w:left w:val="nil"/>
              <w:bottom w:val="nil"/>
              <w:right w:val="nil"/>
            </w:tcBorders>
            <w:shd w:val="clear" w:color="auto" w:fill="auto"/>
            <w:vAlign w:val="center"/>
            <w:hideMark/>
          </w:tcPr>
          <w:p w14:paraId="479FC705" w14:textId="69613FB5"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MD SR</w:t>
            </w:r>
          </w:p>
        </w:tc>
        <w:tc>
          <w:tcPr>
            <w:tcW w:w="679" w:type="pct"/>
            <w:tcBorders>
              <w:top w:val="nil"/>
              <w:left w:val="nil"/>
              <w:bottom w:val="nil"/>
              <w:right w:val="nil"/>
            </w:tcBorders>
            <w:shd w:val="clear" w:color="auto" w:fill="auto"/>
            <w:vAlign w:val="center"/>
            <w:hideMark/>
          </w:tcPr>
          <w:p w14:paraId="57A2E734" w14:textId="71DB609F"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70,1</w:t>
            </w:r>
          </w:p>
        </w:tc>
        <w:tc>
          <w:tcPr>
            <w:tcW w:w="881" w:type="pct"/>
            <w:tcBorders>
              <w:top w:val="nil"/>
              <w:left w:val="nil"/>
              <w:bottom w:val="nil"/>
              <w:right w:val="nil"/>
            </w:tcBorders>
            <w:shd w:val="clear" w:color="auto" w:fill="auto"/>
            <w:vAlign w:val="center"/>
            <w:hideMark/>
          </w:tcPr>
          <w:p w14:paraId="1F8CA550" w14:textId="66CFA168"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215,0</w:t>
            </w:r>
          </w:p>
        </w:tc>
        <w:tc>
          <w:tcPr>
            <w:tcW w:w="995" w:type="pct"/>
            <w:tcBorders>
              <w:top w:val="nil"/>
              <w:left w:val="nil"/>
              <w:bottom w:val="nil"/>
              <w:right w:val="nil"/>
            </w:tcBorders>
            <w:shd w:val="clear" w:color="auto" w:fill="auto"/>
            <w:vAlign w:val="center"/>
            <w:hideMark/>
          </w:tcPr>
          <w:p w14:paraId="71AEA55B" w14:textId="5464416B"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8,5</w:t>
            </w:r>
          </w:p>
        </w:tc>
        <w:tc>
          <w:tcPr>
            <w:tcW w:w="1063" w:type="pct"/>
            <w:tcBorders>
              <w:top w:val="nil"/>
              <w:left w:val="nil"/>
              <w:bottom w:val="nil"/>
              <w:right w:val="nil"/>
            </w:tcBorders>
            <w:shd w:val="clear" w:color="auto" w:fill="auto"/>
            <w:vAlign w:val="center"/>
            <w:hideMark/>
          </w:tcPr>
          <w:p w14:paraId="540A9635" w14:textId="02D52714"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16,1</w:t>
            </w:r>
          </w:p>
        </w:tc>
      </w:tr>
      <w:tr w:rsidR="002529E5" w:rsidRPr="00694CF0" w14:paraId="79BB540E" w14:textId="77777777" w:rsidTr="00630F3B">
        <w:trPr>
          <w:trHeight w:val="283"/>
        </w:trPr>
        <w:tc>
          <w:tcPr>
            <w:tcW w:w="1382" w:type="pct"/>
            <w:tcBorders>
              <w:top w:val="nil"/>
              <w:left w:val="nil"/>
              <w:bottom w:val="nil"/>
              <w:right w:val="nil"/>
            </w:tcBorders>
            <w:shd w:val="clear" w:color="auto" w:fill="auto"/>
            <w:vAlign w:val="center"/>
            <w:hideMark/>
          </w:tcPr>
          <w:p w14:paraId="41BF0D82" w14:textId="758C26E4"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MŽP SR</w:t>
            </w:r>
          </w:p>
        </w:tc>
        <w:tc>
          <w:tcPr>
            <w:tcW w:w="679" w:type="pct"/>
            <w:tcBorders>
              <w:top w:val="nil"/>
              <w:left w:val="nil"/>
              <w:bottom w:val="nil"/>
              <w:right w:val="nil"/>
            </w:tcBorders>
            <w:shd w:val="clear" w:color="auto" w:fill="auto"/>
            <w:vAlign w:val="center"/>
            <w:hideMark/>
          </w:tcPr>
          <w:p w14:paraId="59760812" w14:textId="18657CC2"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83,1</w:t>
            </w:r>
          </w:p>
        </w:tc>
        <w:tc>
          <w:tcPr>
            <w:tcW w:w="881" w:type="pct"/>
            <w:tcBorders>
              <w:top w:val="nil"/>
              <w:left w:val="nil"/>
              <w:bottom w:val="nil"/>
              <w:right w:val="nil"/>
            </w:tcBorders>
            <w:shd w:val="clear" w:color="auto" w:fill="auto"/>
            <w:vAlign w:val="center"/>
            <w:hideMark/>
          </w:tcPr>
          <w:p w14:paraId="20207E32" w14:textId="49233DC8"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60,2</w:t>
            </w:r>
          </w:p>
        </w:tc>
        <w:tc>
          <w:tcPr>
            <w:tcW w:w="995" w:type="pct"/>
            <w:tcBorders>
              <w:top w:val="nil"/>
              <w:left w:val="nil"/>
              <w:bottom w:val="nil"/>
              <w:right w:val="nil"/>
            </w:tcBorders>
            <w:shd w:val="clear" w:color="auto" w:fill="auto"/>
            <w:vAlign w:val="center"/>
            <w:hideMark/>
          </w:tcPr>
          <w:p w14:paraId="19960DF9" w14:textId="47AAF306"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11,2</w:t>
            </w:r>
          </w:p>
        </w:tc>
        <w:tc>
          <w:tcPr>
            <w:tcW w:w="1063" w:type="pct"/>
            <w:tcBorders>
              <w:top w:val="nil"/>
              <w:left w:val="nil"/>
              <w:bottom w:val="nil"/>
              <w:right w:val="nil"/>
            </w:tcBorders>
            <w:shd w:val="clear" w:color="auto" w:fill="auto"/>
            <w:vAlign w:val="center"/>
            <w:hideMark/>
          </w:tcPr>
          <w:p w14:paraId="2CA2B9B6" w14:textId="43E69D10"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7,3</w:t>
            </w:r>
          </w:p>
        </w:tc>
      </w:tr>
      <w:tr w:rsidR="002529E5" w:rsidRPr="00694CF0" w14:paraId="6BB9F100" w14:textId="77777777" w:rsidTr="00630F3B">
        <w:trPr>
          <w:trHeight w:val="283"/>
        </w:trPr>
        <w:tc>
          <w:tcPr>
            <w:tcW w:w="1382" w:type="pct"/>
            <w:tcBorders>
              <w:top w:val="nil"/>
              <w:left w:val="nil"/>
              <w:bottom w:val="nil"/>
              <w:right w:val="nil"/>
            </w:tcBorders>
            <w:shd w:val="clear" w:color="auto" w:fill="auto"/>
            <w:vAlign w:val="center"/>
            <w:hideMark/>
          </w:tcPr>
          <w:p w14:paraId="22948E3B" w14:textId="675A67F8"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ÚV SR</w:t>
            </w:r>
          </w:p>
        </w:tc>
        <w:tc>
          <w:tcPr>
            <w:tcW w:w="679" w:type="pct"/>
            <w:tcBorders>
              <w:top w:val="nil"/>
              <w:left w:val="nil"/>
              <w:bottom w:val="nil"/>
              <w:right w:val="nil"/>
            </w:tcBorders>
            <w:shd w:val="clear" w:color="auto" w:fill="auto"/>
            <w:vAlign w:val="center"/>
            <w:hideMark/>
          </w:tcPr>
          <w:p w14:paraId="38212BB3" w14:textId="27B3AE5D"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881" w:type="pct"/>
            <w:tcBorders>
              <w:top w:val="nil"/>
              <w:left w:val="nil"/>
              <w:bottom w:val="nil"/>
              <w:right w:val="nil"/>
            </w:tcBorders>
            <w:shd w:val="clear" w:color="auto" w:fill="auto"/>
            <w:vAlign w:val="center"/>
            <w:hideMark/>
          </w:tcPr>
          <w:p w14:paraId="6B9649B1" w14:textId="1253B968"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13,1</w:t>
            </w:r>
          </w:p>
        </w:tc>
        <w:tc>
          <w:tcPr>
            <w:tcW w:w="995" w:type="pct"/>
            <w:tcBorders>
              <w:top w:val="nil"/>
              <w:left w:val="nil"/>
              <w:bottom w:val="nil"/>
              <w:right w:val="nil"/>
            </w:tcBorders>
            <w:shd w:val="clear" w:color="auto" w:fill="auto"/>
            <w:vAlign w:val="center"/>
            <w:hideMark/>
          </w:tcPr>
          <w:p w14:paraId="7F95F911" w14:textId="60598919"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1063" w:type="pct"/>
            <w:tcBorders>
              <w:top w:val="nil"/>
              <w:left w:val="nil"/>
              <w:bottom w:val="nil"/>
              <w:right w:val="nil"/>
            </w:tcBorders>
            <w:shd w:val="clear" w:color="auto" w:fill="auto"/>
            <w:vAlign w:val="center"/>
            <w:hideMark/>
          </w:tcPr>
          <w:p w14:paraId="3781056D" w14:textId="5F24ADCD"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2,4</w:t>
            </w:r>
          </w:p>
        </w:tc>
      </w:tr>
      <w:tr w:rsidR="002529E5" w:rsidRPr="00694CF0" w14:paraId="40D5735D" w14:textId="77777777" w:rsidTr="00630F3B">
        <w:trPr>
          <w:trHeight w:val="283"/>
        </w:trPr>
        <w:tc>
          <w:tcPr>
            <w:tcW w:w="1382" w:type="pct"/>
            <w:tcBorders>
              <w:top w:val="nil"/>
              <w:left w:val="nil"/>
              <w:bottom w:val="nil"/>
              <w:right w:val="nil"/>
            </w:tcBorders>
            <w:shd w:val="clear" w:color="auto" w:fill="auto"/>
            <w:vAlign w:val="center"/>
            <w:hideMark/>
          </w:tcPr>
          <w:p w14:paraId="575F7500" w14:textId="4D2621D6"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MV SR</w:t>
            </w:r>
          </w:p>
        </w:tc>
        <w:tc>
          <w:tcPr>
            <w:tcW w:w="679" w:type="pct"/>
            <w:tcBorders>
              <w:top w:val="nil"/>
              <w:left w:val="nil"/>
              <w:bottom w:val="nil"/>
              <w:right w:val="nil"/>
            </w:tcBorders>
            <w:shd w:val="clear" w:color="auto" w:fill="auto"/>
            <w:vAlign w:val="center"/>
            <w:hideMark/>
          </w:tcPr>
          <w:p w14:paraId="04185F57" w14:textId="7E3EA6D0"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9,3</w:t>
            </w:r>
          </w:p>
        </w:tc>
        <w:tc>
          <w:tcPr>
            <w:tcW w:w="881" w:type="pct"/>
            <w:tcBorders>
              <w:top w:val="nil"/>
              <w:left w:val="nil"/>
              <w:bottom w:val="nil"/>
              <w:right w:val="nil"/>
            </w:tcBorders>
            <w:shd w:val="clear" w:color="auto" w:fill="auto"/>
            <w:vAlign w:val="center"/>
            <w:hideMark/>
          </w:tcPr>
          <w:p w14:paraId="360E3405" w14:textId="436A1989"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22,3</w:t>
            </w:r>
          </w:p>
        </w:tc>
        <w:tc>
          <w:tcPr>
            <w:tcW w:w="995" w:type="pct"/>
            <w:tcBorders>
              <w:top w:val="nil"/>
              <w:left w:val="nil"/>
              <w:bottom w:val="nil"/>
              <w:right w:val="nil"/>
            </w:tcBorders>
            <w:shd w:val="clear" w:color="auto" w:fill="auto"/>
            <w:vAlign w:val="center"/>
            <w:hideMark/>
          </w:tcPr>
          <w:p w14:paraId="59EE6C1F" w14:textId="539B39C9"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2,4</w:t>
            </w:r>
          </w:p>
        </w:tc>
        <w:tc>
          <w:tcPr>
            <w:tcW w:w="1063" w:type="pct"/>
            <w:tcBorders>
              <w:top w:val="nil"/>
              <w:left w:val="nil"/>
              <w:bottom w:val="nil"/>
              <w:right w:val="nil"/>
            </w:tcBorders>
            <w:shd w:val="clear" w:color="auto" w:fill="auto"/>
            <w:vAlign w:val="center"/>
            <w:hideMark/>
          </w:tcPr>
          <w:p w14:paraId="2AB6C5F8" w14:textId="1E948DD9"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0,9</w:t>
            </w:r>
          </w:p>
        </w:tc>
      </w:tr>
      <w:tr w:rsidR="002529E5" w:rsidRPr="00694CF0" w14:paraId="798B7E63" w14:textId="77777777" w:rsidTr="00630F3B">
        <w:trPr>
          <w:trHeight w:val="283"/>
        </w:trPr>
        <w:tc>
          <w:tcPr>
            <w:tcW w:w="1382" w:type="pct"/>
            <w:tcBorders>
              <w:top w:val="nil"/>
              <w:left w:val="nil"/>
              <w:bottom w:val="nil"/>
              <w:right w:val="nil"/>
            </w:tcBorders>
            <w:shd w:val="clear" w:color="auto" w:fill="auto"/>
            <w:vAlign w:val="center"/>
            <w:hideMark/>
          </w:tcPr>
          <w:p w14:paraId="57B7A06F" w14:textId="147D3F42"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MH SR</w:t>
            </w:r>
          </w:p>
        </w:tc>
        <w:tc>
          <w:tcPr>
            <w:tcW w:w="679" w:type="pct"/>
            <w:tcBorders>
              <w:top w:val="nil"/>
              <w:left w:val="nil"/>
              <w:bottom w:val="nil"/>
              <w:right w:val="nil"/>
            </w:tcBorders>
            <w:shd w:val="clear" w:color="auto" w:fill="auto"/>
            <w:vAlign w:val="center"/>
            <w:hideMark/>
          </w:tcPr>
          <w:p w14:paraId="3A92A082" w14:textId="5F25BCD1"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72,1</w:t>
            </w:r>
          </w:p>
        </w:tc>
        <w:tc>
          <w:tcPr>
            <w:tcW w:w="881" w:type="pct"/>
            <w:tcBorders>
              <w:top w:val="nil"/>
              <w:left w:val="nil"/>
              <w:bottom w:val="nil"/>
              <w:right w:val="nil"/>
            </w:tcBorders>
            <w:shd w:val="clear" w:color="auto" w:fill="auto"/>
            <w:vAlign w:val="center"/>
            <w:hideMark/>
          </w:tcPr>
          <w:p w14:paraId="2624816E" w14:textId="5CA59024"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1,88</w:t>
            </w:r>
          </w:p>
        </w:tc>
        <w:tc>
          <w:tcPr>
            <w:tcW w:w="995" w:type="pct"/>
            <w:tcBorders>
              <w:top w:val="nil"/>
              <w:left w:val="nil"/>
              <w:bottom w:val="nil"/>
              <w:right w:val="nil"/>
            </w:tcBorders>
            <w:shd w:val="clear" w:color="auto" w:fill="auto"/>
            <w:vAlign w:val="center"/>
            <w:hideMark/>
          </w:tcPr>
          <w:p w14:paraId="61862982" w14:textId="12635BBD"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56,4</w:t>
            </w:r>
          </w:p>
        </w:tc>
        <w:tc>
          <w:tcPr>
            <w:tcW w:w="1063" w:type="pct"/>
            <w:tcBorders>
              <w:top w:val="nil"/>
              <w:left w:val="nil"/>
              <w:bottom w:val="nil"/>
              <w:right w:val="nil"/>
            </w:tcBorders>
            <w:shd w:val="clear" w:color="auto" w:fill="auto"/>
            <w:vAlign w:val="center"/>
            <w:hideMark/>
          </w:tcPr>
          <w:p w14:paraId="72F3442E" w14:textId="42DD258C"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0,7</w:t>
            </w:r>
          </w:p>
        </w:tc>
      </w:tr>
      <w:tr w:rsidR="002529E5" w:rsidRPr="00694CF0" w14:paraId="6E2D34C9" w14:textId="77777777" w:rsidTr="00630F3B">
        <w:trPr>
          <w:trHeight w:val="283"/>
        </w:trPr>
        <w:tc>
          <w:tcPr>
            <w:tcW w:w="1382" w:type="pct"/>
            <w:tcBorders>
              <w:top w:val="nil"/>
              <w:left w:val="nil"/>
              <w:bottom w:val="nil"/>
              <w:right w:val="nil"/>
            </w:tcBorders>
            <w:shd w:val="clear" w:color="auto" w:fill="auto"/>
            <w:vAlign w:val="center"/>
            <w:hideMark/>
          </w:tcPr>
          <w:p w14:paraId="777C8888" w14:textId="58673205"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MS SR</w:t>
            </w:r>
          </w:p>
        </w:tc>
        <w:tc>
          <w:tcPr>
            <w:tcW w:w="679" w:type="pct"/>
            <w:tcBorders>
              <w:top w:val="nil"/>
              <w:left w:val="nil"/>
              <w:bottom w:val="nil"/>
              <w:right w:val="nil"/>
            </w:tcBorders>
            <w:shd w:val="clear" w:color="auto" w:fill="auto"/>
            <w:vAlign w:val="center"/>
            <w:hideMark/>
          </w:tcPr>
          <w:p w14:paraId="7F8ED13F" w14:textId="5DB0D3B0"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881" w:type="pct"/>
            <w:tcBorders>
              <w:top w:val="nil"/>
              <w:left w:val="nil"/>
              <w:bottom w:val="nil"/>
              <w:right w:val="nil"/>
            </w:tcBorders>
            <w:shd w:val="clear" w:color="auto" w:fill="auto"/>
            <w:vAlign w:val="center"/>
            <w:hideMark/>
          </w:tcPr>
          <w:p w14:paraId="24FE6A3B" w14:textId="57B8B335"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1,2</w:t>
            </w:r>
          </w:p>
        </w:tc>
        <w:tc>
          <w:tcPr>
            <w:tcW w:w="995" w:type="pct"/>
            <w:tcBorders>
              <w:top w:val="nil"/>
              <w:left w:val="nil"/>
              <w:bottom w:val="nil"/>
              <w:right w:val="nil"/>
            </w:tcBorders>
            <w:shd w:val="clear" w:color="auto" w:fill="auto"/>
            <w:vAlign w:val="center"/>
            <w:hideMark/>
          </w:tcPr>
          <w:p w14:paraId="4F3E1527" w14:textId="53BD33EE"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1063" w:type="pct"/>
            <w:tcBorders>
              <w:top w:val="nil"/>
              <w:left w:val="nil"/>
              <w:bottom w:val="nil"/>
              <w:right w:val="nil"/>
            </w:tcBorders>
            <w:shd w:val="clear" w:color="auto" w:fill="auto"/>
            <w:vAlign w:val="center"/>
            <w:hideMark/>
          </w:tcPr>
          <w:p w14:paraId="1BBE4A18" w14:textId="2AA9B8F7"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0,2</w:t>
            </w:r>
          </w:p>
        </w:tc>
      </w:tr>
      <w:tr w:rsidR="002529E5" w:rsidRPr="00694CF0" w14:paraId="5822E775" w14:textId="77777777" w:rsidTr="00630F3B">
        <w:trPr>
          <w:trHeight w:val="283"/>
        </w:trPr>
        <w:tc>
          <w:tcPr>
            <w:tcW w:w="1382" w:type="pct"/>
            <w:tcBorders>
              <w:top w:val="nil"/>
              <w:left w:val="nil"/>
              <w:bottom w:val="nil"/>
              <w:right w:val="nil"/>
            </w:tcBorders>
            <w:shd w:val="clear" w:color="auto" w:fill="auto"/>
            <w:vAlign w:val="center"/>
            <w:hideMark/>
          </w:tcPr>
          <w:p w14:paraId="574EFA74" w14:textId="74CEAEBD"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ÚVO</w:t>
            </w:r>
          </w:p>
        </w:tc>
        <w:tc>
          <w:tcPr>
            <w:tcW w:w="679" w:type="pct"/>
            <w:tcBorders>
              <w:top w:val="nil"/>
              <w:left w:val="nil"/>
              <w:bottom w:val="nil"/>
              <w:right w:val="nil"/>
            </w:tcBorders>
            <w:shd w:val="clear" w:color="auto" w:fill="auto"/>
            <w:vAlign w:val="center"/>
            <w:hideMark/>
          </w:tcPr>
          <w:p w14:paraId="0BEB22AA" w14:textId="36E05D13"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881" w:type="pct"/>
            <w:tcBorders>
              <w:top w:val="nil"/>
              <w:left w:val="nil"/>
              <w:bottom w:val="nil"/>
              <w:right w:val="nil"/>
            </w:tcBorders>
            <w:shd w:val="clear" w:color="auto" w:fill="auto"/>
            <w:vAlign w:val="center"/>
            <w:hideMark/>
          </w:tcPr>
          <w:p w14:paraId="569D8429" w14:textId="610FA5B9"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0,4</w:t>
            </w:r>
          </w:p>
        </w:tc>
        <w:tc>
          <w:tcPr>
            <w:tcW w:w="995" w:type="pct"/>
            <w:tcBorders>
              <w:top w:val="nil"/>
              <w:left w:val="nil"/>
              <w:bottom w:val="nil"/>
              <w:right w:val="nil"/>
            </w:tcBorders>
            <w:shd w:val="clear" w:color="auto" w:fill="auto"/>
            <w:vAlign w:val="center"/>
            <w:hideMark/>
          </w:tcPr>
          <w:p w14:paraId="73E3FFC5" w14:textId="5B97F374"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1063" w:type="pct"/>
            <w:tcBorders>
              <w:top w:val="nil"/>
              <w:left w:val="nil"/>
              <w:bottom w:val="nil"/>
              <w:right w:val="nil"/>
            </w:tcBorders>
            <w:shd w:val="clear" w:color="auto" w:fill="auto"/>
            <w:vAlign w:val="center"/>
            <w:hideMark/>
          </w:tcPr>
          <w:p w14:paraId="0CD81178" w14:textId="589EBD9A"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0,2</w:t>
            </w:r>
          </w:p>
        </w:tc>
      </w:tr>
      <w:tr w:rsidR="002529E5" w:rsidRPr="00694CF0" w14:paraId="5BB81D5A" w14:textId="77777777" w:rsidTr="00630F3B">
        <w:trPr>
          <w:trHeight w:val="283"/>
        </w:trPr>
        <w:tc>
          <w:tcPr>
            <w:tcW w:w="1382" w:type="pct"/>
            <w:tcBorders>
              <w:top w:val="nil"/>
              <w:left w:val="nil"/>
              <w:bottom w:val="nil"/>
              <w:right w:val="nil"/>
            </w:tcBorders>
            <w:shd w:val="clear" w:color="auto" w:fill="auto"/>
            <w:vAlign w:val="center"/>
            <w:hideMark/>
          </w:tcPr>
          <w:p w14:paraId="4E165C8E" w14:textId="19460404"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GP</w:t>
            </w:r>
          </w:p>
        </w:tc>
        <w:tc>
          <w:tcPr>
            <w:tcW w:w="679" w:type="pct"/>
            <w:tcBorders>
              <w:top w:val="nil"/>
              <w:left w:val="nil"/>
              <w:bottom w:val="nil"/>
              <w:right w:val="nil"/>
            </w:tcBorders>
            <w:shd w:val="clear" w:color="auto" w:fill="auto"/>
            <w:vAlign w:val="center"/>
            <w:hideMark/>
          </w:tcPr>
          <w:p w14:paraId="4AE98063" w14:textId="70539870"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881" w:type="pct"/>
            <w:tcBorders>
              <w:top w:val="nil"/>
              <w:left w:val="nil"/>
              <w:bottom w:val="nil"/>
              <w:right w:val="nil"/>
            </w:tcBorders>
            <w:shd w:val="clear" w:color="auto" w:fill="auto"/>
            <w:vAlign w:val="center"/>
            <w:hideMark/>
          </w:tcPr>
          <w:p w14:paraId="7AEF36C5" w14:textId="2DBF684A"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0,5</w:t>
            </w:r>
          </w:p>
        </w:tc>
        <w:tc>
          <w:tcPr>
            <w:tcW w:w="995" w:type="pct"/>
            <w:tcBorders>
              <w:top w:val="nil"/>
              <w:left w:val="nil"/>
              <w:bottom w:val="nil"/>
              <w:right w:val="nil"/>
            </w:tcBorders>
            <w:shd w:val="clear" w:color="auto" w:fill="auto"/>
            <w:vAlign w:val="center"/>
            <w:hideMark/>
          </w:tcPr>
          <w:p w14:paraId="4615177B" w14:textId="508BE568"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1063" w:type="pct"/>
            <w:tcBorders>
              <w:top w:val="nil"/>
              <w:left w:val="nil"/>
              <w:bottom w:val="nil"/>
              <w:right w:val="nil"/>
            </w:tcBorders>
            <w:shd w:val="clear" w:color="auto" w:fill="auto"/>
            <w:vAlign w:val="center"/>
            <w:hideMark/>
          </w:tcPr>
          <w:p w14:paraId="3232A386" w14:textId="11B4B914"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0,1</w:t>
            </w:r>
          </w:p>
        </w:tc>
      </w:tr>
      <w:tr w:rsidR="002529E5" w:rsidRPr="00694CF0" w14:paraId="3FD45B4A" w14:textId="77777777" w:rsidTr="00630F3B">
        <w:trPr>
          <w:trHeight w:val="283"/>
        </w:trPr>
        <w:tc>
          <w:tcPr>
            <w:tcW w:w="1382" w:type="pct"/>
            <w:tcBorders>
              <w:top w:val="nil"/>
              <w:left w:val="nil"/>
              <w:bottom w:val="nil"/>
              <w:right w:val="nil"/>
            </w:tcBorders>
            <w:shd w:val="clear" w:color="auto" w:fill="auto"/>
            <w:vAlign w:val="center"/>
            <w:hideMark/>
          </w:tcPr>
          <w:p w14:paraId="414ADF16" w14:textId="1F950C42"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MF SR</w:t>
            </w:r>
          </w:p>
        </w:tc>
        <w:tc>
          <w:tcPr>
            <w:tcW w:w="679" w:type="pct"/>
            <w:tcBorders>
              <w:top w:val="nil"/>
              <w:left w:val="nil"/>
              <w:bottom w:val="nil"/>
              <w:right w:val="nil"/>
            </w:tcBorders>
            <w:shd w:val="clear" w:color="auto" w:fill="auto"/>
            <w:vAlign w:val="center"/>
            <w:hideMark/>
          </w:tcPr>
          <w:p w14:paraId="705D1D37" w14:textId="1777111E"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881" w:type="pct"/>
            <w:tcBorders>
              <w:top w:val="nil"/>
              <w:left w:val="nil"/>
              <w:bottom w:val="nil"/>
              <w:right w:val="nil"/>
            </w:tcBorders>
            <w:shd w:val="clear" w:color="auto" w:fill="auto"/>
            <w:vAlign w:val="center"/>
            <w:hideMark/>
          </w:tcPr>
          <w:p w14:paraId="3F36B919" w14:textId="006B1C14"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0,1</w:t>
            </w:r>
          </w:p>
        </w:tc>
        <w:tc>
          <w:tcPr>
            <w:tcW w:w="995" w:type="pct"/>
            <w:tcBorders>
              <w:top w:val="nil"/>
              <w:left w:val="nil"/>
              <w:bottom w:val="nil"/>
              <w:right w:val="nil"/>
            </w:tcBorders>
            <w:shd w:val="clear" w:color="auto" w:fill="auto"/>
            <w:vAlign w:val="center"/>
            <w:hideMark/>
          </w:tcPr>
          <w:p w14:paraId="3167C023" w14:textId="0E9B2162"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1063" w:type="pct"/>
            <w:tcBorders>
              <w:top w:val="nil"/>
              <w:left w:val="nil"/>
              <w:bottom w:val="nil"/>
              <w:right w:val="nil"/>
            </w:tcBorders>
            <w:shd w:val="clear" w:color="auto" w:fill="auto"/>
            <w:vAlign w:val="center"/>
            <w:hideMark/>
          </w:tcPr>
          <w:p w14:paraId="7442C033" w14:textId="23B4D74E"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r>
      <w:tr w:rsidR="002529E5" w:rsidRPr="00694CF0" w14:paraId="06BF7E08" w14:textId="77777777" w:rsidTr="00630F3B">
        <w:trPr>
          <w:trHeight w:val="283"/>
        </w:trPr>
        <w:tc>
          <w:tcPr>
            <w:tcW w:w="1382" w:type="pct"/>
            <w:tcBorders>
              <w:top w:val="nil"/>
              <w:left w:val="nil"/>
              <w:bottom w:val="nil"/>
              <w:right w:val="nil"/>
            </w:tcBorders>
            <w:shd w:val="clear" w:color="auto" w:fill="auto"/>
            <w:vAlign w:val="center"/>
            <w:hideMark/>
          </w:tcPr>
          <w:p w14:paraId="50BEFBFA" w14:textId="094062E8" w:rsidR="002529E5" w:rsidRPr="00862458" w:rsidRDefault="002529E5" w:rsidP="002529E5">
            <w:pPr>
              <w:spacing w:after="0" w:line="240" w:lineRule="auto"/>
              <w:jc w:val="left"/>
              <w:rPr>
                <w:rFonts w:eastAsia="Times New Roman" w:cs="Segoe UI"/>
                <w:color w:val="000000"/>
                <w:sz w:val="18"/>
                <w:szCs w:val="18"/>
                <w:lang w:eastAsia="sk-SK"/>
              </w:rPr>
            </w:pPr>
            <w:r>
              <w:rPr>
                <w:rFonts w:eastAsia="Times New Roman" w:cs="Segoe UI"/>
                <w:color w:val="000000"/>
                <w:sz w:val="18"/>
                <w:szCs w:val="18"/>
                <w:lang w:eastAsia="sk-SK"/>
              </w:rPr>
              <w:t>MZ SR</w:t>
            </w:r>
          </w:p>
        </w:tc>
        <w:tc>
          <w:tcPr>
            <w:tcW w:w="679" w:type="pct"/>
            <w:tcBorders>
              <w:top w:val="nil"/>
              <w:left w:val="nil"/>
              <w:bottom w:val="nil"/>
              <w:right w:val="nil"/>
            </w:tcBorders>
            <w:shd w:val="clear" w:color="auto" w:fill="auto"/>
            <w:vAlign w:val="center"/>
            <w:hideMark/>
          </w:tcPr>
          <w:p w14:paraId="49D57458" w14:textId="71BC885A"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881" w:type="pct"/>
            <w:tcBorders>
              <w:top w:val="nil"/>
              <w:left w:val="nil"/>
              <w:bottom w:val="nil"/>
              <w:right w:val="nil"/>
            </w:tcBorders>
            <w:shd w:val="clear" w:color="auto" w:fill="auto"/>
            <w:vAlign w:val="center"/>
            <w:hideMark/>
          </w:tcPr>
          <w:p w14:paraId="1CDD3B99" w14:textId="55D37240"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995" w:type="pct"/>
            <w:tcBorders>
              <w:top w:val="nil"/>
              <w:left w:val="nil"/>
              <w:bottom w:val="nil"/>
              <w:right w:val="nil"/>
            </w:tcBorders>
            <w:shd w:val="clear" w:color="auto" w:fill="auto"/>
            <w:vAlign w:val="center"/>
            <w:hideMark/>
          </w:tcPr>
          <w:p w14:paraId="6E441813" w14:textId="56760D22"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c>
          <w:tcPr>
            <w:tcW w:w="1063" w:type="pct"/>
            <w:tcBorders>
              <w:top w:val="nil"/>
              <w:left w:val="nil"/>
              <w:bottom w:val="nil"/>
              <w:right w:val="nil"/>
            </w:tcBorders>
            <w:shd w:val="clear" w:color="auto" w:fill="auto"/>
            <w:vAlign w:val="center"/>
            <w:hideMark/>
          </w:tcPr>
          <w:p w14:paraId="455C7348" w14:textId="5AC24675" w:rsidR="002529E5" w:rsidRPr="00862458" w:rsidRDefault="002529E5" w:rsidP="002529E5">
            <w:pPr>
              <w:spacing w:after="0" w:line="240" w:lineRule="auto"/>
              <w:jc w:val="center"/>
              <w:rPr>
                <w:rFonts w:eastAsia="Times New Roman" w:cs="Segoe UI"/>
                <w:color w:val="000000"/>
                <w:sz w:val="18"/>
                <w:szCs w:val="18"/>
                <w:lang w:eastAsia="sk-SK"/>
              </w:rPr>
            </w:pPr>
            <w:r>
              <w:rPr>
                <w:rFonts w:eastAsia="Times New Roman" w:cs="Segoe UI"/>
                <w:color w:val="000000"/>
                <w:sz w:val="18"/>
                <w:szCs w:val="18"/>
                <w:lang w:eastAsia="sk-SK"/>
              </w:rPr>
              <w:t>0,0</w:t>
            </w:r>
          </w:p>
        </w:tc>
      </w:tr>
      <w:tr w:rsidR="002529E5" w:rsidRPr="00694CF0" w14:paraId="47D76253" w14:textId="77777777" w:rsidTr="00630F3B">
        <w:trPr>
          <w:trHeight w:val="283"/>
        </w:trPr>
        <w:tc>
          <w:tcPr>
            <w:tcW w:w="1382" w:type="pct"/>
            <w:tcBorders>
              <w:top w:val="single" w:sz="4" w:space="0" w:color="auto"/>
              <w:left w:val="nil"/>
              <w:bottom w:val="single" w:sz="4" w:space="0" w:color="auto"/>
              <w:right w:val="nil"/>
            </w:tcBorders>
            <w:shd w:val="clear" w:color="000000" w:fill="FFFFFF"/>
            <w:vAlign w:val="center"/>
            <w:hideMark/>
          </w:tcPr>
          <w:p w14:paraId="7B52A975" w14:textId="662240E2" w:rsidR="002529E5" w:rsidRPr="00862458" w:rsidRDefault="002529E5" w:rsidP="002529E5">
            <w:pPr>
              <w:spacing w:after="0" w:line="240" w:lineRule="auto"/>
              <w:jc w:val="left"/>
              <w:rPr>
                <w:rFonts w:eastAsia="Times New Roman" w:cs="Segoe UI"/>
                <w:b/>
                <w:bCs/>
                <w:color w:val="000000"/>
                <w:sz w:val="18"/>
                <w:szCs w:val="18"/>
                <w:lang w:eastAsia="sk-SK"/>
              </w:rPr>
            </w:pPr>
            <w:r>
              <w:rPr>
                <w:rFonts w:eastAsia="Times New Roman" w:cs="Segoe UI"/>
                <w:b/>
                <w:bCs/>
                <w:color w:val="000000"/>
                <w:sz w:val="18"/>
                <w:szCs w:val="18"/>
                <w:lang w:eastAsia="sk-SK"/>
              </w:rPr>
              <w:t>Spolu</w:t>
            </w:r>
          </w:p>
        </w:tc>
        <w:tc>
          <w:tcPr>
            <w:tcW w:w="679" w:type="pct"/>
            <w:tcBorders>
              <w:top w:val="single" w:sz="4" w:space="0" w:color="auto"/>
              <w:left w:val="nil"/>
              <w:bottom w:val="single" w:sz="4" w:space="0" w:color="auto"/>
              <w:right w:val="nil"/>
            </w:tcBorders>
            <w:shd w:val="clear" w:color="000000" w:fill="FFFFFF"/>
            <w:vAlign w:val="center"/>
            <w:hideMark/>
          </w:tcPr>
          <w:p w14:paraId="2D3BE252" w14:textId="274929C3" w:rsidR="002529E5" w:rsidRPr="00862458" w:rsidRDefault="002529E5" w:rsidP="002529E5">
            <w:pPr>
              <w:spacing w:after="0" w:line="240" w:lineRule="auto"/>
              <w:jc w:val="center"/>
              <w:rPr>
                <w:rFonts w:eastAsia="Times New Roman" w:cs="Segoe UI"/>
                <w:b/>
                <w:bCs/>
                <w:color w:val="000000"/>
                <w:sz w:val="18"/>
                <w:szCs w:val="18"/>
                <w:lang w:eastAsia="sk-SK"/>
              </w:rPr>
            </w:pPr>
            <w:r>
              <w:rPr>
                <w:rFonts w:eastAsia="Times New Roman" w:cs="Segoe UI"/>
                <w:b/>
                <w:bCs/>
                <w:color w:val="000000"/>
                <w:sz w:val="18"/>
                <w:szCs w:val="18"/>
                <w:lang w:eastAsia="sk-SK"/>
              </w:rPr>
              <w:t>1 122,1</w:t>
            </w:r>
          </w:p>
        </w:tc>
        <w:tc>
          <w:tcPr>
            <w:tcW w:w="881" w:type="pct"/>
            <w:tcBorders>
              <w:top w:val="single" w:sz="4" w:space="0" w:color="auto"/>
              <w:left w:val="nil"/>
              <w:bottom w:val="single" w:sz="4" w:space="0" w:color="auto"/>
              <w:right w:val="nil"/>
            </w:tcBorders>
            <w:shd w:val="clear" w:color="000000" w:fill="FFFFFF"/>
            <w:vAlign w:val="center"/>
            <w:hideMark/>
          </w:tcPr>
          <w:p w14:paraId="6D661E28" w14:textId="2AF6FE34" w:rsidR="002529E5" w:rsidRPr="00862458" w:rsidRDefault="002529E5" w:rsidP="002529E5">
            <w:pPr>
              <w:spacing w:after="0" w:line="240" w:lineRule="auto"/>
              <w:jc w:val="center"/>
              <w:rPr>
                <w:rFonts w:eastAsia="Times New Roman" w:cs="Segoe UI"/>
                <w:b/>
                <w:bCs/>
                <w:color w:val="000000"/>
                <w:sz w:val="18"/>
                <w:szCs w:val="18"/>
                <w:lang w:eastAsia="sk-SK"/>
              </w:rPr>
            </w:pPr>
            <w:r>
              <w:rPr>
                <w:rFonts w:eastAsia="Times New Roman" w:cs="Segoe UI"/>
                <w:b/>
                <w:bCs/>
                <w:color w:val="000000"/>
                <w:sz w:val="18"/>
                <w:szCs w:val="18"/>
                <w:lang w:eastAsia="sk-SK"/>
              </w:rPr>
              <w:t>1 481,6</w:t>
            </w:r>
          </w:p>
        </w:tc>
        <w:tc>
          <w:tcPr>
            <w:tcW w:w="995" w:type="pct"/>
            <w:tcBorders>
              <w:top w:val="single" w:sz="4" w:space="0" w:color="auto"/>
              <w:left w:val="nil"/>
              <w:bottom w:val="single" w:sz="4" w:space="0" w:color="auto"/>
              <w:right w:val="nil"/>
            </w:tcBorders>
            <w:shd w:val="clear" w:color="000000" w:fill="FFFFFF"/>
            <w:vAlign w:val="center"/>
            <w:hideMark/>
          </w:tcPr>
          <w:p w14:paraId="019FD17B" w14:textId="171B14A3" w:rsidR="002529E5" w:rsidRPr="00862458" w:rsidRDefault="002529E5" w:rsidP="002529E5">
            <w:pPr>
              <w:spacing w:after="0" w:line="240" w:lineRule="auto"/>
              <w:jc w:val="center"/>
              <w:rPr>
                <w:rFonts w:eastAsia="Times New Roman" w:cs="Segoe UI"/>
                <w:b/>
                <w:bCs/>
                <w:color w:val="000000"/>
                <w:sz w:val="18"/>
                <w:szCs w:val="18"/>
                <w:lang w:eastAsia="sk-SK"/>
              </w:rPr>
            </w:pPr>
            <w:r>
              <w:rPr>
                <w:rFonts w:eastAsia="Times New Roman" w:cs="Segoe UI"/>
                <w:b/>
                <w:bCs/>
                <w:color w:val="000000"/>
                <w:sz w:val="18"/>
                <w:szCs w:val="18"/>
                <w:lang w:eastAsia="sk-SK"/>
              </w:rPr>
              <w:t>295,0</w:t>
            </w:r>
          </w:p>
        </w:tc>
        <w:tc>
          <w:tcPr>
            <w:tcW w:w="1063" w:type="pct"/>
            <w:tcBorders>
              <w:top w:val="single" w:sz="4" w:space="0" w:color="auto"/>
              <w:left w:val="nil"/>
              <w:bottom w:val="single" w:sz="4" w:space="0" w:color="auto"/>
              <w:right w:val="nil"/>
            </w:tcBorders>
            <w:shd w:val="clear" w:color="000000" w:fill="FFFFFF"/>
            <w:vAlign w:val="center"/>
            <w:hideMark/>
          </w:tcPr>
          <w:p w14:paraId="6B34135A" w14:textId="0AF16EE1" w:rsidR="002529E5" w:rsidRPr="00862458" w:rsidRDefault="002529E5" w:rsidP="002529E5">
            <w:pPr>
              <w:spacing w:after="0" w:line="240" w:lineRule="auto"/>
              <w:jc w:val="center"/>
              <w:rPr>
                <w:rFonts w:eastAsia="Times New Roman" w:cs="Segoe UI"/>
                <w:b/>
                <w:bCs/>
                <w:color w:val="000000"/>
                <w:sz w:val="18"/>
                <w:szCs w:val="18"/>
                <w:lang w:eastAsia="sk-SK"/>
              </w:rPr>
            </w:pPr>
            <w:r>
              <w:rPr>
                <w:rFonts w:eastAsia="Times New Roman" w:cs="Segoe UI"/>
                <w:b/>
                <w:bCs/>
                <w:color w:val="000000"/>
                <w:sz w:val="18"/>
                <w:szCs w:val="18"/>
                <w:lang w:eastAsia="sk-SK"/>
              </w:rPr>
              <w:t>218,1</w:t>
            </w:r>
          </w:p>
        </w:tc>
      </w:tr>
    </w:tbl>
    <w:p w14:paraId="2CE3EE7C" w14:textId="2D585C0D" w:rsidR="008A53BE" w:rsidRDefault="008A53BE" w:rsidP="008A53BE">
      <w:pPr>
        <w:spacing w:line="240" w:lineRule="auto"/>
        <w:jc w:val="left"/>
        <w:rPr>
          <w:i/>
          <w:color w:val="314364" w:themeColor="text2"/>
          <w:sz w:val="16"/>
        </w:rPr>
      </w:pPr>
      <w:r>
        <w:rPr>
          <w:i/>
          <w:color w:val="314364" w:themeColor="text2"/>
          <w:sz w:val="16"/>
        </w:rPr>
        <w:t>Zdroj: RIS</w:t>
      </w:r>
      <w:r w:rsidR="00831F76">
        <w:rPr>
          <w:i/>
          <w:color w:val="314364" w:themeColor="text2"/>
          <w:sz w:val="16"/>
        </w:rPr>
        <w:t>.</w:t>
      </w:r>
    </w:p>
    <w:p w14:paraId="376F70F0" w14:textId="7FD2DE87" w:rsidR="00EF2A4E" w:rsidRDefault="00EF2A4E" w:rsidP="00EF2A4E">
      <w:r w:rsidRPr="007D3345">
        <w:rPr>
          <w:b/>
        </w:rPr>
        <w:t>V</w:t>
      </w:r>
      <w:r w:rsidR="00461B7E">
        <w:rPr>
          <w:b/>
        </w:rPr>
        <w:t xml:space="preserve"> roku 2024 sa z PO 2021 – 2027 čerpali </w:t>
      </w:r>
      <w:r w:rsidRPr="007D3345">
        <w:rPr>
          <w:b/>
        </w:rPr>
        <w:t>prevažne bežné výdavky.</w:t>
      </w:r>
      <w:r>
        <w:t xml:space="preserve"> Kapitálové výdavky tvorili 11 % z celkových výdavkov financovaných z prostriedkov EÚ a v prípade spolufinancovania zo ŠR išlo o </w:t>
      </w:r>
      <w:r w:rsidR="00665F54">
        <w:t>2,4 %</w:t>
      </w:r>
      <w:r>
        <w:t>.</w:t>
      </w:r>
    </w:p>
    <w:p w14:paraId="62F3D656" w14:textId="341DAEB8" w:rsidR="008C2FA1" w:rsidRDefault="008C2FA1" w:rsidP="008C2FA1">
      <w:r w:rsidRPr="007D3345">
        <w:rPr>
          <w:b/>
        </w:rPr>
        <w:t>V</w:t>
      </w:r>
      <w:r w:rsidR="000A5A5A">
        <w:rPr>
          <w:b/>
        </w:rPr>
        <w:t>o</w:t>
      </w:r>
      <w:r w:rsidRPr="007D3345">
        <w:rPr>
          <w:b/>
        </w:rPr>
        <w:t> štvrt</w:t>
      </w:r>
      <w:r w:rsidR="00A1201C">
        <w:rPr>
          <w:b/>
        </w:rPr>
        <w:t>om</w:t>
      </w:r>
      <w:r w:rsidRPr="007D3345">
        <w:rPr>
          <w:b/>
        </w:rPr>
        <w:t xml:space="preserve"> rok</w:t>
      </w:r>
      <w:r w:rsidR="00A1201C">
        <w:rPr>
          <w:b/>
        </w:rPr>
        <w:t>u</w:t>
      </w:r>
      <w:r w:rsidRPr="007D3345">
        <w:rPr>
          <w:b/>
        </w:rPr>
        <w:t xml:space="preserve"> obdobia oprávnenosti sa z fondov EÚ v rámci </w:t>
      </w:r>
      <w:r>
        <w:rPr>
          <w:b/>
        </w:rPr>
        <w:t>PO</w:t>
      </w:r>
      <w:r w:rsidRPr="007D3345">
        <w:rPr>
          <w:b/>
        </w:rPr>
        <w:t xml:space="preserve"> </w:t>
      </w:r>
      <w:r>
        <w:rPr>
          <w:b/>
        </w:rPr>
        <w:t xml:space="preserve">2021 – 2027 </w:t>
      </w:r>
      <w:r w:rsidRPr="007D3345">
        <w:rPr>
          <w:b/>
        </w:rPr>
        <w:t xml:space="preserve">čerpalo len </w:t>
      </w:r>
      <w:r>
        <w:rPr>
          <w:b/>
        </w:rPr>
        <w:t>z</w:t>
      </w:r>
      <w:r w:rsidRPr="007D3345">
        <w:rPr>
          <w:b/>
        </w:rPr>
        <w:t xml:space="preserve"> dvoch programo</w:t>
      </w:r>
      <w:r>
        <w:rPr>
          <w:b/>
        </w:rPr>
        <w:t>v</w:t>
      </w:r>
      <w:r w:rsidRPr="007D3345">
        <w:rPr>
          <w:b/>
        </w:rPr>
        <w:t xml:space="preserve"> – Program Slovensko a </w:t>
      </w:r>
      <w:proofErr w:type="spellStart"/>
      <w:r w:rsidRPr="007D3345">
        <w:rPr>
          <w:b/>
        </w:rPr>
        <w:t>Interact</w:t>
      </w:r>
      <w:proofErr w:type="spellEnd"/>
      <w:r w:rsidRPr="007D3345">
        <w:rPr>
          <w:b/>
        </w:rPr>
        <w:t xml:space="preserve"> IV.</w:t>
      </w:r>
      <w:r>
        <w:t xml:space="preserve"> Celkové čerpanie dosiahlo 388,1 mil. eur zo zdrojov EÚ, čo predstavuje 3 % z celkovej alokácie. Zodpovedajúce spolufinancovanie zo ŠR,</w:t>
      </w:r>
      <w:r w:rsidRPr="00330673">
        <w:t xml:space="preserve"> ktoré bolo hradené z rozpočtov kapitol</w:t>
      </w:r>
      <w:r>
        <w:t xml:space="preserve"> s platobnou funkciou,</w:t>
      </w:r>
      <w:r w:rsidRPr="00330673">
        <w:t xml:space="preserve"> </w:t>
      </w:r>
      <w:r>
        <w:t>predstavovalo 70,1 mil. eur, pričom bolo v plnej výške realizované cez P</w:t>
      </w:r>
      <w:r w:rsidR="004A2F16">
        <w:t xml:space="preserve"> </w:t>
      </w:r>
      <w:r>
        <w:t xml:space="preserve">SK. </w:t>
      </w:r>
    </w:p>
    <w:p w14:paraId="5AF7D8CF" w14:textId="3697690E" w:rsidR="008A53BE" w:rsidRDefault="00A52E34" w:rsidP="008A53BE">
      <w:r>
        <w:rPr>
          <w:b/>
        </w:rPr>
        <w:t>Z</w:t>
      </w:r>
      <w:r w:rsidR="004A2F16">
        <w:rPr>
          <w:b/>
        </w:rPr>
        <w:t> </w:t>
      </w:r>
      <w:r w:rsidR="008A53BE" w:rsidRPr="00271C42">
        <w:rPr>
          <w:b/>
        </w:rPr>
        <w:t>P</w:t>
      </w:r>
      <w:r w:rsidR="004A2F16">
        <w:rPr>
          <w:b/>
        </w:rPr>
        <w:t xml:space="preserve"> </w:t>
      </w:r>
      <w:r w:rsidR="00831F76" w:rsidRPr="00271C42">
        <w:rPr>
          <w:b/>
        </w:rPr>
        <w:t xml:space="preserve">SK </w:t>
      </w:r>
      <w:r>
        <w:rPr>
          <w:b/>
        </w:rPr>
        <w:t xml:space="preserve">sa </w:t>
      </w:r>
      <w:r w:rsidR="00831F76" w:rsidRPr="00271C42">
        <w:rPr>
          <w:b/>
        </w:rPr>
        <w:t>začalo</w:t>
      </w:r>
      <w:r w:rsidR="008A53BE" w:rsidRPr="00271C42">
        <w:rPr>
          <w:b/>
        </w:rPr>
        <w:t xml:space="preserve"> čerpa</w:t>
      </w:r>
      <w:r>
        <w:rPr>
          <w:b/>
        </w:rPr>
        <w:t>ť</w:t>
      </w:r>
      <w:r w:rsidR="008A53BE" w:rsidRPr="00271C42">
        <w:rPr>
          <w:b/>
        </w:rPr>
        <w:t xml:space="preserve"> až v roku 2024, pričom najväčší objem vyčerpaných prostriedkov zaznamenali MŠVVM SR </w:t>
      </w:r>
      <w:r w:rsidR="008A53BE" w:rsidRPr="00271C42">
        <w:t>(104,2 mil. eur)</w:t>
      </w:r>
      <w:r w:rsidR="008A53BE" w:rsidRPr="00271C42">
        <w:rPr>
          <w:b/>
        </w:rPr>
        <w:t xml:space="preserve"> a MPSVR SR </w:t>
      </w:r>
      <w:r w:rsidR="008A53BE" w:rsidRPr="00271C42">
        <w:t>(95,8 mil. eur)</w:t>
      </w:r>
      <w:r w:rsidR="00831F76" w:rsidRPr="00271C42">
        <w:rPr>
          <w:b/>
        </w:rPr>
        <w:t xml:space="preserve">. </w:t>
      </w:r>
      <w:r w:rsidR="00831F76">
        <w:t xml:space="preserve">Čerpalo sa </w:t>
      </w:r>
      <w:r w:rsidR="008A53BE">
        <w:t xml:space="preserve">najmä v rámci cieľa politiky 4: Sociálnejšia a </w:t>
      </w:r>
      <w:proofErr w:type="spellStart"/>
      <w:r w:rsidR="008A53BE">
        <w:t>inkluzívnejšia</w:t>
      </w:r>
      <w:proofErr w:type="spellEnd"/>
      <w:r w:rsidR="008A53BE">
        <w:t xml:space="preserve"> Európa</w:t>
      </w:r>
      <w:r w:rsidR="001465A2">
        <w:t>, t. j. najmä na tzv. mäkké projekty</w:t>
      </w:r>
      <w:r w:rsidR="008A53BE" w:rsidRPr="00AA72DF">
        <w:t xml:space="preserve"> </w:t>
      </w:r>
      <w:r w:rsidR="008A53BE">
        <w:t>(tabuľka</w:t>
      </w:r>
      <w:r>
        <w:t xml:space="preserve"> 1</w:t>
      </w:r>
      <w:r w:rsidR="00A1201C">
        <w:t>7</w:t>
      </w:r>
      <w:r w:rsidR="008A53BE">
        <w:t xml:space="preserve">). </w:t>
      </w:r>
    </w:p>
    <w:p w14:paraId="0D3A0006" w14:textId="02511FE5" w:rsidR="008A53BE" w:rsidRDefault="008A53BE" w:rsidP="008A53BE">
      <w:pPr>
        <w:keepNext/>
        <w:spacing w:after="0" w:line="240" w:lineRule="auto"/>
      </w:pPr>
      <w:r w:rsidRPr="004F758A">
        <w:rPr>
          <w:b/>
          <w:iCs/>
          <w:color w:val="314364"/>
          <w:szCs w:val="18"/>
        </w:rPr>
        <w:t>Tabuľka</w:t>
      </w:r>
      <w:r w:rsidR="00D02C22">
        <w:rPr>
          <w:b/>
          <w:iCs/>
          <w:color w:val="314364"/>
          <w:szCs w:val="18"/>
        </w:rPr>
        <w:t xml:space="preserve"> 1</w:t>
      </w:r>
      <w:r w:rsidR="00A1201C">
        <w:rPr>
          <w:b/>
          <w:iCs/>
          <w:color w:val="314364"/>
          <w:szCs w:val="18"/>
        </w:rPr>
        <w:t>7</w:t>
      </w:r>
      <w:r w:rsidRPr="004F758A">
        <w:rPr>
          <w:b/>
          <w:iCs/>
          <w:color w:val="314364"/>
          <w:szCs w:val="18"/>
        </w:rPr>
        <w:t xml:space="preserve">: </w:t>
      </w:r>
      <w:r w:rsidRPr="009C39D8">
        <w:rPr>
          <w:b/>
          <w:iCs/>
          <w:color w:val="314364"/>
          <w:szCs w:val="18"/>
        </w:rPr>
        <w:t xml:space="preserve">Stav </w:t>
      </w:r>
      <w:r>
        <w:rPr>
          <w:b/>
          <w:iCs/>
          <w:color w:val="314364"/>
          <w:szCs w:val="18"/>
        </w:rPr>
        <w:t>implementácie P</w:t>
      </w:r>
      <w:r w:rsidR="004A2F16">
        <w:rPr>
          <w:b/>
          <w:iCs/>
          <w:color w:val="314364"/>
          <w:szCs w:val="18"/>
        </w:rPr>
        <w:t xml:space="preserve">rogramu </w:t>
      </w:r>
      <w:r>
        <w:rPr>
          <w:b/>
          <w:iCs/>
          <w:color w:val="314364"/>
          <w:szCs w:val="18"/>
        </w:rPr>
        <w:t>S</w:t>
      </w:r>
      <w:r w:rsidR="004A2F16">
        <w:rPr>
          <w:b/>
          <w:iCs/>
          <w:color w:val="314364"/>
          <w:szCs w:val="18"/>
        </w:rPr>
        <w:t>lovensko</w:t>
      </w:r>
      <w:r>
        <w:rPr>
          <w:b/>
          <w:iCs/>
          <w:color w:val="314364"/>
          <w:szCs w:val="18"/>
        </w:rPr>
        <w:t xml:space="preserve"> podľa rezortov (v mil. eur</w:t>
      </w:r>
      <w:r w:rsidR="00832BC2">
        <w:rPr>
          <w:b/>
          <w:iCs/>
          <w:color w:val="314364"/>
          <w:szCs w:val="18"/>
        </w:rPr>
        <w:t>;</w:t>
      </w:r>
      <w:r>
        <w:rPr>
          <w:b/>
          <w:iCs/>
          <w:color w:val="314364"/>
          <w:szCs w:val="18"/>
        </w:rPr>
        <w:t xml:space="preserve"> v %)</w:t>
      </w:r>
    </w:p>
    <w:tbl>
      <w:tblPr>
        <w:tblW w:w="5000" w:type="pct"/>
        <w:tblCellMar>
          <w:left w:w="70" w:type="dxa"/>
          <w:right w:w="70" w:type="dxa"/>
        </w:tblCellMar>
        <w:tblLook w:val="04A0" w:firstRow="1" w:lastRow="0" w:firstColumn="1" w:lastColumn="0" w:noHBand="0" w:noVBand="1"/>
      </w:tblPr>
      <w:tblGrid>
        <w:gridCol w:w="1123"/>
        <w:gridCol w:w="860"/>
        <w:gridCol w:w="881"/>
        <w:gridCol w:w="881"/>
        <w:gridCol w:w="881"/>
        <w:gridCol w:w="881"/>
        <w:gridCol w:w="1024"/>
        <w:gridCol w:w="861"/>
        <w:gridCol w:w="734"/>
        <w:gridCol w:w="934"/>
      </w:tblGrid>
      <w:tr w:rsidR="008A53BE" w:rsidRPr="004419AD" w14:paraId="4CB3D5D4" w14:textId="77777777" w:rsidTr="00CD073B">
        <w:trPr>
          <w:trHeight w:val="283"/>
        </w:trPr>
        <w:tc>
          <w:tcPr>
            <w:tcW w:w="623" w:type="pct"/>
            <w:vMerge w:val="restart"/>
            <w:tcBorders>
              <w:top w:val="single" w:sz="4" w:space="0" w:color="FFFFFF"/>
              <w:left w:val="single" w:sz="4" w:space="0" w:color="FFFFFF"/>
              <w:bottom w:val="single" w:sz="4" w:space="0" w:color="FFFFFF"/>
              <w:right w:val="single" w:sz="4" w:space="0" w:color="FFFFFF"/>
            </w:tcBorders>
            <w:shd w:val="clear" w:color="000000" w:fill="314364"/>
            <w:vAlign w:val="center"/>
            <w:hideMark/>
          </w:tcPr>
          <w:p w14:paraId="051F916B" w14:textId="77777777" w:rsidR="008A53BE" w:rsidRPr="00862458" w:rsidRDefault="008A53BE" w:rsidP="00630F3B">
            <w:pPr>
              <w:spacing w:after="0" w:line="240" w:lineRule="auto"/>
              <w:jc w:val="left"/>
              <w:rPr>
                <w:rFonts w:eastAsia="Times New Roman" w:cs="Segoe UI"/>
                <w:b/>
                <w:color w:val="FFFFFF"/>
                <w:sz w:val="18"/>
                <w:szCs w:val="18"/>
                <w:lang w:eastAsia="sk-SK"/>
              </w:rPr>
            </w:pPr>
            <w:r w:rsidRPr="00862458">
              <w:rPr>
                <w:rFonts w:eastAsia="Times New Roman" w:cs="Segoe UI"/>
                <w:b/>
                <w:color w:val="FFFFFF"/>
                <w:sz w:val="18"/>
                <w:szCs w:val="18"/>
                <w:lang w:eastAsia="sk-SK"/>
              </w:rPr>
              <w:t xml:space="preserve">Rezort </w:t>
            </w:r>
          </w:p>
        </w:tc>
        <w:tc>
          <w:tcPr>
            <w:tcW w:w="449" w:type="pct"/>
            <w:vMerge w:val="restart"/>
            <w:tcBorders>
              <w:top w:val="single" w:sz="4" w:space="0" w:color="FFFFFF"/>
              <w:left w:val="single" w:sz="4" w:space="0" w:color="FFFFFF"/>
              <w:bottom w:val="single" w:sz="4" w:space="0" w:color="FFFFFF"/>
              <w:right w:val="single" w:sz="4" w:space="0" w:color="FFFFFF"/>
            </w:tcBorders>
            <w:shd w:val="clear" w:color="000000" w:fill="314364"/>
            <w:vAlign w:val="center"/>
            <w:hideMark/>
          </w:tcPr>
          <w:p w14:paraId="271A61EE"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Alokácia (zdroj EÚ)</w:t>
            </w:r>
          </w:p>
        </w:tc>
        <w:tc>
          <w:tcPr>
            <w:tcW w:w="978" w:type="pct"/>
            <w:gridSpan w:val="2"/>
            <w:vMerge w:val="restart"/>
            <w:tcBorders>
              <w:top w:val="single" w:sz="4" w:space="0" w:color="FFFFFF"/>
              <w:left w:val="single" w:sz="4" w:space="0" w:color="FFFFFF"/>
              <w:bottom w:val="single" w:sz="4" w:space="0" w:color="FFFFFF"/>
              <w:right w:val="single" w:sz="4" w:space="0" w:color="FFFFFF"/>
            </w:tcBorders>
            <w:shd w:val="clear" w:color="000000" w:fill="314364"/>
            <w:vAlign w:val="center"/>
            <w:hideMark/>
          </w:tcPr>
          <w:p w14:paraId="3A2BB9CF"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Alokácia uvoľnená vo výzvach k 31.3.2025               (zdroj EÚ)</w:t>
            </w:r>
          </w:p>
        </w:tc>
        <w:tc>
          <w:tcPr>
            <w:tcW w:w="978" w:type="pct"/>
            <w:gridSpan w:val="2"/>
            <w:vMerge w:val="restart"/>
            <w:tcBorders>
              <w:top w:val="single" w:sz="4" w:space="0" w:color="FFFFFF"/>
              <w:left w:val="single" w:sz="4" w:space="0" w:color="FFFFFF"/>
              <w:bottom w:val="single" w:sz="4" w:space="0" w:color="FFFFFF"/>
              <w:right w:val="single" w:sz="4" w:space="0" w:color="FFFFFF"/>
            </w:tcBorders>
            <w:shd w:val="clear" w:color="000000" w:fill="314364"/>
            <w:vAlign w:val="center"/>
            <w:hideMark/>
          </w:tcPr>
          <w:p w14:paraId="3A840594"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Kontrahovanie k 31.3.2025                  (zdroj EÚ)</w:t>
            </w:r>
          </w:p>
        </w:tc>
        <w:tc>
          <w:tcPr>
            <w:tcW w:w="1972" w:type="pct"/>
            <w:gridSpan w:val="4"/>
            <w:tcBorders>
              <w:top w:val="single" w:sz="4" w:space="0" w:color="FFFFFF"/>
              <w:left w:val="nil"/>
              <w:bottom w:val="single" w:sz="4" w:space="0" w:color="FFFFFF"/>
              <w:right w:val="single" w:sz="4" w:space="0" w:color="FFFFFF"/>
            </w:tcBorders>
            <w:shd w:val="clear" w:color="000000" w:fill="314364"/>
            <w:vAlign w:val="center"/>
            <w:hideMark/>
          </w:tcPr>
          <w:p w14:paraId="75D6CE43"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Čerpanie (zdroj EÚ)</w:t>
            </w:r>
          </w:p>
        </w:tc>
      </w:tr>
      <w:tr w:rsidR="008A53BE" w:rsidRPr="004419AD" w14:paraId="60F4D41B" w14:textId="77777777" w:rsidTr="00CD073B">
        <w:trPr>
          <w:trHeight w:val="283"/>
        </w:trPr>
        <w:tc>
          <w:tcPr>
            <w:tcW w:w="623" w:type="pct"/>
            <w:vMerge/>
            <w:tcBorders>
              <w:top w:val="single" w:sz="4" w:space="0" w:color="FFFFFF"/>
              <w:left w:val="single" w:sz="4" w:space="0" w:color="FFFFFF"/>
              <w:bottom w:val="single" w:sz="4" w:space="0" w:color="FFFFFF"/>
              <w:right w:val="single" w:sz="4" w:space="0" w:color="FFFFFF"/>
            </w:tcBorders>
            <w:vAlign w:val="center"/>
            <w:hideMark/>
          </w:tcPr>
          <w:p w14:paraId="2A1EF8AA" w14:textId="77777777" w:rsidR="008A53BE" w:rsidRPr="00862458" w:rsidRDefault="008A53BE" w:rsidP="00630F3B">
            <w:pPr>
              <w:spacing w:after="0" w:line="240" w:lineRule="auto"/>
              <w:jc w:val="left"/>
              <w:rPr>
                <w:rFonts w:eastAsia="Times New Roman" w:cs="Segoe UI"/>
                <w:b/>
                <w:color w:val="FFFFFF"/>
                <w:sz w:val="18"/>
                <w:szCs w:val="18"/>
                <w:lang w:eastAsia="sk-SK"/>
              </w:rPr>
            </w:pPr>
          </w:p>
        </w:tc>
        <w:tc>
          <w:tcPr>
            <w:tcW w:w="449" w:type="pct"/>
            <w:vMerge/>
            <w:tcBorders>
              <w:top w:val="single" w:sz="4" w:space="0" w:color="FFFFFF"/>
              <w:left w:val="single" w:sz="4" w:space="0" w:color="FFFFFF"/>
              <w:bottom w:val="single" w:sz="4" w:space="0" w:color="FFFFFF"/>
              <w:right w:val="single" w:sz="4" w:space="0" w:color="FFFFFF"/>
            </w:tcBorders>
            <w:vAlign w:val="center"/>
            <w:hideMark/>
          </w:tcPr>
          <w:p w14:paraId="013652A6" w14:textId="77777777" w:rsidR="008A53BE" w:rsidRPr="00862458" w:rsidRDefault="008A53BE" w:rsidP="00630F3B">
            <w:pPr>
              <w:spacing w:after="0" w:line="240" w:lineRule="auto"/>
              <w:jc w:val="center"/>
              <w:rPr>
                <w:rFonts w:eastAsia="Times New Roman" w:cs="Segoe UI"/>
                <w:b/>
                <w:color w:val="FFFFFF"/>
                <w:sz w:val="18"/>
                <w:szCs w:val="18"/>
                <w:lang w:eastAsia="sk-SK"/>
              </w:rPr>
            </w:pPr>
          </w:p>
        </w:tc>
        <w:tc>
          <w:tcPr>
            <w:tcW w:w="978" w:type="pct"/>
            <w:gridSpan w:val="2"/>
            <w:vMerge/>
            <w:tcBorders>
              <w:top w:val="single" w:sz="4" w:space="0" w:color="FFFFFF"/>
              <w:left w:val="single" w:sz="4" w:space="0" w:color="FFFFFF"/>
              <w:bottom w:val="single" w:sz="4" w:space="0" w:color="FFFFFF"/>
              <w:right w:val="single" w:sz="4" w:space="0" w:color="FFFFFF"/>
            </w:tcBorders>
            <w:vAlign w:val="center"/>
            <w:hideMark/>
          </w:tcPr>
          <w:p w14:paraId="1C0D6952" w14:textId="77777777" w:rsidR="008A53BE" w:rsidRPr="00862458" w:rsidRDefault="008A53BE" w:rsidP="00630F3B">
            <w:pPr>
              <w:spacing w:after="0" w:line="240" w:lineRule="auto"/>
              <w:jc w:val="center"/>
              <w:rPr>
                <w:rFonts w:eastAsia="Times New Roman" w:cs="Segoe UI"/>
                <w:b/>
                <w:color w:val="FFFFFF"/>
                <w:sz w:val="18"/>
                <w:szCs w:val="18"/>
                <w:lang w:eastAsia="sk-SK"/>
              </w:rPr>
            </w:pPr>
          </w:p>
        </w:tc>
        <w:tc>
          <w:tcPr>
            <w:tcW w:w="978" w:type="pct"/>
            <w:gridSpan w:val="2"/>
            <w:vMerge/>
            <w:tcBorders>
              <w:top w:val="single" w:sz="4" w:space="0" w:color="FFFFFF"/>
              <w:left w:val="single" w:sz="4" w:space="0" w:color="FFFFFF"/>
              <w:bottom w:val="single" w:sz="4" w:space="0" w:color="FFFFFF"/>
              <w:right w:val="single" w:sz="4" w:space="0" w:color="FFFFFF"/>
            </w:tcBorders>
            <w:vAlign w:val="center"/>
            <w:hideMark/>
          </w:tcPr>
          <w:p w14:paraId="498E3F6A" w14:textId="77777777" w:rsidR="008A53BE" w:rsidRPr="00862458" w:rsidRDefault="008A53BE" w:rsidP="00630F3B">
            <w:pPr>
              <w:spacing w:after="0" w:line="240" w:lineRule="auto"/>
              <w:jc w:val="center"/>
              <w:rPr>
                <w:rFonts w:eastAsia="Times New Roman" w:cs="Segoe UI"/>
                <w:b/>
                <w:color w:val="FFFFFF"/>
                <w:sz w:val="18"/>
                <w:szCs w:val="18"/>
                <w:lang w:eastAsia="sk-SK"/>
              </w:rPr>
            </w:pPr>
          </w:p>
        </w:tc>
        <w:tc>
          <w:tcPr>
            <w:tcW w:w="1046" w:type="pct"/>
            <w:gridSpan w:val="2"/>
            <w:tcBorders>
              <w:top w:val="single" w:sz="4" w:space="0" w:color="FFFFFF"/>
              <w:left w:val="nil"/>
              <w:bottom w:val="single" w:sz="4" w:space="0" w:color="FFFFFF"/>
              <w:right w:val="single" w:sz="4" w:space="0" w:color="FFFFFF"/>
            </w:tcBorders>
            <w:shd w:val="clear" w:color="000000" w:fill="314364"/>
            <w:vAlign w:val="center"/>
            <w:hideMark/>
          </w:tcPr>
          <w:p w14:paraId="71239591"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k 31.12.2024</w:t>
            </w:r>
          </w:p>
        </w:tc>
        <w:tc>
          <w:tcPr>
            <w:tcW w:w="926" w:type="pct"/>
            <w:gridSpan w:val="2"/>
            <w:tcBorders>
              <w:top w:val="single" w:sz="4" w:space="0" w:color="FFFFFF"/>
              <w:left w:val="nil"/>
              <w:bottom w:val="single" w:sz="4" w:space="0" w:color="FFFFFF"/>
              <w:right w:val="single" w:sz="4" w:space="0" w:color="FFFFFF"/>
            </w:tcBorders>
            <w:shd w:val="clear" w:color="000000" w:fill="314364"/>
            <w:vAlign w:val="center"/>
            <w:hideMark/>
          </w:tcPr>
          <w:p w14:paraId="7D2DCBEA"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k 31.3.2025</w:t>
            </w:r>
          </w:p>
        </w:tc>
      </w:tr>
      <w:tr w:rsidR="008A53BE" w:rsidRPr="004419AD" w14:paraId="7E9E8850" w14:textId="77777777" w:rsidTr="00CD073B">
        <w:trPr>
          <w:trHeight w:val="283"/>
        </w:trPr>
        <w:tc>
          <w:tcPr>
            <w:tcW w:w="623" w:type="pct"/>
            <w:vMerge/>
            <w:tcBorders>
              <w:top w:val="single" w:sz="4" w:space="0" w:color="FFFFFF"/>
              <w:left w:val="single" w:sz="4" w:space="0" w:color="FFFFFF"/>
              <w:bottom w:val="single" w:sz="4" w:space="0" w:color="FFFFFF"/>
              <w:right w:val="single" w:sz="4" w:space="0" w:color="FFFFFF"/>
            </w:tcBorders>
            <w:vAlign w:val="center"/>
            <w:hideMark/>
          </w:tcPr>
          <w:p w14:paraId="2B79F2A4" w14:textId="77777777" w:rsidR="008A53BE" w:rsidRPr="00862458" w:rsidRDefault="008A53BE" w:rsidP="00630F3B">
            <w:pPr>
              <w:spacing w:after="0" w:line="240" w:lineRule="auto"/>
              <w:jc w:val="left"/>
              <w:rPr>
                <w:rFonts w:eastAsia="Times New Roman" w:cs="Segoe UI"/>
                <w:b/>
                <w:color w:val="FFFFFF"/>
                <w:sz w:val="18"/>
                <w:szCs w:val="18"/>
                <w:lang w:eastAsia="sk-SK"/>
              </w:rPr>
            </w:pPr>
          </w:p>
        </w:tc>
        <w:tc>
          <w:tcPr>
            <w:tcW w:w="449" w:type="pct"/>
            <w:tcBorders>
              <w:top w:val="nil"/>
              <w:left w:val="nil"/>
              <w:bottom w:val="single" w:sz="4" w:space="0" w:color="FFFFFF"/>
              <w:right w:val="single" w:sz="4" w:space="0" w:color="FFFFFF"/>
            </w:tcBorders>
            <w:shd w:val="clear" w:color="000000" w:fill="314364"/>
            <w:vAlign w:val="center"/>
            <w:hideMark/>
          </w:tcPr>
          <w:p w14:paraId="005E4776"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v mil. eur</w:t>
            </w:r>
          </w:p>
        </w:tc>
        <w:tc>
          <w:tcPr>
            <w:tcW w:w="489" w:type="pct"/>
            <w:tcBorders>
              <w:top w:val="nil"/>
              <w:left w:val="nil"/>
              <w:bottom w:val="single" w:sz="4" w:space="0" w:color="FFFFFF"/>
              <w:right w:val="single" w:sz="4" w:space="0" w:color="FFFFFF"/>
            </w:tcBorders>
            <w:shd w:val="clear" w:color="000000" w:fill="314364"/>
            <w:vAlign w:val="center"/>
            <w:hideMark/>
          </w:tcPr>
          <w:p w14:paraId="3BE83117"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v mil. eur</w:t>
            </w:r>
          </w:p>
        </w:tc>
        <w:tc>
          <w:tcPr>
            <w:tcW w:w="489" w:type="pct"/>
            <w:tcBorders>
              <w:top w:val="nil"/>
              <w:left w:val="nil"/>
              <w:bottom w:val="single" w:sz="4" w:space="0" w:color="FFFFFF"/>
              <w:right w:val="single" w:sz="4" w:space="0" w:color="FFFFFF"/>
            </w:tcBorders>
            <w:shd w:val="clear" w:color="000000" w:fill="314364"/>
            <w:vAlign w:val="center"/>
            <w:hideMark/>
          </w:tcPr>
          <w:p w14:paraId="55B0142D"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v % z alokácie</w:t>
            </w:r>
          </w:p>
        </w:tc>
        <w:tc>
          <w:tcPr>
            <w:tcW w:w="489" w:type="pct"/>
            <w:tcBorders>
              <w:top w:val="nil"/>
              <w:left w:val="nil"/>
              <w:bottom w:val="single" w:sz="4" w:space="0" w:color="FFFFFF"/>
              <w:right w:val="single" w:sz="4" w:space="0" w:color="FFFFFF"/>
            </w:tcBorders>
            <w:shd w:val="clear" w:color="000000" w:fill="314364"/>
            <w:vAlign w:val="center"/>
            <w:hideMark/>
          </w:tcPr>
          <w:p w14:paraId="5F02DBE3"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v mil. eur</w:t>
            </w:r>
          </w:p>
        </w:tc>
        <w:tc>
          <w:tcPr>
            <w:tcW w:w="489" w:type="pct"/>
            <w:tcBorders>
              <w:top w:val="nil"/>
              <w:left w:val="nil"/>
              <w:bottom w:val="single" w:sz="4" w:space="0" w:color="FFFFFF"/>
              <w:right w:val="single" w:sz="4" w:space="0" w:color="FFFFFF"/>
            </w:tcBorders>
            <w:shd w:val="clear" w:color="000000" w:fill="314364"/>
            <w:vAlign w:val="center"/>
            <w:hideMark/>
          </w:tcPr>
          <w:p w14:paraId="0BBA6FA1"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v % z alokácie</w:t>
            </w:r>
          </w:p>
        </w:tc>
        <w:tc>
          <w:tcPr>
            <w:tcW w:w="568" w:type="pct"/>
            <w:tcBorders>
              <w:top w:val="nil"/>
              <w:left w:val="nil"/>
              <w:bottom w:val="single" w:sz="4" w:space="0" w:color="FFFFFF"/>
              <w:right w:val="single" w:sz="4" w:space="0" w:color="FFFFFF"/>
            </w:tcBorders>
            <w:shd w:val="clear" w:color="000000" w:fill="314364"/>
            <w:vAlign w:val="center"/>
            <w:hideMark/>
          </w:tcPr>
          <w:p w14:paraId="0A593701"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v mil. eur</w:t>
            </w:r>
          </w:p>
        </w:tc>
        <w:tc>
          <w:tcPr>
            <w:tcW w:w="478" w:type="pct"/>
            <w:tcBorders>
              <w:top w:val="nil"/>
              <w:left w:val="nil"/>
              <w:bottom w:val="single" w:sz="4" w:space="0" w:color="FFFFFF"/>
              <w:right w:val="single" w:sz="4" w:space="0" w:color="FFFFFF"/>
            </w:tcBorders>
            <w:shd w:val="clear" w:color="000000" w:fill="314364"/>
            <w:vAlign w:val="center"/>
            <w:hideMark/>
          </w:tcPr>
          <w:p w14:paraId="1B9FC7BB"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v % z alokácie</w:t>
            </w:r>
          </w:p>
        </w:tc>
        <w:tc>
          <w:tcPr>
            <w:tcW w:w="408" w:type="pct"/>
            <w:tcBorders>
              <w:top w:val="nil"/>
              <w:left w:val="nil"/>
              <w:bottom w:val="single" w:sz="4" w:space="0" w:color="FFFFFF"/>
              <w:right w:val="single" w:sz="4" w:space="0" w:color="FFFFFF"/>
            </w:tcBorders>
            <w:shd w:val="clear" w:color="000000" w:fill="314364"/>
            <w:vAlign w:val="center"/>
            <w:hideMark/>
          </w:tcPr>
          <w:p w14:paraId="5BBE0468"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v mil. eur</w:t>
            </w:r>
          </w:p>
        </w:tc>
        <w:tc>
          <w:tcPr>
            <w:tcW w:w="518" w:type="pct"/>
            <w:tcBorders>
              <w:top w:val="nil"/>
              <w:left w:val="nil"/>
              <w:bottom w:val="single" w:sz="4" w:space="0" w:color="FFFFFF"/>
              <w:right w:val="single" w:sz="4" w:space="0" w:color="FFFFFF"/>
            </w:tcBorders>
            <w:shd w:val="clear" w:color="000000" w:fill="314364"/>
            <w:vAlign w:val="center"/>
            <w:hideMark/>
          </w:tcPr>
          <w:p w14:paraId="23BC01D2" w14:textId="77777777" w:rsidR="008A53BE" w:rsidRPr="00862458" w:rsidRDefault="008A53BE" w:rsidP="00630F3B">
            <w:pPr>
              <w:spacing w:after="0" w:line="240" w:lineRule="auto"/>
              <w:jc w:val="center"/>
              <w:rPr>
                <w:rFonts w:eastAsia="Times New Roman" w:cs="Segoe UI"/>
                <w:b/>
                <w:color w:val="FFFFFF"/>
                <w:sz w:val="18"/>
                <w:szCs w:val="18"/>
                <w:lang w:eastAsia="sk-SK"/>
              </w:rPr>
            </w:pPr>
            <w:r w:rsidRPr="00862458">
              <w:rPr>
                <w:rFonts w:eastAsia="Times New Roman" w:cs="Segoe UI"/>
                <w:b/>
                <w:color w:val="FFFFFF"/>
                <w:sz w:val="18"/>
                <w:szCs w:val="18"/>
                <w:lang w:eastAsia="sk-SK"/>
              </w:rPr>
              <w:t>v % z alokácie</w:t>
            </w:r>
          </w:p>
        </w:tc>
      </w:tr>
      <w:tr w:rsidR="008A53BE" w:rsidRPr="004419AD" w14:paraId="6E963EA6"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22E059A7"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MŠVVM SR</w:t>
            </w:r>
          </w:p>
        </w:tc>
        <w:tc>
          <w:tcPr>
            <w:tcW w:w="449" w:type="pct"/>
            <w:tcBorders>
              <w:top w:val="nil"/>
              <w:left w:val="nil"/>
              <w:bottom w:val="nil"/>
              <w:right w:val="single" w:sz="4" w:space="0" w:color="auto"/>
            </w:tcBorders>
            <w:shd w:val="clear" w:color="000000" w:fill="FFFFFF"/>
            <w:noWrap/>
            <w:vAlign w:val="center"/>
            <w:hideMark/>
          </w:tcPr>
          <w:p w14:paraId="13DC276C"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1 040,0</w:t>
            </w:r>
          </w:p>
        </w:tc>
        <w:tc>
          <w:tcPr>
            <w:tcW w:w="489" w:type="pct"/>
            <w:tcBorders>
              <w:top w:val="nil"/>
              <w:left w:val="nil"/>
              <w:bottom w:val="nil"/>
              <w:right w:val="nil"/>
            </w:tcBorders>
            <w:shd w:val="clear" w:color="000000" w:fill="FFFFFF"/>
            <w:noWrap/>
            <w:vAlign w:val="center"/>
            <w:hideMark/>
          </w:tcPr>
          <w:p w14:paraId="7FE12635"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642,7</w:t>
            </w:r>
          </w:p>
        </w:tc>
        <w:tc>
          <w:tcPr>
            <w:tcW w:w="489" w:type="pct"/>
            <w:tcBorders>
              <w:top w:val="nil"/>
              <w:left w:val="nil"/>
              <w:bottom w:val="nil"/>
              <w:right w:val="single" w:sz="4" w:space="0" w:color="auto"/>
            </w:tcBorders>
            <w:shd w:val="clear" w:color="000000" w:fill="FFFFFF"/>
            <w:noWrap/>
            <w:vAlign w:val="center"/>
            <w:hideMark/>
          </w:tcPr>
          <w:p w14:paraId="7B83C67F"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61,8%</w:t>
            </w:r>
          </w:p>
        </w:tc>
        <w:tc>
          <w:tcPr>
            <w:tcW w:w="489" w:type="pct"/>
            <w:tcBorders>
              <w:top w:val="nil"/>
              <w:left w:val="nil"/>
              <w:bottom w:val="nil"/>
              <w:right w:val="nil"/>
            </w:tcBorders>
            <w:shd w:val="clear" w:color="000000" w:fill="FFFFFF"/>
            <w:noWrap/>
            <w:vAlign w:val="center"/>
            <w:hideMark/>
          </w:tcPr>
          <w:p w14:paraId="0962F119"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344,6</w:t>
            </w:r>
          </w:p>
        </w:tc>
        <w:tc>
          <w:tcPr>
            <w:tcW w:w="489" w:type="pct"/>
            <w:tcBorders>
              <w:top w:val="nil"/>
              <w:left w:val="nil"/>
              <w:bottom w:val="nil"/>
              <w:right w:val="single" w:sz="4" w:space="0" w:color="auto"/>
            </w:tcBorders>
            <w:shd w:val="clear" w:color="000000" w:fill="FFFFFF"/>
            <w:noWrap/>
            <w:vAlign w:val="center"/>
            <w:hideMark/>
          </w:tcPr>
          <w:p w14:paraId="33C80268"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33,1%</w:t>
            </w:r>
          </w:p>
        </w:tc>
        <w:tc>
          <w:tcPr>
            <w:tcW w:w="568" w:type="pct"/>
            <w:tcBorders>
              <w:top w:val="nil"/>
              <w:left w:val="nil"/>
              <w:bottom w:val="nil"/>
              <w:right w:val="nil"/>
            </w:tcBorders>
            <w:shd w:val="clear" w:color="000000" w:fill="FFFFFF"/>
            <w:noWrap/>
            <w:vAlign w:val="center"/>
            <w:hideMark/>
          </w:tcPr>
          <w:p w14:paraId="1B111DB6" w14:textId="77777777" w:rsidR="008A53BE" w:rsidRPr="00862458" w:rsidRDefault="008A53BE" w:rsidP="00630F3B">
            <w:pPr>
              <w:spacing w:after="0" w:line="240" w:lineRule="auto"/>
              <w:jc w:val="center"/>
              <w:rPr>
                <w:rFonts w:eastAsia="Times New Roman" w:cs="Segoe UI"/>
                <w:bCs/>
                <w:color w:val="000000"/>
                <w:sz w:val="18"/>
                <w:szCs w:val="18"/>
                <w:lang w:eastAsia="sk-SK"/>
              </w:rPr>
            </w:pPr>
            <w:r w:rsidRPr="00862458">
              <w:rPr>
                <w:rFonts w:eastAsia="Times New Roman" w:cs="Segoe UI"/>
                <w:bCs/>
                <w:color w:val="000000"/>
                <w:sz w:val="18"/>
                <w:szCs w:val="18"/>
                <w:lang w:eastAsia="sk-SK"/>
              </w:rPr>
              <w:t>104,2</w:t>
            </w:r>
          </w:p>
        </w:tc>
        <w:tc>
          <w:tcPr>
            <w:tcW w:w="478" w:type="pct"/>
            <w:tcBorders>
              <w:top w:val="nil"/>
              <w:left w:val="nil"/>
              <w:bottom w:val="nil"/>
              <w:right w:val="single" w:sz="4" w:space="0" w:color="002060"/>
            </w:tcBorders>
            <w:shd w:val="clear" w:color="000000" w:fill="FFFFFF"/>
            <w:noWrap/>
            <w:vAlign w:val="center"/>
            <w:hideMark/>
          </w:tcPr>
          <w:p w14:paraId="7AAD7EFE" w14:textId="77777777" w:rsidR="008A53BE" w:rsidRPr="00862458" w:rsidRDefault="008A53BE" w:rsidP="00630F3B">
            <w:pPr>
              <w:spacing w:after="0" w:line="240" w:lineRule="auto"/>
              <w:jc w:val="center"/>
              <w:rPr>
                <w:rFonts w:eastAsia="Times New Roman" w:cs="Segoe UI"/>
                <w:bCs/>
                <w:iCs/>
                <w:color w:val="000000"/>
                <w:sz w:val="18"/>
                <w:szCs w:val="18"/>
                <w:lang w:eastAsia="sk-SK"/>
              </w:rPr>
            </w:pPr>
            <w:r w:rsidRPr="00862458">
              <w:rPr>
                <w:rFonts w:eastAsia="Times New Roman" w:cs="Segoe UI"/>
                <w:bCs/>
                <w:iCs/>
                <w:color w:val="000000"/>
                <w:sz w:val="18"/>
                <w:szCs w:val="18"/>
                <w:lang w:eastAsia="sk-SK"/>
              </w:rPr>
              <w:t>10,0%</w:t>
            </w:r>
          </w:p>
        </w:tc>
        <w:tc>
          <w:tcPr>
            <w:tcW w:w="408" w:type="pct"/>
            <w:tcBorders>
              <w:top w:val="nil"/>
              <w:left w:val="nil"/>
              <w:bottom w:val="nil"/>
              <w:right w:val="nil"/>
            </w:tcBorders>
            <w:shd w:val="clear" w:color="000000" w:fill="FFFFFF"/>
            <w:noWrap/>
            <w:vAlign w:val="center"/>
            <w:hideMark/>
          </w:tcPr>
          <w:p w14:paraId="6CEDD919" w14:textId="77777777" w:rsidR="008A53BE" w:rsidRPr="00862458" w:rsidRDefault="008A53BE" w:rsidP="00630F3B">
            <w:pPr>
              <w:spacing w:after="0" w:line="240" w:lineRule="auto"/>
              <w:jc w:val="center"/>
              <w:rPr>
                <w:rFonts w:eastAsia="Times New Roman" w:cs="Segoe UI"/>
                <w:bCs/>
                <w:color w:val="000000"/>
                <w:sz w:val="18"/>
                <w:szCs w:val="18"/>
                <w:lang w:eastAsia="sk-SK"/>
              </w:rPr>
            </w:pPr>
            <w:r w:rsidRPr="00862458">
              <w:rPr>
                <w:rFonts w:eastAsia="Times New Roman" w:cs="Segoe UI"/>
                <w:bCs/>
                <w:color w:val="000000"/>
                <w:sz w:val="18"/>
                <w:szCs w:val="18"/>
                <w:lang w:eastAsia="sk-SK"/>
              </w:rPr>
              <w:t>138,6</w:t>
            </w:r>
          </w:p>
        </w:tc>
        <w:tc>
          <w:tcPr>
            <w:tcW w:w="518" w:type="pct"/>
            <w:tcBorders>
              <w:top w:val="nil"/>
              <w:left w:val="nil"/>
              <w:bottom w:val="nil"/>
              <w:right w:val="single" w:sz="4" w:space="0" w:color="FFFFFF"/>
            </w:tcBorders>
            <w:shd w:val="clear" w:color="000000" w:fill="FFFFFF"/>
            <w:noWrap/>
            <w:vAlign w:val="center"/>
            <w:hideMark/>
          </w:tcPr>
          <w:p w14:paraId="7BAE739D" w14:textId="77777777" w:rsidR="008A53BE" w:rsidRPr="00862458" w:rsidRDefault="008A53BE" w:rsidP="00630F3B">
            <w:pPr>
              <w:spacing w:after="0" w:line="240" w:lineRule="auto"/>
              <w:jc w:val="center"/>
              <w:rPr>
                <w:rFonts w:eastAsia="Times New Roman" w:cs="Segoe UI"/>
                <w:bCs/>
                <w:iCs/>
                <w:color w:val="000000"/>
                <w:sz w:val="18"/>
                <w:szCs w:val="18"/>
                <w:lang w:eastAsia="sk-SK"/>
              </w:rPr>
            </w:pPr>
            <w:r w:rsidRPr="00862458">
              <w:rPr>
                <w:rFonts w:eastAsia="Times New Roman" w:cs="Segoe UI"/>
                <w:bCs/>
                <w:iCs/>
                <w:color w:val="000000"/>
                <w:sz w:val="18"/>
                <w:szCs w:val="18"/>
                <w:lang w:eastAsia="sk-SK"/>
              </w:rPr>
              <w:t>13,3%</w:t>
            </w:r>
          </w:p>
        </w:tc>
      </w:tr>
      <w:tr w:rsidR="008A53BE" w:rsidRPr="004419AD" w14:paraId="293DA29F"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14EE66CF"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MPSVR SR</w:t>
            </w:r>
          </w:p>
        </w:tc>
        <w:tc>
          <w:tcPr>
            <w:tcW w:w="449" w:type="pct"/>
            <w:tcBorders>
              <w:top w:val="nil"/>
              <w:left w:val="nil"/>
              <w:bottom w:val="nil"/>
              <w:right w:val="single" w:sz="4" w:space="0" w:color="auto"/>
            </w:tcBorders>
            <w:shd w:val="clear" w:color="000000" w:fill="FFFFFF"/>
            <w:noWrap/>
            <w:vAlign w:val="center"/>
            <w:hideMark/>
          </w:tcPr>
          <w:p w14:paraId="18EADA75"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1 798,6</w:t>
            </w:r>
          </w:p>
        </w:tc>
        <w:tc>
          <w:tcPr>
            <w:tcW w:w="489" w:type="pct"/>
            <w:tcBorders>
              <w:top w:val="nil"/>
              <w:left w:val="nil"/>
              <w:bottom w:val="nil"/>
              <w:right w:val="nil"/>
            </w:tcBorders>
            <w:shd w:val="clear" w:color="000000" w:fill="FFFFFF"/>
            <w:noWrap/>
            <w:vAlign w:val="center"/>
            <w:hideMark/>
          </w:tcPr>
          <w:p w14:paraId="04CB8A62" w14:textId="77777777" w:rsidR="008A53BE" w:rsidRPr="00862458" w:rsidRDefault="008A53BE" w:rsidP="00630F3B">
            <w:pPr>
              <w:spacing w:after="0" w:line="240" w:lineRule="auto"/>
              <w:jc w:val="center"/>
              <w:rPr>
                <w:rFonts w:eastAsia="Times New Roman" w:cs="Segoe UI"/>
                <w:bCs/>
                <w:color w:val="000000"/>
                <w:sz w:val="18"/>
                <w:szCs w:val="18"/>
                <w:lang w:eastAsia="sk-SK"/>
              </w:rPr>
            </w:pPr>
            <w:r w:rsidRPr="00862458">
              <w:rPr>
                <w:rFonts w:eastAsia="Times New Roman" w:cs="Segoe UI"/>
                <w:bCs/>
                <w:color w:val="000000"/>
                <w:sz w:val="18"/>
                <w:szCs w:val="18"/>
                <w:lang w:eastAsia="sk-SK"/>
              </w:rPr>
              <w:t>1 528,1</w:t>
            </w:r>
          </w:p>
        </w:tc>
        <w:tc>
          <w:tcPr>
            <w:tcW w:w="489" w:type="pct"/>
            <w:tcBorders>
              <w:top w:val="nil"/>
              <w:left w:val="nil"/>
              <w:bottom w:val="nil"/>
              <w:right w:val="single" w:sz="4" w:space="0" w:color="auto"/>
            </w:tcBorders>
            <w:shd w:val="clear" w:color="000000" w:fill="FFFFFF"/>
            <w:noWrap/>
            <w:vAlign w:val="center"/>
            <w:hideMark/>
          </w:tcPr>
          <w:p w14:paraId="0F8876D8" w14:textId="77777777" w:rsidR="008A53BE" w:rsidRPr="00862458" w:rsidRDefault="008A53BE" w:rsidP="00630F3B">
            <w:pPr>
              <w:spacing w:after="0" w:line="240" w:lineRule="auto"/>
              <w:jc w:val="center"/>
              <w:rPr>
                <w:rFonts w:eastAsia="Times New Roman" w:cs="Segoe UI"/>
                <w:bCs/>
                <w:iCs/>
                <w:color w:val="000000"/>
                <w:sz w:val="18"/>
                <w:szCs w:val="18"/>
                <w:lang w:eastAsia="sk-SK"/>
              </w:rPr>
            </w:pPr>
            <w:r w:rsidRPr="00862458">
              <w:rPr>
                <w:rFonts w:eastAsia="Times New Roman" w:cs="Segoe UI"/>
                <w:bCs/>
                <w:iCs/>
                <w:color w:val="000000"/>
                <w:sz w:val="18"/>
                <w:szCs w:val="18"/>
                <w:lang w:eastAsia="sk-SK"/>
              </w:rPr>
              <w:t>85,0%</w:t>
            </w:r>
          </w:p>
        </w:tc>
        <w:tc>
          <w:tcPr>
            <w:tcW w:w="489" w:type="pct"/>
            <w:tcBorders>
              <w:top w:val="nil"/>
              <w:left w:val="nil"/>
              <w:bottom w:val="nil"/>
              <w:right w:val="nil"/>
            </w:tcBorders>
            <w:shd w:val="clear" w:color="000000" w:fill="FFFFFF"/>
            <w:noWrap/>
            <w:vAlign w:val="center"/>
            <w:hideMark/>
          </w:tcPr>
          <w:p w14:paraId="0143FA83"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1 001,2</w:t>
            </w:r>
          </w:p>
        </w:tc>
        <w:tc>
          <w:tcPr>
            <w:tcW w:w="489" w:type="pct"/>
            <w:tcBorders>
              <w:top w:val="nil"/>
              <w:left w:val="nil"/>
              <w:bottom w:val="nil"/>
              <w:right w:val="single" w:sz="4" w:space="0" w:color="auto"/>
            </w:tcBorders>
            <w:shd w:val="clear" w:color="000000" w:fill="FFFFFF"/>
            <w:noWrap/>
            <w:vAlign w:val="center"/>
            <w:hideMark/>
          </w:tcPr>
          <w:p w14:paraId="27EE365A"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55,7%</w:t>
            </w:r>
          </w:p>
        </w:tc>
        <w:tc>
          <w:tcPr>
            <w:tcW w:w="568" w:type="pct"/>
            <w:tcBorders>
              <w:top w:val="nil"/>
              <w:left w:val="nil"/>
              <w:bottom w:val="nil"/>
              <w:right w:val="nil"/>
            </w:tcBorders>
            <w:shd w:val="clear" w:color="000000" w:fill="FFFFFF"/>
            <w:noWrap/>
            <w:vAlign w:val="center"/>
            <w:hideMark/>
          </w:tcPr>
          <w:p w14:paraId="78A7EE77"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95,8</w:t>
            </w:r>
          </w:p>
        </w:tc>
        <w:tc>
          <w:tcPr>
            <w:tcW w:w="478" w:type="pct"/>
            <w:tcBorders>
              <w:top w:val="nil"/>
              <w:left w:val="nil"/>
              <w:bottom w:val="nil"/>
              <w:right w:val="single" w:sz="4" w:space="0" w:color="002060"/>
            </w:tcBorders>
            <w:shd w:val="clear" w:color="000000" w:fill="FFFFFF"/>
            <w:noWrap/>
            <w:vAlign w:val="center"/>
            <w:hideMark/>
          </w:tcPr>
          <w:p w14:paraId="5D74336B"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5,3%</w:t>
            </w:r>
          </w:p>
        </w:tc>
        <w:tc>
          <w:tcPr>
            <w:tcW w:w="408" w:type="pct"/>
            <w:tcBorders>
              <w:top w:val="nil"/>
              <w:left w:val="nil"/>
              <w:bottom w:val="nil"/>
              <w:right w:val="nil"/>
            </w:tcBorders>
            <w:shd w:val="clear" w:color="000000" w:fill="FFFFFF"/>
            <w:noWrap/>
            <w:vAlign w:val="center"/>
            <w:hideMark/>
          </w:tcPr>
          <w:p w14:paraId="4DE56C8F"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191,7</w:t>
            </w:r>
          </w:p>
        </w:tc>
        <w:tc>
          <w:tcPr>
            <w:tcW w:w="518" w:type="pct"/>
            <w:tcBorders>
              <w:top w:val="nil"/>
              <w:left w:val="nil"/>
              <w:bottom w:val="nil"/>
              <w:right w:val="single" w:sz="4" w:space="0" w:color="FFFFFF"/>
            </w:tcBorders>
            <w:shd w:val="clear" w:color="000000" w:fill="FFFFFF"/>
            <w:noWrap/>
            <w:vAlign w:val="center"/>
            <w:hideMark/>
          </w:tcPr>
          <w:p w14:paraId="758277DF"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10,7%</w:t>
            </w:r>
          </w:p>
        </w:tc>
      </w:tr>
      <w:tr w:rsidR="008A53BE" w:rsidRPr="004419AD" w14:paraId="683C9813"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3C9463EF"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MH SR</w:t>
            </w:r>
          </w:p>
        </w:tc>
        <w:tc>
          <w:tcPr>
            <w:tcW w:w="449" w:type="pct"/>
            <w:tcBorders>
              <w:top w:val="nil"/>
              <w:left w:val="nil"/>
              <w:bottom w:val="nil"/>
              <w:right w:val="single" w:sz="4" w:space="0" w:color="auto"/>
            </w:tcBorders>
            <w:shd w:val="clear" w:color="000000" w:fill="FFFFFF"/>
            <w:noWrap/>
            <w:vAlign w:val="center"/>
            <w:hideMark/>
          </w:tcPr>
          <w:p w14:paraId="23CAAE2E"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626,9</w:t>
            </w:r>
          </w:p>
        </w:tc>
        <w:tc>
          <w:tcPr>
            <w:tcW w:w="489" w:type="pct"/>
            <w:tcBorders>
              <w:top w:val="nil"/>
              <w:left w:val="nil"/>
              <w:bottom w:val="nil"/>
              <w:right w:val="nil"/>
            </w:tcBorders>
            <w:shd w:val="clear" w:color="000000" w:fill="FFFFFF"/>
            <w:noWrap/>
            <w:vAlign w:val="center"/>
            <w:hideMark/>
          </w:tcPr>
          <w:p w14:paraId="3188D2D5"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443,6</w:t>
            </w:r>
          </w:p>
        </w:tc>
        <w:tc>
          <w:tcPr>
            <w:tcW w:w="489" w:type="pct"/>
            <w:tcBorders>
              <w:top w:val="nil"/>
              <w:left w:val="nil"/>
              <w:bottom w:val="nil"/>
              <w:right w:val="single" w:sz="4" w:space="0" w:color="auto"/>
            </w:tcBorders>
            <w:shd w:val="clear" w:color="000000" w:fill="FFFFFF"/>
            <w:noWrap/>
            <w:vAlign w:val="center"/>
            <w:hideMark/>
          </w:tcPr>
          <w:p w14:paraId="690D1117"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70,8%</w:t>
            </w:r>
          </w:p>
        </w:tc>
        <w:tc>
          <w:tcPr>
            <w:tcW w:w="489" w:type="pct"/>
            <w:tcBorders>
              <w:top w:val="nil"/>
              <w:left w:val="nil"/>
              <w:bottom w:val="nil"/>
              <w:right w:val="nil"/>
            </w:tcBorders>
            <w:shd w:val="clear" w:color="000000" w:fill="FFFFFF"/>
            <w:noWrap/>
            <w:vAlign w:val="center"/>
            <w:hideMark/>
          </w:tcPr>
          <w:p w14:paraId="355585C9"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296,1</w:t>
            </w:r>
          </w:p>
        </w:tc>
        <w:tc>
          <w:tcPr>
            <w:tcW w:w="489" w:type="pct"/>
            <w:tcBorders>
              <w:top w:val="nil"/>
              <w:left w:val="nil"/>
              <w:bottom w:val="nil"/>
              <w:right w:val="single" w:sz="4" w:space="0" w:color="auto"/>
            </w:tcBorders>
            <w:shd w:val="clear" w:color="000000" w:fill="FFFFFF"/>
            <w:noWrap/>
            <w:vAlign w:val="center"/>
            <w:hideMark/>
          </w:tcPr>
          <w:p w14:paraId="2CFA2F1C"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47,2%</w:t>
            </w:r>
          </w:p>
        </w:tc>
        <w:tc>
          <w:tcPr>
            <w:tcW w:w="568" w:type="pct"/>
            <w:tcBorders>
              <w:top w:val="nil"/>
              <w:left w:val="nil"/>
              <w:bottom w:val="nil"/>
              <w:right w:val="nil"/>
            </w:tcBorders>
            <w:shd w:val="clear" w:color="000000" w:fill="FFFFFF"/>
            <w:noWrap/>
            <w:vAlign w:val="center"/>
            <w:hideMark/>
          </w:tcPr>
          <w:p w14:paraId="14EE1CC4"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478" w:type="pct"/>
            <w:tcBorders>
              <w:top w:val="nil"/>
              <w:left w:val="nil"/>
              <w:bottom w:val="nil"/>
              <w:right w:val="single" w:sz="4" w:space="0" w:color="002060"/>
            </w:tcBorders>
            <w:shd w:val="clear" w:color="000000" w:fill="FFFFFF"/>
            <w:noWrap/>
            <w:vAlign w:val="center"/>
            <w:hideMark/>
          </w:tcPr>
          <w:p w14:paraId="0DD24BA5"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0,0%</w:t>
            </w:r>
          </w:p>
        </w:tc>
        <w:tc>
          <w:tcPr>
            <w:tcW w:w="408" w:type="pct"/>
            <w:tcBorders>
              <w:top w:val="nil"/>
              <w:left w:val="nil"/>
              <w:bottom w:val="nil"/>
              <w:right w:val="nil"/>
            </w:tcBorders>
            <w:shd w:val="clear" w:color="000000" w:fill="FFFFFF"/>
            <w:noWrap/>
            <w:vAlign w:val="center"/>
            <w:hideMark/>
          </w:tcPr>
          <w:p w14:paraId="57ACB482"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60,7</w:t>
            </w:r>
          </w:p>
        </w:tc>
        <w:tc>
          <w:tcPr>
            <w:tcW w:w="518" w:type="pct"/>
            <w:tcBorders>
              <w:top w:val="nil"/>
              <w:left w:val="nil"/>
              <w:bottom w:val="nil"/>
              <w:right w:val="single" w:sz="4" w:space="0" w:color="FFFFFF"/>
            </w:tcBorders>
            <w:shd w:val="clear" w:color="000000" w:fill="FFFFFF"/>
            <w:noWrap/>
            <w:vAlign w:val="center"/>
            <w:hideMark/>
          </w:tcPr>
          <w:p w14:paraId="1795C894"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9,7%</w:t>
            </w:r>
          </w:p>
        </w:tc>
      </w:tr>
      <w:tr w:rsidR="008A53BE" w:rsidRPr="004419AD" w14:paraId="55F9FE21"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77A30796"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MD SR</w:t>
            </w:r>
          </w:p>
        </w:tc>
        <w:tc>
          <w:tcPr>
            <w:tcW w:w="449" w:type="pct"/>
            <w:tcBorders>
              <w:top w:val="nil"/>
              <w:left w:val="nil"/>
              <w:bottom w:val="nil"/>
              <w:right w:val="single" w:sz="4" w:space="0" w:color="auto"/>
            </w:tcBorders>
            <w:shd w:val="clear" w:color="000000" w:fill="FFFFFF"/>
            <w:noWrap/>
            <w:vAlign w:val="center"/>
            <w:hideMark/>
          </w:tcPr>
          <w:p w14:paraId="4466FAE8"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2 945,4</w:t>
            </w:r>
          </w:p>
        </w:tc>
        <w:tc>
          <w:tcPr>
            <w:tcW w:w="489" w:type="pct"/>
            <w:tcBorders>
              <w:top w:val="nil"/>
              <w:left w:val="nil"/>
              <w:bottom w:val="nil"/>
              <w:right w:val="nil"/>
            </w:tcBorders>
            <w:shd w:val="clear" w:color="000000" w:fill="FFFFFF"/>
            <w:noWrap/>
            <w:vAlign w:val="center"/>
            <w:hideMark/>
          </w:tcPr>
          <w:p w14:paraId="3DB46209"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2 298,4</w:t>
            </w:r>
          </w:p>
        </w:tc>
        <w:tc>
          <w:tcPr>
            <w:tcW w:w="489" w:type="pct"/>
            <w:tcBorders>
              <w:top w:val="nil"/>
              <w:left w:val="nil"/>
              <w:bottom w:val="nil"/>
              <w:right w:val="single" w:sz="4" w:space="0" w:color="auto"/>
            </w:tcBorders>
            <w:shd w:val="clear" w:color="000000" w:fill="FFFFFF"/>
            <w:noWrap/>
            <w:vAlign w:val="center"/>
            <w:hideMark/>
          </w:tcPr>
          <w:p w14:paraId="4C21BF3F"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78,0%</w:t>
            </w:r>
          </w:p>
        </w:tc>
        <w:tc>
          <w:tcPr>
            <w:tcW w:w="489" w:type="pct"/>
            <w:tcBorders>
              <w:top w:val="nil"/>
              <w:left w:val="nil"/>
              <w:bottom w:val="nil"/>
              <w:right w:val="nil"/>
            </w:tcBorders>
            <w:shd w:val="clear" w:color="000000" w:fill="FFFFFF"/>
            <w:noWrap/>
            <w:vAlign w:val="center"/>
            <w:hideMark/>
          </w:tcPr>
          <w:p w14:paraId="45B2B4C5"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1 148,7</w:t>
            </w:r>
          </w:p>
        </w:tc>
        <w:tc>
          <w:tcPr>
            <w:tcW w:w="489" w:type="pct"/>
            <w:tcBorders>
              <w:top w:val="nil"/>
              <w:left w:val="nil"/>
              <w:bottom w:val="nil"/>
              <w:right w:val="single" w:sz="4" w:space="0" w:color="auto"/>
            </w:tcBorders>
            <w:shd w:val="clear" w:color="000000" w:fill="FFFFFF"/>
            <w:noWrap/>
            <w:vAlign w:val="center"/>
            <w:hideMark/>
          </w:tcPr>
          <w:p w14:paraId="73CDBE15"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39,0%</w:t>
            </w:r>
          </w:p>
        </w:tc>
        <w:tc>
          <w:tcPr>
            <w:tcW w:w="568" w:type="pct"/>
            <w:tcBorders>
              <w:top w:val="nil"/>
              <w:left w:val="nil"/>
              <w:bottom w:val="nil"/>
              <w:right w:val="nil"/>
            </w:tcBorders>
            <w:shd w:val="clear" w:color="000000" w:fill="FFFFFF"/>
            <w:noWrap/>
            <w:vAlign w:val="center"/>
            <w:hideMark/>
          </w:tcPr>
          <w:p w14:paraId="370227A3"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87,4</w:t>
            </w:r>
          </w:p>
        </w:tc>
        <w:tc>
          <w:tcPr>
            <w:tcW w:w="478" w:type="pct"/>
            <w:tcBorders>
              <w:top w:val="nil"/>
              <w:left w:val="nil"/>
              <w:bottom w:val="nil"/>
              <w:right w:val="single" w:sz="4" w:space="0" w:color="002060"/>
            </w:tcBorders>
            <w:shd w:val="clear" w:color="000000" w:fill="FFFFFF"/>
            <w:noWrap/>
            <w:vAlign w:val="center"/>
            <w:hideMark/>
          </w:tcPr>
          <w:p w14:paraId="68B7635E"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2,9%</w:t>
            </w:r>
          </w:p>
        </w:tc>
        <w:tc>
          <w:tcPr>
            <w:tcW w:w="408" w:type="pct"/>
            <w:tcBorders>
              <w:top w:val="nil"/>
              <w:left w:val="nil"/>
              <w:bottom w:val="nil"/>
              <w:right w:val="nil"/>
            </w:tcBorders>
            <w:shd w:val="clear" w:color="000000" w:fill="FFFFFF"/>
            <w:noWrap/>
            <w:vAlign w:val="center"/>
            <w:hideMark/>
          </w:tcPr>
          <w:p w14:paraId="5E6BEE1B"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264,1</w:t>
            </w:r>
          </w:p>
        </w:tc>
        <w:tc>
          <w:tcPr>
            <w:tcW w:w="518" w:type="pct"/>
            <w:tcBorders>
              <w:top w:val="nil"/>
              <w:left w:val="nil"/>
              <w:bottom w:val="nil"/>
              <w:right w:val="single" w:sz="4" w:space="0" w:color="FFFFFF"/>
            </w:tcBorders>
            <w:shd w:val="clear" w:color="000000" w:fill="FFFFFF"/>
            <w:noWrap/>
            <w:vAlign w:val="center"/>
            <w:hideMark/>
          </w:tcPr>
          <w:p w14:paraId="6D9A5D4B"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9,0%</w:t>
            </w:r>
          </w:p>
        </w:tc>
      </w:tr>
      <w:tr w:rsidR="008A53BE" w:rsidRPr="004419AD" w14:paraId="154EE45B"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729729CD"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ÚV SR</w:t>
            </w:r>
          </w:p>
        </w:tc>
        <w:tc>
          <w:tcPr>
            <w:tcW w:w="449" w:type="pct"/>
            <w:tcBorders>
              <w:top w:val="nil"/>
              <w:left w:val="nil"/>
              <w:bottom w:val="nil"/>
              <w:right w:val="single" w:sz="4" w:space="0" w:color="auto"/>
            </w:tcBorders>
            <w:shd w:val="clear" w:color="000000" w:fill="FFFFFF"/>
            <w:noWrap/>
            <w:vAlign w:val="center"/>
            <w:hideMark/>
          </w:tcPr>
          <w:p w14:paraId="2C2B9A4E"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431,5</w:t>
            </w:r>
          </w:p>
        </w:tc>
        <w:tc>
          <w:tcPr>
            <w:tcW w:w="489" w:type="pct"/>
            <w:tcBorders>
              <w:top w:val="nil"/>
              <w:left w:val="nil"/>
              <w:bottom w:val="nil"/>
              <w:right w:val="nil"/>
            </w:tcBorders>
            <w:shd w:val="clear" w:color="000000" w:fill="FFFFFF"/>
            <w:noWrap/>
            <w:vAlign w:val="center"/>
            <w:hideMark/>
          </w:tcPr>
          <w:p w14:paraId="1FCB6D7E"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362,6</w:t>
            </w:r>
          </w:p>
        </w:tc>
        <w:tc>
          <w:tcPr>
            <w:tcW w:w="489" w:type="pct"/>
            <w:tcBorders>
              <w:top w:val="nil"/>
              <w:left w:val="nil"/>
              <w:bottom w:val="nil"/>
              <w:right w:val="single" w:sz="4" w:space="0" w:color="auto"/>
            </w:tcBorders>
            <w:shd w:val="clear" w:color="000000" w:fill="FFFFFF"/>
            <w:noWrap/>
            <w:vAlign w:val="center"/>
            <w:hideMark/>
          </w:tcPr>
          <w:p w14:paraId="5A34355E"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84,0%</w:t>
            </w:r>
          </w:p>
        </w:tc>
        <w:tc>
          <w:tcPr>
            <w:tcW w:w="489" w:type="pct"/>
            <w:tcBorders>
              <w:top w:val="nil"/>
              <w:left w:val="nil"/>
              <w:bottom w:val="nil"/>
              <w:right w:val="nil"/>
            </w:tcBorders>
            <w:shd w:val="clear" w:color="000000" w:fill="FFFFFF"/>
            <w:noWrap/>
            <w:vAlign w:val="center"/>
            <w:hideMark/>
          </w:tcPr>
          <w:p w14:paraId="1FF032A3"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205,9</w:t>
            </w:r>
          </w:p>
        </w:tc>
        <w:tc>
          <w:tcPr>
            <w:tcW w:w="489" w:type="pct"/>
            <w:tcBorders>
              <w:top w:val="nil"/>
              <w:left w:val="nil"/>
              <w:bottom w:val="nil"/>
              <w:right w:val="single" w:sz="4" w:space="0" w:color="auto"/>
            </w:tcBorders>
            <w:shd w:val="clear" w:color="000000" w:fill="FFFFFF"/>
            <w:noWrap/>
            <w:vAlign w:val="center"/>
            <w:hideMark/>
          </w:tcPr>
          <w:p w14:paraId="5CD368BC"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47,7%</w:t>
            </w:r>
          </w:p>
        </w:tc>
        <w:tc>
          <w:tcPr>
            <w:tcW w:w="568" w:type="pct"/>
            <w:tcBorders>
              <w:top w:val="nil"/>
              <w:left w:val="nil"/>
              <w:bottom w:val="nil"/>
              <w:right w:val="nil"/>
            </w:tcBorders>
            <w:shd w:val="clear" w:color="000000" w:fill="FFFFFF"/>
            <w:noWrap/>
            <w:vAlign w:val="center"/>
            <w:hideMark/>
          </w:tcPr>
          <w:p w14:paraId="3565E61D"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21,4</w:t>
            </w:r>
          </w:p>
        </w:tc>
        <w:tc>
          <w:tcPr>
            <w:tcW w:w="478" w:type="pct"/>
            <w:tcBorders>
              <w:top w:val="nil"/>
              <w:left w:val="nil"/>
              <w:bottom w:val="nil"/>
              <w:right w:val="single" w:sz="4" w:space="0" w:color="002060"/>
            </w:tcBorders>
            <w:shd w:val="clear" w:color="000000" w:fill="FFFFFF"/>
            <w:noWrap/>
            <w:vAlign w:val="center"/>
            <w:hideMark/>
          </w:tcPr>
          <w:p w14:paraId="2139BD01"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5,0%</w:t>
            </w:r>
          </w:p>
        </w:tc>
        <w:tc>
          <w:tcPr>
            <w:tcW w:w="408" w:type="pct"/>
            <w:tcBorders>
              <w:top w:val="nil"/>
              <w:left w:val="nil"/>
              <w:bottom w:val="nil"/>
              <w:right w:val="nil"/>
            </w:tcBorders>
            <w:shd w:val="clear" w:color="000000" w:fill="FFFFFF"/>
            <w:noWrap/>
            <w:vAlign w:val="center"/>
            <w:hideMark/>
          </w:tcPr>
          <w:p w14:paraId="3F149A5E"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35,6</w:t>
            </w:r>
          </w:p>
        </w:tc>
        <w:tc>
          <w:tcPr>
            <w:tcW w:w="518" w:type="pct"/>
            <w:tcBorders>
              <w:top w:val="nil"/>
              <w:left w:val="nil"/>
              <w:bottom w:val="nil"/>
              <w:right w:val="single" w:sz="4" w:space="0" w:color="FFFFFF"/>
            </w:tcBorders>
            <w:shd w:val="clear" w:color="000000" w:fill="FFFFFF"/>
            <w:noWrap/>
            <w:vAlign w:val="center"/>
            <w:hideMark/>
          </w:tcPr>
          <w:p w14:paraId="1472DB2C"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8,2%</w:t>
            </w:r>
          </w:p>
        </w:tc>
      </w:tr>
      <w:tr w:rsidR="008A53BE" w:rsidRPr="004419AD" w14:paraId="4CBAB649"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0E9B2179"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MV SR</w:t>
            </w:r>
          </w:p>
        </w:tc>
        <w:tc>
          <w:tcPr>
            <w:tcW w:w="449" w:type="pct"/>
            <w:tcBorders>
              <w:top w:val="nil"/>
              <w:left w:val="nil"/>
              <w:bottom w:val="nil"/>
              <w:right w:val="single" w:sz="4" w:space="0" w:color="auto"/>
            </w:tcBorders>
            <w:shd w:val="clear" w:color="000000" w:fill="FFFFFF"/>
            <w:noWrap/>
            <w:vAlign w:val="center"/>
            <w:hideMark/>
          </w:tcPr>
          <w:p w14:paraId="705FCB16"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107,4</w:t>
            </w:r>
          </w:p>
        </w:tc>
        <w:tc>
          <w:tcPr>
            <w:tcW w:w="489" w:type="pct"/>
            <w:tcBorders>
              <w:top w:val="nil"/>
              <w:left w:val="nil"/>
              <w:bottom w:val="nil"/>
              <w:right w:val="nil"/>
            </w:tcBorders>
            <w:shd w:val="clear" w:color="000000" w:fill="FFFFFF"/>
            <w:noWrap/>
            <w:vAlign w:val="center"/>
            <w:hideMark/>
          </w:tcPr>
          <w:p w14:paraId="25FF0AAC"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90,2</w:t>
            </w:r>
          </w:p>
        </w:tc>
        <w:tc>
          <w:tcPr>
            <w:tcW w:w="489" w:type="pct"/>
            <w:tcBorders>
              <w:top w:val="nil"/>
              <w:left w:val="nil"/>
              <w:bottom w:val="nil"/>
              <w:right w:val="single" w:sz="4" w:space="0" w:color="auto"/>
            </w:tcBorders>
            <w:shd w:val="clear" w:color="000000" w:fill="FFFFFF"/>
            <w:vAlign w:val="center"/>
            <w:hideMark/>
          </w:tcPr>
          <w:p w14:paraId="44492FBE"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84,0%</w:t>
            </w:r>
          </w:p>
        </w:tc>
        <w:tc>
          <w:tcPr>
            <w:tcW w:w="489" w:type="pct"/>
            <w:tcBorders>
              <w:top w:val="nil"/>
              <w:left w:val="nil"/>
              <w:bottom w:val="nil"/>
              <w:right w:val="nil"/>
            </w:tcBorders>
            <w:shd w:val="clear" w:color="000000" w:fill="FFFFFF"/>
            <w:noWrap/>
            <w:vAlign w:val="center"/>
            <w:hideMark/>
          </w:tcPr>
          <w:p w14:paraId="46B95BE6" w14:textId="77777777" w:rsidR="008A53BE" w:rsidRPr="00862458" w:rsidRDefault="008A53BE" w:rsidP="00630F3B">
            <w:pPr>
              <w:spacing w:after="0" w:line="240" w:lineRule="auto"/>
              <w:jc w:val="center"/>
              <w:rPr>
                <w:rFonts w:eastAsia="Times New Roman" w:cs="Segoe UI"/>
                <w:bCs/>
                <w:color w:val="000000"/>
                <w:sz w:val="18"/>
                <w:szCs w:val="18"/>
                <w:lang w:eastAsia="sk-SK"/>
              </w:rPr>
            </w:pPr>
            <w:r w:rsidRPr="00862458">
              <w:rPr>
                <w:rFonts w:eastAsia="Times New Roman" w:cs="Segoe UI"/>
                <w:bCs/>
                <w:color w:val="000000"/>
                <w:sz w:val="18"/>
                <w:szCs w:val="18"/>
                <w:lang w:eastAsia="sk-SK"/>
              </w:rPr>
              <w:t>77,6</w:t>
            </w:r>
          </w:p>
        </w:tc>
        <w:tc>
          <w:tcPr>
            <w:tcW w:w="489" w:type="pct"/>
            <w:tcBorders>
              <w:top w:val="nil"/>
              <w:left w:val="nil"/>
              <w:bottom w:val="nil"/>
              <w:right w:val="single" w:sz="4" w:space="0" w:color="auto"/>
            </w:tcBorders>
            <w:shd w:val="clear" w:color="000000" w:fill="FFFFFF"/>
            <w:vAlign w:val="center"/>
            <w:hideMark/>
          </w:tcPr>
          <w:p w14:paraId="50075228" w14:textId="77777777" w:rsidR="008A53BE" w:rsidRPr="00862458" w:rsidRDefault="008A53BE" w:rsidP="00630F3B">
            <w:pPr>
              <w:spacing w:after="0" w:line="240" w:lineRule="auto"/>
              <w:jc w:val="center"/>
              <w:rPr>
                <w:rFonts w:eastAsia="Times New Roman" w:cs="Segoe UI"/>
                <w:bCs/>
                <w:iCs/>
                <w:color w:val="000000"/>
                <w:sz w:val="18"/>
                <w:szCs w:val="18"/>
                <w:lang w:eastAsia="sk-SK"/>
              </w:rPr>
            </w:pPr>
            <w:r w:rsidRPr="00862458">
              <w:rPr>
                <w:rFonts w:eastAsia="Times New Roman" w:cs="Segoe UI"/>
                <w:bCs/>
                <w:iCs/>
                <w:color w:val="000000"/>
                <w:sz w:val="18"/>
                <w:szCs w:val="18"/>
                <w:lang w:eastAsia="sk-SK"/>
              </w:rPr>
              <w:t>72,3%</w:t>
            </w:r>
          </w:p>
        </w:tc>
        <w:tc>
          <w:tcPr>
            <w:tcW w:w="568" w:type="pct"/>
            <w:tcBorders>
              <w:top w:val="nil"/>
              <w:left w:val="nil"/>
              <w:bottom w:val="nil"/>
              <w:right w:val="nil"/>
            </w:tcBorders>
            <w:shd w:val="clear" w:color="000000" w:fill="FFFFFF"/>
            <w:noWrap/>
            <w:vAlign w:val="center"/>
            <w:hideMark/>
          </w:tcPr>
          <w:p w14:paraId="43E7ACEF"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2,5</w:t>
            </w:r>
          </w:p>
        </w:tc>
        <w:tc>
          <w:tcPr>
            <w:tcW w:w="478" w:type="pct"/>
            <w:tcBorders>
              <w:top w:val="nil"/>
              <w:left w:val="nil"/>
              <w:bottom w:val="nil"/>
              <w:right w:val="single" w:sz="4" w:space="0" w:color="002060"/>
            </w:tcBorders>
            <w:shd w:val="clear" w:color="000000" w:fill="FFFFFF"/>
            <w:vAlign w:val="center"/>
            <w:hideMark/>
          </w:tcPr>
          <w:p w14:paraId="29E235F3"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2,3%</w:t>
            </w:r>
          </w:p>
        </w:tc>
        <w:tc>
          <w:tcPr>
            <w:tcW w:w="408" w:type="pct"/>
            <w:tcBorders>
              <w:top w:val="nil"/>
              <w:left w:val="nil"/>
              <w:bottom w:val="nil"/>
              <w:right w:val="nil"/>
            </w:tcBorders>
            <w:shd w:val="clear" w:color="000000" w:fill="FFFFFF"/>
            <w:noWrap/>
            <w:vAlign w:val="center"/>
            <w:hideMark/>
          </w:tcPr>
          <w:p w14:paraId="663C7F0C"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5,5</w:t>
            </w:r>
          </w:p>
        </w:tc>
        <w:tc>
          <w:tcPr>
            <w:tcW w:w="518" w:type="pct"/>
            <w:tcBorders>
              <w:top w:val="nil"/>
              <w:left w:val="nil"/>
              <w:bottom w:val="nil"/>
              <w:right w:val="single" w:sz="4" w:space="0" w:color="FFFFFF"/>
            </w:tcBorders>
            <w:shd w:val="clear" w:color="000000" w:fill="FFFFFF"/>
            <w:vAlign w:val="center"/>
            <w:hideMark/>
          </w:tcPr>
          <w:p w14:paraId="39E2CC0C"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5,1%</w:t>
            </w:r>
          </w:p>
        </w:tc>
      </w:tr>
      <w:tr w:rsidR="008A53BE" w:rsidRPr="004419AD" w14:paraId="2FDD897B"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31EFE4C3"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SIEA</w:t>
            </w:r>
          </w:p>
        </w:tc>
        <w:tc>
          <w:tcPr>
            <w:tcW w:w="449" w:type="pct"/>
            <w:tcBorders>
              <w:top w:val="nil"/>
              <w:left w:val="nil"/>
              <w:bottom w:val="nil"/>
              <w:right w:val="single" w:sz="4" w:space="0" w:color="auto"/>
            </w:tcBorders>
            <w:shd w:val="clear" w:color="000000" w:fill="FFFFFF"/>
            <w:noWrap/>
            <w:vAlign w:val="center"/>
            <w:hideMark/>
          </w:tcPr>
          <w:p w14:paraId="5B27E94D"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941,6</w:t>
            </w:r>
          </w:p>
        </w:tc>
        <w:tc>
          <w:tcPr>
            <w:tcW w:w="489" w:type="pct"/>
            <w:tcBorders>
              <w:top w:val="nil"/>
              <w:left w:val="nil"/>
              <w:bottom w:val="nil"/>
              <w:right w:val="nil"/>
            </w:tcBorders>
            <w:shd w:val="clear" w:color="000000" w:fill="FFFFFF"/>
            <w:noWrap/>
            <w:vAlign w:val="center"/>
            <w:hideMark/>
          </w:tcPr>
          <w:p w14:paraId="252E0E5C"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609,1</w:t>
            </w:r>
          </w:p>
        </w:tc>
        <w:tc>
          <w:tcPr>
            <w:tcW w:w="489" w:type="pct"/>
            <w:tcBorders>
              <w:top w:val="nil"/>
              <w:left w:val="nil"/>
              <w:bottom w:val="nil"/>
              <w:right w:val="single" w:sz="4" w:space="0" w:color="auto"/>
            </w:tcBorders>
            <w:shd w:val="clear" w:color="000000" w:fill="FFFFFF"/>
            <w:noWrap/>
            <w:vAlign w:val="center"/>
            <w:hideMark/>
          </w:tcPr>
          <w:p w14:paraId="72E99BA9"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64,7%</w:t>
            </w:r>
          </w:p>
        </w:tc>
        <w:tc>
          <w:tcPr>
            <w:tcW w:w="489" w:type="pct"/>
            <w:tcBorders>
              <w:top w:val="nil"/>
              <w:left w:val="nil"/>
              <w:bottom w:val="nil"/>
              <w:right w:val="nil"/>
            </w:tcBorders>
            <w:shd w:val="clear" w:color="000000" w:fill="FFFFFF"/>
            <w:noWrap/>
            <w:vAlign w:val="center"/>
            <w:hideMark/>
          </w:tcPr>
          <w:p w14:paraId="0705A419"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387,9</w:t>
            </w:r>
          </w:p>
        </w:tc>
        <w:tc>
          <w:tcPr>
            <w:tcW w:w="489" w:type="pct"/>
            <w:tcBorders>
              <w:top w:val="nil"/>
              <w:left w:val="nil"/>
              <w:bottom w:val="nil"/>
              <w:right w:val="single" w:sz="4" w:space="0" w:color="auto"/>
            </w:tcBorders>
            <w:shd w:val="clear" w:color="000000" w:fill="FFFFFF"/>
            <w:noWrap/>
            <w:vAlign w:val="center"/>
            <w:hideMark/>
          </w:tcPr>
          <w:p w14:paraId="7E7516BD"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41,2%</w:t>
            </w:r>
          </w:p>
        </w:tc>
        <w:tc>
          <w:tcPr>
            <w:tcW w:w="568" w:type="pct"/>
            <w:tcBorders>
              <w:top w:val="nil"/>
              <w:left w:val="nil"/>
              <w:bottom w:val="nil"/>
              <w:right w:val="nil"/>
            </w:tcBorders>
            <w:shd w:val="clear" w:color="000000" w:fill="FFFFFF"/>
            <w:noWrap/>
            <w:vAlign w:val="center"/>
            <w:hideMark/>
          </w:tcPr>
          <w:p w14:paraId="6CF651AF"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9,2</w:t>
            </w:r>
          </w:p>
        </w:tc>
        <w:tc>
          <w:tcPr>
            <w:tcW w:w="478" w:type="pct"/>
            <w:tcBorders>
              <w:top w:val="nil"/>
              <w:left w:val="nil"/>
              <w:bottom w:val="nil"/>
              <w:right w:val="single" w:sz="4" w:space="0" w:color="002060"/>
            </w:tcBorders>
            <w:shd w:val="clear" w:color="000000" w:fill="FFFFFF"/>
            <w:noWrap/>
            <w:vAlign w:val="center"/>
            <w:hideMark/>
          </w:tcPr>
          <w:p w14:paraId="40A89EAF"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1,0%</w:t>
            </w:r>
          </w:p>
        </w:tc>
        <w:tc>
          <w:tcPr>
            <w:tcW w:w="408" w:type="pct"/>
            <w:tcBorders>
              <w:top w:val="nil"/>
              <w:left w:val="nil"/>
              <w:bottom w:val="nil"/>
              <w:right w:val="nil"/>
            </w:tcBorders>
            <w:shd w:val="clear" w:color="000000" w:fill="FFFFFF"/>
            <w:noWrap/>
            <w:vAlign w:val="center"/>
            <w:hideMark/>
          </w:tcPr>
          <w:p w14:paraId="1FDC8002"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44,2</w:t>
            </w:r>
          </w:p>
        </w:tc>
        <w:tc>
          <w:tcPr>
            <w:tcW w:w="518" w:type="pct"/>
            <w:tcBorders>
              <w:top w:val="nil"/>
              <w:left w:val="nil"/>
              <w:bottom w:val="nil"/>
              <w:right w:val="single" w:sz="4" w:space="0" w:color="FFFFFF"/>
            </w:tcBorders>
            <w:shd w:val="clear" w:color="000000" w:fill="FFFFFF"/>
            <w:noWrap/>
            <w:vAlign w:val="center"/>
            <w:hideMark/>
          </w:tcPr>
          <w:p w14:paraId="69279DCC"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4,7%</w:t>
            </w:r>
          </w:p>
        </w:tc>
      </w:tr>
      <w:tr w:rsidR="008A53BE" w:rsidRPr="004419AD" w14:paraId="27B74D9F"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60EFFC83"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MŽP SR</w:t>
            </w:r>
          </w:p>
        </w:tc>
        <w:tc>
          <w:tcPr>
            <w:tcW w:w="449" w:type="pct"/>
            <w:tcBorders>
              <w:top w:val="nil"/>
              <w:left w:val="nil"/>
              <w:bottom w:val="nil"/>
              <w:right w:val="single" w:sz="4" w:space="0" w:color="auto"/>
            </w:tcBorders>
            <w:shd w:val="clear" w:color="000000" w:fill="FFFFFF"/>
            <w:noWrap/>
            <w:vAlign w:val="center"/>
            <w:hideMark/>
          </w:tcPr>
          <w:p w14:paraId="71B71CB5"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1 666,6</w:t>
            </w:r>
          </w:p>
        </w:tc>
        <w:tc>
          <w:tcPr>
            <w:tcW w:w="489" w:type="pct"/>
            <w:tcBorders>
              <w:top w:val="nil"/>
              <w:left w:val="nil"/>
              <w:bottom w:val="nil"/>
              <w:right w:val="nil"/>
            </w:tcBorders>
            <w:shd w:val="clear" w:color="000000" w:fill="FFFFFF"/>
            <w:noWrap/>
            <w:vAlign w:val="center"/>
            <w:hideMark/>
          </w:tcPr>
          <w:p w14:paraId="18D533E8"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1 263,5</w:t>
            </w:r>
          </w:p>
        </w:tc>
        <w:tc>
          <w:tcPr>
            <w:tcW w:w="489" w:type="pct"/>
            <w:tcBorders>
              <w:top w:val="nil"/>
              <w:left w:val="nil"/>
              <w:bottom w:val="nil"/>
              <w:right w:val="single" w:sz="4" w:space="0" w:color="auto"/>
            </w:tcBorders>
            <w:shd w:val="clear" w:color="000000" w:fill="FFFFFF"/>
            <w:noWrap/>
            <w:vAlign w:val="center"/>
            <w:hideMark/>
          </w:tcPr>
          <w:p w14:paraId="46351157"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75,8%</w:t>
            </w:r>
          </w:p>
        </w:tc>
        <w:tc>
          <w:tcPr>
            <w:tcW w:w="489" w:type="pct"/>
            <w:tcBorders>
              <w:top w:val="nil"/>
              <w:left w:val="nil"/>
              <w:bottom w:val="nil"/>
              <w:right w:val="nil"/>
            </w:tcBorders>
            <w:shd w:val="clear" w:color="000000" w:fill="FFFFFF"/>
            <w:noWrap/>
            <w:vAlign w:val="center"/>
            <w:hideMark/>
          </w:tcPr>
          <w:p w14:paraId="7CE70A12"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671,1</w:t>
            </w:r>
          </w:p>
        </w:tc>
        <w:tc>
          <w:tcPr>
            <w:tcW w:w="489" w:type="pct"/>
            <w:tcBorders>
              <w:top w:val="nil"/>
              <w:left w:val="nil"/>
              <w:bottom w:val="nil"/>
              <w:right w:val="single" w:sz="4" w:space="0" w:color="auto"/>
            </w:tcBorders>
            <w:shd w:val="clear" w:color="000000" w:fill="FFFFFF"/>
            <w:noWrap/>
            <w:vAlign w:val="center"/>
            <w:hideMark/>
          </w:tcPr>
          <w:p w14:paraId="467A6214"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40,3%</w:t>
            </w:r>
          </w:p>
        </w:tc>
        <w:tc>
          <w:tcPr>
            <w:tcW w:w="568" w:type="pct"/>
            <w:tcBorders>
              <w:top w:val="nil"/>
              <w:left w:val="nil"/>
              <w:bottom w:val="nil"/>
              <w:right w:val="nil"/>
            </w:tcBorders>
            <w:shd w:val="clear" w:color="000000" w:fill="FFFFFF"/>
            <w:noWrap/>
            <w:vAlign w:val="center"/>
            <w:hideMark/>
          </w:tcPr>
          <w:p w14:paraId="601177C0"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47,8</w:t>
            </w:r>
          </w:p>
        </w:tc>
        <w:tc>
          <w:tcPr>
            <w:tcW w:w="478" w:type="pct"/>
            <w:tcBorders>
              <w:top w:val="nil"/>
              <w:left w:val="nil"/>
              <w:bottom w:val="nil"/>
              <w:right w:val="single" w:sz="4" w:space="0" w:color="002060"/>
            </w:tcBorders>
            <w:shd w:val="clear" w:color="000000" w:fill="FFFFFF"/>
            <w:noWrap/>
            <w:vAlign w:val="center"/>
            <w:hideMark/>
          </w:tcPr>
          <w:p w14:paraId="192BDC77"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2,8%</w:t>
            </w:r>
          </w:p>
        </w:tc>
        <w:tc>
          <w:tcPr>
            <w:tcW w:w="408" w:type="pct"/>
            <w:tcBorders>
              <w:top w:val="nil"/>
              <w:left w:val="nil"/>
              <w:bottom w:val="nil"/>
              <w:right w:val="nil"/>
            </w:tcBorders>
            <w:shd w:val="clear" w:color="000000" w:fill="FFFFFF"/>
            <w:noWrap/>
            <w:vAlign w:val="center"/>
            <w:hideMark/>
          </w:tcPr>
          <w:p w14:paraId="42B5814B"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75,3</w:t>
            </w:r>
          </w:p>
        </w:tc>
        <w:tc>
          <w:tcPr>
            <w:tcW w:w="518" w:type="pct"/>
            <w:tcBorders>
              <w:top w:val="nil"/>
              <w:left w:val="nil"/>
              <w:bottom w:val="nil"/>
              <w:right w:val="single" w:sz="4" w:space="0" w:color="FFFFFF"/>
            </w:tcBorders>
            <w:shd w:val="clear" w:color="000000" w:fill="FFFFFF"/>
            <w:noWrap/>
            <w:vAlign w:val="center"/>
            <w:hideMark/>
          </w:tcPr>
          <w:p w14:paraId="482DFFB3"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4,5%</w:t>
            </w:r>
          </w:p>
        </w:tc>
      </w:tr>
      <w:tr w:rsidR="008A53BE" w:rsidRPr="004419AD" w14:paraId="073B187E"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3E298D33"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MZ SR</w:t>
            </w:r>
          </w:p>
        </w:tc>
        <w:tc>
          <w:tcPr>
            <w:tcW w:w="449" w:type="pct"/>
            <w:tcBorders>
              <w:top w:val="nil"/>
              <w:left w:val="nil"/>
              <w:bottom w:val="nil"/>
              <w:right w:val="single" w:sz="4" w:space="0" w:color="auto"/>
            </w:tcBorders>
            <w:shd w:val="clear" w:color="000000" w:fill="FFFFFF"/>
            <w:noWrap/>
            <w:vAlign w:val="center"/>
            <w:hideMark/>
          </w:tcPr>
          <w:p w14:paraId="5B1ABF75"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387,9</w:t>
            </w:r>
          </w:p>
        </w:tc>
        <w:tc>
          <w:tcPr>
            <w:tcW w:w="489" w:type="pct"/>
            <w:tcBorders>
              <w:top w:val="nil"/>
              <w:left w:val="nil"/>
              <w:bottom w:val="nil"/>
              <w:right w:val="nil"/>
            </w:tcBorders>
            <w:shd w:val="clear" w:color="000000" w:fill="FFFFFF"/>
            <w:noWrap/>
            <w:vAlign w:val="center"/>
            <w:hideMark/>
          </w:tcPr>
          <w:p w14:paraId="2C2FD4DB"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236,3</w:t>
            </w:r>
          </w:p>
        </w:tc>
        <w:tc>
          <w:tcPr>
            <w:tcW w:w="489" w:type="pct"/>
            <w:tcBorders>
              <w:top w:val="nil"/>
              <w:left w:val="nil"/>
              <w:bottom w:val="nil"/>
              <w:right w:val="single" w:sz="4" w:space="0" w:color="auto"/>
            </w:tcBorders>
            <w:shd w:val="clear" w:color="000000" w:fill="FFFFFF"/>
            <w:noWrap/>
            <w:vAlign w:val="center"/>
            <w:hideMark/>
          </w:tcPr>
          <w:p w14:paraId="420597DF"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60,9%</w:t>
            </w:r>
          </w:p>
        </w:tc>
        <w:tc>
          <w:tcPr>
            <w:tcW w:w="489" w:type="pct"/>
            <w:tcBorders>
              <w:top w:val="nil"/>
              <w:left w:val="nil"/>
              <w:bottom w:val="nil"/>
              <w:right w:val="nil"/>
            </w:tcBorders>
            <w:shd w:val="clear" w:color="000000" w:fill="FFFFFF"/>
            <w:noWrap/>
            <w:vAlign w:val="center"/>
            <w:hideMark/>
          </w:tcPr>
          <w:p w14:paraId="6BA01655"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56,8</w:t>
            </w:r>
          </w:p>
        </w:tc>
        <w:tc>
          <w:tcPr>
            <w:tcW w:w="489" w:type="pct"/>
            <w:tcBorders>
              <w:top w:val="nil"/>
              <w:left w:val="nil"/>
              <w:bottom w:val="nil"/>
              <w:right w:val="single" w:sz="4" w:space="0" w:color="auto"/>
            </w:tcBorders>
            <w:shd w:val="clear" w:color="000000" w:fill="FFFFFF"/>
            <w:noWrap/>
            <w:vAlign w:val="center"/>
            <w:hideMark/>
          </w:tcPr>
          <w:p w14:paraId="7785B04A"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14,6%</w:t>
            </w:r>
          </w:p>
        </w:tc>
        <w:tc>
          <w:tcPr>
            <w:tcW w:w="568" w:type="pct"/>
            <w:tcBorders>
              <w:top w:val="nil"/>
              <w:left w:val="nil"/>
              <w:bottom w:val="nil"/>
              <w:right w:val="nil"/>
            </w:tcBorders>
            <w:shd w:val="clear" w:color="000000" w:fill="FFFFFF"/>
            <w:noWrap/>
            <w:vAlign w:val="center"/>
            <w:hideMark/>
          </w:tcPr>
          <w:p w14:paraId="5EC8F8FF"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3,9</w:t>
            </w:r>
          </w:p>
        </w:tc>
        <w:tc>
          <w:tcPr>
            <w:tcW w:w="478" w:type="pct"/>
            <w:tcBorders>
              <w:top w:val="nil"/>
              <w:left w:val="nil"/>
              <w:bottom w:val="nil"/>
              <w:right w:val="single" w:sz="4" w:space="0" w:color="002060"/>
            </w:tcBorders>
            <w:shd w:val="clear" w:color="000000" w:fill="FFFFFF"/>
            <w:noWrap/>
            <w:vAlign w:val="center"/>
            <w:hideMark/>
          </w:tcPr>
          <w:p w14:paraId="5F05410D"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1,0%</w:t>
            </w:r>
          </w:p>
        </w:tc>
        <w:tc>
          <w:tcPr>
            <w:tcW w:w="408" w:type="pct"/>
            <w:tcBorders>
              <w:top w:val="nil"/>
              <w:left w:val="nil"/>
              <w:bottom w:val="nil"/>
              <w:right w:val="nil"/>
            </w:tcBorders>
            <w:shd w:val="clear" w:color="000000" w:fill="FFFFFF"/>
            <w:noWrap/>
            <w:vAlign w:val="center"/>
            <w:hideMark/>
          </w:tcPr>
          <w:p w14:paraId="679D7792"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5,4</w:t>
            </w:r>
          </w:p>
        </w:tc>
        <w:tc>
          <w:tcPr>
            <w:tcW w:w="518" w:type="pct"/>
            <w:tcBorders>
              <w:top w:val="nil"/>
              <w:left w:val="nil"/>
              <w:bottom w:val="nil"/>
              <w:right w:val="single" w:sz="4" w:space="0" w:color="FFFFFF"/>
            </w:tcBorders>
            <w:shd w:val="clear" w:color="000000" w:fill="FFFFFF"/>
            <w:noWrap/>
            <w:vAlign w:val="center"/>
            <w:hideMark/>
          </w:tcPr>
          <w:p w14:paraId="1F0112CE"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1,4%</w:t>
            </w:r>
          </w:p>
        </w:tc>
      </w:tr>
      <w:tr w:rsidR="008A53BE" w:rsidRPr="004419AD" w14:paraId="283540F8" w14:textId="77777777" w:rsidTr="00CD073B">
        <w:trPr>
          <w:trHeight w:val="283"/>
        </w:trPr>
        <w:tc>
          <w:tcPr>
            <w:tcW w:w="623" w:type="pct"/>
            <w:tcBorders>
              <w:top w:val="nil"/>
              <w:left w:val="single" w:sz="4" w:space="0" w:color="FFFFFF"/>
              <w:bottom w:val="nil"/>
              <w:right w:val="single" w:sz="4" w:space="0" w:color="auto"/>
            </w:tcBorders>
            <w:shd w:val="clear" w:color="000000" w:fill="FFFFFF"/>
            <w:vAlign w:val="center"/>
            <w:hideMark/>
          </w:tcPr>
          <w:p w14:paraId="01276156" w14:textId="1A06B588"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MIRRI</w:t>
            </w:r>
            <w:r w:rsidR="00665F54">
              <w:rPr>
                <w:rFonts w:eastAsia="Times New Roman" w:cs="Segoe UI"/>
                <w:b/>
                <w:bCs/>
                <w:color w:val="000000"/>
                <w:sz w:val="18"/>
                <w:szCs w:val="18"/>
                <w:lang w:eastAsia="sk-SK"/>
              </w:rPr>
              <w:t xml:space="preserve"> SR</w:t>
            </w:r>
          </w:p>
        </w:tc>
        <w:tc>
          <w:tcPr>
            <w:tcW w:w="449" w:type="pct"/>
            <w:tcBorders>
              <w:top w:val="nil"/>
              <w:left w:val="nil"/>
              <w:bottom w:val="nil"/>
              <w:right w:val="single" w:sz="4" w:space="0" w:color="auto"/>
            </w:tcBorders>
            <w:shd w:val="clear" w:color="000000" w:fill="FFFFFF"/>
            <w:noWrap/>
            <w:vAlign w:val="center"/>
            <w:hideMark/>
          </w:tcPr>
          <w:p w14:paraId="5ECDBF43"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2 647,8</w:t>
            </w:r>
          </w:p>
        </w:tc>
        <w:tc>
          <w:tcPr>
            <w:tcW w:w="489" w:type="pct"/>
            <w:tcBorders>
              <w:top w:val="nil"/>
              <w:left w:val="nil"/>
              <w:bottom w:val="nil"/>
              <w:right w:val="nil"/>
            </w:tcBorders>
            <w:shd w:val="clear" w:color="000000" w:fill="FFFFFF"/>
            <w:noWrap/>
            <w:vAlign w:val="center"/>
            <w:hideMark/>
          </w:tcPr>
          <w:p w14:paraId="162F4ED3"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1 833,1</w:t>
            </w:r>
          </w:p>
        </w:tc>
        <w:tc>
          <w:tcPr>
            <w:tcW w:w="489" w:type="pct"/>
            <w:tcBorders>
              <w:top w:val="nil"/>
              <w:left w:val="nil"/>
              <w:bottom w:val="nil"/>
              <w:right w:val="single" w:sz="4" w:space="0" w:color="auto"/>
            </w:tcBorders>
            <w:shd w:val="clear" w:color="000000" w:fill="FFFFFF"/>
            <w:noWrap/>
            <w:vAlign w:val="center"/>
            <w:hideMark/>
          </w:tcPr>
          <w:p w14:paraId="2FEFBFA8"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69,2%</w:t>
            </w:r>
          </w:p>
        </w:tc>
        <w:tc>
          <w:tcPr>
            <w:tcW w:w="489" w:type="pct"/>
            <w:tcBorders>
              <w:top w:val="nil"/>
              <w:left w:val="nil"/>
              <w:bottom w:val="nil"/>
              <w:right w:val="nil"/>
            </w:tcBorders>
            <w:shd w:val="clear" w:color="000000" w:fill="FFFFFF"/>
            <w:noWrap/>
            <w:vAlign w:val="center"/>
            <w:hideMark/>
          </w:tcPr>
          <w:p w14:paraId="1B98630E"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504,0</w:t>
            </w:r>
          </w:p>
        </w:tc>
        <w:tc>
          <w:tcPr>
            <w:tcW w:w="489" w:type="pct"/>
            <w:tcBorders>
              <w:top w:val="nil"/>
              <w:left w:val="nil"/>
              <w:bottom w:val="nil"/>
              <w:right w:val="single" w:sz="4" w:space="0" w:color="auto"/>
            </w:tcBorders>
            <w:shd w:val="clear" w:color="000000" w:fill="FFFFFF"/>
            <w:noWrap/>
            <w:vAlign w:val="center"/>
            <w:hideMark/>
          </w:tcPr>
          <w:p w14:paraId="401CCD74"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19,0%</w:t>
            </w:r>
          </w:p>
        </w:tc>
        <w:tc>
          <w:tcPr>
            <w:tcW w:w="568" w:type="pct"/>
            <w:tcBorders>
              <w:top w:val="nil"/>
              <w:left w:val="nil"/>
              <w:bottom w:val="nil"/>
              <w:right w:val="nil"/>
            </w:tcBorders>
            <w:shd w:val="clear" w:color="000000" w:fill="FFFFFF"/>
            <w:noWrap/>
            <w:vAlign w:val="center"/>
            <w:hideMark/>
          </w:tcPr>
          <w:p w14:paraId="2C02ABEA"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10,0</w:t>
            </w:r>
          </w:p>
        </w:tc>
        <w:tc>
          <w:tcPr>
            <w:tcW w:w="478" w:type="pct"/>
            <w:tcBorders>
              <w:top w:val="nil"/>
              <w:left w:val="nil"/>
              <w:bottom w:val="nil"/>
              <w:right w:val="single" w:sz="4" w:space="0" w:color="002060"/>
            </w:tcBorders>
            <w:shd w:val="clear" w:color="000000" w:fill="FFFFFF"/>
            <w:noWrap/>
            <w:vAlign w:val="center"/>
            <w:hideMark/>
          </w:tcPr>
          <w:p w14:paraId="7D8A0280"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0,4%</w:t>
            </w:r>
          </w:p>
        </w:tc>
        <w:tc>
          <w:tcPr>
            <w:tcW w:w="408" w:type="pct"/>
            <w:tcBorders>
              <w:top w:val="nil"/>
              <w:left w:val="nil"/>
              <w:bottom w:val="nil"/>
              <w:right w:val="nil"/>
            </w:tcBorders>
            <w:shd w:val="clear" w:color="000000" w:fill="FFFFFF"/>
            <w:noWrap/>
            <w:vAlign w:val="center"/>
            <w:hideMark/>
          </w:tcPr>
          <w:p w14:paraId="328EE82E" w14:textId="77777777" w:rsidR="008A53BE" w:rsidRPr="00862458" w:rsidRDefault="008A53BE" w:rsidP="00630F3B">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26,0</w:t>
            </w:r>
          </w:p>
        </w:tc>
        <w:tc>
          <w:tcPr>
            <w:tcW w:w="518" w:type="pct"/>
            <w:tcBorders>
              <w:top w:val="nil"/>
              <w:left w:val="nil"/>
              <w:bottom w:val="nil"/>
              <w:right w:val="single" w:sz="4" w:space="0" w:color="FFFFFF"/>
            </w:tcBorders>
            <w:shd w:val="clear" w:color="000000" w:fill="FFFFFF"/>
            <w:noWrap/>
            <w:vAlign w:val="center"/>
            <w:hideMark/>
          </w:tcPr>
          <w:p w14:paraId="2F6DF3F8" w14:textId="77777777" w:rsidR="008A53BE" w:rsidRPr="00862458" w:rsidRDefault="008A53BE" w:rsidP="00630F3B">
            <w:pPr>
              <w:spacing w:after="0" w:line="240" w:lineRule="auto"/>
              <w:jc w:val="center"/>
              <w:rPr>
                <w:rFonts w:eastAsia="Times New Roman" w:cs="Segoe UI"/>
                <w:iCs/>
                <w:color w:val="000000"/>
                <w:sz w:val="18"/>
                <w:szCs w:val="18"/>
                <w:lang w:eastAsia="sk-SK"/>
              </w:rPr>
            </w:pPr>
            <w:r w:rsidRPr="00862458">
              <w:rPr>
                <w:rFonts w:eastAsia="Times New Roman" w:cs="Segoe UI"/>
                <w:iCs/>
                <w:color w:val="000000"/>
                <w:sz w:val="18"/>
                <w:szCs w:val="18"/>
                <w:lang w:eastAsia="sk-SK"/>
              </w:rPr>
              <w:t>1,0%</w:t>
            </w:r>
          </w:p>
        </w:tc>
      </w:tr>
      <w:tr w:rsidR="008A53BE" w:rsidRPr="004419AD" w14:paraId="56C331F9" w14:textId="77777777" w:rsidTr="00CD073B">
        <w:trPr>
          <w:trHeight w:val="283"/>
        </w:trPr>
        <w:tc>
          <w:tcPr>
            <w:tcW w:w="623" w:type="pct"/>
            <w:tcBorders>
              <w:top w:val="single" w:sz="4" w:space="0" w:color="auto"/>
              <w:left w:val="single" w:sz="4" w:space="0" w:color="FFFFFF"/>
              <w:bottom w:val="single" w:sz="4" w:space="0" w:color="auto"/>
              <w:right w:val="nil"/>
            </w:tcBorders>
            <w:shd w:val="clear" w:color="000000" w:fill="FFFFFF"/>
            <w:vAlign w:val="center"/>
            <w:hideMark/>
          </w:tcPr>
          <w:p w14:paraId="1E0A35B3" w14:textId="77777777" w:rsidR="008A53BE" w:rsidRPr="00862458" w:rsidRDefault="008A53BE" w:rsidP="00630F3B">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SPOLU</w:t>
            </w:r>
          </w:p>
        </w:tc>
        <w:tc>
          <w:tcPr>
            <w:tcW w:w="449" w:type="pct"/>
            <w:tcBorders>
              <w:top w:val="single" w:sz="4" w:space="0" w:color="auto"/>
              <w:left w:val="nil"/>
              <w:bottom w:val="single" w:sz="4" w:space="0" w:color="auto"/>
              <w:right w:val="nil"/>
            </w:tcBorders>
            <w:shd w:val="clear" w:color="000000" w:fill="FFFFFF"/>
            <w:vAlign w:val="center"/>
            <w:hideMark/>
          </w:tcPr>
          <w:p w14:paraId="08BAD212" w14:textId="7C3630B8" w:rsidR="008A53BE" w:rsidRPr="00862458" w:rsidRDefault="008A53BE" w:rsidP="00665F54">
            <w:pPr>
              <w:spacing w:after="0"/>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12 593,7</w:t>
            </w:r>
          </w:p>
        </w:tc>
        <w:tc>
          <w:tcPr>
            <w:tcW w:w="489" w:type="pct"/>
            <w:tcBorders>
              <w:top w:val="single" w:sz="4" w:space="0" w:color="auto"/>
              <w:left w:val="nil"/>
              <w:bottom w:val="single" w:sz="4" w:space="0" w:color="auto"/>
              <w:right w:val="nil"/>
            </w:tcBorders>
            <w:shd w:val="clear" w:color="000000" w:fill="FFFFFF"/>
            <w:vAlign w:val="center"/>
            <w:hideMark/>
          </w:tcPr>
          <w:p w14:paraId="0219BF4E" w14:textId="77777777" w:rsidR="008A53BE" w:rsidRPr="00862458" w:rsidRDefault="008A53BE" w:rsidP="00630F3B">
            <w:pPr>
              <w:spacing w:after="0"/>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9 307,61</w:t>
            </w:r>
          </w:p>
        </w:tc>
        <w:tc>
          <w:tcPr>
            <w:tcW w:w="489" w:type="pct"/>
            <w:tcBorders>
              <w:top w:val="single" w:sz="4" w:space="0" w:color="auto"/>
              <w:left w:val="nil"/>
              <w:bottom w:val="single" w:sz="4" w:space="0" w:color="auto"/>
              <w:right w:val="nil"/>
            </w:tcBorders>
            <w:shd w:val="clear" w:color="000000" w:fill="FFFFFF"/>
            <w:vAlign w:val="center"/>
            <w:hideMark/>
          </w:tcPr>
          <w:p w14:paraId="30CCC0BE" w14:textId="77777777" w:rsidR="008A53BE" w:rsidRPr="00862458" w:rsidRDefault="008A53BE" w:rsidP="00630F3B">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73,91%</w:t>
            </w:r>
          </w:p>
        </w:tc>
        <w:tc>
          <w:tcPr>
            <w:tcW w:w="489" w:type="pct"/>
            <w:tcBorders>
              <w:top w:val="single" w:sz="4" w:space="0" w:color="auto"/>
              <w:left w:val="nil"/>
              <w:bottom w:val="single" w:sz="4" w:space="0" w:color="auto"/>
              <w:right w:val="nil"/>
            </w:tcBorders>
            <w:shd w:val="clear" w:color="000000" w:fill="FFFFFF"/>
            <w:vAlign w:val="center"/>
            <w:hideMark/>
          </w:tcPr>
          <w:p w14:paraId="3A0B15B6" w14:textId="77777777" w:rsidR="008A53BE" w:rsidRPr="00862458" w:rsidRDefault="008A53BE" w:rsidP="00630F3B">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4 693,84</w:t>
            </w:r>
          </w:p>
        </w:tc>
        <w:tc>
          <w:tcPr>
            <w:tcW w:w="489" w:type="pct"/>
            <w:tcBorders>
              <w:top w:val="single" w:sz="4" w:space="0" w:color="auto"/>
              <w:left w:val="nil"/>
              <w:bottom w:val="single" w:sz="4" w:space="0" w:color="auto"/>
              <w:right w:val="nil"/>
            </w:tcBorders>
            <w:shd w:val="clear" w:color="000000" w:fill="FFFFFF"/>
            <w:vAlign w:val="center"/>
            <w:hideMark/>
          </w:tcPr>
          <w:p w14:paraId="564CCC0B" w14:textId="77777777" w:rsidR="008A53BE" w:rsidRPr="00862458" w:rsidRDefault="008A53BE" w:rsidP="00630F3B">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37,27%</w:t>
            </w:r>
          </w:p>
        </w:tc>
        <w:tc>
          <w:tcPr>
            <w:tcW w:w="568" w:type="pct"/>
            <w:tcBorders>
              <w:top w:val="single" w:sz="4" w:space="0" w:color="auto"/>
              <w:left w:val="nil"/>
              <w:bottom w:val="single" w:sz="4" w:space="0" w:color="auto"/>
              <w:right w:val="nil"/>
            </w:tcBorders>
            <w:shd w:val="clear" w:color="000000" w:fill="FFFFFF"/>
            <w:vAlign w:val="center"/>
            <w:hideMark/>
          </w:tcPr>
          <w:p w14:paraId="5B3CB589" w14:textId="77777777" w:rsidR="008A53BE" w:rsidRPr="00862458" w:rsidRDefault="008A53BE" w:rsidP="00630F3B">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382,26</w:t>
            </w:r>
          </w:p>
        </w:tc>
        <w:tc>
          <w:tcPr>
            <w:tcW w:w="478" w:type="pct"/>
            <w:tcBorders>
              <w:top w:val="single" w:sz="4" w:space="0" w:color="auto"/>
              <w:left w:val="nil"/>
              <w:bottom w:val="single" w:sz="4" w:space="0" w:color="auto"/>
              <w:right w:val="nil"/>
            </w:tcBorders>
            <w:shd w:val="clear" w:color="000000" w:fill="FFFFFF"/>
            <w:vAlign w:val="center"/>
            <w:hideMark/>
          </w:tcPr>
          <w:p w14:paraId="430D260E" w14:textId="77777777" w:rsidR="008A53BE" w:rsidRPr="00862458" w:rsidRDefault="008A53BE" w:rsidP="00630F3B">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3,04%</w:t>
            </w:r>
          </w:p>
        </w:tc>
        <w:tc>
          <w:tcPr>
            <w:tcW w:w="408" w:type="pct"/>
            <w:tcBorders>
              <w:top w:val="single" w:sz="4" w:space="0" w:color="auto"/>
              <w:left w:val="nil"/>
              <w:bottom w:val="single" w:sz="4" w:space="0" w:color="auto"/>
              <w:right w:val="nil"/>
            </w:tcBorders>
            <w:shd w:val="clear" w:color="000000" w:fill="FFFFFF"/>
            <w:vAlign w:val="center"/>
            <w:hideMark/>
          </w:tcPr>
          <w:p w14:paraId="6A79C664" w14:textId="77777777" w:rsidR="008A53BE" w:rsidRPr="00862458" w:rsidRDefault="008A53BE" w:rsidP="00630F3B">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847,12</w:t>
            </w:r>
          </w:p>
        </w:tc>
        <w:tc>
          <w:tcPr>
            <w:tcW w:w="518" w:type="pct"/>
            <w:tcBorders>
              <w:top w:val="single" w:sz="4" w:space="0" w:color="auto"/>
              <w:left w:val="nil"/>
              <w:bottom w:val="single" w:sz="4" w:space="0" w:color="auto"/>
              <w:right w:val="single" w:sz="4" w:space="0" w:color="FFFFFF"/>
            </w:tcBorders>
            <w:shd w:val="clear" w:color="000000" w:fill="FFFFFF"/>
            <w:vAlign w:val="center"/>
            <w:hideMark/>
          </w:tcPr>
          <w:p w14:paraId="5CBCEC54" w14:textId="77777777" w:rsidR="008A53BE" w:rsidRPr="00862458" w:rsidRDefault="008A53BE" w:rsidP="00630F3B">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6,73%</w:t>
            </w:r>
          </w:p>
        </w:tc>
      </w:tr>
    </w:tbl>
    <w:p w14:paraId="19610709" w14:textId="282469A7" w:rsidR="008A53BE" w:rsidRDefault="008A53BE" w:rsidP="008A53BE">
      <w:pPr>
        <w:pStyle w:val="Zdroj"/>
      </w:pPr>
      <w:r>
        <w:t>Zdroj: MIRRI</w:t>
      </w:r>
      <w:r w:rsidR="00A52E34">
        <w:t xml:space="preserve"> SR</w:t>
      </w:r>
      <w:r>
        <w:t>,</w:t>
      </w:r>
      <w:r w:rsidR="00A52E34">
        <w:t xml:space="preserve"> </w:t>
      </w:r>
      <w:r>
        <w:t>MF SR</w:t>
      </w:r>
      <w:r w:rsidR="00A52E34">
        <w:t>.</w:t>
      </w:r>
    </w:p>
    <w:p w14:paraId="695E1065" w14:textId="5E54DDC7" w:rsidR="00ED12BE" w:rsidRDefault="00ED12BE" w:rsidP="00ED12BE">
      <w:r w:rsidRPr="007D3345">
        <w:rPr>
          <w:b/>
        </w:rPr>
        <w:lastRenderedPageBreak/>
        <w:t>Ku koncu marca 2025 sa čerpanie P</w:t>
      </w:r>
      <w:r w:rsidR="004A2F16">
        <w:rPr>
          <w:b/>
        </w:rPr>
        <w:t xml:space="preserve"> </w:t>
      </w:r>
      <w:r>
        <w:rPr>
          <w:b/>
        </w:rPr>
        <w:t>SK</w:t>
      </w:r>
      <w:r w:rsidRPr="007D3345">
        <w:rPr>
          <w:b/>
        </w:rPr>
        <w:t xml:space="preserve"> viac ako zdvojnásobilo </w:t>
      </w:r>
      <w:r>
        <w:rPr>
          <w:b/>
        </w:rPr>
        <w:t xml:space="preserve">na </w:t>
      </w:r>
      <w:r w:rsidRPr="007D3345">
        <w:rPr>
          <w:b/>
        </w:rPr>
        <w:t>847,1 mil. eur</w:t>
      </w:r>
      <w:r>
        <w:rPr>
          <w:b/>
        </w:rPr>
        <w:t>.</w:t>
      </w:r>
      <w:r>
        <w:t xml:space="preserve"> Významne k tomu prispe</w:t>
      </w:r>
      <w:r w:rsidR="008C2FA1">
        <w:t>lo</w:t>
      </w:r>
      <w:r>
        <w:t xml:space="preserve"> MD SR (176,6 mil. eur) vďaka čerpaniu najmä </w:t>
      </w:r>
      <w:proofErr w:type="spellStart"/>
      <w:r>
        <w:t>fázovaných</w:t>
      </w:r>
      <w:proofErr w:type="spellEnd"/>
      <w:r>
        <w:t xml:space="preserve"> projektov z PO 2014 – 2020, ako aj MH SR (60,7 mil. eur) vďaka prevodu </w:t>
      </w:r>
      <w:proofErr w:type="spellStart"/>
      <w:r>
        <w:t>tranží</w:t>
      </w:r>
      <w:proofErr w:type="spellEnd"/>
      <w:r>
        <w:t xml:space="preserve"> za finančné nástroje v rámci cieľa</w:t>
      </w:r>
      <w:r w:rsidR="000A5A5A">
        <w:t xml:space="preserve"> </w:t>
      </w:r>
      <w:r>
        <w:t xml:space="preserve">politiky 1: Konkurencieschopnejšia a inteligentnejšia Európa a Fondu na spravodlivú transformáciu. </w:t>
      </w:r>
      <w:r w:rsidR="008C2FA1">
        <w:t>N</w:t>
      </w:r>
      <w:r>
        <w:t>ajnižš</w:t>
      </w:r>
      <w:r w:rsidR="008C2FA1">
        <w:t>ie</w:t>
      </w:r>
      <w:r>
        <w:t xml:space="preserve"> kontrahovan</w:t>
      </w:r>
      <w:r w:rsidR="008C2FA1">
        <w:t>ie</w:t>
      </w:r>
      <w:r>
        <w:t xml:space="preserve"> a čerpan</w:t>
      </w:r>
      <w:r w:rsidR="008C2FA1">
        <w:t>ie</w:t>
      </w:r>
      <w:r>
        <w:t xml:space="preserve"> bol</w:t>
      </w:r>
      <w:r w:rsidR="008C2FA1">
        <w:t>o na</w:t>
      </w:r>
      <w:r>
        <w:t xml:space="preserve"> </w:t>
      </w:r>
      <w:r w:rsidR="00472999">
        <w:t xml:space="preserve">MIRRI SR, v rámci ktorého takmer 91 % prostriedkov smerovalo na projekty </w:t>
      </w:r>
      <w:r w:rsidR="00472999" w:rsidRPr="00472999">
        <w:t>technickej pomoci (najmä na mzdy, vzdelávanie, publicitu a pod.).</w:t>
      </w:r>
      <w:r w:rsidR="00472999">
        <w:t xml:space="preserve"> Druhé najnižšie čerpanie malo </w:t>
      </w:r>
      <w:r>
        <w:t xml:space="preserve">MZ SR, </w:t>
      </w:r>
      <w:r w:rsidR="00901F91">
        <w:t xml:space="preserve">kde </w:t>
      </w:r>
      <w:r w:rsidR="00472999">
        <w:t>išli prostriedky</w:t>
      </w:r>
      <w:r>
        <w:t xml:space="preserve"> zatiaľ len </w:t>
      </w:r>
      <w:r w:rsidR="00472999">
        <w:t>n</w:t>
      </w:r>
      <w:r>
        <w:t>a cieľ politiky 4 Sociál</w:t>
      </w:r>
      <w:r w:rsidR="00472999">
        <w:t xml:space="preserve">nejšia a </w:t>
      </w:r>
      <w:proofErr w:type="spellStart"/>
      <w:r w:rsidR="00472999">
        <w:t>inkluzívnejšia</w:t>
      </w:r>
      <w:proofErr w:type="spellEnd"/>
      <w:r w:rsidR="00472999">
        <w:t xml:space="preserve"> Európa</w:t>
      </w:r>
      <w:r w:rsidR="00194D52">
        <w:t>.</w:t>
      </w:r>
    </w:p>
    <w:p w14:paraId="00A2F6EC" w14:textId="607CF7C8" w:rsidR="00A1201C" w:rsidRDefault="00A1201C" w:rsidP="00A1201C">
      <w:r>
        <w:rPr>
          <w:b/>
        </w:rPr>
        <w:t xml:space="preserve">NKÚ SR upozorňuje, že </w:t>
      </w:r>
      <w:r w:rsidR="00522414">
        <w:rPr>
          <w:b/>
        </w:rPr>
        <w:t>na</w:t>
      </w:r>
      <w:r w:rsidR="00522414" w:rsidRPr="00A1201C">
        <w:rPr>
          <w:b/>
        </w:rPr>
        <w:t xml:space="preserve"> </w:t>
      </w:r>
      <w:r w:rsidRPr="00A1201C">
        <w:rPr>
          <w:b/>
        </w:rPr>
        <w:t>splnenie prvého finančného míľnika P</w:t>
      </w:r>
      <w:r w:rsidR="004A2F16">
        <w:rPr>
          <w:b/>
        </w:rPr>
        <w:t xml:space="preserve"> </w:t>
      </w:r>
      <w:r w:rsidRPr="00A1201C">
        <w:rPr>
          <w:b/>
        </w:rPr>
        <w:t xml:space="preserve">SK je potrebné do konca </w:t>
      </w:r>
      <w:r>
        <w:rPr>
          <w:b/>
        </w:rPr>
        <w:t xml:space="preserve">roka </w:t>
      </w:r>
      <w:r w:rsidRPr="00A1201C">
        <w:rPr>
          <w:b/>
        </w:rPr>
        <w:t xml:space="preserve">2025 vyčerpať oprávnené výdavky v sume 729,5 mil. eur, čo je viac ako 85 % </w:t>
      </w:r>
      <w:r w:rsidR="00BA7D2F">
        <w:rPr>
          <w:b/>
        </w:rPr>
        <w:t>prostriedkov</w:t>
      </w:r>
      <w:r w:rsidRPr="00A1201C">
        <w:rPr>
          <w:b/>
        </w:rPr>
        <w:t xml:space="preserve"> čerpaných </w:t>
      </w:r>
      <w:r w:rsidR="00BA7D2F">
        <w:rPr>
          <w:b/>
        </w:rPr>
        <w:t>od začiatku implementácie</w:t>
      </w:r>
      <w:r w:rsidRPr="00A1201C">
        <w:rPr>
          <w:b/>
        </w:rPr>
        <w:t>.</w:t>
      </w:r>
      <w:r>
        <w:t xml:space="preserve"> </w:t>
      </w:r>
      <w:r w:rsidR="0040356E">
        <w:t xml:space="preserve">Ku koncu marca </w:t>
      </w:r>
      <w:r w:rsidR="0040672A">
        <w:t xml:space="preserve">2025 </w:t>
      </w:r>
      <w:r w:rsidR="0040356E">
        <w:t>č</w:t>
      </w:r>
      <w:r w:rsidRPr="00A1201C">
        <w:t>erpanie P</w:t>
      </w:r>
      <w:r w:rsidR="004A2F16">
        <w:t xml:space="preserve"> </w:t>
      </w:r>
      <w:r w:rsidRPr="00A1201C">
        <w:t xml:space="preserve">SK </w:t>
      </w:r>
      <w:r w:rsidR="0040356E">
        <w:t xml:space="preserve">dosiahlo </w:t>
      </w:r>
      <w:r w:rsidR="0040356E" w:rsidRPr="00A1201C">
        <w:t>8</w:t>
      </w:r>
      <w:r w:rsidR="00472999">
        <w:t>47</w:t>
      </w:r>
      <w:r w:rsidR="0040356E" w:rsidRPr="00A1201C">
        <w:t>,</w:t>
      </w:r>
      <w:r w:rsidR="00472999">
        <w:t xml:space="preserve">1 </w:t>
      </w:r>
      <w:r w:rsidR="0040356E" w:rsidRPr="00A1201C">
        <w:t>mil. eur</w:t>
      </w:r>
      <w:r w:rsidRPr="00A1201C">
        <w:t xml:space="preserve">, pričom spolufinancovanie zo ŠR vzrástlo na 169,3 mil. eur </w:t>
      </w:r>
      <w:r w:rsidRPr="00461B7E">
        <w:t>(tabuľka 1</w:t>
      </w:r>
      <w:r>
        <w:t>8</w:t>
      </w:r>
      <w:r w:rsidRPr="00461B7E">
        <w:t>)</w:t>
      </w:r>
      <w:r w:rsidRPr="00522414">
        <w:rPr>
          <w:bCs/>
        </w:rPr>
        <w:t xml:space="preserve">. </w:t>
      </w:r>
      <w:r>
        <w:t>V</w:t>
      </w:r>
      <w:r w:rsidR="001334B3">
        <w:t> </w:t>
      </w:r>
      <w:r>
        <w:t>O</w:t>
      </w:r>
      <w:r w:rsidR="001334B3">
        <w:t>peračnom programe</w:t>
      </w:r>
      <w:r w:rsidRPr="007D3345">
        <w:t xml:space="preserve"> Rybné hospodárstvo </w:t>
      </w:r>
      <w:r w:rsidRPr="000E473D">
        <w:t xml:space="preserve">(MPRV SR) </w:t>
      </w:r>
      <w:r>
        <w:t xml:space="preserve">je </w:t>
      </w:r>
      <w:r w:rsidRPr="000E473D">
        <w:t>termín</w:t>
      </w:r>
      <w:r w:rsidR="00522414">
        <w:t>om</w:t>
      </w:r>
      <w:r w:rsidRPr="000E473D">
        <w:t xml:space="preserve"> </w:t>
      </w:r>
      <w:r w:rsidR="00522414">
        <w:t>na</w:t>
      </w:r>
      <w:r w:rsidR="00522414" w:rsidRPr="000E473D">
        <w:t xml:space="preserve"> </w:t>
      </w:r>
      <w:r w:rsidRPr="000E473D">
        <w:t xml:space="preserve">splnenie </w:t>
      </w:r>
      <w:r>
        <w:t xml:space="preserve">prvého finančného </w:t>
      </w:r>
      <w:r w:rsidRPr="000E473D">
        <w:t>míľnika koniec roka 2026</w:t>
      </w:r>
      <w:r>
        <w:t>.</w:t>
      </w:r>
      <w:r w:rsidRPr="000E473D">
        <w:t xml:space="preserve"> </w:t>
      </w:r>
      <w:r>
        <w:t>P</w:t>
      </w:r>
      <w:r w:rsidRPr="000E473D">
        <w:t xml:space="preserve">rogram </w:t>
      </w:r>
      <w:r>
        <w:t xml:space="preserve">však </w:t>
      </w:r>
      <w:r w:rsidRPr="007D3345">
        <w:t>aktuálne nevykazuje žiadne čerpanie a </w:t>
      </w:r>
      <w:r>
        <w:t>do</w:t>
      </w:r>
      <w:r w:rsidRPr="007D3345">
        <w:t xml:space="preserve"> konc</w:t>
      </w:r>
      <w:r>
        <w:t>a</w:t>
      </w:r>
      <w:r w:rsidRPr="007D3345">
        <w:t xml:space="preserve"> 2026</w:t>
      </w:r>
      <w:r>
        <w:t xml:space="preserve"> </w:t>
      </w:r>
      <w:r w:rsidRPr="007D3345">
        <w:t>musí vyčerpať viac ako tretinu celkovej alokácie (5,4 mil. eur).</w:t>
      </w:r>
    </w:p>
    <w:p w14:paraId="06E76D0A" w14:textId="4E67AC5E" w:rsidR="00A1201C" w:rsidRDefault="00A1201C" w:rsidP="00A1201C">
      <w:pPr>
        <w:keepNext/>
        <w:spacing w:after="0" w:line="240" w:lineRule="auto"/>
      </w:pPr>
      <w:r w:rsidRPr="004F758A">
        <w:rPr>
          <w:b/>
          <w:iCs/>
          <w:color w:val="314364"/>
          <w:szCs w:val="18"/>
        </w:rPr>
        <w:t>Tabuľka</w:t>
      </w:r>
      <w:r>
        <w:rPr>
          <w:b/>
          <w:iCs/>
          <w:color w:val="314364"/>
          <w:szCs w:val="18"/>
        </w:rPr>
        <w:t xml:space="preserve"> 18</w:t>
      </w:r>
      <w:r w:rsidRPr="004F758A">
        <w:rPr>
          <w:b/>
          <w:iCs/>
          <w:color w:val="314364"/>
          <w:szCs w:val="18"/>
        </w:rPr>
        <w:t xml:space="preserve">: </w:t>
      </w:r>
      <w:r w:rsidRPr="009C39D8">
        <w:rPr>
          <w:b/>
          <w:iCs/>
          <w:color w:val="314364"/>
          <w:szCs w:val="18"/>
        </w:rPr>
        <w:t xml:space="preserve">Stav </w:t>
      </w:r>
      <w:r>
        <w:rPr>
          <w:b/>
          <w:iCs/>
          <w:color w:val="314364"/>
          <w:szCs w:val="18"/>
        </w:rPr>
        <w:t>čerpania piatich programov PO 2021 – 2027 (v mil. eur</w:t>
      </w:r>
      <w:r w:rsidR="00832BC2">
        <w:rPr>
          <w:b/>
          <w:iCs/>
          <w:color w:val="314364"/>
          <w:szCs w:val="18"/>
        </w:rPr>
        <w:t>;</w:t>
      </w:r>
      <w:r>
        <w:rPr>
          <w:b/>
          <w:iCs/>
          <w:color w:val="314364"/>
          <w:szCs w:val="18"/>
        </w:rPr>
        <w:t xml:space="preserve"> v %)</w:t>
      </w:r>
    </w:p>
    <w:tbl>
      <w:tblPr>
        <w:tblW w:w="9072" w:type="dxa"/>
        <w:tblCellMar>
          <w:left w:w="70" w:type="dxa"/>
          <w:right w:w="70" w:type="dxa"/>
        </w:tblCellMar>
        <w:tblLook w:val="04A0" w:firstRow="1" w:lastRow="0" w:firstColumn="1" w:lastColumn="0" w:noHBand="0" w:noVBand="1"/>
      </w:tblPr>
      <w:tblGrid>
        <w:gridCol w:w="1780"/>
        <w:gridCol w:w="1020"/>
        <w:gridCol w:w="989"/>
        <w:gridCol w:w="1213"/>
        <w:gridCol w:w="1128"/>
        <w:gridCol w:w="1128"/>
        <w:gridCol w:w="1814"/>
      </w:tblGrid>
      <w:tr w:rsidR="00A1201C" w:rsidRPr="00A54521" w14:paraId="6DD1967C" w14:textId="77777777" w:rsidTr="004A2F16">
        <w:trPr>
          <w:trHeight w:val="283"/>
        </w:trPr>
        <w:tc>
          <w:tcPr>
            <w:tcW w:w="1800" w:type="dxa"/>
            <w:tcBorders>
              <w:top w:val="nil"/>
              <w:left w:val="nil"/>
              <w:bottom w:val="nil"/>
              <w:right w:val="nil"/>
            </w:tcBorders>
            <w:shd w:val="clear" w:color="000000" w:fill="314364"/>
            <w:vAlign w:val="center"/>
            <w:hideMark/>
          </w:tcPr>
          <w:p w14:paraId="774EE00A" w14:textId="77777777" w:rsidR="00A1201C" w:rsidRPr="00862458" w:rsidRDefault="00A1201C" w:rsidP="004A2F16">
            <w:pPr>
              <w:spacing w:after="0" w:line="240" w:lineRule="auto"/>
              <w:jc w:val="left"/>
              <w:rPr>
                <w:rFonts w:eastAsia="Times New Roman" w:cs="Segoe UI"/>
                <w:b/>
                <w:bCs/>
                <w:color w:val="FFFFFF"/>
                <w:sz w:val="18"/>
                <w:szCs w:val="18"/>
                <w:lang w:eastAsia="sk-SK"/>
              </w:rPr>
            </w:pPr>
            <w:r w:rsidRPr="00862458">
              <w:rPr>
                <w:rFonts w:eastAsia="Times New Roman" w:cs="Segoe UI"/>
                <w:b/>
                <w:bCs/>
                <w:color w:val="FFFFFF"/>
                <w:sz w:val="18"/>
                <w:szCs w:val="18"/>
                <w:lang w:eastAsia="sk-SK"/>
              </w:rPr>
              <w:t>Program</w:t>
            </w:r>
          </w:p>
        </w:tc>
        <w:tc>
          <w:tcPr>
            <w:tcW w:w="1035" w:type="dxa"/>
            <w:tcBorders>
              <w:top w:val="nil"/>
              <w:left w:val="nil"/>
              <w:bottom w:val="nil"/>
              <w:right w:val="nil"/>
            </w:tcBorders>
            <w:shd w:val="clear" w:color="000000" w:fill="314364"/>
            <w:vAlign w:val="center"/>
            <w:hideMark/>
          </w:tcPr>
          <w:p w14:paraId="27F5C8F2" w14:textId="77777777" w:rsidR="00A1201C" w:rsidRPr="00862458" w:rsidRDefault="00A1201C" w:rsidP="004A2F16">
            <w:pPr>
              <w:spacing w:after="0" w:line="240" w:lineRule="auto"/>
              <w:ind w:hanging="312"/>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Alokácia</w:t>
            </w:r>
          </w:p>
        </w:tc>
        <w:tc>
          <w:tcPr>
            <w:tcW w:w="993" w:type="dxa"/>
            <w:tcBorders>
              <w:top w:val="nil"/>
              <w:left w:val="nil"/>
              <w:bottom w:val="nil"/>
              <w:right w:val="nil"/>
            </w:tcBorders>
            <w:shd w:val="clear" w:color="000000" w:fill="314364"/>
            <w:vAlign w:val="center"/>
            <w:hideMark/>
          </w:tcPr>
          <w:p w14:paraId="1B2ABDF7" w14:textId="77777777" w:rsidR="00A1201C" w:rsidRPr="00862458" w:rsidRDefault="00A1201C" w:rsidP="004A2F16">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Čerpanie v roku 2024</w:t>
            </w:r>
          </w:p>
        </w:tc>
        <w:tc>
          <w:tcPr>
            <w:tcW w:w="1134" w:type="dxa"/>
            <w:tcBorders>
              <w:top w:val="nil"/>
              <w:left w:val="nil"/>
              <w:bottom w:val="nil"/>
              <w:right w:val="nil"/>
            </w:tcBorders>
            <w:shd w:val="clear" w:color="000000" w:fill="314364"/>
            <w:vAlign w:val="center"/>
            <w:hideMark/>
          </w:tcPr>
          <w:p w14:paraId="51C65C3C" w14:textId="77777777" w:rsidR="00A1201C" w:rsidRPr="00862458" w:rsidRDefault="00A1201C" w:rsidP="004A2F16">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Kumulatívne čerpanie  k 31.3.2025</w:t>
            </w:r>
          </w:p>
        </w:tc>
        <w:tc>
          <w:tcPr>
            <w:tcW w:w="1134" w:type="dxa"/>
            <w:tcBorders>
              <w:top w:val="nil"/>
              <w:left w:val="nil"/>
              <w:bottom w:val="nil"/>
              <w:right w:val="nil"/>
            </w:tcBorders>
            <w:shd w:val="clear" w:color="000000" w:fill="314364"/>
            <w:vAlign w:val="center"/>
            <w:hideMark/>
          </w:tcPr>
          <w:p w14:paraId="41CD49C8" w14:textId="77777777" w:rsidR="00A1201C" w:rsidRPr="00862458" w:rsidRDefault="00A1201C" w:rsidP="004A2F16">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Nárast čerpania od 1.1.2025 do 31.3.2025</w:t>
            </w:r>
          </w:p>
        </w:tc>
        <w:tc>
          <w:tcPr>
            <w:tcW w:w="1134" w:type="dxa"/>
            <w:tcBorders>
              <w:top w:val="nil"/>
              <w:left w:val="nil"/>
              <w:bottom w:val="nil"/>
              <w:right w:val="nil"/>
            </w:tcBorders>
            <w:shd w:val="clear" w:color="000000" w:fill="314364"/>
            <w:vAlign w:val="center"/>
            <w:hideMark/>
          </w:tcPr>
          <w:p w14:paraId="7B944B47" w14:textId="77777777" w:rsidR="00A1201C" w:rsidRPr="00862458" w:rsidRDefault="00A1201C" w:rsidP="004A2F16">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Podiel čerpania na alokácii k 31.3.2025   (v %)</w:t>
            </w:r>
          </w:p>
        </w:tc>
        <w:tc>
          <w:tcPr>
            <w:tcW w:w="1842" w:type="dxa"/>
            <w:tcBorders>
              <w:top w:val="nil"/>
              <w:left w:val="nil"/>
              <w:bottom w:val="nil"/>
              <w:right w:val="nil"/>
            </w:tcBorders>
            <w:shd w:val="clear" w:color="000000" w:fill="314364"/>
            <w:vAlign w:val="center"/>
            <w:hideMark/>
          </w:tcPr>
          <w:p w14:paraId="0318E9E5" w14:textId="77777777" w:rsidR="00A1201C" w:rsidRPr="00862458" w:rsidRDefault="00A1201C" w:rsidP="004A2F16">
            <w:pPr>
              <w:spacing w:after="0" w:line="240" w:lineRule="auto"/>
              <w:jc w:val="center"/>
              <w:rPr>
                <w:rFonts w:eastAsia="Times New Roman" w:cs="Segoe UI"/>
                <w:b/>
                <w:bCs/>
                <w:color w:val="FFFFFF"/>
                <w:sz w:val="18"/>
                <w:szCs w:val="18"/>
                <w:lang w:eastAsia="sk-SK"/>
              </w:rPr>
            </w:pPr>
            <w:r w:rsidRPr="00862458">
              <w:rPr>
                <w:rFonts w:eastAsia="Times New Roman" w:cs="Segoe UI"/>
                <w:b/>
                <w:bCs/>
                <w:color w:val="FFFFFF"/>
                <w:sz w:val="18"/>
                <w:szCs w:val="18"/>
                <w:lang w:eastAsia="sk-SK"/>
              </w:rPr>
              <w:t>Potrebné ešte čerpať do 31. 12. 2025  pre splnenie pravidla n+3  (podľa stavu čerpania k 31.3.2025)</w:t>
            </w:r>
          </w:p>
        </w:tc>
      </w:tr>
      <w:tr w:rsidR="00A1201C" w:rsidRPr="00A54521" w14:paraId="482F1352" w14:textId="77777777" w:rsidTr="004A2F16">
        <w:trPr>
          <w:trHeight w:val="283"/>
        </w:trPr>
        <w:tc>
          <w:tcPr>
            <w:tcW w:w="1800" w:type="dxa"/>
            <w:tcBorders>
              <w:top w:val="nil"/>
              <w:left w:val="nil"/>
              <w:bottom w:val="nil"/>
              <w:right w:val="nil"/>
            </w:tcBorders>
            <w:shd w:val="clear" w:color="auto" w:fill="auto"/>
            <w:vAlign w:val="center"/>
            <w:hideMark/>
          </w:tcPr>
          <w:p w14:paraId="1C86F7E8" w14:textId="77777777" w:rsidR="00A1201C" w:rsidRPr="00862458" w:rsidRDefault="00A1201C" w:rsidP="004A2F16">
            <w:pPr>
              <w:spacing w:after="0" w:line="240" w:lineRule="auto"/>
              <w:jc w:val="left"/>
              <w:rPr>
                <w:rFonts w:eastAsia="Times New Roman" w:cs="Segoe UI"/>
                <w:color w:val="000000"/>
                <w:sz w:val="18"/>
                <w:szCs w:val="18"/>
                <w:lang w:eastAsia="sk-SK"/>
              </w:rPr>
            </w:pPr>
            <w:r w:rsidRPr="00862458">
              <w:rPr>
                <w:rFonts w:eastAsia="Times New Roman" w:cs="Segoe UI"/>
                <w:color w:val="000000"/>
                <w:sz w:val="18"/>
                <w:szCs w:val="18"/>
                <w:lang w:eastAsia="sk-SK"/>
              </w:rPr>
              <w:t>Program Slovensko</w:t>
            </w:r>
          </w:p>
        </w:tc>
        <w:tc>
          <w:tcPr>
            <w:tcW w:w="1035" w:type="dxa"/>
            <w:tcBorders>
              <w:top w:val="nil"/>
              <w:left w:val="nil"/>
              <w:bottom w:val="nil"/>
              <w:right w:val="nil"/>
            </w:tcBorders>
            <w:shd w:val="clear" w:color="auto" w:fill="auto"/>
            <w:vAlign w:val="center"/>
            <w:hideMark/>
          </w:tcPr>
          <w:p w14:paraId="00E13635"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12 593,7</w:t>
            </w:r>
          </w:p>
        </w:tc>
        <w:tc>
          <w:tcPr>
            <w:tcW w:w="993" w:type="dxa"/>
            <w:tcBorders>
              <w:top w:val="nil"/>
              <w:left w:val="nil"/>
              <w:bottom w:val="nil"/>
              <w:right w:val="nil"/>
            </w:tcBorders>
            <w:shd w:val="clear" w:color="auto" w:fill="auto"/>
            <w:vAlign w:val="center"/>
            <w:hideMark/>
          </w:tcPr>
          <w:p w14:paraId="5AE94833"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382,3</w:t>
            </w:r>
          </w:p>
        </w:tc>
        <w:tc>
          <w:tcPr>
            <w:tcW w:w="1134" w:type="dxa"/>
            <w:tcBorders>
              <w:top w:val="nil"/>
              <w:left w:val="nil"/>
              <w:bottom w:val="nil"/>
              <w:right w:val="nil"/>
            </w:tcBorders>
            <w:shd w:val="clear" w:color="auto" w:fill="auto"/>
            <w:vAlign w:val="center"/>
            <w:hideMark/>
          </w:tcPr>
          <w:p w14:paraId="4283A82A"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847,1</w:t>
            </w:r>
          </w:p>
        </w:tc>
        <w:tc>
          <w:tcPr>
            <w:tcW w:w="1134" w:type="dxa"/>
            <w:tcBorders>
              <w:top w:val="nil"/>
              <w:left w:val="nil"/>
              <w:bottom w:val="nil"/>
              <w:right w:val="nil"/>
            </w:tcBorders>
            <w:shd w:val="clear" w:color="auto" w:fill="auto"/>
            <w:vAlign w:val="center"/>
            <w:hideMark/>
          </w:tcPr>
          <w:p w14:paraId="4FD73E2E"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464,9</w:t>
            </w:r>
          </w:p>
        </w:tc>
        <w:tc>
          <w:tcPr>
            <w:tcW w:w="1134" w:type="dxa"/>
            <w:tcBorders>
              <w:top w:val="nil"/>
              <w:left w:val="nil"/>
              <w:bottom w:val="nil"/>
              <w:right w:val="nil"/>
            </w:tcBorders>
            <w:shd w:val="clear" w:color="auto" w:fill="auto"/>
            <w:vAlign w:val="center"/>
            <w:hideMark/>
          </w:tcPr>
          <w:p w14:paraId="0F794C45"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6,7%</w:t>
            </w:r>
          </w:p>
        </w:tc>
        <w:tc>
          <w:tcPr>
            <w:tcW w:w="1842" w:type="dxa"/>
            <w:tcBorders>
              <w:top w:val="nil"/>
              <w:left w:val="nil"/>
              <w:bottom w:val="nil"/>
              <w:right w:val="nil"/>
            </w:tcBorders>
            <w:shd w:val="clear" w:color="auto" w:fill="auto"/>
            <w:vAlign w:val="center"/>
            <w:hideMark/>
          </w:tcPr>
          <w:p w14:paraId="3B6FB993"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720,9</w:t>
            </w:r>
          </w:p>
        </w:tc>
      </w:tr>
      <w:tr w:rsidR="00A1201C" w:rsidRPr="00A54521" w14:paraId="15D30F4E" w14:textId="77777777" w:rsidTr="004A2F16">
        <w:trPr>
          <w:trHeight w:val="283"/>
        </w:trPr>
        <w:tc>
          <w:tcPr>
            <w:tcW w:w="1800" w:type="dxa"/>
            <w:tcBorders>
              <w:top w:val="nil"/>
              <w:left w:val="nil"/>
              <w:bottom w:val="nil"/>
              <w:right w:val="nil"/>
            </w:tcBorders>
            <w:shd w:val="clear" w:color="auto" w:fill="auto"/>
            <w:vAlign w:val="center"/>
            <w:hideMark/>
          </w:tcPr>
          <w:p w14:paraId="5104FF3D" w14:textId="77777777" w:rsidR="00A1201C" w:rsidRPr="00862458" w:rsidRDefault="00A1201C" w:rsidP="004A2F16">
            <w:pPr>
              <w:spacing w:after="0" w:line="240" w:lineRule="auto"/>
              <w:jc w:val="left"/>
              <w:rPr>
                <w:rFonts w:eastAsia="Times New Roman" w:cs="Segoe UI"/>
                <w:color w:val="000000"/>
                <w:sz w:val="18"/>
                <w:szCs w:val="18"/>
                <w:lang w:eastAsia="sk-SK"/>
              </w:rPr>
            </w:pPr>
            <w:proofErr w:type="spellStart"/>
            <w:r w:rsidRPr="00862458">
              <w:rPr>
                <w:rFonts w:eastAsia="Times New Roman" w:cs="Segoe UI"/>
                <w:color w:val="000000"/>
                <w:sz w:val="18"/>
                <w:szCs w:val="18"/>
                <w:lang w:eastAsia="sk-SK"/>
              </w:rPr>
              <w:t>Interreg</w:t>
            </w:r>
            <w:proofErr w:type="spellEnd"/>
            <w:r w:rsidRPr="00862458">
              <w:rPr>
                <w:rFonts w:eastAsia="Times New Roman" w:cs="Segoe UI"/>
                <w:color w:val="000000"/>
                <w:sz w:val="18"/>
                <w:szCs w:val="18"/>
                <w:lang w:eastAsia="sk-SK"/>
              </w:rPr>
              <w:t xml:space="preserve"> SK-CZ</w:t>
            </w:r>
          </w:p>
        </w:tc>
        <w:tc>
          <w:tcPr>
            <w:tcW w:w="1035" w:type="dxa"/>
            <w:tcBorders>
              <w:top w:val="nil"/>
              <w:left w:val="nil"/>
              <w:bottom w:val="nil"/>
              <w:right w:val="nil"/>
            </w:tcBorders>
            <w:shd w:val="clear" w:color="auto" w:fill="auto"/>
            <w:vAlign w:val="center"/>
            <w:hideMark/>
          </w:tcPr>
          <w:p w14:paraId="47C0A7D1"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85,3</w:t>
            </w:r>
          </w:p>
        </w:tc>
        <w:tc>
          <w:tcPr>
            <w:tcW w:w="993" w:type="dxa"/>
            <w:tcBorders>
              <w:top w:val="nil"/>
              <w:left w:val="nil"/>
              <w:bottom w:val="nil"/>
              <w:right w:val="nil"/>
            </w:tcBorders>
            <w:shd w:val="clear" w:color="auto" w:fill="auto"/>
            <w:vAlign w:val="center"/>
            <w:hideMark/>
          </w:tcPr>
          <w:p w14:paraId="44F2E2E7"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134" w:type="dxa"/>
            <w:tcBorders>
              <w:top w:val="nil"/>
              <w:left w:val="nil"/>
              <w:bottom w:val="nil"/>
              <w:right w:val="nil"/>
            </w:tcBorders>
            <w:shd w:val="clear" w:color="auto" w:fill="auto"/>
            <w:vAlign w:val="center"/>
            <w:hideMark/>
          </w:tcPr>
          <w:p w14:paraId="34F799ED"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134" w:type="dxa"/>
            <w:tcBorders>
              <w:top w:val="nil"/>
              <w:left w:val="nil"/>
              <w:bottom w:val="nil"/>
              <w:right w:val="nil"/>
            </w:tcBorders>
            <w:shd w:val="clear" w:color="auto" w:fill="auto"/>
            <w:vAlign w:val="center"/>
            <w:hideMark/>
          </w:tcPr>
          <w:p w14:paraId="19D8E30E"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134" w:type="dxa"/>
            <w:tcBorders>
              <w:top w:val="nil"/>
              <w:left w:val="nil"/>
              <w:bottom w:val="nil"/>
              <w:right w:val="nil"/>
            </w:tcBorders>
            <w:shd w:val="clear" w:color="auto" w:fill="auto"/>
            <w:vAlign w:val="center"/>
            <w:hideMark/>
          </w:tcPr>
          <w:p w14:paraId="308B4E47"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842" w:type="dxa"/>
            <w:tcBorders>
              <w:top w:val="nil"/>
              <w:left w:val="nil"/>
              <w:bottom w:val="nil"/>
              <w:right w:val="nil"/>
            </w:tcBorders>
            <w:shd w:val="clear" w:color="auto" w:fill="auto"/>
            <w:vAlign w:val="center"/>
            <w:hideMark/>
          </w:tcPr>
          <w:p w14:paraId="6B46CA7D"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5,2</w:t>
            </w:r>
          </w:p>
        </w:tc>
      </w:tr>
      <w:tr w:rsidR="00A1201C" w:rsidRPr="00A54521" w14:paraId="094AE71C" w14:textId="77777777" w:rsidTr="004A2F16">
        <w:trPr>
          <w:trHeight w:val="283"/>
        </w:trPr>
        <w:tc>
          <w:tcPr>
            <w:tcW w:w="1800" w:type="dxa"/>
            <w:tcBorders>
              <w:top w:val="nil"/>
              <w:left w:val="nil"/>
              <w:bottom w:val="nil"/>
              <w:right w:val="nil"/>
            </w:tcBorders>
            <w:shd w:val="clear" w:color="auto" w:fill="auto"/>
            <w:vAlign w:val="center"/>
            <w:hideMark/>
          </w:tcPr>
          <w:p w14:paraId="5CFEDA68" w14:textId="77777777" w:rsidR="00A1201C" w:rsidRPr="00862458" w:rsidRDefault="00A1201C" w:rsidP="004A2F16">
            <w:pPr>
              <w:spacing w:after="0" w:line="240" w:lineRule="auto"/>
              <w:jc w:val="left"/>
              <w:rPr>
                <w:rFonts w:eastAsia="Times New Roman" w:cs="Segoe UI"/>
                <w:color w:val="000000"/>
                <w:sz w:val="18"/>
                <w:szCs w:val="18"/>
                <w:lang w:eastAsia="sk-SK"/>
              </w:rPr>
            </w:pPr>
            <w:proofErr w:type="spellStart"/>
            <w:r w:rsidRPr="00862458">
              <w:rPr>
                <w:rFonts w:eastAsia="Times New Roman" w:cs="Segoe UI"/>
                <w:color w:val="000000"/>
                <w:sz w:val="18"/>
                <w:szCs w:val="18"/>
                <w:lang w:eastAsia="sk-SK"/>
              </w:rPr>
              <w:t>Interreg</w:t>
            </w:r>
            <w:proofErr w:type="spellEnd"/>
            <w:r w:rsidRPr="00862458">
              <w:rPr>
                <w:rFonts w:eastAsia="Times New Roman" w:cs="Segoe UI"/>
                <w:color w:val="000000"/>
                <w:sz w:val="18"/>
                <w:szCs w:val="18"/>
                <w:lang w:eastAsia="sk-SK"/>
              </w:rPr>
              <w:t xml:space="preserve"> SK-AT</w:t>
            </w:r>
          </w:p>
        </w:tc>
        <w:tc>
          <w:tcPr>
            <w:tcW w:w="1035" w:type="dxa"/>
            <w:tcBorders>
              <w:top w:val="nil"/>
              <w:left w:val="nil"/>
              <w:bottom w:val="nil"/>
              <w:right w:val="nil"/>
            </w:tcBorders>
            <w:shd w:val="clear" w:color="auto" w:fill="auto"/>
            <w:vAlign w:val="center"/>
            <w:hideMark/>
          </w:tcPr>
          <w:p w14:paraId="380DB507"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55,5</w:t>
            </w:r>
          </w:p>
        </w:tc>
        <w:tc>
          <w:tcPr>
            <w:tcW w:w="993" w:type="dxa"/>
            <w:tcBorders>
              <w:top w:val="nil"/>
              <w:left w:val="nil"/>
              <w:bottom w:val="nil"/>
              <w:right w:val="nil"/>
            </w:tcBorders>
            <w:shd w:val="clear" w:color="auto" w:fill="auto"/>
            <w:vAlign w:val="center"/>
            <w:hideMark/>
          </w:tcPr>
          <w:p w14:paraId="00E6A0F1"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134" w:type="dxa"/>
            <w:tcBorders>
              <w:top w:val="nil"/>
              <w:left w:val="nil"/>
              <w:bottom w:val="nil"/>
              <w:right w:val="nil"/>
            </w:tcBorders>
            <w:shd w:val="clear" w:color="auto" w:fill="auto"/>
            <w:vAlign w:val="center"/>
            <w:hideMark/>
          </w:tcPr>
          <w:p w14:paraId="2AB8F766"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134" w:type="dxa"/>
            <w:tcBorders>
              <w:top w:val="nil"/>
              <w:left w:val="nil"/>
              <w:bottom w:val="nil"/>
              <w:right w:val="nil"/>
            </w:tcBorders>
            <w:shd w:val="clear" w:color="auto" w:fill="auto"/>
            <w:vAlign w:val="center"/>
            <w:hideMark/>
          </w:tcPr>
          <w:p w14:paraId="14F7C03A"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134" w:type="dxa"/>
            <w:tcBorders>
              <w:top w:val="nil"/>
              <w:left w:val="nil"/>
              <w:bottom w:val="nil"/>
              <w:right w:val="nil"/>
            </w:tcBorders>
            <w:shd w:val="clear" w:color="auto" w:fill="auto"/>
            <w:vAlign w:val="center"/>
            <w:hideMark/>
          </w:tcPr>
          <w:p w14:paraId="7F962A93"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842" w:type="dxa"/>
            <w:tcBorders>
              <w:top w:val="nil"/>
              <w:left w:val="nil"/>
              <w:bottom w:val="nil"/>
              <w:right w:val="nil"/>
            </w:tcBorders>
            <w:shd w:val="clear" w:color="auto" w:fill="auto"/>
            <w:vAlign w:val="center"/>
            <w:hideMark/>
          </w:tcPr>
          <w:p w14:paraId="3EEC461F"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3,4</w:t>
            </w:r>
          </w:p>
        </w:tc>
      </w:tr>
      <w:tr w:rsidR="00A1201C" w:rsidRPr="00A54521" w14:paraId="753A01F2" w14:textId="77777777" w:rsidTr="004A2F16">
        <w:trPr>
          <w:trHeight w:val="283"/>
        </w:trPr>
        <w:tc>
          <w:tcPr>
            <w:tcW w:w="1800" w:type="dxa"/>
            <w:tcBorders>
              <w:top w:val="nil"/>
              <w:left w:val="nil"/>
              <w:bottom w:val="nil"/>
              <w:right w:val="nil"/>
            </w:tcBorders>
            <w:shd w:val="clear" w:color="auto" w:fill="auto"/>
            <w:vAlign w:val="center"/>
            <w:hideMark/>
          </w:tcPr>
          <w:p w14:paraId="1990DA77" w14:textId="77777777" w:rsidR="00A1201C" w:rsidRPr="00862458" w:rsidRDefault="00A1201C" w:rsidP="004A2F16">
            <w:pPr>
              <w:spacing w:after="0" w:line="240" w:lineRule="auto"/>
              <w:jc w:val="left"/>
              <w:rPr>
                <w:rFonts w:eastAsia="Times New Roman" w:cs="Segoe UI"/>
                <w:color w:val="000000"/>
                <w:sz w:val="18"/>
                <w:szCs w:val="18"/>
                <w:lang w:eastAsia="sk-SK"/>
              </w:rPr>
            </w:pPr>
            <w:r w:rsidRPr="00862458">
              <w:rPr>
                <w:rFonts w:eastAsia="Times New Roman" w:cs="Segoe UI"/>
                <w:color w:val="000000"/>
                <w:sz w:val="18"/>
                <w:szCs w:val="18"/>
                <w:lang w:eastAsia="sk-SK"/>
              </w:rPr>
              <w:t>Program Rybné hospodárstvo</w:t>
            </w:r>
          </w:p>
        </w:tc>
        <w:tc>
          <w:tcPr>
            <w:tcW w:w="1035" w:type="dxa"/>
            <w:tcBorders>
              <w:top w:val="nil"/>
              <w:left w:val="nil"/>
              <w:bottom w:val="nil"/>
              <w:right w:val="nil"/>
            </w:tcBorders>
            <w:shd w:val="clear" w:color="auto" w:fill="auto"/>
            <w:vAlign w:val="center"/>
            <w:hideMark/>
          </w:tcPr>
          <w:p w14:paraId="6519D108"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15,2</w:t>
            </w:r>
          </w:p>
        </w:tc>
        <w:tc>
          <w:tcPr>
            <w:tcW w:w="993" w:type="dxa"/>
            <w:tcBorders>
              <w:top w:val="nil"/>
              <w:left w:val="nil"/>
              <w:bottom w:val="nil"/>
              <w:right w:val="nil"/>
            </w:tcBorders>
            <w:shd w:val="clear" w:color="auto" w:fill="auto"/>
            <w:vAlign w:val="center"/>
            <w:hideMark/>
          </w:tcPr>
          <w:p w14:paraId="2A751CE3"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134" w:type="dxa"/>
            <w:tcBorders>
              <w:top w:val="nil"/>
              <w:left w:val="nil"/>
              <w:bottom w:val="nil"/>
              <w:right w:val="nil"/>
            </w:tcBorders>
            <w:shd w:val="clear" w:color="auto" w:fill="auto"/>
            <w:vAlign w:val="center"/>
            <w:hideMark/>
          </w:tcPr>
          <w:p w14:paraId="69E20967"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134" w:type="dxa"/>
            <w:tcBorders>
              <w:top w:val="nil"/>
              <w:left w:val="nil"/>
              <w:bottom w:val="nil"/>
              <w:right w:val="nil"/>
            </w:tcBorders>
            <w:shd w:val="clear" w:color="auto" w:fill="auto"/>
            <w:vAlign w:val="center"/>
            <w:hideMark/>
          </w:tcPr>
          <w:p w14:paraId="1F8FA590"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134" w:type="dxa"/>
            <w:tcBorders>
              <w:top w:val="nil"/>
              <w:left w:val="nil"/>
              <w:bottom w:val="nil"/>
              <w:right w:val="nil"/>
            </w:tcBorders>
            <w:shd w:val="clear" w:color="auto" w:fill="auto"/>
            <w:vAlign w:val="center"/>
            <w:hideMark/>
          </w:tcPr>
          <w:p w14:paraId="64CF436D"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c>
          <w:tcPr>
            <w:tcW w:w="1842" w:type="dxa"/>
            <w:tcBorders>
              <w:top w:val="nil"/>
              <w:left w:val="nil"/>
              <w:bottom w:val="nil"/>
              <w:right w:val="nil"/>
            </w:tcBorders>
            <w:shd w:val="clear" w:color="auto" w:fill="auto"/>
            <w:vAlign w:val="center"/>
            <w:hideMark/>
          </w:tcPr>
          <w:p w14:paraId="7E5A9CB0"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w:t>
            </w:r>
          </w:p>
        </w:tc>
      </w:tr>
      <w:tr w:rsidR="00A1201C" w:rsidRPr="00A54521" w14:paraId="0B1BFF83" w14:textId="77777777" w:rsidTr="004A2F16">
        <w:trPr>
          <w:trHeight w:val="283"/>
        </w:trPr>
        <w:tc>
          <w:tcPr>
            <w:tcW w:w="1800" w:type="dxa"/>
            <w:tcBorders>
              <w:top w:val="nil"/>
              <w:left w:val="nil"/>
              <w:bottom w:val="nil"/>
              <w:right w:val="nil"/>
            </w:tcBorders>
            <w:shd w:val="clear" w:color="auto" w:fill="auto"/>
            <w:vAlign w:val="center"/>
            <w:hideMark/>
          </w:tcPr>
          <w:p w14:paraId="4D69A46A" w14:textId="77777777" w:rsidR="00A1201C" w:rsidRPr="00862458" w:rsidRDefault="00A1201C" w:rsidP="004A2F16">
            <w:pPr>
              <w:spacing w:after="0" w:line="240" w:lineRule="auto"/>
              <w:jc w:val="left"/>
              <w:rPr>
                <w:rFonts w:eastAsia="Times New Roman" w:cs="Segoe UI"/>
                <w:color w:val="000000"/>
                <w:sz w:val="18"/>
                <w:szCs w:val="18"/>
                <w:lang w:eastAsia="sk-SK"/>
              </w:rPr>
            </w:pPr>
            <w:proofErr w:type="spellStart"/>
            <w:r w:rsidRPr="00862458">
              <w:rPr>
                <w:rFonts w:eastAsia="Times New Roman" w:cs="Segoe UI"/>
                <w:color w:val="000000"/>
                <w:sz w:val="18"/>
                <w:szCs w:val="18"/>
                <w:lang w:eastAsia="sk-SK"/>
              </w:rPr>
              <w:t>Interact</w:t>
            </w:r>
            <w:proofErr w:type="spellEnd"/>
            <w:r w:rsidRPr="00862458">
              <w:rPr>
                <w:rFonts w:eastAsia="Times New Roman" w:cs="Segoe UI"/>
                <w:color w:val="000000"/>
                <w:sz w:val="18"/>
                <w:szCs w:val="18"/>
                <w:lang w:eastAsia="sk-SK"/>
              </w:rPr>
              <w:t xml:space="preserve"> IV</w:t>
            </w:r>
          </w:p>
        </w:tc>
        <w:tc>
          <w:tcPr>
            <w:tcW w:w="1035" w:type="dxa"/>
            <w:tcBorders>
              <w:top w:val="nil"/>
              <w:left w:val="nil"/>
              <w:bottom w:val="nil"/>
              <w:right w:val="nil"/>
            </w:tcBorders>
            <w:shd w:val="clear" w:color="auto" w:fill="auto"/>
            <w:vAlign w:val="center"/>
            <w:hideMark/>
          </w:tcPr>
          <w:p w14:paraId="68D547F4"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45,0</w:t>
            </w:r>
          </w:p>
        </w:tc>
        <w:tc>
          <w:tcPr>
            <w:tcW w:w="993" w:type="dxa"/>
            <w:tcBorders>
              <w:top w:val="nil"/>
              <w:left w:val="nil"/>
              <w:bottom w:val="nil"/>
              <w:right w:val="nil"/>
            </w:tcBorders>
            <w:shd w:val="clear" w:color="auto" w:fill="auto"/>
            <w:vAlign w:val="center"/>
            <w:hideMark/>
          </w:tcPr>
          <w:p w14:paraId="5936467D"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5,9</w:t>
            </w:r>
          </w:p>
        </w:tc>
        <w:tc>
          <w:tcPr>
            <w:tcW w:w="1134" w:type="dxa"/>
            <w:tcBorders>
              <w:top w:val="nil"/>
              <w:left w:val="nil"/>
              <w:bottom w:val="nil"/>
              <w:right w:val="nil"/>
            </w:tcBorders>
            <w:shd w:val="clear" w:color="auto" w:fill="auto"/>
            <w:vAlign w:val="center"/>
            <w:hideMark/>
          </w:tcPr>
          <w:p w14:paraId="123B0400"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9,6</w:t>
            </w:r>
          </w:p>
        </w:tc>
        <w:tc>
          <w:tcPr>
            <w:tcW w:w="1134" w:type="dxa"/>
            <w:tcBorders>
              <w:top w:val="nil"/>
              <w:left w:val="nil"/>
              <w:bottom w:val="nil"/>
              <w:right w:val="nil"/>
            </w:tcBorders>
            <w:shd w:val="clear" w:color="auto" w:fill="auto"/>
            <w:vAlign w:val="center"/>
            <w:hideMark/>
          </w:tcPr>
          <w:p w14:paraId="7D153EA0"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3,7</w:t>
            </w:r>
          </w:p>
        </w:tc>
        <w:tc>
          <w:tcPr>
            <w:tcW w:w="1134" w:type="dxa"/>
            <w:tcBorders>
              <w:top w:val="nil"/>
              <w:left w:val="nil"/>
              <w:bottom w:val="nil"/>
              <w:right w:val="nil"/>
            </w:tcBorders>
            <w:shd w:val="clear" w:color="auto" w:fill="auto"/>
            <w:vAlign w:val="center"/>
            <w:hideMark/>
          </w:tcPr>
          <w:p w14:paraId="33107D08"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21,3%</w:t>
            </w:r>
          </w:p>
        </w:tc>
        <w:tc>
          <w:tcPr>
            <w:tcW w:w="1842" w:type="dxa"/>
            <w:tcBorders>
              <w:top w:val="nil"/>
              <w:left w:val="nil"/>
              <w:bottom w:val="nil"/>
              <w:right w:val="nil"/>
            </w:tcBorders>
            <w:shd w:val="clear" w:color="auto" w:fill="auto"/>
            <w:vAlign w:val="center"/>
            <w:hideMark/>
          </w:tcPr>
          <w:p w14:paraId="1A996DF5" w14:textId="77777777" w:rsidR="00A1201C" w:rsidRPr="00862458" w:rsidRDefault="00A1201C" w:rsidP="004A2F16">
            <w:pPr>
              <w:spacing w:after="0" w:line="240" w:lineRule="auto"/>
              <w:jc w:val="center"/>
              <w:rPr>
                <w:rFonts w:eastAsia="Times New Roman" w:cs="Segoe UI"/>
                <w:color w:val="000000"/>
                <w:sz w:val="18"/>
                <w:szCs w:val="18"/>
                <w:lang w:eastAsia="sk-SK"/>
              </w:rPr>
            </w:pPr>
            <w:r w:rsidRPr="00862458">
              <w:rPr>
                <w:rFonts w:eastAsia="Times New Roman" w:cs="Segoe UI"/>
                <w:color w:val="000000"/>
                <w:sz w:val="18"/>
                <w:szCs w:val="18"/>
                <w:lang w:eastAsia="sk-SK"/>
              </w:rPr>
              <w:t>0,0</w:t>
            </w:r>
          </w:p>
        </w:tc>
      </w:tr>
      <w:tr w:rsidR="00A1201C" w:rsidRPr="00A54521" w14:paraId="1D20297F" w14:textId="77777777" w:rsidTr="004A2F16">
        <w:trPr>
          <w:trHeight w:val="283"/>
        </w:trPr>
        <w:tc>
          <w:tcPr>
            <w:tcW w:w="1800" w:type="dxa"/>
            <w:tcBorders>
              <w:top w:val="single" w:sz="4" w:space="0" w:color="auto"/>
              <w:left w:val="nil"/>
              <w:bottom w:val="single" w:sz="4" w:space="0" w:color="auto"/>
              <w:right w:val="nil"/>
            </w:tcBorders>
            <w:shd w:val="clear" w:color="000000" w:fill="FFFFFF"/>
            <w:vAlign w:val="center"/>
            <w:hideMark/>
          </w:tcPr>
          <w:p w14:paraId="4C25FE36" w14:textId="77777777" w:rsidR="00A1201C" w:rsidRPr="00862458" w:rsidRDefault="00A1201C" w:rsidP="004A2F16">
            <w:pPr>
              <w:spacing w:after="0" w:line="240" w:lineRule="auto"/>
              <w:jc w:val="left"/>
              <w:rPr>
                <w:rFonts w:eastAsia="Times New Roman" w:cs="Segoe UI"/>
                <w:b/>
                <w:bCs/>
                <w:color w:val="000000"/>
                <w:sz w:val="18"/>
                <w:szCs w:val="18"/>
                <w:lang w:eastAsia="sk-SK"/>
              </w:rPr>
            </w:pPr>
            <w:r w:rsidRPr="00862458">
              <w:rPr>
                <w:rFonts w:eastAsia="Times New Roman" w:cs="Segoe UI"/>
                <w:b/>
                <w:bCs/>
                <w:color w:val="000000"/>
                <w:sz w:val="18"/>
                <w:szCs w:val="18"/>
                <w:lang w:eastAsia="sk-SK"/>
              </w:rPr>
              <w:t>SPOLU</w:t>
            </w:r>
          </w:p>
        </w:tc>
        <w:tc>
          <w:tcPr>
            <w:tcW w:w="1035" w:type="dxa"/>
            <w:tcBorders>
              <w:top w:val="single" w:sz="4" w:space="0" w:color="auto"/>
              <w:left w:val="nil"/>
              <w:bottom w:val="single" w:sz="4" w:space="0" w:color="auto"/>
              <w:right w:val="nil"/>
            </w:tcBorders>
            <w:shd w:val="clear" w:color="000000" w:fill="FFFFFF"/>
            <w:vAlign w:val="center"/>
            <w:hideMark/>
          </w:tcPr>
          <w:p w14:paraId="68962B3E" w14:textId="77777777" w:rsidR="00A1201C" w:rsidRPr="00862458" w:rsidRDefault="00A1201C" w:rsidP="004A2F16">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12 794,8</w:t>
            </w:r>
          </w:p>
        </w:tc>
        <w:tc>
          <w:tcPr>
            <w:tcW w:w="993" w:type="dxa"/>
            <w:tcBorders>
              <w:top w:val="single" w:sz="4" w:space="0" w:color="auto"/>
              <w:left w:val="nil"/>
              <w:bottom w:val="single" w:sz="4" w:space="0" w:color="auto"/>
              <w:right w:val="nil"/>
            </w:tcBorders>
            <w:shd w:val="clear" w:color="000000" w:fill="FFFFFF"/>
            <w:vAlign w:val="center"/>
            <w:hideMark/>
          </w:tcPr>
          <w:p w14:paraId="6405CA41" w14:textId="77777777" w:rsidR="00A1201C" w:rsidRPr="00862458" w:rsidRDefault="00A1201C" w:rsidP="004A2F16">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388,1</w:t>
            </w:r>
          </w:p>
        </w:tc>
        <w:tc>
          <w:tcPr>
            <w:tcW w:w="1134" w:type="dxa"/>
            <w:tcBorders>
              <w:top w:val="single" w:sz="4" w:space="0" w:color="auto"/>
              <w:left w:val="nil"/>
              <w:bottom w:val="single" w:sz="4" w:space="0" w:color="auto"/>
              <w:right w:val="nil"/>
            </w:tcBorders>
            <w:shd w:val="clear" w:color="000000" w:fill="FFFFFF"/>
            <w:vAlign w:val="center"/>
            <w:hideMark/>
          </w:tcPr>
          <w:p w14:paraId="4D2D0C8F" w14:textId="77777777" w:rsidR="00A1201C" w:rsidRPr="00862458" w:rsidRDefault="00A1201C" w:rsidP="004A2F16">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856,7</w:t>
            </w:r>
          </w:p>
        </w:tc>
        <w:tc>
          <w:tcPr>
            <w:tcW w:w="1134" w:type="dxa"/>
            <w:tcBorders>
              <w:top w:val="single" w:sz="4" w:space="0" w:color="auto"/>
              <w:left w:val="nil"/>
              <w:bottom w:val="single" w:sz="4" w:space="0" w:color="auto"/>
              <w:right w:val="nil"/>
            </w:tcBorders>
            <w:shd w:val="clear" w:color="000000" w:fill="FFFFFF"/>
            <w:vAlign w:val="center"/>
            <w:hideMark/>
          </w:tcPr>
          <w:p w14:paraId="5447A7D5" w14:textId="77777777" w:rsidR="00A1201C" w:rsidRPr="00862458" w:rsidRDefault="00A1201C" w:rsidP="004A2F16">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468,6</w:t>
            </w:r>
          </w:p>
        </w:tc>
        <w:tc>
          <w:tcPr>
            <w:tcW w:w="1134" w:type="dxa"/>
            <w:tcBorders>
              <w:top w:val="single" w:sz="4" w:space="0" w:color="auto"/>
              <w:left w:val="nil"/>
              <w:bottom w:val="single" w:sz="4" w:space="0" w:color="auto"/>
              <w:right w:val="nil"/>
            </w:tcBorders>
            <w:shd w:val="clear" w:color="000000" w:fill="FFFFFF"/>
            <w:vAlign w:val="center"/>
            <w:hideMark/>
          </w:tcPr>
          <w:p w14:paraId="5BFE8712" w14:textId="77777777" w:rsidR="00A1201C" w:rsidRPr="00862458" w:rsidRDefault="00A1201C" w:rsidP="004A2F16">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6,7%</w:t>
            </w:r>
          </w:p>
        </w:tc>
        <w:tc>
          <w:tcPr>
            <w:tcW w:w="1842" w:type="dxa"/>
            <w:tcBorders>
              <w:top w:val="single" w:sz="4" w:space="0" w:color="auto"/>
              <w:left w:val="nil"/>
              <w:bottom w:val="single" w:sz="4" w:space="0" w:color="auto"/>
              <w:right w:val="nil"/>
            </w:tcBorders>
            <w:shd w:val="clear" w:color="000000" w:fill="FFFFFF"/>
            <w:vAlign w:val="center"/>
            <w:hideMark/>
          </w:tcPr>
          <w:p w14:paraId="4E909E92" w14:textId="77777777" w:rsidR="00A1201C" w:rsidRPr="00862458" w:rsidRDefault="00A1201C" w:rsidP="004A2F16">
            <w:pPr>
              <w:spacing w:after="0" w:line="240" w:lineRule="auto"/>
              <w:jc w:val="center"/>
              <w:rPr>
                <w:rFonts w:eastAsia="Times New Roman" w:cs="Segoe UI"/>
                <w:b/>
                <w:bCs/>
                <w:color w:val="000000"/>
                <w:sz w:val="18"/>
                <w:szCs w:val="18"/>
                <w:lang w:eastAsia="sk-SK"/>
              </w:rPr>
            </w:pPr>
            <w:r w:rsidRPr="00862458">
              <w:rPr>
                <w:rFonts w:eastAsia="Times New Roman" w:cs="Segoe UI"/>
                <w:b/>
                <w:bCs/>
                <w:color w:val="000000"/>
                <w:sz w:val="18"/>
                <w:szCs w:val="18"/>
                <w:lang w:eastAsia="sk-SK"/>
              </w:rPr>
              <w:t>729,5</w:t>
            </w:r>
          </w:p>
        </w:tc>
      </w:tr>
    </w:tbl>
    <w:p w14:paraId="75E4BA89" w14:textId="77777777" w:rsidR="00A1201C" w:rsidRPr="009C0055" w:rsidRDefault="00A1201C" w:rsidP="00A1201C">
      <w:pPr>
        <w:spacing w:after="0" w:line="240" w:lineRule="auto"/>
        <w:jc w:val="left"/>
        <w:rPr>
          <w:i/>
          <w:color w:val="314364" w:themeColor="text2"/>
          <w:sz w:val="16"/>
        </w:rPr>
      </w:pPr>
      <w:r>
        <w:rPr>
          <w:i/>
          <w:color w:val="314364" w:themeColor="text2"/>
          <w:sz w:val="16"/>
        </w:rPr>
        <w:t>Zdroj: MF SR.</w:t>
      </w:r>
    </w:p>
    <w:p w14:paraId="62D50BF5" w14:textId="77777777" w:rsidR="00A1201C" w:rsidRPr="009C0055" w:rsidRDefault="00A1201C" w:rsidP="00A1201C">
      <w:pPr>
        <w:pStyle w:val="Zdroj"/>
      </w:pPr>
      <w:r w:rsidRPr="009C0055">
        <w:t xml:space="preserve">* V prípade </w:t>
      </w:r>
      <w:r>
        <w:t>Programu Rybné hospodárstvo</w:t>
      </w:r>
      <w:r w:rsidRPr="009C0055">
        <w:t xml:space="preserve"> </w:t>
      </w:r>
      <w:r>
        <w:t>prvým finančným míľnikom je koniec roku 2026 (pravidlo n+3)</w:t>
      </w:r>
      <w:r w:rsidRPr="009C0055">
        <w:t>.</w:t>
      </w:r>
    </w:p>
    <w:p w14:paraId="5236A213" w14:textId="75DE706E" w:rsidR="008A53BE" w:rsidRPr="00D02C22" w:rsidRDefault="008A53BE" w:rsidP="00D02C22">
      <w:pPr>
        <w:pStyle w:val="Nadpis2"/>
      </w:pPr>
      <w:bookmarkStart w:id="34" w:name="_Toc165367486"/>
      <w:bookmarkStart w:id="35" w:name="_Toc167892017"/>
      <w:bookmarkStart w:id="36" w:name="_Toc197091797"/>
      <w:bookmarkStart w:id="37" w:name="_Toc198045144"/>
      <w:bookmarkStart w:id="38" w:name="_Toc198637728"/>
      <w:r w:rsidRPr="00D02C22">
        <w:t>4.</w:t>
      </w:r>
      <w:r w:rsidR="00D02C22" w:rsidRPr="00D02C22">
        <w:t>2</w:t>
      </w:r>
      <w:r w:rsidRPr="00D02C22">
        <w:t xml:space="preserve">  Plán obnovy a odolnosti</w:t>
      </w:r>
      <w:bookmarkEnd w:id="34"/>
      <w:bookmarkEnd w:id="35"/>
      <w:bookmarkEnd w:id="36"/>
      <w:bookmarkEnd w:id="37"/>
      <w:bookmarkEnd w:id="38"/>
    </w:p>
    <w:p w14:paraId="14F4A03A" w14:textId="762F62BD" w:rsidR="008A53BE" w:rsidRDefault="00CA6A6B" w:rsidP="008A53BE">
      <w:r w:rsidRPr="00CA6A6B">
        <w:rPr>
          <w:b/>
        </w:rPr>
        <w:t>Výdavky POO</w:t>
      </w:r>
      <w:r w:rsidR="00522414">
        <w:rPr>
          <w:b/>
        </w:rPr>
        <w:t>,</w:t>
      </w:r>
      <w:r w:rsidRPr="00CA6A6B">
        <w:rPr>
          <w:b/>
        </w:rPr>
        <w:t xml:space="preserve"> realizované ku koncu roka 2024</w:t>
      </w:r>
      <w:r w:rsidR="00522414">
        <w:rPr>
          <w:b/>
        </w:rPr>
        <w:t>,</w:t>
      </w:r>
      <w:r w:rsidRPr="00CA6A6B">
        <w:rPr>
          <w:b/>
        </w:rPr>
        <w:t xml:space="preserve"> predstavujú 936,3 mil. eur</w:t>
      </w:r>
      <w:r>
        <w:t xml:space="preserve"> </w:t>
      </w:r>
      <w:r w:rsidRPr="00CA6A6B">
        <w:rPr>
          <w:b/>
        </w:rPr>
        <w:t>a na úhradu DPH 133,1 mil. eur.</w:t>
      </w:r>
      <w:r>
        <w:t xml:space="preserve"> </w:t>
      </w:r>
      <w:r w:rsidR="008C2FA1">
        <w:t xml:space="preserve">Realizovala sa tak väčšina rozpočtovanej sumy 1 215,4 mil. eur (tabuľka </w:t>
      </w:r>
      <w:r w:rsidR="00315037">
        <w:t>7</w:t>
      </w:r>
      <w:r w:rsidR="008C2FA1">
        <w:t xml:space="preserve"> v prílohe).</w:t>
      </w:r>
    </w:p>
    <w:p w14:paraId="1356CEF1" w14:textId="3A6F5699" w:rsidR="008A53BE" w:rsidRPr="003126C2" w:rsidRDefault="003126C2" w:rsidP="00BD59EF">
      <w:pPr>
        <w:pStyle w:val="Textkomentra"/>
        <w:spacing w:line="276" w:lineRule="auto"/>
        <w:rPr>
          <w:szCs w:val="22"/>
        </w:rPr>
      </w:pPr>
      <w:r w:rsidRPr="00733284">
        <w:rPr>
          <w:b/>
          <w:szCs w:val="22"/>
        </w:rPr>
        <w:t>Na rozdiel od P</w:t>
      </w:r>
      <w:r w:rsidR="001334B3">
        <w:rPr>
          <w:b/>
          <w:szCs w:val="22"/>
        </w:rPr>
        <w:t xml:space="preserve"> SK</w:t>
      </w:r>
      <w:r w:rsidRPr="00733284">
        <w:rPr>
          <w:b/>
          <w:szCs w:val="22"/>
        </w:rPr>
        <w:t xml:space="preserve">, kde sa čerpali prevažne bežné výdavky, v rámci POO boli v roku 2024 </w:t>
      </w:r>
      <w:r w:rsidR="008A53BE" w:rsidRPr="00733284">
        <w:rPr>
          <w:b/>
          <w:szCs w:val="22"/>
        </w:rPr>
        <w:t xml:space="preserve">čerpané </w:t>
      </w:r>
      <w:r w:rsidR="00CA6A6B">
        <w:rPr>
          <w:b/>
          <w:szCs w:val="22"/>
        </w:rPr>
        <w:t>najmä</w:t>
      </w:r>
      <w:r w:rsidR="008A53BE" w:rsidRPr="00733284">
        <w:rPr>
          <w:b/>
          <w:szCs w:val="22"/>
        </w:rPr>
        <w:t xml:space="preserve"> kapitálové výdavky, ktoré tvorili viac ako tri štvrtiny celkových výdavkov</w:t>
      </w:r>
      <w:r w:rsidR="008A53BE" w:rsidRPr="00EC38AF">
        <w:rPr>
          <w:b/>
          <w:bCs/>
          <w:szCs w:val="22"/>
        </w:rPr>
        <w:t>.</w:t>
      </w:r>
      <w:r w:rsidR="008A53BE" w:rsidRPr="003126C2">
        <w:rPr>
          <w:szCs w:val="22"/>
        </w:rPr>
        <w:t xml:space="preserve"> </w:t>
      </w:r>
      <w:r w:rsidR="0040672A">
        <w:rPr>
          <w:szCs w:val="22"/>
        </w:rPr>
        <w:t>Kapitálové výdavky pri p</w:t>
      </w:r>
      <w:r w:rsidR="008A53BE" w:rsidRPr="003126C2">
        <w:rPr>
          <w:szCs w:val="22"/>
        </w:rPr>
        <w:t>rostriedk</w:t>
      </w:r>
      <w:r w:rsidR="0040672A">
        <w:rPr>
          <w:szCs w:val="22"/>
        </w:rPr>
        <w:t>och</w:t>
      </w:r>
      <w:r w:rsidR="008A53BE" w:rsidRPr="003126C2">
        <w:rPr>
          <w:szCs w:val="22"/>
        </w:rPr>
        <w:t xml:space="preserve"> na úhradu DPH tvorili viac ako 90 %</w:t>
      </w:r>
      <w:r w:rsidR="00BD59EF">
        <w:rPr>
          <w:szCs w:val="22"/>
        </w:rPr>
        <w:t>.</w:t>
      </w:r>
    </w:p>
    <w:p w14:paraId="3EAB0A84" w14:textId="7BBC1BBD" w:rsidR="006870DE" w:rsidRDefault="006870DE" w:rsidP="006870DE">
      <w:r w:rsidRPr="008C2FA1">
        <w:rPr>
          <w:b/>
        </w:rPr>
        <w:t>Celková suma prostriedkov POO, ktorú vykonávatelia poskytli prijímateľom</w:t>
      </w:r>
      <w:r w:rsidRPr="008C2FA1">
        <w:rPr>
          <w:vertAlign w:val="superscript"/>
        </w:rPr>
        <w:footnoteReference w:id="12"/>
      </w:r>
      <w:r w:rsidRPr="008C2FA1">
        <w:rPr>
          <w:b/>
        </w:rPr>
        <w:t xml:space="preserve"> na realizáciu projektov z POO minulý rok</w:t>
      </w:r>
      <w:r w:rsidR="00522414">
        <w:rPr>
          <w:b/>
        </w:rPr>
        <w:t>,</w:t>
      </w:r>
      <w:r w:rsidRPr="008C2FA1">
        <w:rPr>
          <w:b/>
        </w:rPr>
        <w:t xml:space="preserve"> bola 785,6 mil. eur</w:t>
      </w:r>
      <w:r w:rsidRPr="008C2FA1" w:rsidDel="009A4054">
        <w:rPr>
          <w:b/>
        </w:rPr>
        <w:t xml:space="preserve"> </w:t>
      </w:r>
      <w:r w:rsidRPr="008C2FA1">
        <w:rPr>
          <w:b/>
        </w:rPr>
        <w:t>a na vykrytie DPH v súvislosti s výdavkami POO 111 mil. eur</w:t>
      </w:r>
      <w:r w:rsidR="004A617D">
        <w:t xml:space="preserve"> (graf 21</w:t>
      </w:r>
      <w:r>
        <w:t>)</w:t>
      </w:r>
      <w:r w:rsidRPr="008C2FA1">
        <w:rPr>
          <w:b/>
        </w:rPr>
        <w:t>.</w:t>
      </w:r>
      <w:r w:rsidRPr="00065F97">
        <w:t xml:space="preserve"> Najväčší objem prostriedkov POO bol </w:t>
      </w:r>
      <w:r>
        <w:t xml:space="preserve">vyplatený </w:t>
      </w:r>
      <w:r w:rsidRPr="00065F97">
        <w:t xml:space="preserve">v rámci </w:t>
      </w:r>
      <w:r>
        <w:t>k</w:t>
      </w:r>
      <w:r w:rsidRPr="00065F97">
        <w:t>omponentu 11</w:t>
      </w:r>
      <w:r>
        <w:t>:</w:t>
      </w:r>
      <w:r w:rsidRPr="00065F97">
        <w:t xml:space="preserve"> Moderná a dostupná zdravotná starostlivosť </w:t>
      </w:r>
      <w:r>
        <w:t>(MZ </w:t>
      </w:r>
      <w:r w:rsidRPr="00065F97">
        <w:t>SR), a to v sume 241,3 mil. eur</w:t>
      </w:r>
      <w:r>
        <w:t xml:space="preserve"> (na DPH 50,3 mil. eur).</w:t>
      </w:r>
    </w:p>
    <w:p w14:paraId="55692DBE" w14:textId="273B1527" w:rsidR="008C2FA1" w:rsidRPr="00CC5BFB" w:rsidRDefault="008C2FA1" w:rsidP="008C2FA1">
      <w:pPr>
        <w:keepNext/>
        <w:spacing w:after="0" w:line="240" w:lineRule="auto"/>
        <w:rPr>
          <w:b/>
          <w:iCs/>
          <w:color w:val="314364"/>
          <w:szCs w:val="18"/>
        </w:rPr>
      </w:pPr>
      <w:r w:rsidRPr="00A40DA5">
        <w:rPr>
          <w:b/>
          <w:iCs/>
          <w:color w:val="314364"/>
          <w:szCs w:val="18"/>
        </w:rPr>
        <w:lastRenderedPageBreak/>
        <w:t>Graf</w:t>
      </w:r>
      <w:r>
        <w:rPr>
          <w:b/>
          <w:iCs/>
          <w:color w:val="314364"/>
          <w:szCs w:val="18"/>
        </w:rPr>
        <w:t xml:space="preserve"> 2</w:t>
      </w:r>
      <w:r w:rsidR="004A617D">
        <w:rPr>
          <w:b/>
          <w:iCs/>
          <w:color w:val="314364"/>
          <w:szCs w:val="18"/>
        </w:rPr>
        <w:t>1</w:t>
      </w:r>
      <w:r w:rsidRPr="00A40DA5">
        <w:rPr>
          <w:b/>
          <w:iCs/>
          <w:color w:val="314364"/>
          <w:szCs w:val="18"/>
        </w:rPr>
        <w:t>: Vyplatené prostriedky v rámci jednotlivých pilierov</w:t>
      </w:r>
      <w:r>
        <w:rPr>
          <w:b/>
          <w:iCs/>
          <w:color w:val="314364"/>
          <w:szCs w:val="18"/>
        </w:rPr>
        <w:t xml:space="preserve"> POO v roku 2024 (v mil. eur)</w:t>
      </w:r>
    </w:p>
    <w:tbl>
      <w:tblPr>
        <w:tblStyle w:val="Mriekatabuky10"/>
        <w:tblW w:w="521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462"/>
      </w:tblGrid>
      <w:tr w:rsidR="008C2FA1" w:rsidRPr="00CC5BFB" w14:paraId="16C45BCE" w14:textId="77777777" w:rsidTr="004A2F16">
        <w:trPr>
          <w:trHeight w:val="2835"/>
        </w:trPr>
        <w:tc>
          <w:tcPr>
            <w:tcW w:w="9020" w:type="dxa"/>
            <w:tcBorders>
              <w:top w:val="single" w:sz="4" w:space="0" w:color="314364"/>
              <w:bottom w:val="single" w:sz="4" w:space="0" w:color="314364"/>
            </w:tcBorders>
            <w:vAlign w:val="center"/>
          </w:tcPr>
          <w:p w14:paraId="3C1F45C5" w14:textId="77777777" w:rsidR="008C2FA1" w:rsidRPr="00CC5BFB" w:rsidRDefault="008C2FA1" w:rsidP="004A2F16">
            <w:pPr>
              <w:spacing w:after="0"/>
              <w:rPr>
                <w:b/>
                <w:color w:val="576431"/>
              </w:rPr>
            </w:pPr>
            <w:r>
              <w:rPr>
                <w:noProof/>
                <w:lang w:eastAsia="sk-SK"/>
              </w:rPr>
              <w:drawing>
                <wp:inline distT="0" distB="0" distL="0" distR="0" wp14:anchorId="2D01D699" wp14:editId="270F46EF">
                  <wp:extent cx="5600700" cy="1797050"/>
                  <wp:effectExtent l="0" t="0" r="0" b="0"/>
                  <wp:docPr id="141712269" name="Graf 141712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c>
      </w:tr>
    </w:tbl>
    <w:p w14:paraId="06029B06" w14:textId="77777777" w:rsidR="008C2FA1" w:rsidRDefault="008C2FA1" w:rsidP="008C2FA1">
      <w:pPr>
        <w:spacing w:line="240" w:lineRule="auto"/>
        <w:jc w:val="left"/>
        <w:rPr>
          <w:i/>
          <w:color w:val="314364" w:themeColor="text2"/>
          <w:sz w:val="16"/>
        </w:rPr>
      </w:pPr>
      <w:r>
        <w:rPr>
          <w:i/>
          <w:color w:val="314364" w:themeColor="text2"/>
          <w:sz w:val="16"/>
        </w:rPr>
        <w:t>Zdroj: NIKA, spracovanie NKÚ SR.</w:t>
      </w:r>
    </w:p>
    <w:p w14:paraId="28CCEAF5" w14:textId="6720F60A" w:rsidR="008C2FA1" w:rsidRDefault="008C2FA1" w:rsidP="008C2FA1">
      <w:r>
        <w:rPr>
          <w:b/>
        </w:rPr>
        <w:t>V roku 2024 bolo 222,1 mil. eur poskytnutých prijímateľom</w:t>
      </w:r>
      <w:r w:rsidRPr="00733284">
        <w:rPr>
          <w:b/>
        </w:rPr>
        <w:t xml:space="preserve"> na výstavbu, rekonštrukciu a vybavenie nemocníc v súvislosti s renováciou alebo vytvorením nových nemocničných lôžok</w:t>
      </w:r>
      <w:r>
        <w:rPr>
          <w:b/>
        </w:rPr>
        <w:t>.</w:t>
      </w:r>
      <w:r w:rsidRPr="00415AC0">
        <w:t xml:space="preserve"> </w:t>
      </w:r>
      <w:r>
        <w:t xml:space="preserve">Sprístupnenie lôžok sa týka </w:t>
      </w:r>
      <w:r w:rsidR="00990A8C">
        <w:t xml:space="preserve">aj </w:t>
      </w:r>
      <w:r>
        <w:t xml:space="preserve">dvoch </w:t>
      </w:r>
      <w:r w:rsidR="00273FE3">
        <w:t xml:space="preserve">kľúčových </w:t>
      </w:r>
      <w:r>
        <w:t xml:space="preserve">nemocníc, v rámci ktorých prebieha modernizácia: </w:t>
      </w:r>
      <w:r w:rsidRPr="009A4054">
        <w:t>Univerzitná nemocnica sv. Martina v</w:t>
      </w:r>
      <w:r>
        <w:t> </w:t>
      </w:r>
      <w:r w:rsidRPr="009A4054">
        <w:t>Martine</w:t>
      </w:r>
      <w:r>
        <w:t xml:space="preserve"> a </w:t>
      </w:r>
      <w:r w:rsidRPr="009A4054">
        <w:t>Fakultná nemocnica s poliklinikou F. D. Roosevelta v Banskej Bystrici</w:t>
      </w:r>
      <w:r>
        <w:t xml:space="preserve">. </w:t>
      </w:r>
    </w:p>
    <w:p w14:paraId="0FC9396F" w14:textId="5F7A257C" w:rsidR="008A53BE" w:rsidRDefault="00901F91" w:rsidP="008A53BE">
      <w:r w:rsidRPr="00043A67">
        <w:rPr>
          <w:b/>
        </w:rPr>
        <w:t>V roku 2024 boli z E</w:t>
      </w:r>
      <w:r>
        <w:rPr>
          <w:b/>
        </w:rPr>
        <w:t>K</w:t>
      </w:r>
      <w:r w:rsidRPr="00043A67">
        <w:rPr>
          <w:b/>
        </w:rPr>
        <w:t xml:space="preserve"> prijaté prostriedky POO za 4. žiadosť o platbu vo výške 798,7 mil. eur.</w:t>
      </w:r>
      <w:r>
        <w:rPr>
          <w:b/>
        </w:rPr>
        <w:t xml:space="preserve"> </w:t>
      </w:r>
      <w:r>
        <w:t>K</w:t>
      </w:r>
      <w:r w:rsidRPr="007D3345">
        <w:t xml:space="preserve">umulatívne príjmy POO </w:t>
      </w:r>
      <w:r>
        <w:t>tak</w:t>
      </w:r>
      <w:r w:rsidRPr="00E865A7">
        <w:t xml:space="preserve"> </w:t>
      </w:r>
      <w:r>
        <w:t>predstavujú</w:t>
      </w:r>
      <w:r w:rsidRPr="00492507">
        <w:t xml:space="preserve"> </w:t>
      </w:r>
      <w:r w:rsidRPr="007D3345">
        <w:t>3,47 mld. eur z celkovej alokácie 6,4 mld. eur.</w:t>
      </w:r>
      <w:r w:rsidRPr="00BF547D">
        <w:rPr>
          <w:rStyle w:val="Odkaznapoznmkupodiarou"/>
        </w:rPr>
        <w:footnoteReference w:id="13"/>
      </w:r>
      <w:r>
        <w:t xml:space="preserve"> </w:t>
      </w:r>
      <w:r w:rsidR="008A53BE">
        <w:t>Dňa 16. 12. 2024 bola E</w:t>
      </w:r>
      <w:r w:rsidR="00831F76">
        <w:t>K</w:t>
      </w:r>
      <w:r w:rsidR="008A53BE">
        <w:t xml:space="preserve"> predložená 5. žiadosť o platbu v objeme 597,8 mil. eur, v </w:t>
      </w:r>
      <w:r w:rsidR="008A53BE" w:rsidRPr="00E865A7">
        <w:t xml:space="preserve">rámci ktorej </w:t>
      </w:r>
      <w:r w:rsidR="00831F76">
        <w:t>SR</w:t>
      </w:r>
      <w:r w:rsidR="008A53BE" w:rsidRPr="00E865A7">
        <w:t xml:space="preserve"> </w:t>
      </w:r>
      <w:r w:rsidR="00831F76">
        <w:t xml:space="preserve">deklarovala splnenie 20 z </w:t>
      </w:r>
      <w:r w:rsidR="008A53BE" w:rsidRPr="00E865A7">
        <w:t>21 míľnikov a cieľov</w:t>
      </w:r>
      <w:r w:rsidR="008A53BE">
        <w:t>. SR očakáva vyplatenie tejto žiadosti</w:t>
      </w:r>
      <w:r w:rsidR="00522414">
        <w:t>,</w:t>
      </w:r>
      <w:r w:rsidR="008A53BE">
        <w:t xml:space="preserve"> proporčne krátenej o 27,4 mil. eur</w:t>
      </w:r>
      <w:r w:rsidR="00522414">
        <w:t>,</w:t>
      </w:r>
      <w:r w:rsidR="008A53BE">
        <w:t xml:space="preserve"> za nesplnený míľnik v </w:t>
      </w:r>
      <w:r w:rsidR="008A53BE" w:rsidRPr="00011299">
        <w:t xml:space="preserve">rámci </w:t>
      </w:r>
      <w:r>
        <w:t>k</w:t>
      </w:r>
      <w:r w:rsidR="008A53BE" w:rsidRPr="00011299">
        <w:t>omponentu 5 – Majetkové vysporiadanie sa so súkromnými vlastníkmi (v gescii MŽP SR)</w:t>
      </w:r>
      <w:r w:rsidR="008A53BE">
        <w:t xml:space="preserve">. Po zúčtovaní </w:t>
      </w:r>
      <w:proofErr w:type="spellStart"/>
      <w:r w:rsidR="008A53BE">
        <w:t>predfinancovania</w:t>
      </w:r>
      <w:proofErr w:type="spellEnd"/>
      <w:r w:rsidR="008A53BE">
        <w:t xml:space="preserve"> sa príjem odhaduje na 492,5 mil. eur. EK vydala 1. </w:t>
      </w:r>
      <w:r>
        <w:t>4.</w:t>
      </w:r>
      <w:r w:rsidR="008A53BE">
        <w:t> </w:t>
      </w:r>
      <w:r w:rsidR="008A53BE" w:rsidRPr="00C344F9">
        <w:t xml:space="preserve">2025 </w:t>
      </w:r>
      <w:r w:rsidR="008A53BE">
        <w:t xml:space="preserve">k žiadosti </w:t>
      </w:r>
      <w:r w:rsidR="008A53BE" w:rsidRPr="00C344F9">
        <w:t>predbežné pozitívne stanovisko</w:t>
      </w:r>
      <w:r>
        <w:t>.</w:t>
      </w:r>
    </w:p>
    <w:p w14:paraId="4A668568" w14:textId="7C603C37" w:rsidR="0040356E" w:rsidRPr="007D3345" w:rsidRDefault="0040356E" w:rsidP="0040356E">
      <w:r w:rsidRPr="00BF1E72">
        <w:rPr>
          <w:rFonts w:cs="Segoe UI"/>
          <w:b/>
        </w:rPr>
        <w:t>S</w:t>
      </w:r>
      <w:r>
        <w:rPr>
          <w:rFonts w:cs="Segoe UI"/>
          <w:b/>
        </w:rPr>
        <w:t>lovensku</w:t>
      </w:r>
      <w:r w:rsidRPr="00BF1E72">
        <w:rPr>
          <w:rFonts w:cs="Segoe UI"/>
          <w:b/>
        </w:rPr>
        <w:t xml:space="preserve"> sa </w:t>
      </w:r>
      <w:r w:rsidR="00C82838">
        <w:rPr>
          <w:rFonts w:cs="Segoe UI"/>
          <w:b/>
        </w:rPr>
        <w:t>ku koncu roka 2024</w:t>
      </w:r>
      <w:r w:rsidRPr="00BF1E72">
        <w:rPr>
          <w:rFonts w:cs="Segoe UI"/>
          <w:b/>
        </w:rPr>
        <w:t xml:space="preserve"> podarilo splniť 32 % míľnikov a cieľov POO</w:t>
      </w:r>
      <w:r w:rsidR="00C82838">
        <w:rPr>
          <w:rFonts w:cs="Segoe UI"/>
          <w:b/>
        </w:rPr>
        <w:t>.</w:t>
      </w:r>
      <w:r w:rsidRPr="007D3345">
        <w:rPr>
          <w:rFonts w:cs="Segoe UI"/>
          <w:b/>
        </w:rPr>
        <w:t xml:space="preserve"> </w:t>
      </w:r>
      <w:r w:rsidR="00C82838">
        <w:rPr>
          <w:rFonts w:cs="Segoe UI"/>
          <w:b/>
        </w:rPr>
        <w:t>V</w:t>
      </w:r>
      <w:r w:rsidRPr="007D3345">
        <w:rPr>
          <w:rFonts w:cs="Segoe UI"/>
          <w:b/>
        </w:rPr>
        <w:t xml:space="preserve"> rámci krajín V4 dosahuje druhú najlepšiu pozíciu </w:t>
      </w:r>
      <w:r w:rsidRPr="00BF1E72">
        <w:rPr>
          <w:rFonts w:cs="Segoe UI"/>
        </w:rPr>
        <w:t>(Č</w:t>
      </w:r>
      <w:r>
        <w:rPr>
          <w:rFonts w:cs="Segoe UI"/>
        </w:rPr>
        <w:t>R</w:t>
      </w:r>
      <w:r w:rsidRPr="00BF1E72">
        <w:rPr>
          <w:rFonts w:cs="Segoe UI"/>
        </w:rPr>
        <w:t xml:space="preserve"> splnil</w:t>
      </w:r>
      <w:r>
        <w:rPr>
          <w:rFonts w:cs="Segoe UI"/>
        </w:rPr>
        <w:t>a</w:t>
      </w:r>
      <w:r w:rsidRPr="00BF1E72">
        <w:rPr>
          <w:rFonts w:cs="Segoe UI"/>
        </w:rPr>
        <w:t xml:space="preserve"> 38 %, Poľsko 25 % a Maďarsko 0 %).</w:t>
      </w:r>
      <w:r w:rsidRPr="00BF1E72">
        <w:rPr>
          <w:rStyle w:val="Odkaznapoznmkupodiarou"/>
          <w:rFonts w:cs="Segoe UI"/>
        </w:rPr>
        <w:footnoteReference w:id="14"/>
      </w:r>
      <w:r>
        <w:rPr>
          <w:rFonts w:cs="Segoe UI"/>
        </w:rPr>
        <w:t xml:space="preserve"> </w:t>
      </w:r>
      <w:r w:rsidR="00C82838">
        <w:rPr>
          <w:rFonts w:cs="Segoe UI"/>
        </w:rPr>
        <w:t xml:space="preserve">Nie je v tom zatiaľ zahrnutá </w:t>
      </w:r>
      <w:r>
        <w:rPr>
          <w:rFonts w:cs="Segoe UI"/>
        </w:rPr>
        <w:t>5. žiados</w:t>
      </w:r>
      <w:r w:rsidR="00C82838">
        <w:rPr>
          <w:rFonts w:cs="Segoe UI"/>
        </w:rPr>
        <w:t>ť</w:t>
      </w:r>
      <w:r>
        <w:rPr>
          <w:rFonts w:cs="Segoe UI"/>
        </w:rPr>
        <w:t xml:space="preserve"> o</w:t>
      </w:r>
      <w:r w:rsidR="00C82838">
        <w:rPr>
          <w:rFonts w:cs="Segoe UI"/>
        </w:rPr>
        <w:t> </w:t>
      </w:r>
      <w:r>
        <w:rPr>
          <w:rFonts w:cs="Segoe UI"/>
        </w:rPr>
        <w:t>platbu</w:t>
      </w:r>
      <w:r w:rsidR="00C82838">
        <w:rPr>
          <w:rFonts w:cs="Segoe UI"/>
        </w:rPr>
        <w:t xml:space="preserve">, pri ktorej </w:t>
      </w:r>
      <w:r>
        <w:rPr>
          <w:rFonts w:cs="Segoe UI"/>
        </w:rPr>
        <w:t xml:space="preserve">Slovensko </w:t>
      </w:r>
      <w:r w:rsidR="00C82838">
        <w:rPr>
          <w:rFonts w:cs="Segoe UI"/>
        </w:rPr>
        <w:t xml:space="preserve">čaká na schválenie EK. V prípade jej schválenia je potrebné </w:t>
      </w:r>
      <w:r>
        <w:rPr>
          <w:rFonts w:cs="Segoe UI"/>
        </w:rPr>
        <w:t>d</w:t>
      </w:r>
      <w:r w:rsidRPr="007D3345">
        <w:rPr>
          <w:rFonts w:cs="Segoe UI"/>
        </w:rPr>
        <w:t xml:space="preserve">o </w:t>
      </w:r>
      <w:r w:rsidR="00C82838">
        <w:rPr>
          <w:rFonts w:cs="Segoe UI"/>
        </w:rPr>
        <w:t>hraničného termínu (31. 8. 2026)</w:t>
      </w:r>
      <w:r w:rsidRPr="007D3345">
        <w:rPr>
          <w:rFonts w:cs="Segoe UI"/>
        </w:rPr>
        <w:t xml:space="preserve"> spln</w:t>
      </w:r>
      <w:r w:rsidR="00C82838">
        <w:rPr>
          <w:rFonts w:cs="Segoe UI"/>
        </w:rPr>
        <w:t>iť</w:t>
      </w:r>
      <w:r w:rsidRPr="007D3345">
        <w:rPr>
          <w:rFonts w:cs="Segoe UI"/>
        </w:rPr>
        <w:t xml:space="preserve"> </w:t>
      </w:r>
      <w:r>
        <w:rPr>
          <w:rFonts w:cs="Segoe UI"/>
        </w:rPr>
        <w:t xml:space="preserve">ešte ďalších </w:t>
      </w:r>
      <w:r w:rsidRPr="007D3345">
        <w:rPr>
          <w:rFonts w:cs="Segoe UI"/>
        </w:rPr>
        <w:t>129</w:t>
      </w:r>
      <w:r w:rsidRPr="007D3345">
        <w:rPr>
          <w:rFonts w:cs="Segoe UI"/>
          <w:vertAlign w:val="superscript"/>
        </w:rPr>
        <w:footnoteReference w:id="15"/>
      </w:r>
      <w:r w:rsidRPr="007D3345">
        <w:rPr>
          <w:rFonts w:cs="Segoe UI"/>
        </w:rPr>
        <w:t xml:space="preserve"> (viac ako 58 %), </w:t>
      </w:r>
      <w:r>
        <w:rPr>
          <w:rFonts w:cs="Segoe UI"/>
        </w:rPr>
        <w:t xml:space="preserve">ktoré bude voči EK </w:t>
      </w:r>
      <w:proofErr w:type="spellStart"/>
      <w:r>
        <w:rPr>
          <w:rFonts w:cs="Segoe UI"/>
        </w:rPr>
        <w:t>odpočtovať</w:t>
      </w:r>
      <w:proofErr w:type="spellEnd"/>
      <w:r>
        <w:rPr>
          <w:rFonts w:cs="Segoe UI"/>
        </w:rPr>
        <w:t xml:space="preserve"> </w:t>
      </w:r>
      <w:r w:rsidRPr="007D3345">
        <w:rPr>
          <w:rFonts w:cs="Segoe UI"/>
        </w:rPr>
        <w:t>v rámci posledných štyroch žiadostí o platbu.</w:t>
      </w:r>
    </w:p>
    <w:p w14:paraId="18D818E6" w14:textId="1A921AE2" w:rsidR="000D05F7" w:rsidRDefault="00730F50" w:rsidP="002C027A">
      <w:pPr>
        <w:pStyle w:val="Nadpis1"/>
      </w:pPr>
      <w:bookmarkStart w:id="39" w:name="_Toc198637729"/>
      <w:r>
        <w:lastRenderedPageBreak/>
        <w:t>Stanovisko k</w:t>
      </w:r>
      <w:r w:rsidR="001629C7">
        <w:t> vybraným verejným politikám</w:t>
      </w:r>
      <w:bookmarkEnd w:id="39"/>
    </w:p>
    <w:p w14:paraId="01B9458A" w14:textId="6D15075C" w:rsidR="00112789" w:rsidRPr="00EA7E12" w:rsidRDefault="00112789" w:rsidP="009E07F7">
      <w:pPr>
        <w:rPr>
          <w:rFonts w:eastAsia="Times New Roman" w:cs="Segoe UI"/>
          <w:szCs w:val="20"/>
        </w:rPr>
      </w:pPr>
      <w:r w:rsidRPr="00EA7E12">
        <w:rPr>
          <w:rFonts w:eastAsia="Times New Roman" w:cs="Segoe UI"/>
          <w:b/>
          <w:szCs w:val="20"/>
        </w:rPr>
        <w:t>Celkové príjmy kapitol sa v roku 2024 medziročne zvýšili</w:t>
      </w:r>
      <w:r>
        <w:rPr>
          <w:rFonts w:eastAsia="Times New Roman" w:cs="Segoe UI"/>
          <w:b/>
          <w:szCs w:val="20"/>
        </w:rPr>
        <w:t xml:space="preserve"> o 3,2 % na 24,5 mld. eur. </w:t>
      </w:r>
      <w:r>
        <w:rPr>
          <w:rFonts w:eastAsia="Times New Roman" w:cs="Segoe UI"/>
          <w:szCs w:val="20"/>
        </w:rPr>
        <w:t>V roku 2024 smerovalo viac príjmov oproti roku 2023 tradične do kapitoly VPS</w:t>
      </w:r>
      <w:r w:rsidR="00844102">
        <w:rPr>
          <w:rFonts w:eastAsia="Times New Roman" w:cs="Segoe UI"/>
          <w:szCs w:val="20"/>
        </w:rPr>
        <w:t>, a to</w:t>
      </w:r>
      <w:r>
        <w:rPr>
          <w:rFonts w:eastAsia="Times New Roman" w:cs="Segoe UI"/>
          <w:szCs w:val="20"/>
        </w:rPr>
        <w:t xml:space="preserve"> o 1,6 mld. eur</w:t>
      </w:r>
      <w:r w:rsidR="00844102">
        <w:rPr>
          <w:rFonts w:eastAsia="Times New Roman" w:cs="Segoe UI"/>
          <w:szCs w:val="20"/>
        </w:rPr>
        <w:t>.</w:t>
      </w:r>
      <w:r>
        <w:rPr>
          <w:rFonts w:eastAsia="Times New Roman" w:cs="Segoe UI"/>
          <w:szCs w:val="20"/>
        </w:rPr>
        <w:t xml:space="preserve"> </w:t>
      </w:r>
      <w:r w:rsidR="00844102">
        <w:rPr>
          <w:rFonts w:eastAsia="Times New Roman" w:cs="Segoe UI"/>
          <w:szCs w:val="20"/>
        </w:rPr>
        <w:t xml:space="preserve">Tiež </w:t>
      </w:r>
      <w:r>
        <w:rPr>
          <w:rFonts w:eastAsia="Times New Roman" w:cs="Segoe UI"/>
          <w:szCs w:val="20"/>
        </w:rPr>
        <w:t>na MPRV SR (viac o 430 mil. eur) či MŽP SR (viac o 286 mil. eur). Medziročný pokles príjmov kapitol bol najvýznamnejší pri MIRRI SR</w:t>
      </w:r>
      <w:r w:rsidR="00522414">
        <w:rPr>
          <w:rFonts w:eastAsia="Times New Roman" w:cs="Segoe UI"/>
          <w:szCs w:val="20"/>
        </w:rPr>
        <w:t xml:space="preserve"> –</w:t>
      </w:r>
      <w:r>
        <w:rPr>
          <w:rFonts w:eastAsia="Times New Roman" w:cs="Segoe UI"/>
          <w:szCs w:val="20"/>
        </w:rPr>
        <w:t xml:space="preserve"> o 724 mil. eur, MD SR </w:t>
      </w:r>
      <w:r w:rsidR="00522414">
        <w:rPr>
          <w:rFonts w:eastAsia="Times New Roman" w:cs="Segoe UI"/>
          <w:szCs w:val="20"/>
        </w:rPr>
        <w:t xml:space="preserve">– </w:t>
      </w:r>
      <w:r>
        <w:rPr>
          <w:rFonts w:eastAsia="Times New Roman" w:cs="Segoe UI"/>
          <w:szCs w:val="20"/>
        </w:rPr>
        <w:t xml:space="preserve">o 683 mil. eur a MV SR </w:t>
      </w:r>
      <w:r w:rsidR="00522414">
        <w:rPr>
          <w:rFonts w:eastAsia="Times New Roman" w:cs="Segoe UI"/>
          <w:szCs w:val="20"/>
        </w:rPr>
        <w:t xml:space="preserve">– </w:t>
      </w:r>
      <w:r>
        <w:rPr>
          <w:rFonts w:eastAsia="Times New Roman" w:cs="Segoe UI"/>
          <w:szCs w:val="20"/>
        </w:rPr>
        <w:t xml:space="preserve">o 108 mil. eur. </w:t>
      </w:r>
      <w:r w:rsidRPr="00EA7E12">
        <w:rPr>
          <w:rFonts w:eastAsia="Times New Roman" w:cs="Segoe UI"/>
          <w:szCs w:val="20"/>
        </w:rPr>
        <w:t>Prehľad plnenia príjmov jednotlivých kapitol v</w:t>
      </w:r>
      <w:r>
        <w:rPr>
          <w:rFonts w:eastAsia="Times New Roman" w:cs="Segoe UI"/>
          <w:szCs w:val="20"/>
        </w:rPr>
        <w:t> </w:t>
      </w:r>
      <w:r w:rsidRPr="00EA7E12">
        <w:rPr>
          <w:rFonts w:eastAsia="Times New Roman" w:cs="Segoe UI"/>
          <w:szCs w:val="20"/>
        </w:rPr>
        <w:t xml:space="preserve">roku 2024 na hotovostnej báze obsahuje tabuľka </w:t>
      </w:r>
      <w:r w:rsidR="00315037">
        <w:rPr>
          <w:rFonts w:eastAsia="Times New Roman" w:cs="Segoe UI"/>
          <w:szCs w:val="20"/>
        </w:rPr>
        <w:t>8</w:t>
      </w:r>
      <w:r w:rsidRPr="00EA7E12">
        <w:rPr>
          <w:rFonts w:eastAsia="Times New Roman" w:cs="Segoe UI"/>
          <w:szCs w:val="20"/>
        </w:rPr>
        <w:t xml:space="preserve"> v</w:t>
      </w:r>
      <w:r>
        <w:rPr>
          <w:rFonts w:eastAsia="Times New Roman" w:cs="Segoe UI"/>
          <w:szCs w:val="20"/>
        </w:rPr>
        <w:t> </w:t>
      </w:r>
      <w:r w:rsidRPr="00EA7E12">
        <w:rPr>
          <w:rFonts w:eastAsia="Times New Roman" w:cs="Segoe UI"/>
          <w:szCs w:val="20"/>
        </w:rPr>
        <w:t>prílohe.</w:t>
      </w:r>
      <w:r>
        <w:rPr>
          <w:rFonts w:eastAsia="Times New Roman" w:cs="Segoe UI"/>
          <w:szCs w:val="20"/>
        </w:rPr>
        <w:t xml:space="preserve"> </w:t>
      </w:r>
    </w:p>
    <w:p w14:paraId="3BAD6FFD" w14:textId="31251527" w:rsidR="00112789" w:rsidRPr="00EA7E12" w:rsidRDefault="00112789" w:rsidP="009E07F7">
      <w:pPr>
        <w:rPr>
          <w:rFonts w:eastAsia="Times New Roman" w:cs="Segoe UI"/>
          <w:szCs w:val="20"/>
        </w:rPr>
      </w:pPr>
      <w:r w:rsidRPr="00EA7E12">
        <w:rPr>
          <w:rFonts w:eastAsia="Times New Roman" w:cs="Segoe UI"/>
          <w:b/>
          <w:szCs w:val="20"/>
        </w:rPr>
        <w:t>Cel</w:t>
      </w:r>
      <w:r>
        <w:rPr>
          <w:rFonts w:eastAsia="Times New Roman" w:cs="Segoe UI"/>
          <w:b/>
          <w:szCs w:val="20"/>
        </w:rPr>
        <w:t>kové výdavky kapitol v roku 2024</w:t>
      </w:r>
      <w:r w:rsidRPr="00EA7E12">
        <w:rPr>
          <w:rFonts w:eastAsia="Times New Roman" w:cs="Segoe UI"/>
          <w:b/>
          <w:szCs w:val="20"/>
        </w:rPr>
        <w:t xml:space="preserve"> </w:t>
      </w:r>
      <w:r>
        <w:rPr>
          <w:rFonts w:eastAsia="Times New Roman" w:cs="Segoe UI"/>
          <w:b/>
          <w:szCs w:val="20"/>
        </w:rPr>
        <w:t>klesli</w:t>
      </w:r>
      <w:r w:rsidRPr="00EA7E12">
        <w:rPr>
          <w:rFonts w:eastAsia="Times New Roman" w:cs="Segoe UI"/>
          <w:b/>
          <w:szCs w:val="20"/>
        </w:rPr>
        <w:t xml:space="preserve"> medziročne o</w:t>
      </w:r>
      <w:r>
        <w:rPr>
          <w:rFonts w:eastAsia="Times New Roman" w:cs="Segoe UI"/>
          <w:b/>
          <w:szCs w:val="20"/>
        </w:rPr>
        <w:t xml:space="preserve"> 1,7 % na 30,8 mld. eur. </w:t>
      </w:r>
      <w:r>
        <w:rPr>
          <w:rFonts w:eastAsia="Times New Roman" w:cs="Segoe UI"/>
          <w:szCs w:val="20"/>
        </w:rPr>
        <w:t xml:space="preserve">Obvyklý medziročný rast výdavkov bol v roku 2024 tlmený výrazným poklesom v čerpaní zdrojov EÚ a tiež napr. nižšou nominálnou </w:t>
      </w:r>
      <w:proofErr w:type="spellStart"/>
      <w:r>
        <w:rPr>
          <w:rFonts w:eastAsia="Times New Roman" w:cs="Segoe UI"/>
          <w:szCs w:val="20"/>
        </w:rPr>
        <w:t>energopomocou</w:t>
      </w:r>
      <w:proofErr w:type="spellEnd"/>
      <w:r>
        <w:rPr>
          <w:rFonts w:eastAsia="Times New Roman" w:cs="Segoe UI"/>
          <w:szCs w:val="20"/>
        </w:rPr>
        <w:t xml:space="preserve">. Najvyšší medziročný nárast výdavkov bol zaznamenaný pri kapitolách VPS </w:t>
      </w:r>
      <w:r w:rsidR="00522414">
        <w:rPr>
          <w:rFonts w:eastAsia="Times New Roman" w:cs="Segoe UI"/>
          <w:szCs w:val="20"/>
        </w:rPr>
        <w:t xml:space="preserve">– </w:t>
      </w:r>
      <w:r>
        <w:rPr>
          <w:rFonts w:eastAsia="Times New Roman" w:cs="Segoe UI"/>
          <w:szCs w:val="20"/>
        </w:rPr>
        <w:t xml:space="preserve">o 1 441 mil. eur, MPRV SR </w:t>
      </w:r>
      <w:r w:rsidR="00522414">
        <w:rPr>
          <w:rFonts w:eastAsia="Times New Roman" w:cs="Segoe UI"/>
          <w:szCs w:val="20"/>
        </w:rPr>
        <w:t xml:space="preserve">– </w:t>
      </w:r>
      <w:r>
        <w:rPr>
          <w:rFonts w:eastAsia="Times New Roman" w:cs="Segoe UI"/>
          <w:szCs w:val="20"/>
        </w:rPr>
        <w:t xml:space="preserve">o 542 mil. eur a pri MO SR </w:t>
      </w:r>
      <w:r w:rsidR="00522414">
        <w:rPr>
          <w:rFonts w:eastAsia="Times New Roman" w:cs="Segoe UI"/>
          <w:szCs w:val="20"/>
        </w:rPr>
        <w:t xml:space="preserve">– </w:t>
      </w:r>
      <w:r>
        <w:rPr>
          <w:rFonts w:eastAsia="Times New Roman" w:cs="Segoe UI"/>
          <w:szCs w:val="20"/>
        </w:rPr>
        <w:t xml:space="preserve">o 441 mil. eur. V roku 2024 poklesli medziročne výdavky najviac pri MH SR </w:t>
      </w:r>
      <w:r w:rsidR="00522414">
        <w:rPr>
          <w:rFonts w:eastAsia="Times New Roman" w:cs="Segoe UI"/>
          <w:szCs w:val="20"/>
        </w:rPr>
        <w:t xml:space="preserve">– </w:t>
      </w:r>
      <w:r>
        <w:rPr>
          <w:rFonts w:eastAsia="Times New Roman" w:cs="Segoe UI"/>
          <w:szCs w:val="20"/>
        </w:rPr>
        <w:t xml:space="preserve">o 1 971 mil. eur, MIRRI SR </w:t>
      </w:r>
      <w:r w:rsidR="00522414">
        <w:rPr>
          <w:rFonts w:eastAsia="Times New Roman" w:cs="Segoe UI"/>
          <w:szCs w:val="20"/>
        </w:rPr>
        <w:t xml:space="preserve">– </w:t>
      </w:r>
      <w:r>
        <w:rPr>
          <w:rFonts w:eastAsia="Times New Roman" w:cs="Segoe UI"/>
          <w:szCs w:val="20"/>
        </w:rPr>
        <w:t xml:space="preserve">o 856 mil. eur a pri MŽP </w:t>
      </w:r>
      <w:r w:rsidR="00522414">
        <w:rPr>
          <w:rFonts w:eastAsia="Times New Roman" w:cs="Segoe UI"/>
          <w:szCs w:val="20"/>
        </w:rPr>
        <w:t xml:space="preserve">– </w:t>
      </w:r>
      <w:r>
        <w:rPr>
          <w:rFonts w:eastAsia="Times New Roman" w:cs="Segoe UI"/>
          <w:szCs w:val="20"/>
        </w:rPr>
        <w:t xml:space="preserve">o 559 mil. eur. </w:t>
      </w:r>
      <w:r w:rsidRPr="00EA7E12">
        <w:rPr>
          <w:rFonts w:eastAsia="Times New Roman" w:cs="Segoe UI"/>
          <w:szCs w:val="20"/>
        </w:rPr>
        <w:t>Prehľad plnenia hotovostných výdavkov kapitol v</w:t>
      </w:r>
      <w:r>
        <w:rPr>
          <w:rFonts w:eastAsia="Times New Roman" w:cs="Segoe UI"/>
          <w:szCs w:val="20"/>
        </w:rPr>
        <w:t> </w:t>
      </w:r>
      <w:r w:rsidRPr="00EA7E12">
        <w:rPr>
          <w:rFonts w:eastAsia="Times New Roman" w:cs="Segoe UI"/>
          <w:szCs w:val="20"/>
        </w:rPr>
        <w:t xml:space="preserve">roku 2024 obsahuje tabuľka </w:t>
      </w:r>
      <w:r w:rsidR="00315037">
        <w:rPr>
          <w:rFonts w:eastAsia="Times New Roman" w:cs="Segoe UI"/>
          <w:szCs w:val="20"/>
        </w:rPr>
        <w:t>9</w:t>
      </w:r>
      <w:r w:rsidRPr="00EA7E12">
        <w:rPr>
          <w:rFonts w:eastAsia="Times New Roman" w:cs="Segoe UI"/>
          <w:szCs w:val="20"/>
        </w:rPr>
        <w:t xml:space="preserve"> v</w:t>
      </w:r>
      <w:r>
        <w:rPr>
          <w:rFonts w:eastAsia="Times New Roman" w:cs="Segoe UI"/>
          <w:szCs w:val="20"/>
        </w:rPr>
        <w:t> </w:t>
      </w:r>
      <w:r w:rsidRPr="00EA7E12">
        <w:rPr>
          <w:rFonts w:eastAsia="Times New Roman" w:cs="Segoe UI"/>
          <w:szCs w:val="20"/>
        </w:rPr>
        <w:t>prílohe.</w:t>
      </w:r>
      <w:r>
        <w:rPr>
          <w:rFonts w:eastAsia="Times New Roman" w:cs="Segoe UI"/>
          <w:szCs w:val="20"/>
        </w:rPr>
        <w:t xml:space="preserve"> </w:t>
      </w:r>
    </w:p>
    <w:p w14:paraId="3C162E0D" w14:textId="77777777" w:rsidR="003F20C1" w:rsidRDefault="00112789" w:rsidP="009E07F7">
      <w:pPr>
        <w:rPr>
          <w:rFonts w:eastAsia="Times New Roman" w:cs="Segoe UI"/>
          <w:szCs w:val="20"/>
        </w:rPr>
      </w:pPr>
      <w:r w:rsidRPr="00EA7E12">
        <w:rPr>
          <w:rFonts w:eastAsia="Times New Roman" w:cs="Segoe UI"/>
          <w:szCs w:val="20"/>
        </w:rPr>
        <w:t>V nasledujúcich podkapitolách hodnotíme a analyzujeme rozpočtové hospodárenie a napĺňanie cieľov rozpočtu v</w:t>
      </w:r>
      <w:r>
        <w:rPr>
          <w:rFonts w:eastAsia="Times New Roman" w:cs="Segoe UI"/>
          <w:szCs w:val="20"/>
        </w:rPr>
        <w:t> piatich</w:t>
      </w:r>
      <w:r w:rsidRPr="00EA7E12">
        <w:rPr>
          <w:rFonts w:eastAsia="Times New Roman" w:cs="Segoe UI"/>
          <w:szCs w:val="20"/>
        </w:rPr>
        <w:t xml:space="preserve"> oblastiach verejných politík, v</w:t>
      </w:r>
      <w:r>
        <w:rPr>
          <w:rFonts w:eastAsia="Times New Roman" w:cs="Segoe UI"/>
          <w:szCs w:val="20"/>
        </w:rPr>
        <w:t> </w:t>
      </w:r>
      <w:r w:rsidRPr="00EA7E12">
        <w:rPr>
          <w:rFonts w:eastAsia="Times New Roman" w:cs="Segoe UI"/>
          <w:b/>
          <w:szCs w:val="20"/>
        </w:rPr>
        <w:t xml:space="preserve">zdravotníctve, </w:t>
      </w:r>
      <w:r w:rsidR="00743E44" w:rsidRPr="008F35A2">
        <w:rPr>
          <w:rFonts w:eastAsia="Times New Roman" w:cs="Segoe UI"/>
          <w:bCs/>
          <w:szCs w:val="20"/>
        </w:rPr>
        <w:t xml:space="preserve">v </w:t>
      </w:r>
      <w:r w:rsidRPr="00EA7E12">
        <w:rPr>
          <w:rFonts w:eastAsia="Times New Roman" w:cs="Segoe UI"/>
          <w:b/>
          <w:szCs w:val="20"/>
        </w:rPr>
        <w:t>sociálnych politikách</w:t>
      </w:r>
      <w:r>
        <w:rPr>
          <w:rFonts w:eastAsia="Times New Roman" w:cs="Segoe UI"/>
          <w:b/>
          <w:szCs w:val="20"/>
        </w:rPr>
        <w:t xml:space="preserve">, </w:t>
      </w:r>
      <w:r w:rsidRPr="00EA7E12">
        <w:rPr>
          <w:rFonts w:eastAsia="Times New Roman" w:cs="Segoe UI"/>
          <w:szCs w:val="20"/>
        </w:rPr>
        <w:t>v oblasti</w:t>
      </w:r>
      <w:r w:rsidRPr="00EA7E12">
        <w:rPr>
          <w:rFonts w:eastAsia="Times New Roman" w:cs="Segoe UI"/>
          <w:b/>
          <w:szCs w:val="20"/>
        </w:rPr>
        <w:t xml:space="preserve"> vzdelávania, výskumu a</w:t>
      </w:r>
      <w:r>
        <w:rPr>
          <w:rFonts w:eastAsia="Times New Roman" w:cs="Segoe UI"/>
          <w:b/>
          <w:szCs w:val="20"/>
        </w:rPr>
        <w:t> </w:t>
      </w:r>
      <w:r w:rsidRPr="00EA7E12">
        <w:rPr>
          <w:rFonts w:eastAsia="Times New Roman" w:cs="Segoe UI"/>
          <w:b/>
          <w:szCs w:val="20"/>
        </w:rPr>
        <w:t>vývoja</w:t>
      </w:r>
      <w:r>
        <w:rPr>
          <w:rFonts w:eastAsia="Times New Roman" w:cs="Segoe UI"/>
          <w:b/>
          <w:szCs w:val="20"/>
        </w:rPr>
        <w:t>, obrane</w:t>
      </w:r>
      <w:r w:rsidRPr="00EA7E12">
        <w:rPr>
          <w:rFonts w:eastAsia="Times New Roman" w:cs="Segoe UI"/>
          <w:szCs w:val="20"/>
        </w:rPr>
        <w:t> a v</w:t>
      </w:r>
      <w:r w:rsidRPr="00EA7E12">
        <w:rPr>
          <w:rFonts w:eastAsia="Times New Roman" w:cs="Segoe UI"/>
          <w:b/>
          <w:szCs w:val="20"/>
        </w:rPr>
        <w:t> životnom prostredí</w:t>
      </w:r>
      <w:r w:rsidRPr="00EA7E12">
        <w:rPr>
          <w:rFonts w:eastAsia="Times New Roman" w:cs="Segoe UI"/>
          <w:szCs w:val="20"/>
        </w:rPr>
        <w:t>. Práve tieto oblasti verejných politík patrili aj medzi priority činnosti NKÚ SR v roku 2024</w:t>
      </w:r>
      <w:r w:rsidR="00141569">
        <w:rPr>
          <w:rFonts w:eastAsia="Times New Roman" w:cs="Segoe UI"/>
          <w:szCs w:val="20"/>
        </w:rPr>
        <w:t xml:space="preserve">, a to z dôvodu využívania veľkého objemu verejných zdrojov alebo neplnenia </w:t>
      </w:r>
      <w:r w:rsidR="003F20C1">
        <w:rPr>
          <w:rFonts w:eastAsia="Times New Roman" w:cs="Segoe UI"/>
          <w:szCs w:val="20"/>
        </w:rPr>
        <w:t>kľúčových cieľov a ukazovateľov</w:t>
      </w:r>
      <w:r w:rsidRPr="00EA7E12">
        <w:rPr>
          <w:rFonts w:eastAsia="Times New Roman" w:cs="Segoe UI"/>
          <w:szCs w:val="20"/>
        </w:rPr>
        <w:t>.</w:t>
      </w:r>
    </w:p>
    <w:p w14:paraId="089FCFEB" w14:textId="49F26710" w:rsidR="00BA32BC" w:rsidRDefault="00112789" w:rsidP="009E07F7">
      <w:pPr>
        <w:rPr>
          <w:rFonts w:eastAsia="Times New Roman" w:cs="Segoe UI"/>
          <w:b/>
          <w:szCs w:val="20"/>
        </w:rPr>
      </w:pPr>
      <w:r w:rsidRPr="00EA7E12">
        <w:rPr>
          <w:rFonts w:eastAsia="Times New Roman" w:cs="Segoe UI"/>
          <w:szCs w:val="20"/>
        </w:rPr>
        <w:t>Nasledujúce podkapitoly tak sumarizujú aj niektoré výsledky kontrolnej a analytickej činnosti v týchto oblastiach</w:t>
      </w:r>
      <w:r w:rsidR="007B1353">
        <w:rPr>
          <w:rFonts w:eastAsia="Times New Roman" w:cs="Segoe UI"/>
          <w:szCs w:val="20"/>
        </w:rPr>
        <w:t xml:space="preserve"> v súvislosti s </w:t>
      </w:r>
      <w:r w:rsidR="00BA32BC" w:rsidRPr="00BA32BC">
        <w:rPr>
          <w:rFonts w:eastAsia="Times New Roman" w:cs="Segoe UI"/>
          <w:szCs w:val="20"/>
        </w:rPr>
        <w:t xml:space="preserve">účelným hospodárením s verejnými zdrojmi </w:t>
      </w:r>
      <w:r w:rsidR="003F20C1">
        <w:rPr>
          <w:rFonts w:eastAsia="Times New Roman" w:cs="Segoe UI"/>
          <w:szCs w:val="20"/>
        </w:rPr>
        <w:t xml:space="preserve">a zúčtovateľnosťou týchto prostriedkov </w:t>
      </w:r>
      <w:r w:rsidR="00BA32BC" w:rsidRPr="00BA32BC">
        <w:rPr>
          <w:rFonts w:eastAsia="Times New Roman" w:cs="Segoe UI"/>
          <w:szCs w:val="20"/>
        </w:rPr>
        <w:t xml:space="preserve">v roku 2024 v kapitolách </w:t>
      </w:r>
      <w:r w:rsidR="00BA32BC">
        <w:rPr>
          <w:rFonts w:eastAsia="Times New Roman" w:cs="Segoe UI"/>
          <w:szCs w:val="20"/>
        </w:rPr>
        <w:t>ŠR</w:t>
      </w:r>
      <w:r w:rsidR="003F20C1">
        <w:rPr>
          <w:rFonts w:eastAsia="Times New Roman" w:cs="Segoe UI"/>
          <w:szCs w:val="20"/>
        </w:rPr>
        <w:t>.</w:t>
      </w:r>
      <w:r w:rsidRPr="00EA7E12">
        <w:rPr>
          <w:rFonts w:eastAsia="Times New Roman" w:cs="Segoe UI"/>
          <w:szCs w:val="20"/>
        </w:rPr>
        <w:t xml:space="preserve"> </w:t>
      </w:r>
      <w:r w:rsidR="003F20C1">
        <w:rPr>
          <w:rFonts w:eastAsia="Times New Roman" w:cs="Segoe UI"/>
          <w:szCs w:val="20"/>
        </w:rPr>
        <w:t>A</w:t>
      </w:r>
      <w:r w:rsidRPr="00EA7E12">
        <w:rPr>
          <w:rFonts w:eastAsia="Times New Roman" w:cs="Segoe UI"/>
          <w:szCs w:val="20"/>
        </w:rPr>
        <w:t> to najmä so zameraním na plnenie programových cieľov jednotlivých kapitol a plnenie úsporných opatrení identifikovaných v revíziách výdavkov.</w:t>
      </w:r>
      <w:r w:rsidR="00BA32BC">
        <w:rPr>
          <w:rFonts w:eastAsia="Times New Roman" w:cs="Segoe UI"/>
          <w:szCs w:val="20"/>
        </w:rPr>
        <w:t xml:space="preserve"> </w:t>
      </w:r>
      <w:r w:rsidRPr="002077C7">
        <w:rPr>
          <w:rFonts w:eastAsia="Times New Roman" w:cs="Segoe UI"/>
          <w:b/>
          <w:szCs w:val="20"/>
        </w:rPr>
        <w:t xml:space="preserve">NKÚ SR </w:t>
      </w:r>
      <w:r w:rsidR="00BA32BC">
        <w:rPr>
          <w:rFonts w:eastAsia="Times New Roman" w:cs="Segoe UI"/>
          <w:b/>
          <w:szCs w:val="20"/>
        </w:rPr>
        <w:t xml:space="preserve">v tejto súvislosti </w:t>
      </w:r>
      <w:r w:rsidRPr="002077C7">
        <w:rPr>
          <w:rFonts w:eastAsia="Times New Roman" w:cs="Segoe UI"/>
          <w:b/>
          <w:szCs w:val="20"/>
        </w:rPr>
        <w:t xml:space="preserve">upozorňuje, že za </w:t>
      </w:r>
      <w:r w:rsidR="003F20C1">
        <w:rPr>
          <w:rFonts w:eastAsia="Times New Roman" w:cs="Segoe UI"/>
          <w:b/>
          <w:szCs w:val="20"/>
        </w:rPr>
        <w:t xml:space="preserve">účelné nakladanie s pridelenými prostriedkami a </w:t>
      </w:r>
      <w:r w:rsidRPr="002077C7">
        <w:rPr>
          <w:rFonts w:eastAsia="Times New Roman" w:cs="Segoe UI"/>
          <w:b/>
          <w:szCs w:val="20"/>
        </w:rPr>
        <w:t>realizáciu verejných politík sú zodpovedné jednotlivé vecne príslušné rezorty.</w:t>
      </w:r>
    </w:p>
    <w:p w14:paraId="39645230" w14:textId="734EBD02" w:rsidR="00112789" w:rsidRDefault="004B552F" w:rsidP="009E07F7">
      <w:pPr>
        <w:rPr>
          <w:rFonts w:eastAsia="Times New Roman" w:cs="Segoe UI"/>
          <w:szCs w:val="20"/>
        </w:rPr>
      </w:pPr>
      <w:r w:rsidRPr="009E07F7">
        <w:rPr>
          <w:rFonts w:eastAsia="Times New Roman" w:cs="Segoe UI"/>
          <w:szCs w:val="20"/>
        </w:rPr>
        <w:t>Box</w:t>
      </w:r>
      <w:r w:rsidR="001B2ECE" w:rsidRPr="009E07F7">
        <w:rPr>
          <w:rFonts w:eastAsia="Times New Roman" w:cs="Segoe UI"/>
          <w:szCs w:val="20"/>
        </w:rPr>
        <w:t xml:space="preserve"> 1 v p</w:t>
      </w:r>
      <w:r w:rsidR="00112789" w:rsidRPr="009E07F7">
        <w:rPr>
          <w:rFonts w:eastAsia="Times New Roman" w:cs="Segoe UI"/>
          <w:szCs w:val="20"/>
        </w:rPr>
        <w:t>ríloh</w:t>
      </w:r>
      <w:r w:rsidR="001B2ECE" w:rsidRPr="009E07F7">
        <w:rPr>
          <w:rFonts w:eastAsia="Times New Roman" w:cs="Segoe UI"/>
          <w:szCs w:val="20"/>
        </w:rPr>
        <w:t>e</w:t>
      </w:r>
      <w:r w:rsidR="00112789" w:rsidRPr="009E07F7">
        <w:rPr>
          <w:rFonts w:eastAsia="Times New Roman" w:cs="Segoe UI"/>
          <w:szCs w:val="20"/>
        </w:rPr>
        <w:t xml:space="preserve"> uvádza </w:t>
      </w:r>
      <w:r w:rsidR="003F20C1">
        <w:rPr>
          <w:rFonts w:eastAsia="Times New Roman" w:cs="Segoe UI"/>
          <w:szCs w:val="20"/>
        </w:rPr>
        <w:t>príklady</w:t>
      </w:r>
      <w:r w:rsidR="00112789" w:rsidRPr="009E07F7">
        <w:rPr>
          <w:rFonts w:eastAsia="Times New Roman" w:cs="Segoe UI"/>
          <w:szCs w:val="20"/>
        </w:rPr>
        <w:t xml:space="preserve"> závažných porušení</w:t>
      </w:r>
      <w:r w:rsidR="00141569">
        <w:rPr>
          <w:rFonts w:eastAsia="Times New Roman" w:cs="Segoe UI"/>
          <w:szCs w:val="20"/>
        </w:rPr>
        <w:t xml:space="preserve">, ktoré </w:t>
      </w:r>
      <w:r w:rsidR="00112789" w:rsidRPr="009E07F7">
        <w:rPr>
          <w:rFonts w:eastAsia="Times New Roman" w:cs="Segoe UI"/>
          <w:szCs w:val="20"/>
        </w:rPr>
        <w:t xml:space="preserve">NKÚ SR </w:t>
      </w:r>
      <w:r w:rsidR="00AA3C25">
        <w:rPr>
          <w:rFonts w:eastAsia="Times New Roman" w:cs="Segoe UI"/>
          <w:szCs w:val="20"/>
        </w:rPr>
        <w:t>zistil</w:t>
      </w:r>
      <w:r w:rsidR="00141569">
        <w:rPr>
          <w:rFonts w:eastAsia="Times New Roman" w:cs="Segoe UI"/>
          <w:szCs w:val="20"/>
        </w:rPr>
        <w:t xml:space="preserve"> </w:t>
      </w:r>
      <w:r w:rsidR="00112789" w:rsidRPr="009E07F7">
        <w:rPr>
          <w:rFonts w:eastAsia="Times New Roman" w:cs="Segoe UI"/>
          <w:szCs w:val="20"/>
        </w:rPr>
        <w:t>v</w:t>
      </w:r>
      <w:r w:rsidR="00141569">
        <w:rPr>
          <w:rFonts w:eastAsia="Times New Roman" w:cs="Segoe UI"/>
          <w:szCs w:val="20"/>
        </w:rPr>
        <w:t> </w:t>
      </w:r>
      <w:r w:rsidR="00112789" w:rsidRPr="009E07F7">
        <w:rPr>
          <w:rFonts w:eastAsia="Times New Roman" w:cs="Segoe UI"/>
          <w:szCs w:val="20"/>
        </w:rPr>
        <w:t>kontrolách</w:t>
      </w:r>
      <w:r w:rsidR="00E351D4">
        <w:rPr>
          <w:rFonts w:eastAsia="Times New Roman" w:cs="Segoe UI"/>
          <w:szCs w:val="20"/>
        </w:rPr>
        <w:t xml:space="preserve"> </w:t>
      </w:r>
      <w:r w:rsidR="00CC2A8C">
        <w:rPr>
          <w:rFonts w:eastAsia="Times New Roman" w:cs="Segoe UI"/>
          <w:szCs w:val="20"/>
        </w:rPr>
        <w:t xml:space="preserve">realizovaných </w:t>
      </w:r>
      <w:r w:rsidR="00E351D4">
        <w:rPr>
          <w:rFonts w:eastAsia="Times New Roman" w:cs="Segoe UI"/>
          <w:szCs w:val="20"/>
        </w:rPr>
        <w:t>v roku 2024</w:t>
      </w:r>
      <w:r w:rsidR="00112789" w:rsidRPr="009E07F7">
        <w:rPr>
          <w:rFonts w:eastAsia="Times New Roman" w:cs="Segoe UI"/>
          <w:szCs w:val="20"/>
        </w:rPr>
        <w:t>.</w:t>
      </w:r>
      <w:r w:rsidR="00CC2A8C" w:rsidRPr="00CC2A8C">
        <w:t xml:space="preserve"> </w:t>
      </w:r>
      <w:r w:rsidR="00CC2A8C">
        <w:t xml:space="preserve">Týkajú sa </w:t>
      </w:r>
      <w:r w:rsidR="00CC2A8C" w:rsidRPr="00CC2A8C">
        <w:rPr>
          <w:rFonts w:eastAsia="Times New Roman" w:cs="Segoe UI"/>
          <w:szCs w:val="20"/>
        </w:rPr>
        <w:t>aj riz</w:t>
      </w:r>
      <w:r w:rsidR="00CC2A8C">
        <w:rPr>
          <w:rFonts w:eastAsia="Times New Roman" w:cs="Segoe UI"/>
          <w:szCs w:val="20"/>
        </w:rPr>
        <w:t>í</w:t>
      </w:r>
      <w:r w:rsidR="00CC2A8C" w:rsidRPr="00CC2A8C">
        <w:rPr>
          <w:rFonts w:eastAsia="Times New Roman" w:cs="Segoe UI"/>
          <w:szCs w:val="20"/>
        </w:rPr>
        <w:t>k</w:t>
      </w:r>
      <w:r w:rsidR="00CC2A8C">
        <w:rPr>
          <w:rFonts w:eastAsia="Times New Roman" w:cs="Segoe UI"/>
          <w:szCs w:val="20"/>
        </w:rPr>
        <w:t xml:space="preserve"> </w:t>
      </w:r>
      <w:r w:rsidR="00CC2A8C" w:rsidRPr="00CC2A8C">
        <w:rPr>
          <w:rFonts w:eastAsia="Times New Roman" w:cs="Segoe UI"/>
          <w:szCs w:val="20"/>
        </w:rPr>
        <w:t>hospodárenia v predchádzajúcich rokoch</w:t>
      </w:r>
      <w:r w:rsidR="00CC2A8C">
        <w:rPr>
          <w:rFonts w:eastAsia="Times New Roman" w:cs="Segoe UI"/>
          <w:szCs w:val="20"/>
        </w:rPr>
        <w:t xml:space="preserve">, ktoré mohli mať </w:t>
      </w:r>
      <w:r w:rsidR="00CC2A8C" w:rsidRPr="00CC2A8C">
        <w:rPr>
          <w:rFonts w:eastAsia="Times New Roman" w:cs="Segoe UI"/>
          <w:szCs w:val="20"/>
        </w:rPr>
        <w:t xml:space="preserve">vplyv </w:t>
      </w:r>
      <w:r w:rsidR="00CC2A8C">
        <w:rPr>
          <w:rFonts w:eastAsia="Times New Roman" w:cs="Segoe UI"/>
          <w:szCs w:val="20"/>
        </w:rPr>
        <w:t xml:space="preserve">aj </w:t>
      </w:r>
      <w:r w:rsidR="00CC2A8C" w:rsidRPr="00CC2A8C">
        <w:rPr>
          <w:rFonts w:eastAsia="Times New Roman" w:cs="Segoe UI"/>
          <w:szCs w:val="20"/>
        </w:rPr>
        <w:t xml:space="preserve">na </w:t>
      </w:r>
      <w:r w:rsidR="00CC2A8C">
        <w:rPr>
          <w:rFonts w:eastAsia="Times New Roman" w:cs="Segoe UI"/>
          <w:szCs w:val="20"/>
        </w:rPr>
        <w:t>minuloročné hospodárenie.</w:t>
      </w:r>
    </w:p>
    <w:p w14:paraId="7042EC93" w14:textId="7DB55823" w:rsidR="000D05F7" w:rsidRDefault="00523D20" w:rsidP="00523D20">
      <w:pPr>
        <w:pStyle w:val="Nadpis2"/>
        <w:rPr>
          <w:color w:val="314364" w:themeColor="text2"/>
        </w:rPr>
      </w:pPr>
      <w:bookmarkStart w:id="40" w:name="_Toc198637730"/>
      <w:r w:rsidRPr="006D6463">
        <w:rPr>
          <w:color w:val="314364" w:themeColor="text2"/>
        </w:rPr>
        <w:t xml:space="preserve">5.1 </w:t>
      </w:r>
      <w:r w:rsidR="00E43045" w:rsidRPr="006D6463">
        <w:rPr>
          <w:color w:val="314364" w:themeColor="text2"/>
        </w:rPr>
        <w:t xml:space="preserve"> </w:t>
      </w:r>
      <w:r w:rsidR="001629C7" w:rsidRPr="006D6463">
        <w:rPr>
          <w:color w:val="314364" w:themeColor="text2"/>
        </w:rPr>
        <w:t>Z</w:t>
      </w:r>
      <w:r w:rsidR="00E274E0" w:rsidRPr="006D6463">
        <w:rPr>
          <w:color w:val="314364" w:themeColor="text2"/>
        </w:rPr>
        <w:t>dravotníctv</w:t>
      </w:r>
      <w:r w:rsidR="001629C7" w:rsidRPr="006D6463">
        <w:rPr>
          <w:color w:val="314364" w:themeColor="text2"/>
        </w:rPr>
        <w:t>o</w:t>
      </w:r>
      <w:bookmarkEnd w:id="40"/>
    </w:p>
    <w:p w14:paraId="2B18459B" w14:textId="356E1451" w:rsidR="00551367" w:rsidRDefault="00551367" w:rsidP="00551367">
      <w:r>
        <w:rPr>
          <w:b/>
        </w:rPr>
        <w:t xml:space="preserve">Z hľadiska programovej štruktúry sa rozpočet v roku 2024 vrátil do podoby pred pandémiou. </w:t>
      </w:r>
      <w:r w:rsidRPr="009E07F7">
        <w:t>Rozpočet MZ SR v roku 2024 obsahoval 10 programov</w:t>
      </w:r>
      <w:r>
        <w:t>.</w:t>
      </w:r>
      <w:r w:rsidRPr="004764B9">
        <w:rPr>
          <w:b/>
        </w:rPr>
        <w:t xml:space="preserve"> </w:t>
      </w:r>
      <w:r w:rsidRPr="002D080D">
        <w:rPr>
          <w:b/>
        </w:rPr>
        <w:t xml:space="preserve">Tak ako po iné roky, aj v roku 2024 jednoznačne dominoval program </w:t>
      </w:r>
      <w:r w:rsidRPr="002D080D">
        <w:rPr>
          <w:b/>
          <w:i/>
        </w:rPr>
        <w:t>Zdravotná starostlivosť</w:t>
      </w:r>
      <w:r w:rsidRPr="002D080D">
        <w:rPr>
          <w:b/>
        </w:rPr>
        <w:t>, cez ktorý bolo vynaložených až 92 % celkových výdavkov kapitoly</w:t>
      </w:r>
      <w:r>
        <w:rPr>
          <w:b/>
        </w:rPr>
        <w:t xml:space="preserve"> </w:t>
      </w:r>
      <w:r w:rsidRPr="00C74CE7">
        <w:t>(graf 2</w:t>
      </w:r>
      <w:r w:rsidR="004A617D">
        <w:t>2</w:t>
      </w:r>
      <w:r w:rsidRPr="00C74CE7">
        <w:t>)</w:t>
      </w:r>
      <w:r w:rsidRPr="00C74CE7">
        <w:rPr>
          <w:b/>
        </w:rPr>
        <w:t>.</w:t>
      </w:r>
      <w:r>
        <w:t xml:space="preserve"> </w:t>
      </w:r>
      <w:r w:rsidRPr="002D080D">
        <w:t>Podstatnú časť tohto programu</w:t>
      </w:r>
      <w:r>
        <w:t xml:space="preserve"> tvoril</w:t>
      </w:r>
      <w:r w:rsidRPr="002D080D">
        <w:t xml:space="preserve"> podprogram </w:t>
      </w:r>
      <w:r w:rsidRPr="002D080D">
        <w:rPr>
          <w:i/>
        </w:rPr>
        <w:t>Poistné za poistencov štátu</w:t>
      </w:r>
      <w:r w:rsidRPr="002D080D">
        <w:t>, ktorý vo výške 2,11 mld. eur sám pokrýv</w:t>
      </w:r>
      <w:r>
        <w:t>al</w:t>
      </w:r>
      <w:r w:rsidRPr="002D080D">
        <w:t xml:space="preserve"> vyše 77 % celkových rozpočtových výdavkov MZ SR.</w:t>
      </w:r>
    </w:p>
    <w:p w14:paraId="1431CE7C" w14:textId="77777777" w:rsidR="00CC2A8C" w:rsidRDefault="00CC2A8C" w:rsidP="00CC2A8C">
      <w:r w:rsidRPr="00F9424E">
        <w:rPr>
          <w:b/>
        </w:rPr>
        <w:t>NKÚ SR opakovane upozorňuje, že stanovovanie cieľov a ic</w:t>
      </w:r>
      <w:r>
        <w:rPr>
          <w:b/>
        </w:rPr>
        <w:t>h hodnotenie pri kľúčových častiach</w:t>
      </w:r>
      <w:r w:rsidRPr="00F9424E">
        <w:rPr>
          <w:b/>
        </w:rPr>
        <w:t xml:space="preserve"> programového rozpočtu kapitoly je nedostatočné.</w:t>
      </w:r>
      <w:r>
        <w:t xml:space="preserve"> Monitorovacia správa programovej štruktúry k ZÚ kapitoly uvádza k programu </w:t>
      </w:r>
      <w:r w:rsidRPr="00297B8B">
        <w:rPr>
          <w:i/>
        </w:rPr>
        <w:t>Zdravotná starostlivosť</w:t>
      </w:r>
      <w:r>
        <w:t xml:space="preserve"> hodnotenie v znení </w:t>
      </w:r>
      <w:r w:rsidRPr="00297B8B">
        <w:rPr>
          <w:i/>
        </w:rPr>
        <w:t>„Stanovené ciele boli v roku 2024 priebežne plnené.“</w:t>
      </w:r>
      <w:r>
        <w:t xml:space="preserve">, pričom k danému programu je definovaný len všeobecný zámer </w:t>
      </w:r>
      <w:r w:rsidRPr="00297B8B">
        <w:rPr>
          <w:i/>
        </w:rPr>
        <w:t>„Vysoká kvalita poskytovanej zdravotnej starostlivosti“</w:t>
      </w:r>
      <w:r>
        <w:t>. Z monitorovacej správy teda nie je jasné, aké ciele boli plnené, a taktiež na základe akých ukazovateľov a metodiky bolo takéto pozitívne hodnotenie formulované. Pri kľúčovom podprograme „</w:t>
      </w:r>
      <w:r w:rsidRPr="002D0A1D">
        <w:t>Poistné za poistencov štátu</w:t>
      </w:r>
      <w:r>
        <w:t xml:space="preserve">“ je cieľ definovaný ako </w:t>
      </w:r>
      <w:r w:rsidRPr="002D0A1D">
        <w:rPr>
          <w:i/>
        </w:rPr>
        <w:t>„Platba štátu za neaktívnych občanov“</w:t>
      </w:r>
      <w:r>
        <w:t>, čo nedáva žiaden priestor na skutočné hodnotenie.</w:t>
      </w:r>
    </w:p>
    <w:p w14:paraId="4B3250DB" w14:textId="58D67069" w:rsidR="00776834" w:rsidRPr="00BC3CA3" w:rsidRDefault="00776834" w:rsidP="00C74CE7">
      <w:pPr>
        <w:pStyle w:val="Popis"/>
        <w:keepNext/>
        <w:rPr>
          <w:color w:val="314364"/>
        </w:rPr>
      </w:pPr>
      <w:r w:rsidRPr="00BC3CA3">
        <w:rPr>
          <w:color w:val="314364"/>
        </w:rPr>
        <w:lastRenderedPageBreak/>
        <w:t>Graf</w:t>
      </w:r>
      <w:r>
        <w:rPr>
          <w:color w:val="314364"/>
        </w:rPr>
        <w:t xml:space="preserve"> </w:t>
      </w:r>
      <w:r w:rsidR="00C74CE7">
        <w:rPr>
          <w:color w:val="314364"/>
        </w:rPr>
        <w:t>2</w:t>
      </w:r>
      <w:r w:rsidR="004A617D">
        <w:rPr>
          <w:color w:val="314364"/>
        </w:rPr>
        <w:t>2</w:t>
      </w:r>
      <w:r w:rsidRPr="00BC3CA3">
        <w:rPr>
          <w:color w:val="314364"/>
        </w:rPr>
        <w:t xml:space="preserve">: </w:t>
      </w:r>
      <w:r>
        <w:rPr>
          <w:color w:val="314364"/>
        </w:rPr>
        <w:t>Výdavky kapitoly MZ SR na vybrané programy v roku 2024 (v mil. eur)</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776834" w:rsidRPr="00C75134" w14:paraId="1FBA7FD8" w14:textId="77777777" w:rsidTr="00B82719">
        <w:trPr>
          <w:trHeight w:val="2835"/>
        </w:trPr>
        <w:tc>
          <w:tcPr>
            <w:tcW w:w="9070" w:type="dxa"/>
            <w:tcBorders>
              <w:top w:val="single" w:sz="4" w:space="0" w:color="314364"/>
              <w:bottom w:val="single" w:sz="4" w:space="0" w:color="314364"/>
            </w:tcBorders>
            <w:vAlign w:val="center"/>
          </w:tcPr>
          <w:p w14:paraId="6454AE95" w14:textId="77777777" w:rsidR="00776834" w:rsidRPr="00C75134" w:rsidRDefault="00776834" w:rsidP="005369A1">
            <w:pPr>
              <w:spacing w:after="0"/>
              <w:rPr>
                <w:b/>
                <w:color w:val="576431"/>
              </w:rPr>
            </w:pPr>
            <w:r>
              <w:rPr>
                <w:noProof/>
                <w:lang w:eastAsia="sk-SK"/>
              </w:rPr>
              <w:drawing>
                <wp:inline distT="0" distB="0" distL="0" distR="0" wp14:anchorId="4C76E507" wp14:editId="3845D778">
                  <wp:extent cx="5676900" cy="1799590"/>
                  <wp:effectExtent l="0" t="0" r="0" b="0"/>
                  <wp:docPr id="29" name="Graf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50C742A8" w14:textId="77777777" w:rsidR="00776834" w:rsidRDefault="00776834" w:rsidP="00776834">
      <w:pPr>
        <w:pStyle w:val="Zdroj"/>
      </w:pPr>
      <w:r>
        <w:t xml:space="preserve">Zdroj: RIS; výpočty a </w:t>
      </w:r>
      <w:r w:rsidRPr="00E6404F">
        <w:t>spracovanie NKÚ SR</w:t>
      </w:r>
      <w:r>
        <w:t>.</w:t>
      </w:r>
    </w:p>
    <w:p w14:paraId="484D430A" w14:textId="4A578A2A" w:rsidR="00C40242" w:rsidRDefault="00C40242" w:rsidP="00C40242">
      <w:r w:rsidRPr="007D3345">
        <w:rPr>
          <w:b/>
        </w:rPr>
        <w:t>V roku 2024</w:t>
      </w:r>
      <w:r>
        <w:rPr>
          <w:b/>
        </w:rPr>
        <w:t xml:space="preserve"> sa začalo </w:t>
      </w:r>
      <w:r w:rsidRPr="007D3345">
        <w:rPr>
          <w:b/>
        </w:rPr>
        <w:t>reálne</w:t>
      </w:r>
      <w:r>
        <w:rPr>
          <w:b/>
        </w:rPr>
        <w:t xml:space="preserve"> významné</w:t>
      </w:r>
      <w:r w:rsidRPr="007D3345">
        <w:rPr>
          <w:b/>
        </w:rPr>
        <w:t xml:space="preserve"> čerpanie prostriedkov POO v oblasti zdravotníctva</w:t>
      </w:r>
      <w:r>
        <w:rPr>
          <w:b/>
        </w:rPr>
        <w:t xml:space="preserve"> a v rámci podprogramu </w:t>
      </w:r>
      <w:r w:rsidRPr="007D3345">
        <w:rPr>
          <w:b/>
          <w:i/>
        </w:rPr>
        <w:t>Plán obnovy</w:t>
      </w:r>
      <w:r>
        <w:rPr>
          <w:b/>
        </w:rPr>
        <w:t xml:space="preserve"> bolo vyčerpaných 323,3 mil. eur.</w:t>
      </w:r>
      <w:r w:rsidRPr="007D3345">
        <w:rPr>
          <w:b/>
        </w:rPr>
        <w:t xml:space="preserve"> </w:t>
      </w:r>
      <w:r>
        <w:t xml:space="preserve">Prostriedky POO boli v programovej štruktúre rozpočtu kapitoly MZ SR alokované ako samostatný podprogram programu </w:t>
      </w:r>
      <w:r w:rsidRPr="00A11E16">
        <w:rPr>
          <w:i/>
        </w:rPr>
        <w:t>Zdravotná starostlivos</w:t>
      </w:r>
      <w:r>
        <w:t>ť. Podstatná časť týchto prostriedkov (</w:t>
      </w:r>
      <w:r w:rsidRPr="00590AA4">
        <w:t>305,6 mil. eur</w:t>
      </w:r>
      <w:r>
        <w:t xml:space="preserve">) pripadla na </w:t>
      </w:r>
      <w:r w:rsidRPr="007D3345">
        <w:t xml:space="preserve">prvok </w:t>
      </w:r>
      <w:r w:rsidRPr="007D3345">
        <w:rPr>
          <w:i/>
        </w:rPr>
        <w:t>Moderná a dostupná zdravotná starostlivosť</w:t>
      </w:r>
      <w:r w:rsidR="006D6463">
        <w:rPr>
          <w:i/>
        </w:rPr>
        <w:t>,</w:t>
      </w:r>
      <w:r w:rsidRPr="007D3345">
        <w:t xml:space="preserve"> </w:t>
      </w:r>
      <w:r>
        <w:t xml:space="preserve">kde boli prostriedky použité predovšetkým na </w:t>
      </w:r>
      <w:r w:rsidRPr="007365AC">
        <w:t>podporu výstavby nových nemocníc a rekonštrukciu už exi</w:t>
      </w:r>
      <w:r>
        <w:t>stujúcich. Čerpanie v roku 2024 možno vnímať ako pozitívny signál skutočného naštartovania využívania prostriedkov POO v zdravotníctve.</w:t>
      </w:r>
    </w:p>
    <w:p w14:paraId="6271A96E" w14:textId="77777777" w:rsidR="00776834" w:rsidRPr="00F9424E" w:rsidRDefault="00776834" w:rsidP="00776834">
      <w:pPr>
        <w:rPr>
          <w:b/>
        </w:rPr>
      </w:pPr>
      <w:r w:rsidRPr="00210B1B">
        <w:rPr>
          <w:b/>
        </w:rPr>
        <w:t xml:space="preserve">Cez druhý najväčší program </w:t>
      </w:r>
      <w:r w:rsidRPr="00210B1B">
        <w:rPr>
          <w:b/>
          <w:i/>
        </w:rPr>
        <w:t>Tvorba a implementácia politík</w:t>
      </w:r>
      <w:r w:rsidRPr="00210B1B">
        <w:rPr>
          <w:b/>
        </w:rPr>
        <w:t xml:space="preserve"> bolo v roku 2024 vyčerpaných vyše 103 mil. eur, čo znamená medziročný pokles o viac ako 40 %.</w:t>
      </w:r>
      <w:r>
        <w:t xml:space="preserve"> Podstatnou mierou sa na tomto znížení podieľali prvky programu, cez ktoré boli v minulých rokoch financované výdavky súvisiace s pandémiou COVID-19. Skutočne čerpaný objem prostriedkov v rámci tohto programu bol značne vyšší ako pôvodne rozpočtovaná suma, čím čerpanie predstavovalo 136,4 % rozpočtu. Oproti rozpočtu boli navýšené napríklad výdavky na vysokoškolské vzdelávanie na zdravotníckych univerzitách, a taktiež boli dočerpávané pôvodne nerozpočtované prostriedky zo zdrojov EÚ na z</w:t>
      </w:r>
      <w:r w:rsidRPr="00267EC5">
        <w:t>avádzanie a podpor</w:t>
      </w:r>
      <w:r>
        <w:t>u</w:t>
      </w:r>
      <w:r w:rsidRPr="00267EC5">
        <w:t xml:space="preserve"> manažérstva kvality v</w:t>
      </w:r>
      <w:r>
        <w:t xml:space="preserve"> rezorte. Podobne ako pri predošlom programe, aj v tomto prípade je definovanie cieľov a ich hodnotenie nedostatočné. V monitorovacej správe je cieľ celého programu definovaný ako </w:t>
      </w:r>
      <w:r w:rsidRPr="000323E0">
        <w:rPr>
          <w:i/>
        </w:rPr>
        <w:t>„Tvorba a implementácia politík“</w:t>
      </w:r>
      <w:r>
        <w:t xml:space="preserve"> a jeho monitorovanie je vyriešené jedinou vetou: </w:t>
      </w:r>
      <w:r w:rsidRPr="000323E0">
        <w:rPr>
          <w:i/>
        </w:rPr>
        <w:t>„Programové časti programu 07B Tvorba a implementácia politík boli zhodnotené.</w:t>
      </w:r>
      <w:r>
        <w:t xml:space="preserve">“ </w:t>
      </w:r>
      <w:r w:rsidRPr="00F9424E">
        <w:rPr>
          <w:b/>
        </w:rPr>
        <w:t>NKÚ SR upozorňuje, že takýto prístup k definovaniu a monitorovaniu cieľov programov nemožno považovať za dostatočný.</w:t>
      </w:r>
    </w:p>
    <w:p w14:paraId="3D7DDACB" w14:textId="1A353D6C" w:rsidR="00776834" w:rsidRDefault="00776834" w:rsidP="00776834">
      <w:r>
        <w:rPr>
          <w:b/>
        </w:rPr>
        <w:t>Cez t</w:t>
      </w:r>
      <w:r w:rsidRPr="00FF555A">
        <w:rPr>
          <w:b/>
        </w:rPr>
        <w:t>retí</w:t>
      </w:r>
      <w:r>
        <w:rPr>
          <w:b/>
        </w:rPr>
        <w:t xml:space="preserve"> n</w:t>
      </w:r>
      <w:r w:rsidRPr="00FF555A">
        <w:rPr>
          <w:b/>
        </w:rPr>
        <w:t xml:space="preserve">ajväčší program </w:t>
      </w:r>
      <w:r w:rsidRPr="00FF555A">
        <w:rPr>
          <w:b/>
          <w:i/>
        </w:rPr>
        <w:t>Prevencia a ochrana zdravia</w:t>
      </w:r>
      <w:r w:rsidRPr="00FF555A">
        <w:rPr>
          <w:b/>
        </w:rPr>
        <w:t xml:space="preserve"> bolo vyčerpaných 86,2 mil. eur, čo predstavuje medziročný nárast o 13 %</w:t>
      </w:r>
      <w:r w:rsidRPr="008F35A2">
        <w:rPr>
          <w:b/>
          <w:bCs/>
        </w:rPr>
        <w:t>.</w:t>
      </w:r>
      <w:r>
        <w:t xml:space="preserve"> </w:t>
      </w:r>
      <w:r w:rsidR="004A617D">
        <w:t>Správne nastavený systém prevencie je nákladovo efektívnejší a preto n</w:t>
      </w:r>
      <w:r>
        <w:t>a slabé výsledky v oblasti prevencie NKÚ SR upozorňuje dlhodobo a v roku 2024 vykonal v tejto téme kontrolu</w:t>
      </w:r>
      <w:r>
        <w:rPr>
          <w:rStyle w:val="Odkaznapoznmkupodiarou"/>
        </w:rPr>
        <w:footnoteReference w:id="16"/>
      </w:r>
      <w:r>
        <w:t xml:space="preserve">. Tá potvrdila nízky objem zdrojov vynakladaných na prevenciu </w:t>
      </w:r>
      <w:r w:rsidR="00C40242">
        <w:t>a</w:t>
      </w:r>
      <w:r>
        <w:t xml:space="preserve"> odhalila nefunkčnosť Národného skríningového registra, ako aj ďalších informačných systémov. V programovom rozpočte na rok 2024 nie sú zreteľné zlepšenia, ktoré by na slabé výsledky prevencie reagovali. Ciele programu a podprogramov sú definované všeobecne, pričom výsledkové indikátory</w:t>
      </w:r>
      <w:r w:rsidR="006D6463">
        <w:t>,</w:t>
      </w:r>
      <w:r>
        <w:t xml:space="preserve"> ako napríklad </w:t>
      </w:r>
      <w:proofErr w:type="spellStart"/>
      <w:r>
        <w:t>preventabilná</w:t>
      </w:r>
      <w:proofErr w:type="spellEnd"/>
      <w:r>
        <w:t xml:space="preserve"> úmrtnosť</w:t>
      </w:r>
      <w:r w:rsidR="006D6463">
        <w:t>,</w:t>
      </w:r>
      <w:r>
        <w:t xml:space="preserve"> nie sú využívané vôbec.</w:t>
      </w:r>
    </w:p>
    <w:p w14:paraId="203F84ED" w14:textId="22671E09" w:rsidR="00776834" w:rsidRDefault="00776834" w:rsidP="00776834">
      <w:pPr>
        <w:rPr>
          <w:szCs w:val="20"/>
        </w:rPr>
      </w:pPr>
      <w:r w:rsidRPr="00F9424E">
        <w:rPr>
          <w:b/>
          <w:szCs w:val="20"/>
        </w:rPr>
        <w:t>Dostupné ukazovatele indikujú, že v roku 2024 došlo na Slovensku k zhoršeniu vnímania zdravotného stavu, no na druhej strane k zlepšeniu vnímania dostupnosti zdravotnej starostlivosti.</w:t>
      </w:r>
      <w:r>
        <w:rPr>
          <w:szCs w:val="20"/>
        </w:rPr>
        <w:t xml:space="preserve"> Ide </w:t>
      </w:r>
      <w:r w:rsidR="006D6463">
        <w:rPr>
          <w:szCs w:val="20"/>
        </w:rPr>
        <w:t>však</w:t>
      </w:r>
      <w:r>
        <w:rPr>
          <w:szCs w:val="20"/>
        </w:rPr>
        <w:t xml:space="preserve"> o ukazovatele subjektívneho vnímania</w:t>
      </w:r>
      <w:r w:rsidR="006D6463">
        <w:rPr>
          <w:szCs w:val="20"/>
        </w:rPr>
        <w:t>,</w:t>
      </w:r>
      <w:r>
        <w:rPr>
          <w:szCs w:val="20"/>
        </w:rPr>
        <w:t xml:space="preserve"> </w:t>
      </w:r>
      <w:r w:rsidR="006D6463">
        <w:rPr>
          <w:szCs w:val="20"/>
        </w:rPr>
        <w:t>takže</w:t>
      </w:r>
      <w:r>
        <w:rPr>
          <w:szCs w:val="20"/>
        </w:rPr>
        <w:t> nakoľko odzrkadľujú reálne zmeny</w:t>
      </w:r>
      <w:r w:rsidR="006D6463">
        <w:rPr>
          <w:szCs w:val="20"/>
        </w:rPr>
        <w:t>,</w:t>
      </w:r>
      <w:r>
        <w:rPr>
          <w:szCs w:val="20"/>
        </w:rPr>
        <w:t xml:space="preserve"> bude možné v</w:t>
      </w:r>
      <w:r w:rsidR="00A464BE">
        <w:rPr>
          <w:szCs w:val="20"/>
        </w:rPr>
        <w:t>yhodnotiť</w:t>
      </w:r>
      <w:r>
        <w:rPr>
          <w:szCs w:val="20"/>
        </w:rPr>
        <w:t>, až keď budú dostupné objektívne výsledkové ukazovatele za rok 2024.</w:t>
      </w:r>
    </w:p>
    <w:p w14:paraId="329A940B" w14:textId="1F01F34E" w:rsidR="004A617D" w:rsidRPr="00621C02" w:rsidRDefault="004A617D" w:rsidP="00AA3C25">
      <w:pPr>
        <w:spacing w:after="80"/>
      </w:pPr>
      <w:r w:rsidRPr="00621C02">
        <w:rPr>
          <w:b/>
        </w:rPr>
        <w:lastRenderedPageBreak/>
        <w:t>V roku 2024 vnímalo svoje zdravie ako veľmi dobré alebo dobré 66,8 % populácie Slovenska, pričom sa hodnota tohto ukazovateľa medziročne znížila o 1,2 p</w:t>
      </w:r>
      <w:r>
        <w:rPr>
          <w:b/>
        </w:rPr>
        <w:t xml:space="preserve">. b. </w:t>
      </w:r>
      <w:r w:rsidRPr="00C74CE7">
        <w:t xml:space="preserve">(graf </w:t>
      </w:r>
      <w:r>
        <w:t>23</w:t>
      </w:r>
      <w:r w:rsidRPr="00C74CE7">
        <w:t>)</w:t>
      </w:r>
      <w:r w:rsidRPr="00CA0A89">
        <w:t>, čo</w:t>
      </w:r>
      <w:r>
        <w:t xml:space="preserve"> je tretie najväčšie medziročné zhoršenie tohto ukazovateľa spomedzi krajín EÚ.</w:t>
      </w:r>
      <w:r w:rsidRPr="00621C02">
        <w:t xml:space="preserve"> </w:t>
      </w:r>
      <w:r>
        <w:t>Porovnanie s ostatnými krajinami EÚ ukazuje, že vnímané zdravie obyvateľov SR bolo v roku 2024 tesne pod priemerom krajín EÚ27. Bližší pohľad na dáta tohto ukazovateľa prezrádza, že obyvatelia miest vnímajú svoje zdravie lepšie ako obyvatelia vidieckych oblastí, pričom rozdiel medzi týmito dvoma skupinami je na Slovensku siedmym najvyšším spomedzi krajín EÚ.</w:t>
      </w:r>
    </w:p>
    <w:p w14:paraId="3764238C" w14:textId="6C472974" w:rsidR="00CD073B" w:rsidRPr="00BC3CA3" w:rsidRDefault="00CD073B" w:rsidP="00CD073B">
      <w:pPr>
        <w:pStyle w:val="Popis"/>
        <w:keepNext/>
        <w:rPr>
          <w:color w:val="314364"/>
        </w:rPr>
      </w:pPr>
      <w:r w:rsidRPr="00C74CE7">
        <w:rPr>
          <w:color w:val="314364"/>
        </w:rPr>
        <w:t xml:space="preserve">Graf </w:t>
      </w:r>
      <w:r>
        <w:rPr>
          <w:color w:val="314364"/>
        </w:rPr>
        <w:t>2</w:t>
      </w:r>
      <w:r w:rsidR="004A617D">
        <w:rPr>
          <w:color w:val="314364"/>
        </w:rPr>
        <w:t>3</w:t>
      </w:r>
      <w:r w:rsidRPr="00C74CE7">
        <w:rPr>
          <w:color w:val="314364"/>
        </w:rPr>
        <w:t>:</w:t>
      </w:r>
      <w:r>
        <w:rPr>
          <w:color w:val="314364"/>
        </w:rPr>
        <w:t xml:space="preserve"> Podiel populácie vnímajúcej svoj zdravotný stav ako dobrý alebo veľmi dobrý (v %)</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CD073B" w:rsidRPr="00C75134" w14:paraId="0499A11E" w14:textId="77777777" w:rsidTr="00DD2D30">
        <w:trPr>
          <w:trHeight w:val="3402"/>
        </w:trPr>
        <w:tc>
          <w:tcPr>
            <w:tcW w:w="9070" w:type="dxa"/>
            <w:tcBorders>
              <w:top w:val="single" w:sz="4" w:space="0" w:color="314364"/>
              <w:bottom w:val="single" w:sz="4" w:space="0" w:color="314364"/>
            </w:tcBorders>
            <w:vAlign w:val="center"/>
          </w:tcPr>
          <w:p w14:paraId="17B48D33" w14:textId="77777777" w:rsidR="00CD073B" w:rsidRPr="00C75134" w:rsidRDefault="00CD073B" w:rsidP="00DD2D30">
            <w:pPr>
              <w:spacing w:after="0"/>
              <w:rPr>
                <w:b/>
                <w:color w:val="576431"/>
              </w:rPr>
            </w:pPr>
            <w:r>
              <w:rPr>
                <w:noProof/>
                <w:lang w:eastAsia="sk-SK"/>
              </w:rPr>
              <w:drawing>
                <wp:inline distT="0" distB="0" distL="0" distR="0" wp14:anchorId="24571227" wp14:editId="3B603437">
                  <wp:extent cx="5657850" cy="2160000"/>
                  <wp:effectExtent l="0" t="0" r="0" b="0"/>
                  <wp:docPr id="30" name="Graf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bl>
    <w:p w14:paraId="14C6A93C" w14:textId="77777777" w:rsidR="00CD073B" w:rsidRDefault="00CD073B" w:rsidP="00CD073B">
      <w:pPr>
        <w:pStyle w:val="Zdroj"/>
      </w:pPr>
      <w:r w:rsidRPr="00627D87">
        <w:t xml:space="preserve">Zdroj: </w:t>
      </w:r>
      <w:r w:rsidRPr="00AC02EC">
        <w:t xml:space="preserve"> </w:t>
      </w:r>
      <w:r w:rsidRPr="00D3702E">
        <w:t>Eurostat, databáza hlth_silc_01; výpočty a spracovanie NKÚ SR.</w:t>
      </w:r>
    </w:p>
    <w:p w14:paraId="04028FC5" w14:textId="1B7F44CE" w:rsidR="00776834" w:rsidRDefault="00776834" w:rsidP="00776834">
      <w:pPr>
        <w:pStyle w:val="Nadpis3"/>
      </w:pPr>
      <w:bookmarkStart w:id="41" w:name="_Toc197091800"/>
      <w:bookmarkStart w:id="42" w:name="_Toc198637731"/>
      <w:r>
        <w:t>5.1.1  Výdavky verejného zdravotného poistenia</w:t>
      </w:r>
      <w:bookmarkEnd w:id="41"/>
      <w:r w:rsidR="00A86954">
        <w:t xml:space="preserve"> a faktory </w:t>
      </w:r>
      <w:r w:rsidR="00865377">
        <w:t>ich</w:t>
      </w:r>
      <w:r w:rsidR="00A86954">
        <w:t xml:space="preserve"> rastu</w:t>
      </w:r>
      <w:bookmarkEnd w:id="42"/>
    </w:p>
    <w:p w14:paraId="71521B2E" w14:textId="7C1D60F4" w:rsidR="00776834" w:rsidRDefault="00776834" w:rsidP="00AA3C25">
      <w:pPr>
        <w:spacing w:after="80"/>
      </w:pPr>
      <w:r w:rsidRPr="00885209">
        <w:rPr>
          <w:b/>
        </w:rPr>
        <w:t xml:space="preserve">Celkové výdavky </w:t>
      </w:r>
      <w:r w:rsidR="009E07F7">
        <w:rPr>
          <w:b/>
        </w:rPr>
        <w:t>VZP</w:t>
      </w:r>
      <w:r w:rsidR="00A86954">
        <w:t xml:space="preserve"> </w:t>
      </w:r>
      <w:r w:rsidRPr="00885209">
        <w:rPr>
          <w:b/>
        </w:rPr>
        <w:t>v roku 2024</w:t>
      </w:r>
      <w:r>
        <w:rPr>
          <w:b/>
        </w:rPr>
        <w:t xml:space="preserve"> medziročne vzrástli o viac ako 15,5 % a dosiahli</w:t>
      </w:r>
      <w:r w:rsidRPr="00885209">
        <w:rPr>
          <w:b/>
        </w:rPr>
        <w:t xml:space="preserve"> takmer 8 277 mil. eur.</w:t>
      </w:r>
      <w:r>
        <w:t xml:space="preserve"> Systém VZP tak pokračoval v dlhodobom prudkom raste výdavkov. Objem výdavkov VZP sa za posledných 10 rokov v nominálnom vy</w:t>
      </w:r>
      <w:r w:rsidR="004A617D">
        <w:t xml:space="preserve">jadrení viac ako zdvojnásobil, ale dôležitejšie </w:t>
      </w:r>
      <w:r w:rsidR="00221742">
        <w:t xml:space="preserve">než </w:t>
      </w:r>
      <w:r>
        <w:t xml:space="preserve">nominálne vyjadrenie je porovnanie tohto vývoja s rastom ekonomiky Slovenska </w:t>
      </w:r>
      <w:r w:rsidRPr="00C74CE7">
        <w:t xml:space="preserve">(graf </w:t>
      </w:r>
      <w:r w:rsidR="004A617D">
        <w:t>24</w:t>
      </w:r>
      <w:r w:rsidRPr="00C74CE7">
        <w:t>).</w:t>
      </w:r>
      <w:r>
        <w:t xml:space="preserve"> To ukazuje, že od roku 2019 rastú výdavky VZP </w:t>
      </w:r>
      <w:r w:rsidR="008F170D">
        <w:t xml:space="preserve">v nominálnom vyjadrení </w:t>
      </w:r>
      <w:r>
        <w:t>rýchlejšie ako HDP a dochádza k čoraz väčšiemu roztváraniu nožníc medzi týmito dvoma veličinami. Takýto vývoj indikuje vážne riziko pre dlhodobú udržateľnosť</w:t>
      </w:r>
      <w:r w:rsidR="00A464BE">
        <w:t xml:space="preserve"> financovania systému VZP v SR</w:t>
      </w:r>
      <w:r>
        <w:t>.</w:t>
      </w:r>
    </w:p>
    <w:tbl>
      <w:tblPr>
        <w:tblStyle w:val="Mriekatabuky"/>
        <w:tblW w:w="492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70" w:type="dxa"/>
          <w:right w:w="70" w:type="dxa"/>
        </w:tblCellMar>
        <w:tblLook w:val="04A0" w:firstRow="1" w:lastRow="0" w:firstColumn="1" w:lastColumn="0" w:noHBand="0" w:noVBand="1"/>
      </w:tblPr>
      <w:tblGrid>
        <w:gridCol w:w="3906"/>
        <w:gridCol w:w="5023"/>
      </w:tblGrid>
      <w:tr w:rsidR="00776834" w:rsidRPr="00C75134" w14:paraId="5DEEB06A" w14:textId="77777777" w:rsidTr="004A617D">
        <w:trPr>
          <w:trHeight w:val="136"/>
        </w:trPr>
        <w:tc>
          <w:tcPr>
            <w:tcW w:w="3906" w:type="dxa"/>
            <w:tcBorders>
              <w:bottom w:val="single" w:sz="4" w:space="0" w:color="314364"/>
            </w:tcBorders>
            <w:vAlign w:val="center"/>
          </w:tcPr>
          <w:p w14:paraId="75E9B0C3" w14:textId="7B4678E6" w:rsidR="00776834" w:rsidRDefault="00776834" w:rsidP="004A617D">
            <w:pPr>
              <w:spacing w:after="0"/>
              <w:jc w:val="left"/>
              <w:rPr>
                <w:noProof/>
                <w:lang w:eastAsia="sk-SK"/>
              </w:rPr>
            </w:pPr>
            <w:r w:rsidRPr="00C74CE7">
              <w:rPr>
                <w:b/>
                <w:iCs/>
                <w:color w:val="314364"/>
                <w:szCs w:val="18"/>
              </w:rPr>
              <w:t xml:space="preserve">Graf </w:t>
            </w:r>
            <w:r w:rsidR="004A617D">
              <w:rPr>
                <w:b/>
                <w:iCs/>
                <w:color w:val="314364"/>
                <w:szCs w:val="18"/>
              </w:rPr>
              <w:t>24</w:t>
            </w:r>
            <w:r w:rsidRPr="00C74CE7">
              <w:rPr>
                <w:b/>
                <w:iCs/>
                <w:color w:val="314364"/>
                <w:szCs w:val="18"/>
              </w:rPr>
              <w:t>:</w:t>
            </w:r>
            <w:r w:rsidRPr="000C247C">
              <w:rPr>
                <w:b/>
                <w:iCs/>
                <w:color w:val="314364"/>
                <w:szCs w:val="18"/>
              </w:rPr>
              <w:t xml:space="preserve"> Rast výdavkov VZP a HDP vzhľadom k bázickému roku 2014 (v %)</w:t>
            </w:r>
          </w:p>
        </w:tc>
        <w:tc>
          <w:tcPr>
            <w:tcW w:w="5023" w:type="dxa"/>
            <w:tcBorders>
              <w:left w:val="nil"/>
              <w:bottom w:val="single" w:sz="4" w:space="0" w:color="314364"/>
            </w:tcBorders>
            <w:vAlign w:val="center"/>
          </w:tcPr>
          <w:p w14:paraId="2A321224" w14:textId="50036904" w:rsidR="00776834" w:rsidRPr="000C247C" w:rsidRDefault="00776834" w:rsidP="004A617D">
            <w:pPr>
              <w:pStyle w:val="Popis"/>
              <w:keepNext/>
              <w:jc w:val="left"/>
              <w:rPr>
                <w:color w:val="314364"/>
              </w:rPr>
            </w:pPr>
            <w:r w:rsidRPr="00C74CE7">
              <w:rPr>
                <w:color w:val="314364"/>
              </w:rPr>
              <w:t xml:space="preserve">Graf </w:t>
            </w:r>
            <w:r w:rsidR="00CD073B">
              <w:rPr>
                <w:color w:val="314364"/>
              </w:rPr>
              <w:t>2</w:t>
            </w:r>
            <w:r w:rsidR="004A617D">
              <w:rPr>
                <w:color w:val="314364"/>
              </w:rPr>
              <w:t>5</w:t>
            </w:r>
            <w:r w:rsidRPr="00BC3CA3">
              <w:rPr>
                <w:color w:val="314364"/>
              </w:rPr>
              <w:t xml:space="preserve">: </w:t>
            </w:r>
            <w:r>
              <w:rPr>
                <w:color w:val="314364"/>
              </w:rPr>
              <w:t>Štruktúra výdavkov VZP v rok</w:t>
            </w:r>
            <w:r w:rsidR="004A617D">
              <w:rPr>
                <w:color w:val="314364"/>
              </w:rPr>
              <w:t>och</w:t>
            </w:r>
            <w:r>
              <w:rPr>
                <w:color w:val="314364"/>
              </w:rPr>
              <w:t xml:space="preserve"> </w:t>
            </w:r>
            <w:r w:rsidR="004A617D">
              <w:rPr>
                <w:color w:val="314364"/>
              </w:rPr>
              <w:t xml:space="preserve">2022 až </w:t>
            </w:r>
            <w:r>
              <w:rPr>
                <w:color w:val="314364"/>
              </w:rPr>
              <w:t>2024 (v %)</w:t>
            </w:r>
          </w:p>
        </w:tc>
      </w:tr>
      <w:tr w:rsidR="00776834" w:rsidRPr="00C75134" w14:paraId="20054DE3" w14:textId="77777777" w:rsidTr="004A617D">
        <w:trPr>
          <w:trHeight w:val="2429"/>
        </w:trPr>
        <w:tc>
          <w:tcPr>
            <w:tcW w:w="3906" w:type="dxa"/>
            <w:tcBorders>
              <w:top w:val="single" w:sz="4" w:space="0" w:color="314364"/>
              <w:bottom w:val="single" w:sz="4" w:space="0" w:color="314364"/>
              <w:right w:val="single" w:sz="4" w:space="0" w:color="auto"/>
            </w:tcBorders>
            <w:vAlign w:val="center"/>
          </w:tcPr>
          <w:p w14:paraId="28F2BB56" w14:textId="77777777" w:rsidR="00776834" w:rsidRPr="00C75134" w:rsidRDefault="00776834" w:rsidP="005369A1">
            <w:pPr>
              <w:spacing w:after="0"/>
              <w:rPr>
                <w:b/>
                <w:color w:val="576431"/>
              </w:rPr>
            </w:pPr>
            <w:r>
              <w:rPr>
                <w:noProof/>
                <w:lang w:eastAsia="sk-SK"/>
              </w:rPr>
              <w:drawing>
                <wp:inline distT="0" distB="0" distL="0" distR="0" wp14:anchorId="4FA2BAF9" wp14:editId="6A67F05B">
                  <wp:extent cx="2457450" cy="2505075"/>
                  <wp:effectExtent l="0" t="0" r="0" b="0"/>
                  <wp:docPr id="32" name="Graf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c>
          <w:tcPr>
            <w:tcW w:w="5023" w:type="dxa"/>
            <w:tcBorders>
              <w:top w:val="single" w:sz="4" w:space="0" w:color="314364"/>
              <w:left w:val="single" w:sz="4" w:space="0" w:color="auto"/>
              <w:bottom w:val="single" w:sz="4" w:space="0" w:color="314364"/>
            </w:tcBorders>
          </w:tcPr>
          <w:p w14:paraId="03098A25" w14:textId="77777777" w:rsidR="00776834" w:rsidRPr="00C75134" w:rsidRDefault="00776834" w:rsidP="005369A1">
            <w:pPr>
              <w:spacing w:after="0"/>
              <w:rPr>
                <w:b/>
                <w:color w:val="576431"/>
              </w:rPr>
            </w:pPr>
            <w:r>
              <w:rPr>
                <w:noProof/>
                <w:lang w:eastAsia="sk-SK"/>
              </w:rPr>
              <w:drawing>
                <wp:inline distT="0" distB="0" distL="0" distR="0" wp14:anchorId="5CBAD744" wp14:editId="307CC420">
                  <wp:extent cx="3097427" cy="2520000"/>
                  <wp:effectExtent l="0" t="0" r="8255" b="0"/>
                  <wp:docPr id="11" name="Graf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r w:rsidR="00776834" w:rsidRPr="00C75134" w14:paraId="6F132B28" w14:textId="77777777" w:rsidTr="004A617D">
        <w:trPr>
          <w:trHeight w:val="79"/>
        </w:trPr>
        <w:tc>
          <w:tcPr>
            <w:tcW w:w="8929" w:type="dxa"/>
            <w:gridSpan w:val="2"/>
            <w:tcBorders>
              <w:top w:val="single" w:sz="4" w:space="0" w:color="314364"/>
            </w:tcBorders>
            <w:vAlign w:val="center"/>
          </w:tcPr>
          <w:p w14:paraId="4EC3373D" w14:textId="35BB5CC6" w:rsidR="00776834" w:rsidRDefault="00776834" w:rsidP="00B30BDE">
            <w:pPr>
              <w:pStyle w:val="Zdroj"/>
              <w:spacing w:after="0"/>
            </w:pPr>
            <w:r w:rsidRPr="00627D87">
              <w:t>Zdroj</w:t>
            </w:r>
            <w:r>
              <w:t>e</w:t>
            </w:r>
            <w:r w:rsidRPr="00627D87">
              <w:t>:</w:t>
            </w:r>
            <w:r w:rsidRPr="00AC02EC">
              <w:t xml:space="preserve"> </w:t>
            </w:r>
            <w:r>
              <w:t>ŠÚ</w:t>
            </w:r>
            <w:r w:rsidR="00D5363A">
              <w:t xml:space="preserve"> </w:t>
            </w:r>
            <w:r>
              <w:t>SR, MZ</w:t>
            </w:r>
            <w:r w:rsidR="00D5363A">
              <w:t xml:space="preserve"> </w:t>
            </w:r>
            <w:r>
              <w:t>SR, ÚDZS; spracovanie</w:t>
            </w:r>
            <w:r w:rsidR="00B30BDE">
              <w:t xml:space="preserve"> NKÚ SR.</w:t>
            </w:r>
          </w:p>
          <w:p w14:paraId="0689C9E6" w14:textId="1FEC7EA5" w:rsidR="004A617D" w:rsidRPr="00F97D91" w:rsidRDefault="004A617D" w:rsidP="00B30BDE">
            <w:pPr>
              <w:pStyle w:val="Zdroj"/>
              <w:spacing w:after="0"/>
            </w:pPr>
          </w:p>
        </w:tc>
      </w:tr>
    </w:tbl>
    <w:p w14:paraId="0B37AC15" w14:textId="27A939B2" w:rsidR="004A617D" w:rsidRDefault="004A617D" w:rsidP="00C94B80">
      <w:pPr>
        <w:spacing w:before="120"/>
      </w:pPr>
      <w:r w:rsidRPr="008735E8">
        <w:rPr>
          <w:b/>
        </w:rPr>
        <w:lastRenderedPageBreak/>
        <w:t>V štruktúre výdavkov VZP dominuje ústavná zdravotná starostlivosť, na ktorú v roku 2024 pripadlo takmer 36 % celkových výdavkov VZP</w:t>
      </w:r>
      <w:r>
        <w:rPr>
          <w:b/>
        </w:rPr>
        <w:t xml:space="preserve"> </w:t>
      </w:r>
      <w:r w:rsidRPr="00C74CE7">
        <w:t xml:space="preserve">(graf </w:t>
      </w:r>
      <w:r>
        <w:t>2</w:t>
      </w:r>
      <w:r w:rsidR="00B0627D">
        <w:t>5</w:t>
      </w:r>
      <w:r w:rsidRPr="00C74CE7">
        <w:t>)</w:t>
      </w:r>
      <w:r w:rsidRPr="00C74CE7">
        <w:rPr>
          <w:b/>
        </w:rPr>
        <w:t>.</w:t>
      </w:r>
      <w:r w:rsidRPr="00F9424E">
        <w:rPr>
          <w:b/>
        </w:rPr>
        <w:t xml:space="preserve"> </w:t>
      </w:r>
      <w:r>
        <w:t>Tento podiel narástol oproti roku 2023 o 1,3 p. b., (v absolútnom vyjadrení o 481 mil. eur), čím pokračuje v trende z minulých rokov. Oproti roku 2020 sa podiel ústavnej zdravotnej starostlivosti na celkových výdavkoch VZP zvýšil o 5,5 p. b. Tento nárast bol zaznamenaný najmä na úkor výdavkov na lieky a dietetické potraviny, ktorých podiel klesol o 1,2 p. b.</w:t>
      </w:r>
      <w:r>
        <w:rPr>
          <w:rStyle w:val="Odkaznapoznmkupodiarou"/>
        </w:rPr>
        <w:footnoteReference w:id="17"/>
      </w:r>
      <w:r>
        <w:t xml:space="preserve"> V absolútnom vyjadrení </w:t>
      </w:r>
      <w:r w:rsidR="00221742">
        <w:t>však</w:t>
      </w:r>
      <w:r>
        <w:t xml:space="preserve"> došlo k </w:t>
      </w:r>
      <w:r w:rsidR="00221742">
        <w:t>ná</w:t>
      </w:r>
      <w:r>
        <w:t>rastu aj v prípade týchto výdavkov, a to o 128 mil. eur.</w:t>
      </w:r>
    </w:p>
    <w:p w14:paraId="56FEA2FD" w14:textId="2D6B7326" w:rsidR="00C94B80" w:rsidRDefault="009E07F7" w:rsidP="00C94B80">
      <w:pPr>
        <w:spacing w:before="120"/>
      </w:pPr>
      <w:r w:rsidRPr="00EE65BA">
        <w:rPr>
          <w:b/>
        </w:rPr>
        <w:t xml:space="preserve">Jedným z hlavných faktorov vplývajúcich na rast výdavkov VZP sú osobné náklady zdravotníckych pracovníkov. </w:t>
      </w:r>
      <w:r>
        <w:t>V tejto súvislosti je často skloňovanou témou aj otázka viacnásobných úväzkov lekárov. Revízia výdavkov</w:t>
      </w:r>
      <w:r>
        <w:rPr>
          <w:rStyle w:val="Odkaznapoznmkupodiarou"/>
        </w:rPr>
        <w:footnoteReference w:id="18"/>
      </w:r>
      <w:r>
        <w:t xml:space="preserve"> napríklad ukázala, že v roku 2023 malo až 49 % lekárov trinástich fakultných a univerzitných nemocníc vedľajší príjem zo závislej práce. </w:t>
      </w:r>
      <w:r w:rsidR="00CC2A8C">
        <w:t xml:space="preserve">ÚHP v revízii ďalej uvádza, že </w:t>
      </w:r>
      <w:r w:rsidR="00CC2A8C" w:rsidRPr="005F6754">
        <w:rPr>
          <w:i/>
        </w:rPr>
        <w:t xml:space="preserve">„Nemocnice by mali sledovať úhrn záväzkov svojich lekárov a dbať na efektívne a spravodlivé využitie ich pracovného </w:t>
      </w:r>
      <w:r w:rsidR="00CC2A8C" w:rsidRPr="00CE6743">
        <w:rPr>
          <w:i/>
        </w:rPr>
        <w:t>fondu“</w:t>
      </w:r>
      <w:r w:rsidR="00CC2A8C">
        <w:t xml:space="preserve">. Efektivita využívania pracovného fondu lekárov sa ukazuje ako dôležitá otázka v súvislosti s vynakladaním verejných zdrojov v zdravotníctve. </w:t>
      </w:r>
      <w:r>
        <w:t xml:space="preserve">NKÚ SR preto pristúpil k analýze dát SP so zameraním na rok 2024. </w:t>
      </w:r>
      <w:r w:rsidRPr="00C94B80">
        <w:rPr>
          <w:b/>
        </w:rPr>
        <w:t>Podľa prepočtov NKÚ SR</w:t>
      </w:r>
      <w:r>
        <w:t xml:space="preserve"> </w:t>
      </w:r>
      <w:r w:rsidRPr="00885209">
        <w:rPr>
          <w:b/>
        </w:rPr>
        <w:t>viac ako jedného zamestnávateľa</w:t>
      </w:r>
      <w:r>
        <w:rPr>
          <w:b/>
        </w:rPr>
        <w:t xml:space="preserve"> </w:t>
      </w:r>
      <w:r w:rsidRPr="00885209">
        <w:rPr>
          <w:b/>
        </w:rPr>
        <w:t>malo v roku 2024</w:t>
      </w:r>
      <w:r>
        <w:rPr>
          <w:b/>
        </w:rPr>
        <w:t xml:space="preserve"> </w:t>
      </w:r>
      <w:r w:rsidRPr="00CA18F1">
        <w:rPr>
          <w:b/>
        </w:rPr>
        <w:t>n</w:t>
      </w:r>
      <w:r w:rsidRPr="00885209">
        <w:rPr>
          <w:b/>
        </w:rPr>
        <w:t xml:space="preserve">ecelých 44 % lekárov, pričom pri 485 lekároch bolo v databáze prítomných </w:t>
      </w:r>
      <w:r>
        <w:rPr>
          <w:b/>
        </w:rPr>
        <w:t>päť</w:t>
      </w:r>
      <w:r w:rsidRPr="00885209">
        <w:rPr>
          <w:b/>
        </w:rPr>
        <w:t xml:space="preserve"> a viac </w:t>
      </w:r>
      <w:r w:rsidRPr="0056729C">
        <w:rPr>
          <w:b/>
        </w:rPr>
        <w:t xml:space="preserve">IČO </w:t>
      </w:r>
      <w:r>
        <w:rPr>
          <w:b/>
        </w:rPr>
        <w:t xml:space="preserve">rôznych zamestnávateľov </w:t>
      </w:r>
      <w:r w:rsidRPr="0056729C">
        <w:t>(box 4)</w:t>
      </w:r>
      <w:r w:rsidRPr="0056729C">
        <w:rPr>
          <w:b/>
        </w:rPr>
        <w:t>.</w:t>
      </w:r>
    </w:p>
    <w:tbl>
      <w:tblPr>
        <w:tblStyle w:val="Mriekatabuky"/>
        <w:tblW w:w="9134" w:type="dxa"/>
        <w:tblBorders>
          <w:top w:val="single" w:sz="4" w:space="0" w:color="314364" w:themeColor="text2"/>
          <w:left w:val="single" w:sz="4" w:space="0" w:color="314364" w:themeColor="text2"/>
          <w:bottom w:val="single" w:sz="4" w:space="0" w:color="314364" w:themeColor="text2"/>
          <w:right w:val="single" w:sz="4" w:space="0" w:color="314364" w:themeColor="text2"/>
          <w:insideH w:val="none" w:sz="0" w:space="0" w:color="auto"/>
          <w:insideV w:val="none" w:sz="0" w:space="0" w:color="auto"/>
        </w:tblBorders>
        <w:shd w:val="clear" w:color="auto" w:fill="EBF0FB" w:themeFill="background2" w:themeFillTint="33"/>
        <w:tblLook w:val="04A0" w:firstRow="1" w:lastRow="0" w:firstColumn="1" w:lastColumn="0" w:noHBand="0" w:noVBand="1"/>
      </w:tblPr>
      <w:tblGrid>
        <w:gridCol w:w="9134"/>
      </w:tblGrid>
      <w:tr w:rsidR="00C94B80" w:rsidRPr="00AC3675" w14:paraId="7B397050" w14:textId="77777777" w:rsidTr="00B30BDE">
        <w:trPr>
          <w:trHeight w:val="1108"/>
        </w:trPr>
        <w:tc>
          <w:tcPr>
            <w:tcW w:w="9134" w:type="dxa"/>
            <w:shd w:val="clear" w:color="auto" w:fill="EBF0FB" w:themeFill="background2" w:themeFillTint="33"/>
          </w:tcPr>
          <w:p w14:paraId="01BF9630" w14:textId="655A3819" w:rsidR="00C94B80" w:rsidRPr="00767017" w:rsidRDefault="00C94B80" w:rsidP="00BE55FA">
            <w:pPr>
              <w:spacing w:before="120" w:line="240" w:lineRule="auto"/>
              <w:rPr>
                <w:b/>
                <w:szCs w:val="18"/>
              </w:rPr>
            </w:pPr>
            <w:r w:rsidRPr="00767017">
              <w:rPr>
                <w:b/>
                <w:szCs w:val="18"/>
              </w:rPr>
              <w:t>BOX</w:t>
            </w:r>
            <w:r>
              <w:rPr>
                <w:b/>
                <w:szCs w:val="18"/>
              </w:rPr>
              <w:t xml:space="preserve"> </w:t>
            </w:r>
            <w:r w:rsidR="0056729C">
              <w:rPr>
                <w:b/>
                <w:szCs w:val="18"/>
              </w:rPr>
              <w:t>4</w:t>
            </w:r>
            <w:r w:rsidRPr="00767017">
              <w:rPr>
                <w:b/>
                <w:szCs w:val="18"/>
              </w:rPr>
              <w:t xml:space="preserve">: </w:t>
            </w:r>
            <w:r>
              <w:rPr>
                <w:b/>
                <w:szCs w:val="18"/>
              </w:rPr>
              <w:t>Pre koľkých zamestnávateľov robil v roku 2024 v priemere jeden lekár?</w:t>
            </w:r>
          </w:p>
          <w:p w14:paraId="2DF14D7C" w14:textId="20E2A0E2" w:rsidR="00C94B80" w:rsidRPr="00C94B80" w:rsidRDefault="00C94B80" w:rsidP="00BE55FA">
            <w:pPr>
              <w:rPr>
                <w:sz w:val="18"/>
              </w:rPr>
            </w:pPr>
            <w:r w:rsidRPr="00C94B80">
              <w:rPr>
                <w:sz w:val="18"/>
              </w:rPr>
              <w:t>Najkomplexnejšie individuálne dáta o pracovnoprávnych vzťahoch na Slovensku poskytuje databáza S</w:t>
            </w:r>
            <w:r w:rsidR="005A7337">
              <w:rPr>
                <w:sz w:val="18"/>
              </w:rPr>
              <w:t>P</w:t>
            </w:r>
            <w:r w:rsidRPr="00C94B80">
              <w:rPr>
                <w:sz w:val="18"/>
              </w:rPr>
              <w:t>. Táto databáza je preto často využívaná analytickými jednotkami pre analýzy rôzneho druhu. NKÚ</w:t>
            </w:r>
            <w:r w:rsidR="00BE55FA">
              <w:rPr>
                <w:sz w:val="18"/>
              </w:rPr>
              <w:t xml:space="preserve"> SR</w:t>
            </w:r>
            <w:r w:rsidRPr="00C94B80">
              <w:rPr>
                <w:sz w:val="18"/>
              </w:rPr>
              <w:t xml:space="preserve"> využil tento zdroj pri hľadaní odpovede na otázku</w:t>
            </w:r>
            <w:r w:rsidR="00BE55FA">
              <w:rPr>
                <w:sz w:val="18"/>
              </w:rPr>
              <w:t>,</w:t>
            </w:r>
            <w:r w:rsidRPr="00C94B80">
              <w:rPr>
                <w:sz w:val="18"/>
              </w:rPr>
              <w:t xml:space="preserve"> </w:t>
            </w:r>
            <w:r w:rsidR="00221742">
              <w:rPr>
                <w:sz w:val="18"/>
              </w:rPr>
              <w:t>v akom rozsahu</w:t>
            </w:r>
            <w:r w:rsidR="00221742" w:rsidRPr="00C94B80">
              <w:rPr>
                <w:sz w:val="18"/>
              </w:rPr>
              <w:t xml:space="preserve"> </w:t>
            </w:r>
            <w:r w:rsidRPr="00C94B80">
              <w:rPr>
                <w:sz w:val="18"/>
              </w:rPr>
              <w:t>je u lekárov rozšírená práca pre viacerých zamestnávateľov.</w:t>
            </w:r>
          </w:p>
          <w:p w14:paraId="1D3661AC" w14:textId="5318C189" w:rsidR="00C94B80" w:rsidRDefault="00C94B80" w:rsidP="003D11A6">
            <w:pPr>
              <w:spacing w:after="240"/>
              <w:rPr>
                <w:sz w:val="18"/>
              </w:rPr>
            </w:pPr>
            <w:r w:rsidRPr="00C94B80">
              <w:rPr>
                <w:sz w:val="18"/>
              </w:rPr>
              <w:t>V roku 2024 sa v databáze SP nachádzalo celkovo 22 061 jedinečných ID poistencov, ktorí boli v danej databáze vedení pod ISCO kódom v skupine 221 – teda „lekári“</w:t>
            </w:r>
            <w:r w:rsidR="00221742">
              <w:rPr>
                <w:sz w:val="18"/>
              </w:rPr>
              <w:t>,</w:t>
            </w:r>
            <w:r w:rsidRPr="00C94B80">
              <w:rPr>
                <w:sz w:val="18"/>
              </w:rPr>
              <w:t xml:space="preserve"> a zároveň boli voči SP vedení ako zamestnanec, </w:t>
            </w:r>
            <w:proofErr w:type="spellStart"/>
            <w:r w:rsidRPr="00C94B80">
              <w:rPr>
                <w:sz w:val="18"/>
              </w:rPr>
              <w:t>dohodár</w:t>
            </w:r>
            <w:proofErr w:type="spellEnd"/>
            <w:r w:rsidRPr="00C94B80">
              <w:rPr>
                <w:sz w:val="18"/>
              </w:rPr>
              <w:t xml:space="preserve"> alebo SZČO. </w:t>
            </w:r>
            <w:r w:rsidR="00BE55FA" w:rsidRPr="00BE55FA">
              <w:rPr>
                <w:sz w:val="18"/>
              </w:rPr>
              <w:t>Databáza bola očistená o záznamy pre dohodu o brigádnickej práci študenta, dobrovoľne poistené osoby, matky na materskej dovolenke, sezónne práce a pod</w:t>
            </w:r>
            <w:r w:rsidR="00BE55FA" w:rsidRPr="00DD2D30">
              <w:rPr>
                <w:b/>
                <w:sz w:val="18"/>
              </w:rPr>
              <w:t xml:space="preserve">. </w:t>
            </w:r>
            <w:r w:rsidRPr="00DD2D30">
              <w:rPr>
                <w:b/>
                <w:sz w:val="18"/>
              </w:rPr>
              <w:t>Priemerný počet zamestnávateľov (počet jedinečných IČO), s ktorými boli títo lekári v nejakom vzťahu bol 1,71</w:t>
            </w:r>
            <w:r w:rsidRPr="00C94B80">
              <w:rPr>
                <w:sz w:val="18"/>
              </w:rPr>
              <w:t>.</w:t>
            </w:r>
            <w:r w:rsidR="00BE55FA">
              <w:t xml:space="preserve"> </w:t>
            </w:r>
            <w:r w:rsidR="00BE55FA" w:rsidRPr="00BE55FA">
              <w:rPr>
                <w:sz w:val="18"/>
              </w:rPr>
              <w:t>Z prevažnej väčšiny išlo o prípady SZČO.</w:t>
            </w:r>
            <w:r w:rsidRPr="00C94B80">
              <w:rPr>
                <w:sz w:val="18"/>
              </w:rPr>
              <w:t xml:space="preserve"> Podrobnejšie údaje sú uvedené v </w:t>
            </w:r>
            <w:r w:rsidRPr="002A5171">
              <w:rPr>
                <w:sz w:val="18"/>
              </w:rPr>
              <w:t xml:space="preserve">tabuľke </w:t>
            </w:r>
            <w:r w:rsidR="002A5171">
              <w:rPr>
                <w:sz w:val="18"/>
              </w:rPr>
              <w:t>19.</w:t>
            </w:r>
          </w:p>
          <w:p w14:paraId="4A4DC2E0" w14:textId="4C4DF319" w:rsidR="00C94B80" w:rsidRPr="005E44A0" w:rsidRDefault="00C94B80" w:rsidP="00BE55FA">
            <w:pPr>
              <w:spacing w:after="0" w:line="259" w:lineRule="auto"/>
              <w:rPr>
                <w:b/>
                <w:iCs/>
                <w:color w:val="314364"/>
                <w:szCs w:val="18"/>
              </w:rPr>
            </w:pPr>
            <w:r>
              <w:rPr>
                <w:b/>
                <w:iCs/>
                <w:color w:val="314364"/>
                <w:szCs w:val="18"/>
              </w:rPr>
              <w:t>Tabuľka</w:t>
            </w:r>
            <w:r w:rsidRPr="005E44A0">
              <w:rPr>
                <w:b/>
                <w:iCs/>
                <w:color w:val="314364"/>
                <w:szCs w:val="18"/>
              </w:rPr>
              <w:t xml:space="preserve"> </w:t>
            </w:r>
            <w:r w:rsidR="002A5171">
              <w:rPr>
                <w:b/>
                <w:iCs/>
                <w:color w:val="314364"/>
                <w:szCs w:val="18"/>
              </w:rPr>
              <w:t>19</w:t>
            </w:r>
            <w:r w:rsidRPr="005E44A0">
              <w:rPr>
                <w:b/>
                <w:iCs/>
                <w:color w:val="314364"/>
                <w:szCs w:val="18"/>
              </w:rPr>
              <w:t xml:space="preserve">: </w:t>
            </w:r>
            <w:r w:rsidR="00DD2D30">
              <w:rPr>
                <w:b/>
                <w:iCs/>
                <w:color w:val="314364"/>
                <w:szCs w:val="18"/>
              </w:rPr>
              <w:t>Rozdelenie</w:t>
            </w:r>
            <w:r>
              <w:rPr>
                <w:b/>
                <w:iCs/>
                <w:color w:val="314364"/>
                <w:szCs w:val="18"/>
              </w:rPr>
              <w:t xml:space="preserve"> počtu lekárov podľa počtu ich zamestnávateľov v roku 2024</w:t>
            </w:r>
          </w:p>
          <w:tbl>
            <w:tblPr>
              <w:tblW w:w="5000" w:type="pct"/>
              <w:tblCellMar>
                <w:left w:w="70" w:type="dxa"/>
                <w:right w:w="70" w:type="dxa"/>
              </w:tblCellMar>
              <w:tblLook w:val="04A0" w:firstRow="1" w:lastRow="0" w:firstColumn="1" w:lastColumn="0" w:noHBand="0" w:noVBand="1"/>
            </w:tblPr>
            <w:tblGrid>
              <w:gridCol w:w="2306"/>
              <w:gridCol w:w="4152"/>
              <w:gridCol w:w="2460"/>
            </w:tblGrid>
            <w:tr w:rsidR="00C94B80" w:rsidRPr="00C94B80" w14:paraId="16096B35" w14:textId="77777777" w:rsidTr="009963FD">
              <w:trPr>
                <w:trHeight w:val="63"/>
              </w:trPr>
              <w:tc>
                <w:tcPr>
                  <w:tcW w:w="1293" w:type="pct"/>
                  <w:shd w:val="clear" w:color="auto" w:fill="314364" w:themeFill="accent1"/>
                  <w:vAlign w:val="bottom"/>
                  <w:hideMark/>
                </w:tcPr>
                <w:p w14:paraId="2439D87A" w14:textId="77777777" w:rsidR="00C94B80" w:rsidRPr="00C94B80" w:rsidRDefault="00C94B80" w:rsidP="00BE55FA">
                  <w:pPr>
                    <w:spacing w:after="0" w:line="259" w:lineRule="auto"/>
                    <w:jc w:val="center"/>
                    <w:rPr>
                      <w:b/>
                      <w:color w:val="FFFFFF" w:themeColor="background1"/>
                      <w:sz w:val="18"/>
                      <w:szCs w:val="18"/>
                    </w:rPr>
                  </w:pPr>
                  <w:r w:rsidRPr="00C94B80">
                    <w:rPr>
                      <w:b/>
                      <w:color w:val="FFFFFF" w:themeColor="background1"/>
                      <w:sz w:val="18"/>
                      <w:szCs w:val="18"/>
                    </w:rPr>
                    <w:t>Počet zamestnávateľov</w:t>
                  </w:r>
                </w:p>
              </w:tc>
              <w:tc>
                <w:tcPr>
                  <w:tcW w:w="2328" w:type="pct"/>
                  <w:shd w:val="clear" w:color="auto" w:fill="314364" w:themeFill="accent1"/>
                  <w:vAlign w:val="bottom"/>
                  <w:hideMark/>
                </w:tcPr>
                <w:p w14:paraId="5A3296A3" w14:textId="77777777" w:rsidR="00C94B80" w:rsidRPr="00C94B80" w:rsidRDefault="00C94B80" w:rsidP="00BE55FA">
                  <w:pPr>
                    <w:spacing w:after="0" w:line="259" w:lineRule="auto"/>
                    <w:jc w:val="center"/>
                    <w:rPr>
                      <w:b/>
                      <w:color w:val="FFFFFF" w:themeColor="background1"/>
                      <w:sz w:val="18"/>
                      <w:szCs w:val="18"/>
                    </w:rPr>
                  </w:pPr>
                  <w:r w:rsidRPr="00C94B80">
                    <w:rPr>
                      <w:b/>
                      <w:color w:val="FFFFFF" w:themeColor="background1"/>
                      <w:sz w:val="18"/>
                      <w:szCs w:val="18"/>
                    </w:rPr>
                    <w:t>Počet lekárov</w:t>
                  </w:r>
                </w:p>
              </w:tc>
              <w:tc>
                <w:tcPr>
                  <w:tcW w:w="1380" w:type="pct"/>
                  <w:shd w:val="clear" w:color="auto" w:fill="314364" w:themeFill="accent1"/>
                  <w:vAlign w:val="bottom"/>
                  <w:hideMark/>
                </w:tcPr>
                <w:p w14:paraId="61C9CEA5" w14:textId="77777777" w:rsidR="00C94B80" w:rsidRPr="00C94B80" w:rsidRDefault="00C94B80" w:rsidP="00BE55FA">
                  <w:pPr>
                    <w:spacing w:after="0" w:line="259" w:lineRule="auto"/>
                    <w:jc w:val="center"/>
                    <w:rPr>
                      <w:b/>
                      <w:color w:val="FFFFFF" w:themeColor="background1"/>
                      <w:sz w:val="18"/>
                      <w:szCs w:val="18"/>
                    </w:rPr>
                  </w:pPr>
                  <w:r w:rsidRPr="00C94B80">
                    <w:rPr>
                      <w:b/>
                      <w:color w:val="FFFFFF" w:themeColor="background1"/>
                      <w:sz w:val="18"/>
                      <w:szCs w:val="18"/>
                    </w:rPr>
                    <w:t>podiel v %</w:t>
                  </w:r>
                </w:p>
              </w:tc>
            </w:tr>
            <w:tr w:rsidR="00C94B80" w:rsidRPr="00C94B80" w14:paraId="428335FE" w14:textId="77777777" w:rsidTr="009963FD">
              <w:trPr>
                <w:trHeight w:val="48"/>
              </w:trPr>
              <w:tc>
                <w:tcPr>
                  <w:tcW w:w="1293" w:type="pct"/>
                  <w:tcBorders>
                    <w:top w:val="nil"/>
                  </w:tcBorders>
                  <w:shd w:val="clear" w:color="auto" w:fill="auto"/>
                  <w:noWrap/>
                  <w:hideMark/>
                </w:tcPr>
                <w:p w14:paraId="02628CE0"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1</w:t>
                  </w:r>
                </w:p>
              </w:tc>
              <w:tc>
                <w:tcPr>
                  <w:tcW w:w="2328" w:type="pct"/>
                  <w:tcBorders>
                    <w:top w:val="nil"/>
                  </w:tcBorders>
                  <w:shd w:val="clear" w:color="auto" w:fill="auto"/>
                  <w:noWrap/>
                  <w:hideMark/>
                </w:tcPr>
                <w:p w14:paraId="19C31ED5"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 xml:space="preserve"> 12 373 </w:t>
                  </w:r>
                </w:p>
              </w:tc>
              <w:tc>
                <w:tcPr>
                  <w:tcW w:w="1380" w:type="pct"/>
                  <w:tcBorders>
                    <w:top w:val="nil"/>
                  </w:tcBorders>
                  <w:shd w:val="clear" w:color="auto" w:fill="auto"/>
                  <w:noWrap/>
                  <w:hideMark/>
                </w:tcPr>
                <w:p w14:paraId="6D82805C"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56,1</w:t>
                  </w:r>
                </w:p>
              </w:tc>
            </w:tr>
            <w:tr w:rsidR="00C94B80" w:rsidRPr="00C94B80" w14:paraId="7ED2AFD8" w14:textId="77777777" w:rsidTr="009963FD">
              <w:trPr>
                <w:trHeight w:val="48"/>
              </w:trPr>
              <w:tc>
                <w:tcPr>
                  <w:tcW w:w="1293" w:type="pct"/>
                  <w:tcBorders>
                    <w:top w:val="nil"/>
                  </w:tcBorders>
                  <w:shd w:val="clear" w:color="auto" w:fill="auto"/>
                  <w:noWrap/>
                  <w:hideMark/>
                </w:tcPr>
                <w:p w14:paraId="3EBB32C1"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2</w:t>
                  </w:r>
                </w:p>
              </w:tc>
              <w:tc>
                <w:tcPr>
                  <w:tcW w:w="2328" w:type="pct"/>
                  <w:tcBorders>
                    <w:top w:val="nil"/>
                  </w:tcBorders>
                  <w:shd w:val="clear" w:color="auto" w:fill="auto"/>
                  <w:noWrap/>
                  <w:hideMark/>
                </w:tcPr>
                <w:p w14:paraId="2E96FC04"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 xml:space="preserve"> 6 113 </w:t>
                  </w:r>
                </w:p>
              </w:tc>
              <w:tc>
                <w:tcPr>
                  <w:tcW w:w="1380" w:type="pct"/>
                  <w:tcBorders>
                    <w:top w:val="nil"/>
                  </w:tcBorders>
                  <w:shd w:val="clear" w:color="auto" w:fill="auto"/>
                  <w:noWrap/>
                  <w:hideMark/>
                </w:tcPr>
                <w:p w14:paraId="714F007D"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27,7</w:t>
                  </w:r>
                </w:p>
              </w:tc>
            </w:tr>
            <w:tr w:rsidR="00C94B80" w:rsidRPr="00C94B80" w14:paraId="52397A1B" w14:textId="77777777" w:rsidTr="009963FD">
              <w:trPr>
                <w:trHeight w:val="48"/>
              </w:trPr>
              <w:tc>
                <w:tcPr>
                  <w:tcW w:w="1293" w:type="pct"/>
                  <w:tcBorders>
                    <w:top w:val="nil"/>
                  </w:tcBorders>
                  <w:shd w:val="clear" w:color="auto" w:fill="auto"/>
                  <w:noWrap/>
                  <w:hideMark/>
                </w:tcPr>
                <w:p w14:paraId="73B0FC28"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3</w:t>
                  </w:r>
                </w:p>
              </w:tc>
              <w:tc>
                <w:tcPr>
                  <w:tcW w:w="2328" w:type="pct"/>
                  <w:tcBorders>
                    <w:top w:val="nil"/>
                  </w:tcBorders>
                  <w:shd w:val="clear" w:color="auto" w:fill="auto"/>
                  <w:noWrap/>
                  <w:hideMark/>
                </w:tcPr>
                <w:p w14:paraId="67C69320"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 xml:space="preserve"> 2 309 </w:t>
                  </w:r>
                </w:p>
              </w:tc>
              <w:tc>
                <w:tcPr>
                  <w:tcW w:w="1380" w:type="pct"/>
                  <w:tcBorders>
                    <w:top w:val="nil"/>
                  </w:tcBorders>
                  <w:shd w:val="clear" w:color="auto" w:fill="auto"/>
                  <w:noWrap/>
                  <w:hideMark/>
                </w:tcPr>
                <w:p w14:paraId="4807118F"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10,5</w:t>
                  </w:r>
                </w:p>
              </w:tc>
            </w:tr>
            <w:tr w:rsidR="00C94B80" w:rsidRPr="00C94B80" w14:paraId="2415BFD1" w14:textId="77777777" w:rsidTr="009963FD">
              <w:trPr>
                <w:trHeight w:val="48"/>
              </w:trPr>
              <w:tc>
                <w:tcPr>
                  <w:tcW w:w="1293" w:type="pct"/>
                  <w:tcBorders>
                    <w:top w:val="nil"/>
                  </w:tcBorders>
                  <w:shd w:val="clear" w:color="auto" w:fill="auto"/>
                  <w:noWrap/>
                  <w:hideMark/>
                </w:tcPr>
                <w:p w14:paraId="020E51E0"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4</w:t>
                  </w:r>
                </w:p>
              </w:tc>
              <w:tc>
                <w:tcPr>
                  <w:tcW w:w="2328" w:type="pct"/>
                  <w:tcBorders>
                    <w:top w:val="nil"/>
                  </w:tcBorders>
                  <w:shd w:val="clear" w:color="auto" w:fill="auto"/>
                  <w:noWrap/>
                  <w:hideMark/>
                </w:tcPr>
                <w:p w14:paraId="7A67BFB6"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 xml:space="preserve"> 781 </w:t>
                  </w:r>
                </w:p>
              </w:tc>
              <w:tc>
                <w:tcPr>
                  <w:tcW w:w="1380" w:type="pct"/>
                  <w:tcBorders>
                    <w:top w:val="nil"/>
                  </w:tcBorders>
                  <w:shd w:val="clear" w:color="auto" w:fill="auto"/>
                  <w:noWrap/>
                  <w:hideMark/>
                </w:tcPr>
                <w:p w14:paraId="793291F1"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3,5</w:t>
                  </w:r>
                </w:p>
              </w:tc>
            </w:tr>
            <w:tr w:rsidR="00C94B80" w:rsidRPr="00C94B80" w14:paraId="66E3F997" w14:textId="77777777" w:rsidTr="009963FD">
              <w:trPr>
                <w:trHeight w:val="48"/>
              </w:trPr>
              <w:tc>
                <w:tcPr>
                  <w:tcW w:w="1293" w:type="pct"/>
                  <w:tcBorders>
                    <w:top w:val="nil"/>
                    <w:bottom w:val="single" w:sz="4" w:space="0" w:color="auto"/>
                  </w:tcBorders>
                  <w:shd w:val="clear" w:color="auto" w:fill="auto"/>
                  <w:noWrap/>
                  <w:hideMark/>
                </w:tcPr>
                <w:p w14:paraId="716C72BD"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5 a viac</w:t>
                  </w:r>
                </w:p>
              </w:tc>
              <w:tc>
                <w:tcPr>
                  <w:tcW w:w="2328" w:type="pct"/>
                  <w:tcBorders>
                    <w:top w:val="nil"/>
                    <w:bottom w:val="single" w:sz="4" w:space="0" w:color="auto"/>
                  </w:tcBorders>
                  <w:shd w:val="clear" w:color="auto" w:fill="auto"/>
                  <w:noWrap/>
                  <w:hideMark/>
                </w:tcPr>
                <w:p w14:paraId="687AB73E"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 xml:space="preserve"> 485 </w:t>
                  </w:r>
                </w:p>
              </w:tc>
              <w:tc>
                <w:tcPr>
                  <w:tcW w:w="1380" w:type="pct"/>
                  <w:tcBorders>
                    <w:top w:val="nil"/>
                    <w:bottom w:val="single" w:sz="4" w:space="0" w:color="auto"/>
                  </w:tcBorders>
                  <w:shd w:val="clear" w:color="auto" w:fill="auto"/>
                  <w:noWrap/>
                  <w:hideMark/>
                </w:tcPr>
                <w:p w14:paraId="46D4A5A8" w14:textId="77777777" w:rsidR="00C94B80" w:rsidRPr="00C94B80" w:rsidRDefault="00C94B80" w:rsidP="00BE55FA">
                  <w:pPr>
                    <w:spacing w:after="0" w:line="240" w:lineRule="auto"/>
                    <w:jc w:val="center"/>
                    <w:rPr>
                      <w:rFonts w:eastAsia="Times New Roman" w:cs="Segoe UI"/>
                      <w:color w:val="000000"/>
                      <w:sz w:val="18"/>
                      <w:szCs w:val="18"/>
                      <w:lang w:eastAsia="sk-SK"/>
                    </w:rPr>
                  </w:pPr>
                  <w:r w:rsidRPr="00C94B80">
                    <w:rPr>
                      <w:sz w:val="18"/>
                      <w:szCs w:val="18"/>
                    </w:rPr>
                    <w:t>2,2</w:t>
                  </w:r>
                </w:p>
              </w:tc>
            </w:tr>
            <w:tr w:rsidR="00C94B80" w:rsidRPr="00C94B80" w14:paraId="44FFBE3E" w14:textId="77777777" w:rsidTr="009963FD">
              <w:trPr>
                <w:trHeight w:val="48"/>
              </w:trPr>
              <w:tc>
                <w:tcPr>
                  <w:tcW w:w="1293" w:type="pct"/>
                  <w:tcBorders>
                    <w:top w:val="nil"/>
                    <w:bottom w:val="single" w:sz="4" w:space="0" w:color="auto"/>
                  </w:tcBorders>
                  <w:shd w:val="clear" w:color="auto" w:fill="auto"/>
                  <w:noWrap/>
                </w:tcPr>
                <w:p w14:paraId="52EB14B5" w14:textId="0264A505" w:rsidR="00C94B80" w:rsidRPr="003D11A6" w:rsidRDefault="00260E78" w:rsidP="00BE55FA">
                  <w:pPr>
                    <w:spacing w:after="0" w:line="240" w:lineRule="auto"/>
                    <w:jc w:val="center"/>
                    <w:rPr>
                      <w:b/>
                      <w:sz w:val="18"/>
                      <w:szCs w:val="18"/>
                    </w:rPr>
                  </w:pPr>
                  <w:r>
                    <w:rPr>
                      <w:b/>
                      <w:sz w:val="18"/>
                      <w:szCs w:val="18"/>
                    </w:rPr>
                    <w:t>SPOLU</w:t>
                  </w:r>
                </w:p>
              </w:tc>
              <w:tc>
                <w:tcPr>
                  <w:tcW w:w="2328" w:type="pct"/>
                  <w:tcBorders>
                    <w:top w:val="nil"/>
                    <w:bottom w:val="single" w:sz="4" w:space="0" w:color="auto"/>
                  </w:tcBorders>
                  <w:shd w:val="clear" w:color="auto" w:fill="auto"/>
                  <w:noWrap/>
                </w:tcPr>
                <w:p w14:paraId="1F865174" w14:textId="77777777" w:rsidR="00C94B80" w:rsidRPr="003D11A6" w:rsidRDefault="00C94B80" w:rsidP="00BE55FA">
                  <w:pPr>
                    <w:spacing w:after="0" w:line="240" w:lineRule="auto"/>
                    <w:jc w:val="center"/>
                    <w:rPr>
                      <w:b/>
                      <w:sz w:val="18"/>
                      <w:szCs w:val="18"/>
                    </w:rPr>
                  </w:pPr>
                  <w:r w:rsidRPr="003D11A6">
                    <w:rPr>
                      <w:b/>
                      <w:sz w:val="18"/>
                      <w:szCs w:val="18"/>
                    </w:rPr>
                    <w:t xml:space="preserve"> 22 061 </w:t>
                  </w:r>
                </w:p>
              </w:tc>
              <w:tc>
                <w:tcPr>
                  <w:tcW w:w="1380" w:type="pct"/>
                  <w:tcBorders>
                    <w:top w:val="nil"/>
                    <w:bottom w:val="single" w:sz="4" w:space="0" w:color="auto"/>
                  </w:tcBorders>
                  <w:shd w:val="clear" w:color="auto" w:fill="auto"/>
                  <w:noWrap/>
                </w:tcPr>
                <w:p w14:paraId="7EEF7F9E" w14:textId="77777777" w:rsidR="00C94B80" w:rsidRPr="003D11A6" w:rsidRDefault="00C94B80" w:rsidP="00BE55FA">
                  <w:pPr>
                    <w:spacing w:after="0" w:line="240" w:lineRule="auto"/>
                    <w:jc w:val="center"/>
                    <w:rPr>
                      <w:b/>
                      <w:sz w:val="18"/>
                      <w:szCs w:val="18"/>
                    </w:rPr>
                  </w:pPr>
                  <w:r w:rsidRPr="003D11A6">
                    <w:rPr>
                      <w:b/>
                      <w:sz w:val="18"/>
                      <w:szCs w:val="18"/>
                    </w:rPr>
                    <w:t xml:space="preserve"> 100 </w:t>
                  </w:r>
                </w:p>
              </w:tc>
            </w:tr>
          </w:tbl>
          <w:p w14:paraId="22323574" w14:textId="06423357" w:rsidR="00C94B80" w:rsidRPr="007D3345" w:rsidRDefault="00C94B80" w:rsidP="00C94B80">
            <w:pPr>
              <w:pStyle w:val="Zdroj"/>
              <w:spacing w:line="276" w:lineRule="auto"/>
            </w:pPr>
            <w:r w:rsidRPr="00627D87">
              <w:t xml:space="preserve">Zdroj: </w:t>
            </w:r>
            <w:r>
              <w:t>Sociálna poisťovňa; spracovanie NKÚ SR.</w:t>
            </w:r>
          </w:p>
        </w:tc>
      </w:tr>
      <w:tr w:rsidR="00C94B80" w:rsidRPr="00AC3675" w14:paraId="0EC12265" w14:textId="77777777" w:rsidTr="00B30BDE">
        <w:trPr>
          <w:trHeight w:val="16"/>
        </w:trPr>
        <w:tc>
          <w:tcPr>
            <w:tcW w:w="9134" w:type="dxa"/>
            <w:shd w:val="clear" w:color="auto" w:fill="EBF0FB" w:themeFill="background2" w:themeFillTint="33"/>
          </w:tcPr>
          <w:p w14:paraId="0E849126" w14:textId="31F1DC8C" w:rsidR="00C94B80" w:rsidRPr="00BE55FA" w:rsidRDefault="00C94B80" w:rsidP="00BE55FA">
            <w:pPr>
              <w:rPr>
                <w:sz w:val="18"/>
              </w:rPr>
            </w:pPr>
            <w:r w:rsidRPr="00C94B80">
              <w:rPr>
                <w:sz w:val="18"/>
              </w:rPr>
              <w:t>Tejto téme plánuje NKÚ SR venovať v budúcom období zvýšenú pozornosť v rámci svojej analytickej činnosti.</w:t>
            </w:r>
          </w:p>
        </w:tc>
      </w:tr>
    </w:tbl>
    <w:p w14:paraId="787E8B1A" w14:textId="48F5017A" w:rsidR="00B30BDE" w:rsidRDefault="00B30BDE" w:rsidP="00B30BDE">
      <w:pPr>
        <w:spacing w:before="120"/>
        <w:rPr>
          <w:rFonts w:cs="Segoe UI"/>
        </w:rPr>
      </w:pPr>
      <w:bookmarkStart w:id="43" w:name="_Toc197091801"/>
      <w:r>
        <w:rPr>
          <w:rFonts w:cs="Segoe UI"/>
          <w:b/>
        </w:rPr>
        <w:t>Zdroje s</w:t>
      </w:r>
      <w:r w:rsidRPr="00BC3CFF">
        <w:rPr>
          <w:rFonts w:cs="Segoe UI"/>
          <w:b/>
        </w:rPr>
        <w:t>ystém</w:t>
      </w:r>
      <w:r>
        <w:rPr>
          <w:rFonts w:cs="Segoe UI"/>
          <w:b/>
        </w:rPr>
        <w:t>u</w:t>
      </w:r>
      <w:r w:rsidRPr="00BC3CFF">
        <w:rPr>
          <w:rFonts w:cs="Segoe UI"/>
          <w:b/>
        </w:rPr>
        <w:t xml:space="preserve"> VZP </w:t>
      </w:r>
      <w:r>
        <w:rPr>
          <w:rFonts w:cs="Segoe UI"/>
          <w:b/>
        </w:rPr>
        <w:t xml:space="preserve">sú každoročne odčerpávané aj </w:t>
      </w:r>
      <w:r w:rsidRPr="00BC3CFF">
        <w:rPr>
          <w:rFonts w:cs="Segoe UI"/>
          <w:b/>
        </w:rPr>
        <w:t>čast</w:t>
      </w:r>
      <w:r>
        <w:rPr>
          <w:rFonts w:cs="Segoe UI"/>
          <w:b/>
        </w:rPr>
        <w:t>ým</w:t>
      </w:r>
      <w:r w:rsidRPr="00BC3CFF">
        <w:rPr>
          <w:rFonts w:cs="Segoe UI"/>
          <w:b/>
        </w:rPr>
        <w:t xml:space="preserve"> </w:t>
      </w:r>
      <w:proofErr w:type="spellStart"/>
      <w:r w:rsidRPr="00BC3CFF">
        <w:rPr>
          <w:rFonts w:cs="Segoe UI"/>
          <w:b/>
        </w:rPr>
        <w:t>prepoisťovan</w:t>
      </w:r>
      <w:r>
        <w:rPr>
          <w:rFonts w:cs="Segoe UI"/>
          <w:b/>
        </w:rPr>
        <w:t>ím</w:t>
      </w:r>
      <w:proofErr w:type="spellEnd"/>
      <w:r w:rsidRPr="00BC3CFF">
        <w:rPr>
          <w:rFonts w:cs="Segoe UI"/>
          <w:b/>
        </w:rPr>
        <w:t xml:space="preserve"> poistencov, </w:t>
      </w:r>
      <w:r w:rsidR="005A7337">
        <w:rPr>
          <w:rFonts w:cs="Segoe UI"/>
          <w:b/>
        </w:rPr>
        <w:t xml:space="preserve">keď </w:t>
      </w:r>
      <w:r w:rsidRPr="00BC3CFF">
        <w:rPr>
          <w:rFonts w:cs="Segoe UI"/>
          <w:b/>
        </w:rPr>
        <w:t>v</w:t>
      </w:r>
      <w:r w:rsidR="005A7337">
        <w:rPr>
          <w:rFonts w:cs="Segoe UI"/>
          <w:b/>
        </w:rPr>
        <w:t> </w:t>
      </w:r>
      <w:r w:rsidRPr="00BC3CFF">
        <w:rPr>
          <w:rFonts w:cs="Segoe UI"/>
          <w:b/>
        </w:rPr>
        <w:t>2024 za všetky akceptované prihlášky zinkasovali agenti</w:t>
      </w:r>
      <w:r>
        <w:rPr>
          <w:rFonts w:cs="Segoe UI"/>
          <w:b/>
        </w:rPr>
        <w:t xml:space="preserve"> od ZP</w:t>
      </w:r>
      <w:r w:rsidRPr="00BC3CFF">
        <w:rPr>
          <w:rFonts w:cs="Segoe UI"/>
          <w:b/>
        </w:rPr>
        <w:t xml:space="preserve"> viac ako 5 mil. eur.</w:t>
      </w:r>
      <w:r w:rsidRPr="00BC3CFF">
        <w:rPr>
          <w:rFonts w:cs="Segoe UI"/>
        </w:rPr>
        <w:t xml:space="preserve"> </w:t>
      </w:r>
      <w:r>
        <w:rPr>
          <w:rFonts w:cs="Segoe UI"/>
        </w:rPr>
        <w:t xml:space="preserve">Celkovo sa dá každoročne prepoistiť viac ako sto tisíc poistencov ZP. V minulosti tvorila významné percento aj skupina často </w:t>
      </w:r>
      <w:proofErr w:type="spellStart"/>
      <w:r>
        <w:rPr>
          <w:rFonts w:cs="Segoe UI"/>
        </w:rPr>
        <w:t>prepoisťovaných</w:t>
      </w:r>
      <w:proofErr w:type="spellEnd"/>
      <w:r>
        <w:rPr>
          <w:rFonts w:cs="Segoe UI"/>
        </w:rPr>
        <w:t xml:space="preserve"> poistencov (viac v boxe </w:t>
      </w:r>
      <w:r w:rsidR="0056729C">
        <w:rPr>
          <w:rFonts w:cs="Segoe UI"/>
        </w:rPr>
        <w:t>5</w:t>
      </w:r>
      <w:r>
        <w:rPr>
          <w:rFonts w:cs="Segoe UI"/>
        </w:rPr>
        <w:t>), avšak postupnými zmenami legislatívy a sprísňovaním systému od ZP sa te</w:t>
      </w:r>
      <w:r w:rsidR="005A7337">
        <w:rPr>
          <w:rFonts w:cs="Segoe UI"/>
        </w:rPr>
        <w:t>nto problém darí minimalizovať.</w:t>
      </w:r>
    </w:p>
    <w:tbl>
      <w:tblPr>
        <w:tblStyle w:val="Mriekatabuky1"/>
        <w:tblW w:w="0" w:type="auto"/>
        <w:tblBorders>
          <w:top w:val="single" w:sz="4" w:space="0" w:color="314364"/>
          <w:left w:val="single" w:sz="4" w:space="0" w:color="314364"/>
          <w:bottom w:val="single" w:sz="4" w:space="0" w:color="314364"/>
          <w:right w:val="single" w:sz="4" w:space="0" w:color="314364"/>
          <w:insideH w:val="none" w:sz="0" w:space="0" w:color="auto"/>
          <w:insideV w:val="none" w:sz="0" w:space="0" w:color="auto"/>
        </w:tblBorders>
        <w:shd w:val="clear" w:color="auto" w:fill="EBF0FB"/>
        <w:tblLook w:val="04A0" w:firstRow="1" w:lastRow="0" w:firstColumn="1" w:lastColumn="0" w:noHBand="0" w:noVBand="1"/>
      </w:tblPr>
      <w:tblGrid>
        <w:gridCol w:w="9060"/>
      </w:tblGrid>
      <w:tr w:rsidR="000B5CCE" w:rsidRPr="00181D27" w14:paraId="0E912E8A" w14:textId="77777777" w:rsidTr="00F53E08">
        <w:tc>
          <w:tcPr>
            <w:tcW w:w="9060" w:type="dxa"/>
            <w:shd w:val="clear" w:color="auto" w:fill="EBF0FB"/>
          </w:tcPr>
          <w:p w14:paraId="20E5DA00" w14:textId="15982E2E" w:rsidR="000B5CCE" w:rsidRDefault="000B5CCE" w:rsidP="00F53E08">
            <w:pPr>
              <w:spacing w:before="120"/>
              <w:ind w:right="163"/>
              <w:rPr>
                <w:rFonts w:cs="Segoe UI"/>
                <w:b/>
              </w:rPr>
            </w:pPr>
            <w:r>
              <w:rPr>
                <w:rFonts w:cs="Times New Roman"/>
                <w:b/>
              </w:rPr>
              <w:lastRenderedPageBreak/>
              <w:t xml:space="preserve">BOX </w:t>
            </w:r>
            <w:r w:rsidR="0056729C">
              <w:rPr>
                <w:rFonts w:cs="Times New Roman"/>
                <w:b/>
              </w:rPr>
              <w:t>5</w:t>
            </w:r>
            <w:r w:rsidRPr="00181D27">
              <w:rPr>
                <w:rFonts w:cs="Times New Roman"/>
                <w:b/>
              </w:rPr>
              <w:t xml:space="preserve">: </w:t>
            </w:r>
            <w:r>
              <w:rPr>
                <w:rFonts w:cs="Segoe UI"/>
                <w:b/>
              </w:rPr>
              <w:t>Koľko nás stoj</w:t>
            </w:r>
            <w:r w:rsidR="005A7337">
              <w:rPr>
                <w:rFonts w:cs="Segoe UI"/>
                <w:b/>
              </w:rPr>
              <w:t>í</w:t>
            </w:r>
            <w:r>
              <w:rPr>
                <w:rFonts w:cs="Segoe UI"/>
                <w:b/>
              </w:rPr>
              <w:t xml:space="preserve"> č</w:t>
            </w:r>
            <w:r w:rsidRPr="006572FC">
              <w:rPr>
                <w:rFonts w:cs="Segoe UI"/>
                <w:b/>
              </w:rPr>
              <w:t>ast</w:t>
            </w:r>
            <w:r w:rsidR="005A7337">
              <w:rPr>
                <w:rFonts w:cs="Segoe UI"/>
                <w:b/>
              </w:rPr>
              <w:t>é</w:t>
            </w:r>
            <w:r w:rsidRPr="006572FC">
              <w:rPr>
                <w:rFonts w:cs="Segoe UI"/>
                <w:b/>
              </w:rPr>
              <w:t xml:space="preserve"> </w:t>
            </w:r>
            <w:proofErr w:type="spellStart"/>
            <w:r w:rsidRPr="006572FC">
              <w:rPr>
                <w:rFonts w:cs="Segoe UI"/>
                <w:b/>
              </w:rPr>
              <w:t>p</w:t>
            </w:r>
            <w:r>
              <w:rPr>
                <w:rFonts w:cs="Segoe UI"/>
                <w:b/>
              </w:rPr>
              <w:t>repoisťovan</w:t>
            </w:r>
            <w:r w:rsidR="005A7337">
              <w:rPr>
                <w:rFonts w:cs="Segoe UI"/>
                <w:b/>
              </w:rPr>
              <w:t>ie</w:t>
            </w:r>
            <w:proofErr w:type="spellEnd"/>
            <w:r>
              <w:rPr>
                <w:rFonts w:cs="Segoe UI"/>
                <w:b/>
              </w:rPr>
              <w:t>?</w:t>
            </w:r>
          </w:p>
          <w:p w14:paraId="505291D8" w14:textId="4CEFF6C3" w:rsidR="000B5CCE" w:rsidRPr="000B5CCE" w:rsidRDefault="000B5CCE" w:rsidP="000B5CCE">
            <w:pPr>
              <w:spacing w:before="120"/>
              <w:rPr>
                <w:rFonts w:cs="Segoe UI"/>
                <w:sz w:val="18"/>
              </w:rPr>
            </w:pPr>
            <w:r w:rsidRPr="000B5CCE">
              <w:rPr>
                <w:rFonts w:cs="Segoe UI"/>
                <w:b/>
                <w:sz w:val="18"/>
              </w:rPr>
              <w:t xml:space="preserve">V roku 2024 sa </w:t>
            </w:r>
            <w:r>
              <w:rPr>
                <w:rFonts w:cs="Segoe UI"/>
                <w:b/>
                <w:sz w:val="18"/>
              </w:rPr>
              <w:t xml:space="preserve">ZP </w:t>
            </w:r>
            <w:r w:rsidRPr="000B5CCE">
              <w:rPr>
                <w:rFonts w:cs="Segoe UI"/>
                <w:b/>
                <w:sz w:val="18"/>
              </w:rPr>
              <w:t xml:space="preserve">rozhodlo zmeniť 114,6 tisíc poistencov, a teda od 1. 1. 2025 budú poistencami inej ZP. Z tohto počtu je viac ako 8,5 tis. poistencov </w:t>
            </w:r>
            <w:r w:rsidRPr="000B5CCE">
              <w:rPr>
                <w:rFonts w:cs="Segoe UI"/>
                <w:sz w:val="18"/>
              </w:rPr>
              <w:t xml:space="preserve">(7,5 % z celkového počtu </w:t>
            </w:r>
            <w:proofErr w:type="spellStart"/>
            <w:r w:rsidRPr="000B5CCE">
              <w:rPr>
                <w:rFonts w:cs="Segoe UI"/>
                <w:sz w:val="18"/>
              </w:rPr>
              <w:t>prepoisťovaných</w:t>
            </w:r>
            <w:proofErr w:type="spellEnd"/>
            <w:r w:rsidRPr="000B5CCE">
              <w:rPr>
                <w:rFonts w:cs="Segoe UI"/>
                <w:sz w:val="18"/>
              </w:rPr>
              <w:t>)</w:t>
            </w:r>
            <w:r w:rsidRPr="000B5CCE">
              <w:rPr>
                <w:rFonts w:cs="Segoe UI"/>
                <w:b/>
                <w:sz w:val="18"/>
              </w:rPr>
              <w:t xml:space="preserve">, ktorí tvoria skupinu tzv. často </w:t>
            </w:r>
            <w:proofErr w:type="spellStart"/>
            <w:r w:rsidRPr="000B5CCE">
              <w:rPr>
                <w:rFonts w:cs="Segoe UI"/>
                <w:b/>
                <w:sz w:val="18"/>
              </w:rPr>
              <w:t>prepoisťovaných</w:t>
            </w:r>
            <w:proofErr w:type="spellEnd"/>
            <w:r w:rsidRPr="000B5CCE">
              <w:rPr>
                <w:rFonts w:cs="Segoe UI"/>
                <w:b/>
                <w:sz w:val="18"/>
              </w:rPr>
              <w:t>.</w:t>
            </w:r>
            <w:r w:rsidRPr="000B5CCE">
              <w:rPr>
                <w:rFonts w:cs="Segoe UI"/>
                <w:sz w:val="18"/>
              </w:rPr>
              <w:t xml:space="preserve"> </w:t>
            </w:r>
            <w:r w:rsidRPr="000B5CCE">
              <w:rPr>
                <w:rFonts w:cs="Segoe UI"/>
                <w:b/>
                <w:sz w:val="18"/>
              </w:rPr>
              <w:t xml:space="preserve">Pri priemernej výške odmeny za jedného prepoisteného 45,65 eur tak ZP museli vyplatiť odhadom takmer 400 tis. eur za prepoistenie často </w:t>
            </w:r>
            <w:proofErr w:type="spellStart"/>
            <w:r w:rsidRPr="000B5CCE">
              <w:rPr>
                <w:rFonts w:cs="Segoe UI"/>
                <w:b/>
                <w:sz w:val="18"/>
              </w:rPr>
              <w:t>prepoisťovaných</w:t>
            </w:r>
            <w:proofErr w:type="spellEnd"/>
            <w:r w:rsidRPr="000B5CCE">
              <w:rPr>
                <w:rFonts w:cs="Segoe UI"/>
                <w:b/>
                <w:sz w:val="18"/>
              </w:rPr>
              <w:t>.</w:t>
            </w:r>
            <w:r w:rsidRPr="000B5CCE">
              <w:rPr>
                <w:rFonts w:cs="Segoe UI"/>
                <w:sz w:val="18"/>
              </w:rPr>
              <w:t xml:space="preserve"> Ide o skupinu poistencov, ktorí zmenili ZP viac ako šesťkrát za posledných desať rokov. Nekalé praktiky sú využívané najčastejšie v marginalizovaných komunitách, kde agenti za vidinou odmeny za akceptovanú prihlášku každoročne </w:t>
            </w:r>
            <w:proofErr w:type="spellStart"/>
            <w:r w:rsidRPr="000B5CCE">
              <w:rPr>
                <w:rFonts w:cs="Segoe UI"/>
                <w:sz w:val="18"/>
              </w:rPr>
              <w:t>prepoisťujú</w:t>
            </w:r>
            <w:proofErr w:type="spellEnd"/>
            <w:r w:rsidRPr="000B5CCE">
              <w:rPr>
                <w:rFonts w:cs="Segoe UI"/>
                <w:sz w:val="18"/>
              </w:rPr>
              <w:t xml:space="preserve"> poistencov. ZP sa </w:t>
            </w:r>
            <w:r w:rsidR="008F170D">
              <w:rPr>
                <w:rFonts w:cs="Segoe UI"/>
                <w:sz w:val="18"/>
              </w:rPr>
              <w:t xml:space="preserve">tomu </w:t>
            </w:r>
            <w:r w:rsidRPr="000B5CCE">
              <w:rPr>
                <w:rFonts w:cs="Segoe UI"/>
                <w:sz w:val="18"/>
              </w:rPr>
              <w:t>nebránia, pretože ľudia z marginalizovaných skupín čerpajú v priemere menej zdravotnej starostlivosti, ako je ZP pridelených prostriedkov na pokrytie ich zdravotnej starostlivosti.</w:t>
            </w:r>
            <w:r w:rsidRPr="000B5CCE">
              <w:rPr>
                <w:rStyle w:val="Odkaznapoznmkupodiarou"/>
                <w:rFonts w:cs="Segoe UI"/>
                <w:sz w:val="18"/>
              </w:rPr>
              <w:footnoteReference w:id="19"/>
            </w:r>
          </w:p>
          <w:p w14:paraId="0AB1F186" w14:textId="596FD291" w:rsidR="000B5CCE" w:rsidRPr="000B5CCE" w:rsidRDefault="000B5CCE" w:rsidP="000B5CCE">
            <w:pPr>
              <w:rPr>
                <w:rFonts w:cs="Segoe UI"/>
                <w:sz w:val="18"/>
              </w:rPr>
            </w:pPr>
            <w:r w:rsidRPr="000B5CCE">
              <w:rPr>
                <w:rFonts w:cs="Segoe UI"/>
                <w:b/>
                <w:sz w:val="18"/>
              </w:rPr>
              <w:t xml:space="preserve">Najväčší prílev často </w:t>
            </w:r>
            <w:proofErr w:type="spellStart"/>
            <w:r w:rsidRPr="000B5CCE">
              <w:rPr>
                <w:rFonts w:cs="Segoe UI"/>
                <w:b/>
                <w:sz w:val="18"/>
              </w:rPr>
              <w:t>prepoisťovaných</w:t>
            </w:r>
            <w:proofErr w:type="spellEnd"/>
            <w:r w:rsidRPr="000B5CCE">
              <w:rPr>
                <w:rFonts w:cs="Segoe UI"/>
                <w:b/>
                <w:sz w:val="18"/>
              </w:rPr>
              <w:t xml:space="preserve"> poistencov k 1. 1. 2025 mala </w:t>
            </w:r>
            <w:proofErr w:type="spellStart"/>
            <w:r w:rsidRPr="000B5CCE">
              <w:rPr>
                <w:rFonts w:cs="Segoe UI"/>
                <w:b/>
                <w:sz w:val="18"/>
              </w:rPr>
              <w:t>VšZP</w:t>
            </w:r>
            <w:proofErr w:type="spellEnd"/>
            <w:r w:rsidRPr="000B5CCE">
              <w:rPr>
                <w:rFonts w:cs="Segoe UI"/>
                <w:b/>
                <w:sz w:val="18"/>
              </w:rPr>
              <w:t xml:space="preserve"> a najväčší úbytok mala ZP </w:t>
            </w:r>
            <w:proofErr w:type="spellStart"/>
            <w:r w:rsidRPr="000B5CCE">
              <w:rPr>
                <w:rFonts w:cs="Segoe UI"/>
                <w:b/>
                <w:sz w:val="18"/>
              </w:rPr>
              <w:t>Union</w:t>
            </w:r>
            <w:proofErr w:type="spellEnd"/>
            <w:r w:rsidRPr="000B5CCE">
              <w:rPr>
                <w:rFonts w:cs="Segoe UI"/>
                <w:b/>
                <w:sz w:val="18"/>
              </w:rPr>
              <w:t xml:space="preserve"> </w:t>
            </w:r>
            <w:r w:rsidRPr="000B5CCE">
              <w:rPr>
                <w:rFonts w:cs="Segoe UI"/>
                <w:sz w:val="18"/>
              </w:rPr>
              <w:t xml:space="preserve">(graf </w:t>
            </w:r>
            <w:r w:rsidR="005A7337">
              <w:rPr>
                <w:rFonts w:cs="Segoe UI"/>
                <w:sz w:val="18"/>
              </w:rPr>
              <w:t>26</w:t>
            </w:r>
            <w:r w:rsidRPr="000B5CCE">
              <w:rPr>
                <w:rFonts w:cs="Segoe UI"/>
                <w:sz w:val="18"/>
              </w:rPr>
              <w:t>)</w:t>
            </w:r>
            <w:r w:rsidRPr="000B5CCE">
              <w:rPr>
                <w:rFonts w:cs="Segoe UI"/>
                <w:b/>
                <w:sz w:val="18"/>
              </w:rPr>
              <w:t>.</w:t>
            </w:r>
            <w:r w:rsidRPr="000B5CCE">
              <w:rPr>
                <w:rFonts w:cs="Segoe UI"/>
                <w:sz w:val="18"/>
              </w:rPr>
              <w:t xml:space="preserve"> Predchádzajúci rok to bolo presne naopak, keďže k 1. 1. 2024 prešlo najviac často </w:t>
            </w:r>
            <w:proofErr w:type="spellStart"/>
            <w:r w:rsidRPr="000B5CCE">
              <w:rPr>
                <w:rFonts w:cs="Segoe UI"/>
                <w:sz w:val="18"/>
              </w:rPr>
              <w:t>prepoisťovaných</w:t>
            </w:r>
            <w:proofErr w:type="spellEnd"/>
            <w:r w:rsidRPr="000B5CCE">
              <w:rPr>
                <w:rFonts w:cs="Segoe UI"/>
                <w:sz w:val="18"/>
              </w:rPr>
              <w:t xml:space="preserve"> poistencov práve do poisťovne </w:t>
            </w:r>
            <w:proofErr w:type="spellStart"/>
            <w:r w:rsidRPr="000B5CCE">
              <w:rPr>
                <w:rFonts w:cs="Segoe UI"/>
                <w:sz w:val="18"/>
              </w:rPr>
              <w:t>Union</w:t>
            </w:r>
            <w:proofErr w:type="spellEnd"/>
            <w:r w:rsidRPr="000B5CCE">
              <w:rPr>
                <w:rFonts w:cs="Segoe UI"/>
                <w:sz w:val="18"/>
              </w:rPr>
              <w:t xml:space="preserve"> a najviac ich ubudlo </w:t>
            </w:r>
            <w:proofErr w:type="spellStart"/>
            <w:r w:rsidRPr="000B5CCE">
              <w:rPr>
                <w:rFonts w:cs="Segoe UI"/>
                <w:sz w:val="18"/>
              </w:rPr>
              <w:t>VšZP</w:t>
            </w:r>
            <w:proofErr w:type="spellEnd"/>
            <w:r w:rsidRPr="000B5CCE">
              <w:rPr>
                <w:rFonts w:cs="Segoe UI"/>
                <w:sz w:val="18"/>
              </w:rPr>
              <w:t>.</w:t>
            </w:r>
          </w:p>
          <w:p w14:paraId="678B644A" w14:textId="6C751E45" w:rsidR="000B5CCE" w:rsidRDefault="000B5CCE" w:rsidP="003D11A6">
            <w:pPr>
              <w:spacing w:after="0" w:line="240" w:lineRule="auto"/>
              <w:rPr>
                <w:rFonts w:cs="Segoe UI"/>
                <w:b/>
                <w:color w:val="314364" w:themeColor="text2"/>
              </w:rPr>
            </w:pPr>
            <w:r w:rsidRPr="003D11A6">
              <w:rPr>
                <w:rFonts w:cs="Segoe UI"/>
                <w:b/>
                <w:color w:val="314364" w:themeColor="text2"/>
              </w:rPr>
              <w:t xml:space="preserve">Graf </w:t>
            </w:r>
            <w:r w:rsidR="005A7337">
              <w:rPr>
                <w:rFonts w:cs="Segoe UI"/>
                <w:b/>
                <w:color w:val="314364" w:themeColor="text2"/>
              </w:rPr>
              <w:t>26</w:t>
            </w:r>
            <w:r w:rsidRPr="003D11A6">
              <w:rPr>
                <w:rFonts w:cs="Segoe UI"/>
                <w:b/>
                <w:color w:val="314364" w:themeColor="text2"/>
              </w:rPr>
              <w:t xml:space="preserve">: Prírastky a úbytky často </w:t>
            </w:r>
            <w:proofErr w:type="spellStart"/>
            <w:r w:rsidRPr="003D11A6">
              <w:rPr>
                <w:rFonts w:cs="Segoe UI"/>
                <w:b/>
                <w:color w:val="314364" w:themeColor="text2"/>
              </w:rPr>
              <w:t>prepoisťovaných</w:t>
            </w:r>
            <w:proofErr w:type="spellEnd"/>
            <w:r w:rsidRPr="003D11A6">
              <w:rPr>
                <w:rFonts w:cs="Segoe UI"/>
                <w:b/>
                <w:color w:val="314364" w:themeColor="text2"/>
              </w:rPr>
              <w:t xml:space="preserve"> poistencov ZP</w:t>
            </w:r>
          </w:p>
          <w:tbl>
            <w:tblPr>
              <w:tblStyle w:val="Mriekatabuky"/>
              <w:tblW w:w="0" w:type="auto"/>
              <w:tblCellMar>
                <w:left w:w="70" w:type="dxa"/>
                <w:right w:w="70" w:type="dxa"/>
              </w:tblCellMar>
              <w:tblLook w:val="04A0" w:firstRow="1" w:lastRow="0" w:firstColumn="1" w:lastColumn="0" w:noHBand="0" w:noVBand="1"/>
            </w:tblPr>
            <w:tblGrid>
              <w:gridCol w:w="8844"/>
            </w:tblGrid>
            <w:tr w:rsidR="00260E78" w14:paraId="21AA6723" w14:textId="77777777" w:rsidTr="00CF495B">
              <w:trPr>
                <w:trHeight w:val="2835"/>
              </w:trPr>
              <w:tc>
                <w:tcPr>
                  <w:tcW w:w="8844" w:type="dxa"/>
                  <w:tcBorders>
                    <w:top w:val="single" w:sz="4" w:space="0" w:color="314364" w:themeColor="text2"/>
                    <w:left w:val="nil"/>
                    <w:bottom w:val="single" w:sz="4" w:space="0" w:color="314364" w:themeColor="text2"/>
                    <w:right w:val="nil"/>
                  </w:tcBorders>
                </w:tcPr>
                <w:p w14:paraId="3140E553" w14:textId="7D16FE4C" w:rsidR="00260E78" w:rsidRDefault="00CF495B" w:rsidP="00260E78">
                  <w:pPr>
                    <w:spacing w:after="0" w:line="240" w:lineRule="auto"/>
                    <w:rPr>
                      <w:rFonts w:cs="Segoe UI"/>
                      <w:b/>
                      <w:color w:val="314364" w:themeColor="text2"/>
                    </w:rPr>
                  </w:pPr>
                  <w:r>
                    <w:rPr>
                      <w:noProof/>
                      <w:lang w:eastAsia="sk-SK"/>
                    </w:rPr>
                    <w:drawing>
                      <wp:inline distT="0" distB="0" distL="0" distR="0" wp14:anchorId="76269EA5" wp14:editId="3D7CDD23">
                        <wp:extent cx="5524500" cy="1800000"/>
                        <wp:effectExtent l="0" t="0" r="0" b="0"/>
                        <wp:docPr id="44" name="Graf 44">
                          <a:extLst xmlns:a="http://schemas.openxmlformats.org/drawingml/2006/main">
                            <a:ext uri="{FF2B5EF4-FFF2-40B4-BE49-F238E27FC236}">
                              <a16:creationId xmlns:a16="http://schemas.microsoft.com/office/drawing/2014/main" id="{00000000-0008-0000-2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tc>
            </w:tr>
          </w:tbl>
          <w:p w14:paraId="2D7F7AA7" w14:textId="5CC889B1" w:rsidR="000B5CCE" w:rsidRPr="00181D27" w:rsidRDefault="000B5CCE" w:rsidP="00D5363A">
            <w:pPr>
              <w:pStyle w:val="Zdroj"/>
              <w:rPr>
                <w:rFonts w:cs="Times New Roman"/>
                <w:color w:val="314364"/>
              </w:rPr>
            </w:pPr>
            <w:r w:rsidRPr="006572FC">
              <w:t>Zdroj: ÚDZS,</w:t>
            </w:r>
            <w:r>
              <w:t xml:space="preserve"> </w:t>
            </w:r>
            <w:proofErr w:type="spellStart"/>
            <w:r>
              <w:t>V</w:t>
            </w:r>
            <w:r w:rsidR="00A464BE">
              <w:t>š</w:t>
            </w:r>
            <w:r>
              <w:t>ZP</w:t>
            </w:r>
            <w:proofErr w:type="spellEnd"/>
            <w:r>
              <w:t xml:space="preserve">, Dôvera, </w:t>
            </w:r>
            <w:proofErr w:type="spellStart"/>
            <w:r>
              <w:t>Union</w:t>
            </w:r>
            <w:proofErr w:type="spellEnd"/>
            <w:r w:rsidR="00601FB5">
              <w:t>;</w:t>
            </w:r>
            <w:r w:rsidRPr="006572FC">
              <w:t xml:space="preserve"> spracovanie NKÚ SR.</w:t>
            </w:r>
          </w:p>
        </w:tc>
      </w:tr>
    </w:tbl>
    <w:p w14:paraId="041910CC" w14:textId="475DBC8D" w:rsidR="00AA3C25" w:rsidRPr="00AA3C25" w:rsidRDefault="00AA3C25" w:rsidP="00AC7CD1">
      <w:pPr>
        <w:spacing w:before="120"/>
        <w:rPr>
          <w:rFonts w:cs="Segoe UI"/>
          <w:b/>
        </w:rPr>
      </w:pPr>
      <w:r w:rsidRPr="00C6220C">
        <w:rPr>
          <w:rFonts w:cs="Segoe UI"/>
          <w:b/>
        </w:rPr>
        <w:t xml:space="preserve">NKÚ SR </w:t>
      </w:r>
      <w:r>
        <w:rPr>
          <w:rFonts w:cs="Segoe UI"/>
          <w:b/>
        </w:rPr>
        <w:t>pozitívne hodnotí</w:t>
      </w:r>
      <w:r w:rsidRPr="00C6220C">
        <w:rPr>
          <w:rFonts w:cs="Segoe UI"/>
          <w:b/>
        </w:rPr>
        <w:t xml:space="preserve"> sprísnenie legislatívy</w:t>
      </w:r>
      <w:r>
        <w:rPr>
          <w:rFonts w:cs="Segoe UI"/>
          <w:b/>
        </w:rPr>
        <w:t xml:space="preserve"> v roku 2023</w:t>
      </w:r>
      <w:r w:rsidRPr="00C6220C">
        <w:rPr>
          <w:rFonts w:cs="Segoe UI"/>
          <w:b/>
        </w:rPr>
        <w:t>, ktorá uprav</w:t>
      </w:r>
      <w:r>
        <w:rPr>
          <w:rFonts w:cs="Segoe UI"/>
          <w:b/>
        </w:rPr>
        <w:t>ila</w:t>
      </w:r>
      <w:r w:rsidRPr="00C6220C">
        <w:rPr>
          <w:rFonts w:cs="Segoe UI"/>
          <w:b/>
        </w:rPr>
        <w:t xml:space="preserve"> proces podávania prihlášok </w:t>
      </w:r>
      <w:r>
        <w:rPr>
          <w:rFonts w:cs="Segoe UI"/>
          <w:b/>
        </w:rPr>
        <w:t>do ZP</w:t>
      </w:r>
      <w:r w:rsidRPr="00C6220C">
        <w:rPr>
          <w:rFonts w:cs="Segoe UI"/>
          <w:b/>
        </w:rPr>
        <w:t xml:space="preserve"> a zav</w:t>
      </w:r>
      <w:r>
        <w:rPr>
          <w:rFonts w:cs="Segoe UI"/>
          <w:b/>
        </w:rPr>
        <w:t>iedla</w:t>
      </w:r>
      <w:r w:rsidRPr="00C6220C">
        <w:rPr>
          <w:rFonts w:cs="Segoe UI"/>
          <w:b/>
        </w:rPr>
        <w:t xml:space="preserve"> nov</w:t>
      </w:r>
      <w:r>
        <w:rPr>
          <w:rFonts w:cs="Segoe UI"/>
          <w:b/>
        </w:rPr>
        <w:t>ú</w:t>
      </w:r>
      <w:r w:rsidRPr="00C6220C">
        <w:rPr>
          <w:rFonts w:cs="Segoe UI"/>
          <w:b/>
        </w:rPr>
        <w:t xml:space="preserve"> skupin</w:t>
      </w:r>
      <w:r>
        <w:rPr>
          <w:rFonts w:cs="Segoe UI"/>
          <w:b/>
        </w:rPr>
        <w:t>u</w:t>
      </w:r>
      <w:r w:rsidRPr="00C6220C">
        <w:rPr>
          <w:rFonts w:cs="Segoe UI"/>
          <w:b/>
        </w:rPr>
        <w:t xml:space="preserve"> nadmerného prepoistenia do prerozdeľovacieho procesu.</w:t>
      </w:r>
      <w:r w:rsidRPr="00295AE9">
        <w:rPr>
          <w:rFonts w:cs="Segoe UI"/>
        </w:rPr>
        <w:t xml:space="preserve"> Tento proces prispel k medziročnému </w:t>
      </w:r>
      <w:r w:rsidR="002F2149">
        <w:rPr>
          <w:rFonts w:cs="Segoe UI"/>
        </w:rPr>
        <w:t>poklesu</w:t>
      </w:r>
      <w:r w:rsidRPr="00295AE9">
        <w:rPr>
          <w:rFonts w:cs="Segoe UI"/>
        </w:rPr>
        <w:t xml:space="preserve"> počtu často </w:t>
      </w:r>
      <w:proofErr w:type="spellStart"/>
      <w:r w:rsidRPr="00295AE9">
        <w:rPr>
          <w:rFonts w:cs="Segoe UI"/>
        </w:rPr>
        <w:t>prepoisťovaných</w:t>
      </w:r>
      <w:proofErr w:type="spellEnd"/>
      <w:r w:rsidRPr="00295AE9">
        <w:rPr>
          <w:rFonts w:cs="Segoe UI"/>
        </w:rPr>
        <w:t xml:space="preserve"> osôb o viac ako dve tisíc poistencov (10,6 tis. často </w:t>
      </w:r>
      <w:proofErr w:type="spellStart"/>
      <w:r w:rsidRPr="00295AE9">
        <w:rPr>
          <w:rFonts w:cs="Segoe UI"/>
        </w:rPr>
        <w:t>prepoisťovaných</w:t>
      </w:r>
      <w:proofErr w:type="spellEnd"/>
      <w:r w:rsidRPr="00295AE9">
        <w:rPr>
          <w:rFonts w:cs="Segoe UI"/>
        </w:rPr>
        <w:t xml:space="preserve"> osôb zmenilo poisťovňu od 1.</w:t>
      </w:r>
      <w:r>
        <w:rPr>
          <w:rFonts w:cs="Segoe UI"/>
        </w:rPr>
        <w:t xml:space="preserve"> </w:t>
      </w:r>
      <w:r w:rsidRPr="00295AE9">
        <w:rPr>
          <w:rFonts w:cs="Segoe UI"/>
        </w:rPr>
        <w:t>1.</w:t>
      </w:r>
      <w:r>
        <w:rPr>
          <w:rFonts w:cs="Segoe UI"/>
        </w:rPr>
        <w:t xml:space="preserve"> </w:t>
      </w:r>
      <w:r w:rsidRPr="00295AE9">
        <w:rPr>
          <w:rFonts w:cs="Segoe UI"/>
        </w:rPr>
        <w:t xml:space="preserve">2024). </w:t>
      </w:r>
      <w:r w:rsidRPr="00AA3C25">
        <w:rPr>
          <w:rFonts w:cs="Segoe UI"/>
          <w:b/>
        </w:rPr>
        <w:t xml:space="preserve">NKÚ SR </w:t>
      </w:r>
      <w:r w:rsidR="002F2149">
        <w:rPr>
          <w:rFonts w:cs="Segoe UI"/>
          <w:b/>
        </w:rPr>
        <w:t>považuje tému</w:t>
      </w:r>
      <w:r w:rsidRPr="00AA3C25">
        <w:rPr>
          <w:rFonts w:cs="Segoe UI"/>
          <w:b/>
        </w:rPr>
        <w:t xml:space="preserve"> nadmerného </w:t>
      </w:r>
      <w:proofErr w:type="spellStart"/>
      <w:r w:rsidRPr="00AA3C25">
        <w:rPr>
          <w:rFonts w:cs="Segoe UI"/>
          <w:b/>
        </w:rPr>
        <w:t>prepoisťovania</w:t>
      </w:r>
      <w:proofErr w:type="spellEnd"/>
      <w:r w:rsidRPr="00AA3C25">
        <w:rPr>
          <w:rFonts w:cs="Segoe UI"/>
          <w:b/>
        </w:rPr>
        <w:t xml:space="preserve"> osôb</w:t>
      </w:r>
      <w:r w:rsidR="002F2149">
        <w:rPr>
          <w:rFonts w:cs="Segoe UI"/>
          <w:b/>
        </w:rPr>
        <w:t xml:space="preserve"> za dôležitú</w:t>
      </w:r>
      <w:r w:rsidRPr="00AA3C25">
        <w:rPr>
          <w:rFonts w:cs="Segoe UI"/>
          <w:b/>
        </w:rPr>
        <w:t xml:space="preserve">, </w:t>
      </w:r>
      <w:r w:rsidR="002F2149">
        <w:rPr>
          <w:rFonts w:cs="Segoe UI"/>
          <w:b/>
        </w:rPr>
        <w:t xml:space="preserve">vzhľadom </w:t>
      </w:r>
      <w:r w:rsidR="005701FF">
        <w:rPr>
          <w:rFonts w:cs="Segoe UI"/>
          <w:b/>
        </w:rPr>
        <w:t xml:space="preserve">na </w:t>
      </w:r>
      <w:r w:rsidRPr="00AA3C25">
        <w:rPr>
          <w:rFonts w:cs="Segoe UI"/>
          <w:b/>
        </w:rPr>
        <w:t>odčerpávan</w:t>
      </w:r>
      <w:r w:rsidR="002F2149">
        <w:rPr>
          <w:rFonts w:cs="Segoe UI"/>
          <w:b/>
        </w:rPr>
        <w:t>ie</w:t>
      </w:r>
      <w:r w:rsidRPr="00AA3C25">
        <w:rPr>
          <w:rFonts w:cs="Segoe UI"/>
          <w:b/>
        </w:rPr>
        <w:t xml:space="preserve"> finančných prostriedkov zo systému VZP, ktoré neprispievajú zlepšovaniu zdravotného systému.</w:t>
      </w:r>
    </w:p>
    <w:p w14:paraId="09E17E94" w14:textId="7B8BA60A" w:rsidR="00AC7CD1" w:rsidRDefault="00AC7CD1" w:rsidP="00AC7CD1">
      <w:pPr>
        <w:spacing w:before="120"/>
        <w:rPr>
          <w:rFonts w:cs="Segoe UI"/>
        </w:rPr>
      </w:pPr>
      <w:r>
        <w:rPr>
          <w:rFonts w:cs="Segoe UI"/>
          <w:b/>
        </w:rPr>
        <w:t>N</w:t>
      </w:r>
      <w:r w:rsidRPr="0082631F">
        <w:rPr>
          <w:rFonts w:cs="Segoe UI"/>
          <w:b/>
        </w:rPr>
        <w:t xml:space="preserve">avrhovať opatrenia, ktoré zamedzia </w:t>
      </w:r>
      <w:r w:rsidR="00DE0A07">
        <w:rPr>
          <w:rFonts w:cs="Segoe UI"/>
          <w:b/>
        </w:rPr>
        <w:t>rastu</w:t>
      </w:r>
      <w:r w:rsidRPr="0082631F">
        <w:rPr>
          <w:rFonts w:cs="Segoe UI"/>
          <w:b/>
        </w:rPr>
        <w:t xml:space="preserve"> výdavkov </w:t>
      </w:r>
      <w:r>
        <w:rPr>
          <w:rFonts w:cs="Segoe UI"/>
          <w:b/>
        </w:rPr>
        <w:t xml:space="preserve">VZP je jednou z úloh novovznikajúcej </w:t>
      </w:r>
      <w:r w:rsidRPr="0082631F">
        <w:rPr>
          <w:rFonts w:cs="Segoe UI"/>
          <w:b/>
        </w:rPr>
        <w:t>Rady pre tvorbu rozpočtu v</w:t>
      </w:r>
      <w:r>
        <w:rPr>
          <w:rFonts w:cs="Segoe UI"/>
          <w:b/>
        </w:rPr>
        <w:t> </w:t>
      </w:r>
      <w:r w:rsidRPr="0082631F">
        <w:rPr>
          <w:rFonts w:cs="Segoe UI"/>
          <w:b/>
        </w:rPr>
        <w:t>zdravotníctve</w:t>
      </w:r>
      <w:r>
        <w:rPr>
          <w:rFonts w:cs="Segoe UI"/>
          <w:b/>
        </w:rPr>
        <w:t xml:space="preserve">, ktorá mala byť zriadená v roku 2024. </w:t>
      </w:r>
      <w:r w:rsidRPr="007D3345">
        <w:rPr>
          <w:rFonts w:cs="Segoe UI"/>
        </w:rPr>
        <w:t xml:space="preserve">Formálne kreovanie rady sa však presunulo až na rok </w:t>
      </w:r>
      <w:r w:rsidR="005701FF">
        <w:rPr>
          <w:rFonts w:cs="Segoe UI"/>
        </w:rPr>
        <w:t xml:space="preserve">2025 </w:t>
      </w:r>
      <w:r w:rsidRPr="007D3345">
        <w:rPr>
          <w:rFonts w:cs="Segoe UI"/>
        </w:rPr>
        <w:t>a v roku 2024 fungovala na neformálnej úrovni</w:t>
      </w:r>
      <w:r>
        <w:rPr>
          <w:rFonts w:cs="Segoe UI"/>
        </w:rPr>
        <w:t> </w:t>
      </w:r>
      <w:r w:rsidR="00DE0A07">
        <w:rPr>
          <w:rFonts w:cs="Segoe UI"/>
        </w:rPr>
        <w:t>(</w:t>
      </w:r>
      <w:r>
        <w:rPr>
          <w:rFonts w:cs="Segoe UI"/>
        </w:rPr>
        <w:t xml:space="preserve">box </w:t>
      </w:r>
      <w:r w:rsidR="0056729C">
        <w:rPr>
          <w:rFonts w:cs="Segoe UI"/>
        </w:rPr>
        <w:t>6</w:t>
      </w:r>
      <w:r>
        <w:rPr>
          <w:rFonts w:cs="Segoe UI"/>
        </w:rPr>
        <w:t>)</w:t>
      </w:r>
      <w:r w:rsidRPr="007D3345">
        <w:rPr>
          <w:rFonts w:cs="Segoe UI"/>
        </w:rPr>
        <w:t>.</w:t>
      </w:r>
    </w:p>
    <w:tbl>
      <w:tblPr>
        <w:tblStyle w:val="Mriekatabuky1"/>
        <w:tblW w:w="0" w:type="auto"/>
        <w:tblBorders>
          <w:top w:val="single" w:sz="4" w:space="0" w:color="314364"/>
          <w:left w:val="single" w:sz="4" w:space="0" w:color="314364"/>
          <w:bottom w:val="single" w:sz="4" w:space="0" w:color="314364"/>
          <w:right w:val="single" w:sz="4" w:space="0" w:color="314364"/>
          <w:insideH w:val="none" w:sz="0" w:space="0" w:color="auto"/>
          <w:insideV w:val="none" w:sz="0" w:space="0" w:color="auto"/>
        </w:tblBorders>
        <w:shd w:val="clear" w:color="auto" w:fill="EBF0FB"/>
        <w:tblLook w:val="04A0" w:firstRow="1" w:lastRow="0" w:firstColumn="1" w:lastColumn="0" w:noHBand="0" w:noVBand="1"/>
      </w:tblPr>
      <w:tblGrid>
        <w:gridCol w:w="9060"/>
      </w:tblGrid>
      <w:tr w:rsidR="00AC7CD1" w:rsidRPr="00181D27" w14:paraId="4E089DB2" w14:textId="77777777" w:rsidTr="004F286A">
        <w:tc>
          <w:tcPr>
            <w:tcW w:w="9060" w:type="dxa"/>
            <w:shd w:val="clear" w:color="auto" w:fill="EBF0FB"/>
          </w:tcPr>
          <w:p w14:paraId="2AC1A8BE" w14:textId="055D7E9F" w:rsidR="00AC7CD1" w:rsidRDefault="00AC7CD1" w:rsidP="004F286A">
            <w:pPr>
              <w:spacing w:before="120"/>
              <w:ind w:right="163"/>
              <w:rPr>
                <w:rFonts w:cs="Segoe UI"/>
                <w:b/>
              </w:rPr>
            </w:pPr>
            <w:r>
              <w:rPr>
                <w:rFonts w:cs="Times New Roman"/>
                <w:b/>
              </w:rPr>
              <w:t xml:space="preserve">BOX </w:t>
            </w:r>
            <w:r w:rsidR="0056729C">
              <w:rPr>
                <w:rFonts w:cs="Times New Roman"/>
                <w:b/>
              </w:rPr>
              <w:t>6</w:t>
            </w:r>
            <w:r w:rsidRPr="00181D27">
              <w:rPr>
                <w:rFonts w:cs="Times New Roman"/>
                <w:b/>
              </w:rPr>
              <w:t xml:space="preserve">: </w:t>
            </w:r>
            <w:r>
              <w:rPr>
                <w:rFonts w:cs="Segoe UI"/>
                <w:b/>
              </w:rPr>
              <w:t>Pomalé kreovanie rady pre tvorbu rozpočtu v zdravotníctve</w:t>
            </w:r>
          </w:p>
          <w:p w14:paraId="6273449B" w14:textId="49331771" w:rsidR="00AC7CD1" w:rsidRPr="007D3345" w:rsidRDefault="00AC7CD1" w:rsidP="004F286A">
            <w:pPr>
              <w:rPr>
                <w:sz w:val="18"/>
              </w:rPr>
            </w:pPr>
            <w:r w:rsidRPr="007D3345">
              <w:rPr>
                <w:b/>
                <w:sz w:val="18"/>
              </w:rPr>
              <w:t xml:space="preserve">V roku 2024 začala fungovať rada pre tvorbu rozpočtu v zdravotníctve, aj keď len na neformálnej úrovni. </w:t>
            </w:r>
            <w:r w:rsidRPr="007D3345">
              <w:rPr>
                <w:sz w:val="18"/>
              </w:rPr>
              <w:t xml:space="preserve">NKÚ SR opakovane upozorňoval na to, že do tvorby rozpočtu </w:t>
            </w:r>
            <w:r>
              <w:rPr>
                <w:sz w:val="18"/>
              </w:rPr>
              <w:t xml:space="preserve">v oblasti </w:t>
            </w:r>
            <w:r w:rsidRPr="007D3345">
              <w:rPr>
                <w:sz w:val="18"/>
              </w:rPr>
              <w:t xml:space="preserve">zdravotníctva, ako aj do pravidelného monitoringu jeho plnenia neboli dostatočne zapájané všetky dôležité zainteresované strany, čo viedlo napríklad k nadhodnocovaniu rozpočtovaných úspor. Tento nedostatok mal byť do značnej miery riešený vznikom rady pre tvorbu rozpočtu v zdravotníctve. Návrh štatútu tejto rady bol v apríli 2024 rozposlaný zainteresovaným stranám na pripomienkovanie. </w:t>
            </w:r>
            <w:r>
              <w:rPr>
                <w:sz w:val="18"/>
              </w:rPr>
              <w:t>Tento n</w:t>
            </w:r>
            <w:r w:rsidRPr="007D3345">
              <w:rPr>
                <w:sz w:val="18"/>
              </w:rPr>
              <w:t xml:space="preserve">ávrh </w:t>
            </w:r>
            <w:r>
              <w:rPr>
                <w:sz w:val="18"/>
              </w:rPr>
              <w:t>dostal</w:t>
            </w:r>
            <w:r w:rsidRPr="007D3345">
              <w:rPr>
                <w:sz w:val="18"/>
              </w:rPr>
              <w:t xml:space="preserve"> aj NKÚ SR, keďže pre úrad bol </w:t>
            </w:r>
            <w:r>
              <w:rPr>
                <w:sz w:val="18"/>
              </w:rPr>
              <w:t>zamýšľaný štatút pozorovateľa.</w:t>
            </w:r>
          </w:p>
          <w:p w14:paraId="7B1BE85D" w14:textId="0F4543A7" w:rsidR="00AC7CD1" w:rsidRDefault="00AC7CD1" w:rsidP="004F286A">
            <w:pPr>
              <w:rPr>
                <w:sz w:val="18"/>
              </w:rPr>
            </w:pPr>
            <w:r w:rsidRPr="007D3345">
              <w:rPr>
                <w:b/>
                <w:sz w:val="18"/>
              </w:rPr>
              <w:t>V </w:t>
            </w:r>
            <w:r w:rsidR="00A3319C">
              <w:rPr>
                <w:b/>
                <w:sz w:val="18"/>
              </w:rPr>
              <w:t>2</w:t>
            </w:r>
            <w:r w:rsidRPr="007D3345">
              <w:rPr>
                <w:b/>
                <w:sz w:val="18"/>
              </w:rPr>
              <w:t xml:space="preserve">024 sa konali viaceré rokovania rady, no NKÚ SR ani ďalšie inštitúcie so štatútom pozorovateľa na </w:t>
            </w:r>
            <w:proofErr w:type="spellStart"/>
            <w:r w:rsidRPr="007D3345">
              <w:rPr>
                <w:b/>
                <w:sz w:val="18"/>
              </w:rPr>
              <w:t>ne</w:t>
            </w:r>
            <w:proofErr w:type="spellEnd"/>
            <w:r w:rsidRPr="007D3345">
              <w:rPr>
                <w:b/>
                <w:sz w:val="18"/>
              </w:rPr>
              <w:t xml:space="preserve"> neboli priz</w:t>
            </w:r>
            <w:r w:rsidR="00A464BE">
              <w:rPr>
                <w:b/>
                <w:sz w:val="18"/>
              </w:rPr>
              <w:t>ý</w:t>
            </w:r>
            <w:r w:rsidRPr="007D3345">
              <w:rPr>
                <w:b/>
                <w:sz w:val="18"/>
              </w:rPr>
              <w:t>vané.</w:t>
            </w:r>
            <w:r w:rsidRPr="007D3345">
              <w:rPr>
                <w:sz w:val="18"/>
              </w:rPr>
              <w:t xml:space="preserve"> MZ SR </w:t>
            </w:r>
            <w:r w:rsidR="00A3319C">
              <w:rPr>
                <w:sz w:val="18"/>
              </w:rPr>
              <w:t>argumentovalo</w:t>
            </w:r>
            <w:r w:rsidRPr="007D3345">
              <w:rPr>
                <w:sz w:val="18"/>
              </w:rPr>
              <w:t xml:space="preserve"> tým, že formálny proces kreovania rady sa pozastavil a uskutočnené </w:t>
            </w:r>
            <w:r w:rsidRPr="007D3345">
              <w:rPr>
                <w:sz w:val="18"/>
              </w:rPr>
              <w:lastRenderedPageBreak/>
              <w:t xml:space="preserve">stretnutia boli iba neformálne. Medzi dôvodmi pozastavenia formálneho procesu boli uvedené skutočnosti ako zmena na poste ministra zdravotníctva, či nutnosť riešenia nátlakovej akcie Lekárskeho odborového združenia. Formálne kreovanie rady pokračuje a návrh jej štatútu </w:t>
            </w:r>
            <w:r w:rsidR="00D5363A">
              <w:rPr>
                <w:sz w:val="18"/>
              </w:rPr>
              <w:t>vzala vláda SR na vedomie</w:t>
            </w:r>
            <w:r>
              <w:rPr>
                <w:sz w:val="18"/>
              </w:rPr>
              <w:t xml:space="preserve"> v máji 2025</w:t>
            </w:r>
            <w:r w:rsidRPr="007D3345">
              <w:rPr>
                <w:sz w:val="18"/>
              </w:rPr>
              <w:t xml:space="preserve">. </w:t>
            </w:r>
          </w:p>
          <w:p w14:paraId="78AE33DD" w14:textId="3615F865" w:rsidR="00AC7CD1" w:rsidRPr="00181D27" w:rsidRDefault="00AC7CD1" w:rsidP="004F286A">
            <w:pPr>
              <w:rPr>
                <w:rFonts w:cs="Times New Roman"/>
                <w:color w:val="314364"/>
              </w:rPr>
            </w:pPr>
            <w:r w:rsidRPr="007D3345">
              <w:rPr>
                <w:b/>
                <w:sz w:val="18"/>
              </w:rPr>
              <w:t>NKÚ SR víta zriadenie tejto rady, keďže má potenciál zvýšiť kvalitu prípravy a monitoringu rozpočtu v zdravotníctve</w:t>
            </w:r>
            <w:r w:rsidRPr="00D5363A">
              <w:rPr>
                <w:b/>
                <w:bCs/>
                <w:sz w:val="18"/>
              </w:rPr>
              <w:t>.</w:t>
            </w:r>
            <w:r w:rsidRPr="007D3345">
              <w:rPr>
                <w:sz w:val="18"/>
              </w:rPr>
              <w:t xml:space="preserve"> </w:t>
            </w:r>
            <w:r>
              <w:rPr>
                <w:sz w:val="18"/>
              </w:rPr>
              <w:t>Podľa informácií MZ SR bude rada</w:t>
            </w:r>
            <w:r w:rsidRPr="0018593F">
              <w:rPr>
                <w:sz w:val="18"/>
              </w:rPr>
              <w:t xml:space="preserve"> zverejňovať vybrané prerokované materiály</w:t>
            </w:r>
            <w:r>
              <w:rPr>
                <w:sz w:val="18"/>
              </w:rPr>
              <w:t xml:space="preserve"> na stránke ministerstva, čo úrad vníma veľmi pozitívne, keďže by to mohlo výrazne zvýšiť</w:t>
            </w:r>
            <w:r w:rsidRPr="0018593F">
              <w:rPr>
                <w:sz w:val="18"/>
              </w:rPr>
              <w:t xml:space="preserve"> transparentnosť a verejnú kontrolu</w:t>
            </w:r>
            <w:r>
              <w:rPr>
                <w:sz w:val="18"/>
              </w:rPr>
              <w:t xml:space="preserve"> peňažných tokov v zdravotníctve.</w:t>
            </w:r>
          </w:p>
        </w:tc>
      </w:tr>
    </w:tbl>
    <w:p w14:paraId="252AE52D" w14:textId="615B04BB" w:rsidR="00BA5F6A" w:rsidRDefault="00BA5F6A" w:rsidP="001E15F4">
      <w:pPr>
        <w:pStyle w:val="Nadpis3"/>
      </w:pPr>
      <w:bookmarkStart w:id="44" w:name="_Toc198637732"/>
      <w:bookmarkEnd w:id="43"/>
      <w:r>
        <w:lastRenderedPageBreak/>
        <w:t xml:space="preserve">5.1.3 </w:t>
      </w:r>
      <w:r w:rsidR="00AE42B7">
        <w:t xml:space="preserve"> </w:t>
      </w:r>
      <w:r>
        <w:t>Plnenie úsporných opatrení</w:t>
      </w:r>
      <w:bookmarkEnd w:id="44"/>
      <w:r>
        <w:t xml:space="preserve"> </w:t>
      </w:r>
    </w:p>
    <w:p w14:paraId="701496E7" w14:textId="32855557" w:rsidR="00755AF5" w:rsidRDefault="00755AF5" w:rsidP="005A7337">
      <w:pPr>
        <w:rPr>
          <w:rFonts w:cs="Segoe UI"/>
        </w:rPr>
      </w:pPr>
      <w:r w:rsidRPr="00025E21">
        <w:rPr>
          <w:rFonts w:cs="Segoe UI"/>
          <w:b/>
        </w:rPr>
        <w:t>Aktualizovaná revízia výdavkov na zdravotníctvo</w:t>
      </w:r>
      <w:r>
        <w:rPr>
          <w:rFonts w:cs="Segoe UI"/>
          <w:b/>
        </w:rPr>
        <w:t>,</w:t>
      </w:r>
      <w:r w:rsidRPr="00025E21">
        <w:rPr>
          <w:rFonts w:cs="Segoe UI"/>
          <w:b/>
        </w:rPr>
        <w:t xml:space="preserve"> </w:t>
      </w:r>
      <w:r>
        <w:rPr>
          <w:rFonts w:cs="Segoe UI"/>
          <w:b/>
        </w:rPr>
        <w:t>preklopená do nového implementačného plánu, predpokladala</w:t>
      </w:r>
      <w:r w:rsidRPr="00025E21">
        <w:rPr>
          <w:rFonts w:cs="Segoe UI"/>
          <w:b/>
        </w:rPr>
        <w:t xml:space="preserve"> potenciálne úspory v celko</w:t>
      </w:r>
      <w:r>
        <w:rPr>
          <w:rFonts w:cs="Segoe UI"/>
          <w:b/>
        </w:rPr>
        <w:t>vom objeme 483 mil. eur za roky</w:t>
      </w:r>
      <w:r w:rsidRPr="00025E21">
        <w:rPr>
          <w:rFonts w:cs="Segoe UI"/>
          <w:b/>
        </w:rPr>
        <w:t xml:space="preserve"> 2023 až 2025. </w:t>
      </w:r>
      <w:r w:rsidRPr="00025E21">
        <w:rPr>
          <w:rFonts w:cs="Segoe UI"/>
        </w:rPr>
        <w:t>Najväčší potenciál úspor bol definovaný revíziou výdavkov</w:t>
      </w:r>
      <w:r w:rsidRPr="00025E21">
        <w:rPr>
          <w:rStyle w:val="Odkaznapoznmkupodiarou"/>
          <w:rFonts w:cs="Segoe UI"/>
        </w:rPr>
        <w:footnoteReference w:id="20"/>
      </w:r>
      <w:r w:rsidRPr="00025E21">
        <w:rPr>
          <w:rFonts w:cs="Segoe UI"/>
        </w:rPr>
        <w:t xml:space="preserve"> v liekovej politike</w:t>
      </w:r>
      <w:r>
        <w:rPr>
          <w:rFonts w:cs="Segoe UI"/>
        </w:rPr>
        <w:t>, kde sa</w:t>
      </w:r>
      <w:r w:rsidRPr="00025E21">
        <w:rPr>
          <w:rFonts w:cs="Segoe UI"/>
        </w:rPr>
        <w:t xml:space="preserve"> na rok 2024 </w:t>
      </w:r>
      <w:r>
        <w:rPr>
          <w:rFonts w:cs="Segoe UI"/>
        </w:rPr>
        <w:t>predpokladala úspora vo výške 134 mil. eur (56</w:t>
      </w:r>
      <w:r w:rsidRPr="00025E21">
        <w:rPr>
          <w:rFonts w:cs="Segoe UI"/>
        </w:rPr>
        <w:t xml:space="preserve"> % na celkovom objeme úspor v zdravotníctve v roku 2024). Väčšina úspor</w:t>
      </w:r>
      <w:r w:rsidR="00D23B69">
        <w:rPr>
          <w:rFonts w:cs="Segoe UI"/>
        </w:rPr>
        <w:t>,</w:t>
      </w:r>
      <w:r w:rsidRPr="00025E21">
        <w:rPr>
          <w:rFonts w:cs="Segoe UI"/>
        </w:rPr>
        <w:t xml:space="preserve"> definovaná v liekovej politike</w:t>
      </w:r>
      <w:r w:rsidR="00D23B69">
        <w:rPr>
          <w:rFonts w:cs="Segoe UI"/>
        </w:rPr>
        <w:t>,</w:t>
      </w:r>
      <w:r w:rsidRPr="00025E21">
        <w:rPr>
          <w:rFonts w:cs="Segoe UI"/>
        </w:rPr>
        <w:t xml:space="preserve"> mala byť naplnená prostredníctvom novely liekového zákona </w:t>
      </w:r>
      <w:r w:rsidR="005A7337">
        <w:rPr>
          <w:rFonts w:cs="Segoe UI"/>
        </w:rPr>
        <w:t>(</w:t>
      </w:r>
      <w:r w:rsidRPr="00025E21">
        <w:rPr>
          <w:rFonts w:cs="Segoe UI"/>
        </w:rPr>
        <w:t xml:space="preserve">363/2011 </w:t>
      </w:r>
      <w:r w:rsidR="005A7337">
        <w:rPr>
          <w:rFonts w:cs="Segoe UI"/>
        </w:rPr>
        <w:t>Z. z.)</w:t>
      </w:r>
      <w:r>
        <w:rPr>
          <w:rFonts w:cs="Segoe UI"/>
        </w:rPr>
        <w:t xml:space="preserve">. Úspory mali byť realizované cez zníženie výdavkov na lieky na výnimky, podporu vstupu </w:t>
      </w:r>
      <w:proofErr w:type="spellStart"/>
      <w:r>
        <w:rPr>
          <w:rFonts w:cs="Segoe UI"/>
        </w:rPr>
        <w:t>generík</w:t>
      </w:r>
      <w:proofErr w:type="spellEnd"/>
      <w:r>
        <w:rPr>
          <w:rFonts w:cs="Segoe UI"/>
        </w:rPr>
        <w:t>, aktívnym vynucovaním finančných prostriedkov od farmaceutických firiem</w:t>
      </w:r>
      <w:r w:rsidRPr="00025E21">
        <w:rPr>
          <w:rFonts w:cs="Segoe UI"/>
        </w:rPr>
        <w:t xml:space="preserve"> a tiež prostredníctvom redukcie spotreby liekov.</w:t>
      </w:r>
      <w:r>
        <w:rPr>
          <w:rFonts w:cs="Segoe UI"/>
        </w:rPr>
        <w:t xml:space="preserve"> Historicky sa úsporné opatrenia neplnia a tento stav nezlepšila ani aktualizácia úsporných opatrení v novom implementačnom pláne (graf </w:t>
      </w:r>
      <w:r w:rsidR="005A7337">
        <w:rPr>
          <w:rFonts w:cs="Segoe UI"/>
        </w:rPr>
        <w:t>27</w:t>
      </w:r>
      <w:r>
        <w:rPr>
          <w:rFonts w:cs="Segoe UI"/>
        </w:rPr>
        <w:t>).</w:t>
      </w:r>
    </w:p>
    <w:p w14:paraId="2CAEC9FD" w14:textId="72FFF74B" w:rsidR="004B3278" w:rsidRPr="003D11A6" w:rsidRDefault="004B3278" w:rsidP="003D11A6">
      <w:pPr>
        <w:spacing w:after="0" w:line="240" w:lineRule="auto"/>
        <w:rPr>
          <w:rFonts w:cs="Segoe UI"/>
          <w:b/>
          <w:color w:val="314364" w:themeColor="text2"/>
        </w:rPr>
      </w:pPr>
      <w:r w:rsidRPr="003D11A6">
        <w:rPr>
          <w:rFonts w:cs="Segoe UI"/>
          <w:b/>
          <w:color w:val="314364" w:themeColor="text2"/>
        </w:rPr>
        <w:t xml:space="preserve">Graf </w:t>
      </w:r>
      <w:r w:rsidR="005A7337">
        <w:rPr>
          <w:rFonts w:cs="Segoe UI"/>
          <w:b/>
          <w:color w:val="314364" w:themeColor="text2"/>
        </w:rPr>
        <w:t>27</w:t>
      </w:r>
      <w:r w:rsidRPr="003D11A6">
        <w:rPr>
          <w:rFonts w:cs="Segoe UI"/>
          <w:b/>
          <w:color w:val="314364" w:themeColor="text2"/>
        </w:rPr>
        <w:t>: Vývoj plnenia úsporných opatrení Revízie výdavkov na zdravotníctvo (v mil. eur)</w:t>
      </w:r>
    </w:p>
    <w:tbl>
      <w:tblPr>
        <w:tblStyle w:val="Mriekatabuky"/>
        <w:tblW w:w="5000" w:type="pct"/>
        <w:tblLook w:val="04A0" w:firstRow="1" w:lastRow="0" w:firstColumn="1" w:lastColumn="0" w:noHBand="0" w:noVBand="1"/>
      </w:tblPr>
      <w:tblGrid>
        <w:gridCol w:w="9070"/>
      </w:tblGrid>
      <w:tr w:rsidR="00266F54" w14:paraId="11009B26" w14:textId="77777777" w:rsidTr="001A0C13">
        <w:trPr>
          <w:trHeight w:val="2685"/>
        </w:trPr>
        <w:tc>
          <w:tcPr>
            <w:tcW w:w="5000" w:type="pct"/>
            <w:tcBorders>
              <w:top w:val="single" w:sz="4" w:space="0" w:color="314364" w:themeColor="text2"/>
              <w:left w:val="nil"/>
              <w:bottom w:val="single" w:sz="4" w:space="0" w:color="314364" w:themeColor="text2"/>
              <w:right w:val="nil"/>
            </w:tcBorders>
          </w:tcPr>
          <w:p w14:paraId="4E724652" w14:textId="2D4A77E2" w:rsidR="00266F54" w:rsidRDefault="00266F54" w:rsidP="00266F54">
            <w:pPr>
              <w:spacing w:after="0" w:line="240" w:lineRule="auto"/>
              <w:rPr>
                <w:rFonts w:cs="Segoe UI"/>
                <w:b/>
              </w:rPr>
            </w:pPr>
            <w:r>
              <w:rPr>
                <w:noProof/>
                <w:lang w:eastAsia="sk-SK"/>
              </w:rPr>
              <w:drawing>
                <wp:inline distT="0" distB="0" distL="0" distR="0" wp14:anchorId="1CE5F03F" wp14:editId="7A3C5590">
                  <wp:extent cx="5648325" cy="1647825"/>
                  <wp:effectExtent l="0" t="0" r="0" b="0"/>
                  <wp:docPr id="18" name="Graf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tc>
      </w:tr>
    </w:tbl>
    <w:p w14:paraId="1C21BFF1" w14:textId="3AE49928" w:rsidR="004B3278" w:rsidRPr="00755AF5" w:rsidRDefault="004B3278" w:rsidP="003D11A6">
      <w:pPr>
        <w:pStyle w:val="Zdroj"/>
      </w:pPr>
      <w:r w:rsidRPr="00755AF5">
        <w:t>Zdroj: ÚV SR, Súhrnné implementačné správy</w:t>
      </w:r>
      <w:r w:rsidR="00601FB5">
        <w:t>;</w:t>
      </w:r>
      <w:r w:rsidRPr="00755AF5">
        <w:t xml:space="preserve"> spracovanie NKÚ</w:t>
      </w:r>
      <w:r>
        <w:t xml:space="preserve"> SR.</w:t>
      </w:r>
    </w:p>
    <w:p w14:paraId="03B5D392" w14:textId="65ED8D43" w:rsidR="00CF6858" w:rsidRDefault="004B3278" w:rsidP="004B3278">
      <w:pPr>
        <w:rPr>
          <w:rFonts w:cs="Segoe UI"/>
        </w:rPr>
      </w:pPr>
      <w:r w:rsidRPr="002C4A92">
        <w:rPr>
          <w:rFonts w:cs="Segoe UI"/>
        </w:rPr>
        <w:t xml:space="preserve">Skutočné plnenie úspor bude zverejnené spolu s návrhom RVS v Súhrnnej implementačnej správe za rok 2024 na jeseň roku 2025. </w:t>
      </w:r>
      <w:r w:rsidR="00D23B69">
        <w:rPr>
          <w:rFonts w:cs="Segoe UI"/>
        </w:rPr>
        <w:t>N</w:t>
      </w:r>
      <w:r w:rsidRPr="002C4A92">
        <w:rPr>
          <w:rFonts w:cs="Segoe UI"/>
        </w:rPr>
        <w:t>a účel</w:t>
      </w:r>
      <w:r w:rsidR="00D23B69">
        <w:rPr>
          <w:rFonts w:cs="Segoe UI"/>
        </w:rPr>
        <w:t>y</w:t>
      </w:r>
      <w:r w:rsidRPr="002C4A92">
        <w:rPr>
          <w:rFonts w:cs="Segoe UI"/>
        </w:rPr>
        <w:t xml:space="preserve"> vyhodnotenia najväčšej časti úspor revízie výdavkov na zdravotníctvo boli využité podklady vyžiadané od troch ZP a MZ SR (tabuľka </w:t>
      </w:r>
      <w:r w:rsidR="00C74CE7">
        <w:rPr>
          <w:rFonts w:cs="Segoe UI"/>
        </w:rPr>
        <w:t>20</w:t>
      </w:r>
      <w:r w:rsidRPr="002C4A92">
        <w:rPr>
          <w:rFonts w:cs="Segoe UI"/>
        </w:rPr>
        <w:t>).</w:t>
      </w:r>
    </w:p>
    <w:p w14:paraId="4739CDE3" w14:textId="77777777" w:rsidR="007A5178" w:rsidRDefault="007A5178" w:rsidP="007A5178">
      <w:pPr>
        <w:spacing w:after="0"/>
        <w:rPr>
          <w:rFonts w:cs="Segoe UI"/>
        </w:rPr>
      </w:pPr>
      <w:r w:rsidRPr="00E91A12">
        <w:rPr>
          <w:rFonts w:cs="Segoe UI"/>
          <w:b/>
          <w:color w:val="314364" w:themeColor="text2"/>
        </w:rPr>
        <w:t>Tabuľka 20: Plnenie vybraných úsporných opatrení v oblasti liekovej politiky za rok 2024</w:t>
      </w:r>
    </w:p>
    <w:tbl>
      <w:tblPr>
        <w:tblW w:w="5000" w:type="pct"/>
        <w:tblLayout w:type="fixed"/>
        <w:tblCellMar>
          <w:left w:w="70" w:type="dxa"/>
          <w:right w:w="70" w:type="dxa"/>
        </w:tblCellMar>
        <w:tblLook w:val="04A0" w:firstRow="1" w:lastRow="0" w:firstColumn="1" w:lastColumn="0" w:noHBand="0" w:noVBand="1"/>
      </w:tblPr>
      <w:tblGrid>
        <w:gridCol w:w="5377"/>
        <w:gridCol w:w="1137"/>
        <w:gridCol w:w="1137"/>
        <w:gridCol w:w="1419"/>
      </w:tblGrid>
      <w:tr w:rsidR="007A5178" w:rsidRPr="00ED09BD" w14:paraId="072CC924" w14:textId="77777777" w:rsidTr="00A37C1D">
        <w:trPr>
          <w:trHeight w:val="283"/>
        </w:trPr>
        <w:tc>
          <w:tcPr>
            <w:tcW w:w="2964" w:type="pct"/>
            <w:shd w:val="clear" w:color="auto" w:fill="314364" w:themeFill="accent1"/>
            <w:vAlign w:val="center"/>
            <w:hideMark/>
          </w:tcPr>
          <w:p w14:paraId="0F9C69E4" w14:textId="77777777" w:rsidR="007A5178" w:rsidRPr="00ED09BD" w:rsidRDefault="007A5178" w:rsidP="00A37C1D">
            <w:pPr>
              <w:spacing w:after="0" w:line="240" w:lineRule="auto"/>
              <w:jc w:val="left"/>
              <w:rPr>
                <w:rFonts w:eastAsia="Times New Roman" w:cs="Segoe UI"/>
                <w:b/>
                <w:color w:val="FFFFFF" w:themeColor="background1"/>
                <w:sz w:val="18"/>
                <w:szCs w:val="18"/>
                <w:lang w:eastAsia="sk-SK"/>
              </w:rPr>
            </w:pPr>
            <w:r w:rsidRPr="00ED09BD">
              <w:rPr>
                <w:rFonts w:eastAsia="Times New Roman" w:cs="Segoe UI"/>
                <w:b/>
                <w:color w:val="FFFFFF" w:themeColor="background1"/>
                <w:sz w:val="18"/>
                <w:szCs w:val="18"/>
                <w:lang w:eastAsia="sk-SK"/>
              </w:rPr>
              <w:t> </w:t>
            </w:r>
            <w:r w:rsidRPr="004B1839">
              <w:rPr>
                <w:rFonts w:eastAsia="Times New Roman" w:cs="Segoe UI"/>
                <w:b/>
                <w:color w:val="FFFFFF" w:themeColor="background1"/>
                <w:sz w:val="18"/>
                <w:szCs w:val="18"/>
                <w:lang w:eastAsia="sk-SK"/>
              </w:rPr>
              <w:t>Opatrenie</w:t>
            </w:r>
          </w:p>
        </w:tc>
        <w:tc>
          <w:tcPr>
            <w:tcW w:w="627" w:type="pct"/>
            <w:shd w:val="clear" w:color="auto" w:fill="314364" w:themeFill="accent1"/>
            <w:vAlign w:val="center"/>
            <w:hideMark/>
          </w:tcPr>
          <w:p w14:paraId="7E9713EF" w14:textId="77777777" w:rsidR="007A5178" w:rsidRPr="00ED09BD" w:rsidRDefault="007A5178" w:rsidP="00A37C1D">
            <w:pPr>
              <w:spacing w:after="0" w:line="240" w:lineRule="auto"/>
              <w:jc w:val="center"/>
              <w:rPr>
                <w:rFonts w:eastAsia="Times New Roman" w:cs="Segoe UI"/>
                <w:b/>
                <w:color w:val="FFFFFF" w:themeColor="background1"/>
                <w:sz w:val="18"/>
                <w:szCs w:val="18"/>
                <w:lang w:eastAsia="sk-SK"/>
              </w:rPr>
            </w:pPr>
            <w:r w:rsidRPr="00ED09BD">
              <w:rPr>
                <w:rFonts w:eastAsia="Times New Roman" w:cs="Segoe UI"/>
                <w:b/>
                <w:color w:val="FFFFFF" w:themeColor="background1"/>
                <w:sz w:val="18"/>
                <w:szCs w:val="18"/>
                <w:lang w:eastAsia="sk-SK"/>
              </w:rPr>
              <w:t>Plánované plnenie</w:t>
            </w:r>
          </w:p>
        </w:tc>
        <w:tc>
          <w:tcPr>
            <w:tcW w:w="627" w:type="pct"/>
            <w:shd w:val="clear" w:color="auto" w:fill="314364" w:themeFill="accent1"/>
            <w:vAlign w:val="center"/>
            <w:hideMark/>
          </w:tcPr>
          <w:p w14:paraId="04E4BC4D" w14:textId="77777777" w:rsidR="007A5178" w:rsidRPr="00ED09BD" w:rsidRDefault="007A5178" w:rsidP="00A37C1D">
            <w:pPr>
              <w:spacing w:after="0" w:line="240" w:lineRule="auto"/>
              <w:jc w:val="center"/>
              <w:rPr>
                <w:rFonts w:eastAsia="Times New Roman" w:cs="Segoe UI"/>
                <w:b/>
                <w:color w:val="FFFFFF" w:themeColor="background1"/>
                <w:sz w:val="18"/>
                <w:szCs w:val="18"/>
                <w:lang w:eastAsia="sk-SK"/>
              </w:rPr>
            </w:pPr>
            <w:r w:rsidRPr="00ED09BD">
              <w:rPr>
                <w:rFonts w:eastAsia="Times New Roman" w:cs="Segoe UI"/>
                <w:b/>
                <w:color w:val="FFFFFF" w:themeColor="background1"/>
                <w:sz w:val="18"/>
                <w:szCs w:val="18"/>
                <w:lang w:eastAsia="sk-SK"/>
              </w:rPr>
              <w:t>Skutočné plnenie</w:t>
            </w:r>
          </w:p>
        </w:tc>
        <w:tc>
          <w:tcPr>
            <w:tcW w:w="782" w:type="pct"/>
            <w:shd w:val="clear" w:color="auto" w:fill="314364" w:themeFill="accent1"/>
            <w:vAlign w:val="center"/>
            <w:hideMark/>
          </w:tcPr>
          <w:p w14:paraId="56188ED8" w14:textId="77777777" w:rsidR="007A5178" w:rsidRPr="00ED09BD" w:rsidRDefault="007A5178" w:rsidP="00A37C1D">
            <w:pPr>
              <w:spacing w:after="0" w:line="240" w:lineRule="auto"/>
              <w:jc w:val="center"/>
              <w:rPr>
                <w:rFonts w:eastAsia="Times New Roman" w:cs="Segoe UI"/>
                <w:b/>
                <w:color w:val="FFFFFF" w:themeColor="background1"/>
                <w:sz w:val="18"/>
                <w:szCs w:val="18"/>
                <w:lang w:eastAsia="sk-SK"/>
              </w:rPr>
            </w:pPr>
            <w:r>
              <w:rPr>
                <w:rFonts w:eastAsia="Times New Roman" w:cs="Segoe UI"/>
                <w:b/>
                <w:color w:val="FFFFFF" w:themeColor="background1"/>
                <w:sz w:val="18"/>
                <w:szCs w:val="18"/>
                <w:lang w:eastAsia="sk-SK"/>
              </w:rPr>
              <w:t>Vyhodnotenie plnenia úspor</w:t>
            </w:r>
          </w:p>
        </w:tc>
      </w:tr>
      <w:tr w:rsidR="007A5178" w:rsidRPr="00ED09BD" w14:paraId="2E7AEF99" w14:textId="77777777" w:rsidTr="00A37C1D">
        <w:trPr>
          <w:trHeight w:val="283"/>
        </w:trPr>
        <w:tc>
          <w:tcPr>
            <w:tcW w:w="2964" w:type="pct"/>
            <w:tcBorders>
              <w:top w:val="nil"/>
              <w:left w:val="nil"/>
              <w:bottom w:val="nil"/>
              <w:right w:val="nil"/>
            </w:tcBorders>
            <w:shd w:val="clear" w:color="auto" w:fill="auto"/>
            <w:vAlign w:val="center"/>
            <w:hideMark/>
          </w:tcPr>
          <w:p w14:paraId="5C2D274B" w14:textId="77777777" w:rsidR="007A5178" w:rsidRPr="00ED09BD" w:rsidRDefault="007A5178" w:rsidP="00A37C1D">
            <w:pPr>
              <w:spacing w:after="0" w:line="240" w:lineRule="auto"/>
              <w:jc w:val="left"/>
              <w:rPr>
                <w:rFonts w:eastAsia="Times New Roman" w:cs="Segoe UI"/>
                <w:color w:val="000000"/>
                <w:sz w:val="18"/>
                <w:szCs w:val="18"/>
                <w:lang w:eastAsia="sk-SK"/>
              </w:rPr>
            </w:pPr>
            <w:r>
              <w:rPr>
                <w:rFonts w:cs="Segoe UI"/>
                <w:color w:val="000000"/>
                <w:sz w:val="18"/>
                <w:szCs w:val="18"/>
              </w:rPr>
              <w:t>Medzinárodné porovnávanie cien liekov dvakrát ročne</w:t>
            </w:r>
          </w:p>
        </w:tc>
        <w:tc>
          <w:tcPr>
            <w:tcW w:w="627" w:type="pct"/>
            <w:tcBorders>
              <w:top w:val="nil"/>
              <w:left w:val="nil"/>
              <w:bottom w:val="nil"/>
              <w:right w:val="nil"/>
            </w:tcBorders>
            <w:shd w:val="clear" w:color="auto" w:fill="auto"/>
            <w:noWrap/>
            <w:vAlign w:val="center"/>
            <w:hideMark/>
          </w:tcPr>
          <w:p w14:paraId="4B495172"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6,5</w:t>
            </w:r>
          </w:p>
        </w:tc>
        <w:tc>
          <w:tcPr>
            <w:tcW w:w="627" w:type="pct"/>
            <w:tcBorders>
              <w:top w:val="nil"/>
              <w:left w:val="nil"/>
              <w:bottom w:val="nil"/>
              <w:right w:val="nil"/>
            </w:tcBorders>
            <w:shd w:val="clear" w:color="auto" w:fill="auto"/>
            <w:noWrap/>
            <w:vAlign w:val="center"/>
            <w:hideMark/>
          </w:tcPr>
          <w:p w14:paraId="56C65D27"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10,3 </w:t>
            </w:r>
          </w:p>
        </w:tc>
        <w:tc>
          <w:tcPr>
            <w:tcW w:w="782" w:type="pct"/>
            <w:tcBorders>
              <w:top w:val="nil"/>
              <w:left w:val="nil"/>
              <w:bottom w:val="nil"/>
              <w:right w:val="nil"/>
            </w:tcBorders>
            <w:shd w:val="clear" w:color="auto" w:fill="auto"/>
            <w:noWrap/>
            <w:vAlign w:val="center"/>
            <w:hideMark/>
          </w:tcPr>
          <w:p w14:paraId="12F079BC"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158,50 %</w:t>
            </w:r>
          </w:p>
        </w:tc>
      </w:tr>
      <w:tr w:rsidR="007A5178" w:rsidRPr="00ED09BD" w14:paraId="3CE9E8E4" w14:textId="77777777" w:rsidTr="00A37C1D">
        <w:trPr>
          <w:trHeight w:val="283"/>
        </w:trPr>
        <w:tc>
          <w:tcPr>
            <w:tcW w:w="2964" w:type="pct"/>
            <w:tcBorders>
              <w:top w:val="nil"/>
              <w:left w:val="nil"/>
              <w:bottom w:val="nil"/>
              <w:right w:val="nil"/>
            </w:tcBorders>
            <w:shd w:val="clear" w:color="auto" w:fill="auto"/>
            <w:vAlign w:val="center"/>
            <w:hideMark/>
          </w:tcPr>
          <w:p w14:paraId="3D46934E" w14:textId="77777777" w:rsidR="007A5178" w:rsidRPr="00ED09BD" w:rsidRDefault="007A5178" w:rsidP="00A37C1D">
            <w:pPr>
              <w:spacing w:after="0" w:line="240" w:lineRule="auto"/>
              <w:jc w:val="left"/>
              <w:rPr>
                <w:rFonts w:eastAsia="Times New Roman" w:cs="Segoe UI"/>
                <w:color w:val="000000"/>
                <w:sz w:val="18"/>
                <w:szCs w:val="18"/>
                <w:lang w:eastAsia="sk-SK"/>
              </w:rPr>
            </w:pPr>
            <w:r>
              <w:rPr>
                <w:rFonts w:cs="Segoe UI"/>
                <w:color w:val="000000"/>
                <w:sz w:val="18"/>
                <w:szCs w:val="18"/>
              </w:rPr>
              <w:t>Lieky na výnimky</w:t>
            </w:r>
          </w:p>
        </w:tc>
        <w:tc>
          <w:tcPr>
            <w:tcW w:w="627" w:type="pct"/>
            <w:tcBorders>
              <w:top w:val="nil"/>
              <w:left w:val="nil"/>
              <w:bottom w:val="nil"/>
              <w:right w:val="nil"/>
            </w:tcBorders>
            <w:shd w:val="clear" w:color="auto" w:fill="auto"/>
            <w:noWrap/>
            <w:vAlign w:val="center"/>
            <w:hideMark/>
          </w:tcPr>
          <w:p w14:paraId="578DDF31"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24,5</w:t>
            </w:r>
          </w:p>
        </w:tc>
        <w:tc>
          <w:tcPr>
            <w:tcW w:w="627" w:type="pct"/>
            <w:tcBorders>
              <w:top w:val="nil"/>
              <w:left w:val="nil"/>
              <w:bottom w:val="nil"/>
              <w:right w:val="nil"/>
            </w:tcBorders>
            <w:shd w:val="clear" w:color="auto" w:fill="auto"/>
            <w:noWrap/>
            <w:vAlign w:val="center"/>
            <w:hideMark/>
          </w:tcPr>
          <w:p w14:paraId="78B83C0E"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19,5 </w:t>
            </w:r>
          </w:p>
        </w:tc>
        <w:tc>
          <w:tcPr>
            <w:tcW w:w="782" w:type="pct"/>
            <w:tcBorders>
              <w:top w:val="nil"/>
              <w:left w:val="nil"/>
              <w:bottom w:val="nil"/>
              <w:right w:val="nil"/>
            </w:tcBorders>
            <w:shd w:val="clear" w:color="auto" w:fill="auto"/>
            <w:noWrap/>
            <w:vAlign w:val="center"/>
            <w:hideMark/>
          </w:tcPr>
          <w:p w14:paraId="4EE4DC72"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79,60 %</w:t>
            </w:r>
          </w:p>
        </w:tc>
      </w:tr>
      <w:tr w:rsidR="007A5178" w:rsidRPr="00ED09BD" w14:paraId="6D07A70A" w14:textId="77777777" w:rsidTr="00A37C1D">
        <w:trPr>
          <w:trHeight w:val="283"/>
        </w:trPr>
        <w:tc>
          <w:tcPr>
            <w:tcW w:w="2964" w:type="pct"/>
            <w:tcBorders>
              <w:top w:val="nil"/>
              <w:left w:val="nil"/>
              <w:bottom w:val="nil"/>
              <w:right w:val="nil"/>
            </w:tcBorders>
            <w:shd w:val="clear" w:color="auto" w:fill="auto"/>
            <w:vAlign w:val="center"/>
            <w:hideMark/>
          </w:tcPr>
          <w:p w14:paraId="749846BF" w14:textId="77777777" w:rsidR="007A5178" w:rsidRPr="00ED09BD" w:rsidRDefault="007A5178" w:rsidP="00A37C1D">
            <w:pPr>
              <w:spacing w:after="0" w:line="240" w:lineRule="auto"/>
              <w:jc w:val="left"/>
              <w:rPr>
                <w:rFonts w:eastAsia="Times New Roman" w:cs="Segoe UI"/>
                <w:color w:val="000000"/>
                <w:sz w:val="18"/>
                <w:szCs w:val="18"/>
                <w:lang w:eastAsia="sk-SK"/>
              </w:rPr>
            </w:pPr>
            <w:r>
              <w:rPr>
                <w:rFonts w:cs="Segoe UI"/>
                <w:color w:val="000000"/>
                <w:sz w:val="18"/>
                <w:szCs w:val="18"/>
              </w:rPr>
              <w:t>Aktívne vynucovanie vyrovnacieho rozdielu</w:t>
            </w:r>
          </w:p>
        </w:tc>
        <w:tc>
          <w:tcPr>
            <w:tcW w:w="627" w:type="pct"/>
            <w:tcBorders>
              <w:top w:val="nil"/>
              <w:left w:val="nil"/>
              <w:bottom w:val="nil"/>
              <w:right w:val="nil"/>
            </w:tcBorders>
            <w:shd w:val="clear" w:color="auto" w:fill="auto"/>
            <w:noWrap/>
            <w:vAlign w:val="center"/>
            <w:hideMark/>
          </w:tcPr>
          <w:p w14:paraId="10DEF803"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11,3</w:t>
            </w:r>
          </w:p>
        </w:tc>
        <w:tc>
          <w:tcPr>
            <w:tcW w:w="627" w:type="pct"/>
            <w:tcBorders>
              <w:top w:val="nil"/>
              <w:left w:val="nil"/>
              <w:bottom w:val="nil"/>
              <w:right w:val="nil"/>
            </w:tcBorders>
            <w:shd w:val="clear" w:color="auto" w:fill="auto"/>
            <w:noWrap/>
            <w:vAlign w:val="center"/>
            <w:hideMark/>
          </w:tcPr>
          <w:p w14:paraId="54DD50D9"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3,9</w:t>
            </w:r>
          </w:p>
        </w:tc>
        <w:tc>
          <w:tcPr>
            <w:tcW w:w="782" w:type="pct"/>
            <w:tcBorders>
              <w:top w:val="nil"/>
              <w:left w:val="nil"/>
              <w:bottom w:val="nil"/>
              <w:right w:val="nil"/>
            </w:tcBorders>
            <w:shd w:val="clear" w:color="auto" w:fill="auto"/>
            <w:noWrap/>
            <w:vAlign w:val="center"/>
            <w:hideMark/>
          </w:tcPr>
          <w:p w14:paraId="497372CB"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34,50 %</w:t>
            </w:r>
          </w:p>
        </w:tc>
      </w:tr>
      <w:tr w:rsidR="007A5178" w:rsidRPr="00ED09BD" w14:paraId="22DB9F48" w14:textId="77777777" w:rsidTr="00A37C1D">
        <w:trPr>
          <w:trHeight w:val="283"/>
        </w:trPr>
        <w:tc>
          <w:tcPr>
            <w:tcW w:w="2964" w:type="pct"/>
            <w:tcBorders>
              <w:top w:val="nil"/>
              <w:left w:val="nil"/>
              <w:bottom w:val="nil"/>
              <w:right w:val="nil"/>
            </w:tcBorders>
            <w:shd w:val="clear" w:color="auto" w:fill="auto"/>
            <w:vAlign w:val="center"/>
            <w:hideMark/>
          </w:tcPr>
          <w:p w14:paraId="59A02DE8" w14:textId="0AED6FE9" w:rsidR="007A5178" w:rsidRPr="00ED09BD" w:rsidRDefault="007A5178" w:rsidP="00396EF2">
            <w:pPr>
              <w:spacing w:after="0" w:line="240" w:lineRule="auto"/>
              <w:jc w:val="left"/>
              <w:rPr>
                <w:rFonts w:eastAsia="Times New Roman" w:cs="Segoe UI"/>
                <w:color w:val="000000"/>
                <w:sz w:val="18"/>
                <w:szCs w:val="18"/>
                <w:lang w:eastAsia="sk-SK"/>
              </w:rPr>
            </w:pPr>
            <w:r>
              <w:rPr>
                <w:rFonts w:cs="Segoe UI"/>
                <w:color w:val="000000"/>
                <w:sz w:val="18"/>
                <w:szCs w:val="18"/>
              </w:rPr>
              <w:t>Nákladová efektivita liekov zaradených v</w:t>
            </w:r>
            <w:r w:rsidR="00396EF2">
              <w:rPr>
                <w:rFonts w:cs="Segoe UI"/>
                <w:color w:val="000000"/>
                <w:sz w:val="18"/>
                <w:szCs w:val="18"/>
              </w:rPr>
              <w:t> základnom kategorizačnom liste</w:t>
            </w:r>
            <w:r>
              <w:rPr>
                <w:rFonts w:cs="Segoe UI"/>
                <w:color w:val="000000"/>
                <w:sz w:val="18"/>
                <w:szCs w:val="18"/>
              </w:rPr>
              <w:t xml:space="preserve"> na základe inštitútu 1:50 000, podľa zákona platného od 1.1.2018 do 31.7.2022</w:t>
            </w:r>
          </w:p>
        </w:tc>
        <w:tc>
          <w:tcPr>
            <w:tcW w:w="627" w:type="pct"/>
            <w:tcBorders>
              <w:top w:val="nil"/>
              <w:left w:val="nil"/>
              <w:bottom w:val="nil"/>
              <w:right w:val="nil"/>
            </w:tcBorders>
            <w:shd w:val="clear" w:color="auto" w:fill="auto"/>
            <w:noWrap/>
            <w:vAlign w:val="center"/>
            <w:hideMark/>
          </w:tcPr>
          <w:p w14:paraId="710E001C"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20</w:t>
            </w:r>
          </w:p>
        </w:tc>
        <w:tc>
          <w:tcPr>
            <w:tcW w:w="627" w:type="pct"/>
            <w:tcBorders>
              <w:top w:val="nil"/>
              <w:left w:val="nil"/>
              <w:bottom w:val="nil"/>
              <w:right w:val="nil"/>
            </w:tcBorders>
            <w:shd w:val="clear" w:color="auto" w:fill="auto"/>
            <w:noWrap/>
            <w:vAlign w:val="center"/>
            <w:hideMark/>
          </w:tcPr>
          <w:p w14:paraId="4127226A"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0</w:t>
            </w:r>
          </w:p>
        </w:tc>
        <w:tc>
          <w:tcPr>
            <w:tcW w:w="782" w:type="pct"/>
            <w:tcBorders>
              <w:top w:val="nil"/>
              <w:left w:val="nil"/>
              <w:bottom w:val="nil"/>
              <w:right w:val="nil"/>
            </w:tcBorders>
            <w:shd w:val="clear" w:color="auto" w:fill="auto"/>
            <w:noWrap/>
            <w:vAlign w:val="center"/>
            <w:hideMark/>
          </w:tcPr>
          <w:p w14:paraId="15601A3F"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0 %</w:t>
            </w:r>
          </w:p>
        </w:tc>
      </w:tr>
      <w:tr w:rsidR="007A5178" w:rsidRPr="00ED09BD" w14:paraId="5CD18EF8" w14:textId="77777777" w:rsidTr="00A37C1D">
        <w:trPr>
          <w:trHeight w:val="283"/>
        </w:trPr>
        <w:tc>
          <w:tcPr>
            <w:tcW w:w="2964" w:type="pct"/>
            <w:tcBorders>
              <w:top w:val="nil"/>
              <w:left w:val="nil"/>
              <w:bottom w:val="nil"/>
              <w:right w:val="nil"/>
            </w:tcBorders>
            <w:shd w:val="clear" w:color="auto" w:fill="auto"/>
            <w:vAlign w:val="center"/>
            <w:hideMark/>
          </w:tcPr>
          <w:p w14:paraId="5E7A5011" w14:textId="77777777" w:rsidR="007A5178" w:rsidRPr="00ED09BD" w:rsidRDefault="007A5178" w:rsidP="00A37C1D">
            <w:pPr>
              <w:spacing w:after="0" w:line="240" w:lineRule="auto"/>
              <w:jc w:val="left"/>
              <w:rPr>
                <w:rFonts w:eastAsia="Times New Roman" w:cs="Segoe UI"/>
                <w:color w:val="000000"/>
                <w:sz w:val="18"/>
                <w:szCs w:val="18"/>
                <w:lang w:eastAsia="sk-SK"/>
              </w:rPr>
            </w:pPr>
            <w:r>
              <w:rPr>
                <w:rFonts w:cs="Segoe UI"/>
                <w:color w:val="000000"/>
                <w:sz w:val="18"/>
                <w:szCs w:val="18"/>
              </w:rPr>
              <w:t xml:space="preserve">Nákladová efektivita zaradených </w:t>
            </w:r>
            <w:proofErr w:type="spellStart"/>
            <w:r>
              <w:rPr>
                <w:rFonts w:cs="Segoe UI"/>
                <w:color w:val="000000"/>
                <w:sz w:val="18"/>
                <w:szCs w:val="18"/>
              </w:rPr>
              <w:t>orphanov</w:t>
            </w:r>
            <w:proofErr w:type="spellEnd"/>
          </w:p>
        </w:tc>
        <w:tc>
          <w:tcPr>
            <w:tcW w:w="627" w:type="pct"/>
            <w:tcBorders>
              <w:top w:val="nil"/>
              <w:left w:val="nil"/>
              <w:bottom w:val="nil"/>
              <w:right w:val="nil"/>
            </w:tcBorders>
            <w:shd w:val="clear" w:color="auto" w:fill="auto"/>
            <w:noWrap/>
            <w:vAlign w:val="center"/>
            <w:hideMark/>
          </w:tcPr>
          <w:p w14:paraId="155E7DE3"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7,3</w:t>
            </w:r>
          </w:p>
        </w:tc>
        <w:tc>
          <w:tcPr>
            <w:tcW w:w="627" w:type="pct"/>
            <w:tcBorders>
              <w:top w:val="nil"/>
              <w:left w:val="nil"/>
              <w:bottom w:val="nil"/>
              <w:right w:val="nil"/>
            </w:tcBorders>
            <w:shd w:val="clear" w:color="auto" w:fill="auto"/>
            <w:noWrap/>
            <w:vAlign w:val="center"/>
            <w:hideMark/>
          </w:tcPr>
          <w:p w14:paraId="65101B8B"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0</w:t>
            </w:r>
          </w:p>
        </w:tc>
        <w:tc>
          <w:tcPr>
            <w:tcW w:w="782" w:type="pct"/>
            <w:tcBorders>
              <w:top w:val="nil"/>
              <w:left w:val="nil"/>
              <w:bottom w:val="nil"/>
              <w:right w:val="nil"/>
            </w:tcBorders>
            <w:shd w:val="clear" w:color="auto" w:fill="auto"/>
            <w:noWrap/>
            <w:vAlign w:val="center"/>
            <w:hideMark/>
          </w:tcPr>
          <w:p w14:paraId="35FD9889"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0 %</w:t>
            </w:r>
          </w:p>
        </w:tc>
      </w:tr>
      <w:tr w:rsidR="007A5178" w:rsidRPr="00ED09BD" w14:paraId="01CDE78D" w14:textId="77777777" w:rsidTr="00A37C1D">
        <w:trPr>
          <w:trHeight w:val="283"/>
        </w:trPr>
        <w:tc>
          <w:tcPr>
            <w:tcW w:w="2964" w:type="pct"/>
            <w:tcBorders>
              <w:top w:val="nil"/>
              <w:left w:val="nil"/>
              <w:bottom w:val="single" w:sz="8" w:space="0" w:color="314364"/>
              <w:right w:val="nil"/>
            </w:tcBorders>
            <w:shd w:val="clear" w:color="auto" w:fill="auto"/>
            <w:vAlign w:val="center"/>
            <w:hideMark/>
          </w:tcPr>
          <w:p w14:paraId="6E6699B5" w14:textId="77777777" w:rsidR="007A5178" w:rsidRPr="00ED09BD" w:rsidRDefault="007A5178" w:rsidP="00A37C1D">
            <w:pPr>
              <w:spacing w:after="0" w:line="240" w:lineRule="auto"/>
              <w:jc w:val="left"/>
              <w:rPr>
                <w:rFonts w:eastAsia="Times New Roman" w:cs="Segoe UI"/>
                <w:color w:val="000000"/>
                <w:sz w:val="18"/>
                <w:szCs w:val="18"/>
                <w:lang w:eastAsia="sk-SK"/>
              </w:rPr>
            </w:pPr>
            <w:r>
              <w:rPr>
                <w:rFonts w:cs="Segoe UI"/>
                <w:color w:val="000000"/>
                <w:sz w:val="18"/>
                <w:szCs w:val="18"/>
              </w:rPr>
              <w:t xml:space="preserve">Podpora vstupu </w:t>
            </w:r>
            <w:proofErr w:type="spellStart"/>
            <w:r>
              <w:rPr>
                <w:rFonts w:cs="Segoe UI"/>
                <w:color w:val="000000"/>
                <w:sz w:val="18"/>
                <w:szCs w:val="18"/>
              </w:rPr>
              <w:t>generík</w:t>
            </w:r>
            <w:proofErr w:type="spellEnd"/>
            <w:r>
              <w:rPr>
                <w:rFonts w:cs="Segoe UI"/>
                <w:color w:val="000000"/>
                <w:sz w:val="18"/>
                <w:szCs w:val="18"/>
              </w:rPr>
              <w:t xml:space="preserve"> a </w:t>
            </w:r>
            <w:proofErr w:type="spellStart"/>
            <w:r>
              <w:rPr>
                <w:rFonts w:cs="Segoe UI"/>
                <w:color w:val="000000"/>
                <w:sz w:val="18"/>
                <w:szCs w:val="18"/>
              </w:rPr>
              <w:t>biosimilárov</w:t>
            </w:r>
            <w:proofErr w:type="spellEnd"/>
          </w:p>
        </w:tc>
        <w:tc>
          <w:tcPr>
            <w:tcW w:w="627" w:type="pct"/>
            <w:tcBorders>
              <w:top w:val="nil"/>
              <w:left w:val="nil"/>
              <w:bottom w:val="single" w:sz="8" w:space="0" w:color="314364"/>
              <w:right w:val="nil"/>
            </w:tcBorders>
            <w:shd w:val="clear" w:color="auto" w:fill="auto"/>
            <w:noWrap/>
            <w:vAlign w:val="center"/>
            <w:hideMark/>
          </w:tcPr>
          <w:p w14:paraId="712397E2"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46</w:t>
            </w:r>
          </w:p>
        </w:tc>
        <w:tc>
          <w:tcPr>
            <w:tcW w:w="627" w:type="pct"/>
            <w:tcBorders>
              <w:top w:val="nil"/>
              <w:left w:val="nil"/>
              <w:bottom w:val="single" w:sz="8" w:space="0" w:color="314364"/>
              <w:right w:val="nil"/>
            </w:tcBorders>
            <w:shd w:val="clear" w:color="auto" w:fill="auto"/>
            <w:noWrap/>
            <w:vAlign w:val="center"/>
            <w:hideMark/>
          </w:tcPr>
          <w:p w14:paraId="7D869EED"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0</w:t>
            </w:r>
          </w:p>
        </w:tc>
        <w:tc>
          <w:tcPr>
            <w:tcW w:w="782" w:type="pct"/>
            <w:tcBorders>
              <w:top w:val="nil"/>
              <w:left w:val="nil"/>
              <w:bottom w:val="single" w:sz="8" w:space="0" w:color="314364"/>
              <w:right w:val="nil"/>
            </w:tcBorders>
            <w:shd w:val="clear" w:color="auto" w:fill="auto"/>
            <w:noWrap/>
            <w:vAlign w:val="center"/>
            <w:hideMark/>
          </w:tcPr>
          <w:p w14:paraId="308BE49B" w14:textId="77777777" w:rsidR="007A5178" w:rsidRPr="00ED09BD" w:rsidRDefault="007A5178" w:rsidP="00A37C1D">
            <w:pPr>
              <w:spacing w:after="0" w:line="240" w:lineRule="auto"/>
              <w:jc w:val="center"/>
              <w:rPr>
                <w:rFonts w:eastAsia="Times New Roman" w:cs="Segoe UI"/>
                <w:color w:val="000000"/>
                <w:sz w:val="18"/>
                <w:szCs w:val="18"/>
                <w:lang w:eastAsia="sk-SK"/>
              </w:rPr>
            </w:pPr>
            <w:r>
              <w:rPr>
                <w:rFonts w:cs="Segoe UI"/>
                <w:color w:val="000000"/>
                <w:sz w:val="18"/>
                <w:szCs w:val="18"/>
              </w:rPr>
              <w:t>0 %</w:t>
            </w:r>
          </w:p>
        </w:tc>
      </w:tr>
      <w:tr w:rsidR="007A5178" w:rsidRPr="00ED09BD" w14:paraId="2A8AAD5E" w14:textId="77777777" w:rsidTr="00A37C1D">
        <w:trPr>
          <w:trHeight w:val="283"/>
        </w:trPr>
        <w:tc>
          <w:tcPr>
            <w:tcW w:w="2964" w:type="pct"/>
            <w:tcBorders>
              <w:top w:val="single" w:sz="4" w:space="0" w:color="314364" w:themeColor="text2"/>
              <w:bottom w:val="single" w:sz="4" w:space="0" w:color="314364" w:themeColor="text2"/>
            </w:tcBorders>
            <w:shd w:val="clear" w:color="auto" w:fill="auto"/>
            <w:vAlign w:val="center"/>
            <w:hideMark/>
          </w:tcPr>
          <w:p w14:paraId="5338CC83" w14:textId="77777777" w:rsidR="007A5178" w:rsidRPr="00ED09BD" w:rsidRDefault="007A5178" w:rsidP="00A37C1D">
            <w:pPr>
              <w:spacing w:after="0" w:line="240" w:lineRule="auto"/>
              <w:jc w:val="left"/>
              <w:rPr>
                <w:rFonts w:eastAsia="Times New Roman" w:cs="Segoe UI"/>
                <w:b/>
                <w:bCs/>
                <w:color w:val="000000"/>
                <w:sz w:val="18"/>
                <w:szCs w:val="20"/>
                <w:lang w:eastAsia="sk-SK"/>
              </w:rPr>
            </w:pPr>
            <w:r>
              <w:rPr>
                <w:rFonts w:eastAsia="Times New Roman" w:cs="Segoe UI"/>
                <w:b/>
                <w:bCs/>
                <w:color w:val="000000"/>
                <w:sz w:val="18"/>
                <w:szCs w:val="20"/>
                <w:lang w:eastAsia="sk-SK"/>
              </w:rPr>
              <w:t>SPOLU</w:t>
            </w:r>
          </w:p>
        </w:tc>
        <w:tc>
          <w:tcPr>
            <w:tcW w:w="627" w:type="pct"/>
            <w:tcBorders>
              <w:top w:val="single" w:sz="4" w:space="0" w:color="314364" w:themeColor="text2"/>
              <w:bottom w:val="single" w:sz="4" w:space="0" w:color="314364" w:themeColor="text2"/>
            </w:tcBorders>
            <w:shd w:val="clear" w:color="auto" w:fill="auto"/>
            <w:noWrap/>
            <w:vAlign w:val="center"/>
            <w:hideMark/>
          </w:tcPr>
          <w:p w14:paraId="450A9196" w14:textId="77777777" w:rsidR="007A5178" w:rsidRPr="00F46337" w:rsidRDefault="007A5178" w:rsidP="00A37C1D">
            <w:pPr>
              <w:spacing w:after="0" w:line="240" w:lineRule="auto"/>
              <w:jc w:val="center"/>
              <w:rPr>
                <w:rFonts w:eastAsia="Times New Roman" w:cs="Segoe UI"/>
                <w:b/>
                <w:color w:val="000000"/>
                <w:sz w:val="18"/>
                <w:szCs w:val="20"/>
                <w:lang w:eastAsia="sk-SK"/>
              </w:rPr>
            </w:pPr>
            <w:r w:rsidRPr="00F46337">
              <w:rPr>
                <w:rFonts w:eastAsia="Times New Roman" w:cs="Segoe UI"/>
                <w:b/>
                <w:color w:val="000000"/>
                <w:sz w:val="18"/>
                <w:szCs w:val="20"/>
                <w:lang w:eastAsia="sk-SK"/>
              </w:rPr>
              <w:t>115,6</w:t>
            </w:r>
          </w:p>
        </w:tc>
        <w:tc>
          <w:tcPr>
            <w:tcW w:w="627" w:type="pct"/>
            <w:tcBorders>
              <w:top w:val="single" w:sz="4" w:space="0" w:color="314364" w:themeColor="text2"/>
              <w:bottom w:val="single" w:sz="4" w:space="0" w:color="314364" w:themeColor="text2"/>
            </w:tcBorders>
            <w:shd w:val="clear" w:color="auto" w:fill="auto"/>
            <w:noWrap/>
            <w:vAlign w:val="center"/>
            <w:hideMark/>
          </w:tcPr>
          <w:p w14:paraId="418009B9" w14:textId="77777777" w:rsidR="007A5178" w:rsidRPr="00F46337" w:rsidRDefault="007A5178" w:rsidP="00A37C1D">
            <w:pPr>
              <w:spacing w:after="0" w:line="240" w:lineRule="auto"/>
              <w:jc w:val="center"/>
              <w:rPr>
                <w:rFonts w:eastAsia="Times New Roman" w:cs="Segoe UI"/>
                <w:b/>
                <w:color w:val="000000"/>
                <w:sz w:val="18"/>
                <w:szCs w:val="20"/>
                <w:lang w:eastAsia="sk-SK"/>
              </w:rPr>
            </w:pPr>
            <w:r>
              <w:rPr>
                <w:rFonts w:eastAsia="Times New Roman" w:cs="Segoe UI"/>
                <w:b/>
                <w:color w:val="000000"/>
                <w:sz w:val="18"/>
                <w:szCs w:val="20"/>
                <w:lang w:eastAsia="sk-SK"/>
              </w:rPr>
              <w:t>33,7</w:t>
            </w:r>
          </w:p>
        </w:tc>
        <w:tc>
          <w:tcPr>
            <w:tcW w:w="782" w:type="pct"/>
            <w:tcBorders>
              <w:top w:val="single" w:sz="4" w:space="0" w:color="314364" w:themeColor="text2"/>
              <w:bottom w:val="single" w:sz="4" w:space="0" w:color="314364" w:themeColor="text2"/>
            </w:tcBorders>
            <w:shd w:val="clear" w:color="auto" w:fill="auto"/>
            <w:noWrap/>
            <w:vAlign w:val="center"/>
            <w:hideMark/>
          </w:tcPr>
          <w:p w14:paraId="6801DD10" w14:textId="77777777" w:rsidR="007A5178" w:rsidRPr="00F46337" w:rsidRDefault="007A5178" w:rsidP="00A37C1D">
            <w:pPr>
              <w:spacing w:after="0" w:line="240" w:lineRule="auto"/>
              <w:jc w:val="center"/>
              <w:rPr>
                <w:rFonts w:eastAsia="Times New Roman" w:cs="Segoe UI"/>
                <w:b/>
                <w:color w:val="000000"/>
                <w:sz w:val="18"/>
                <w:szCs w:val="20"/>
                <w:lang w:eastAsia="sk-SK"/>
              </w:rPr>
            </w:pPr>
            <w:r>
              <w:rPr>
                <w:rFonts w:eastAsia="Times New Roman" w:cs="Segoe UI"/>
                <w:b/>
                <w:color w:val="000000"/>
                <w:sz w:val="18"/>
                <w:szCs w:val="20"/>
                <w:lang w:eastAsia="sk-SK"/>
              </w:rPr>
              <w:t>29,2</w:t>
            </w:r>
            <w:r w:rsidRPr="00F46337">
              <w:rPr>
                <w:rFonts w:eastAsia="Times New Roman" w:cs="Segoe UI"/>
                <w:b/>
                <w:color w:val="000000"/>
                <w:sz w:val="18"/>
                <w:szCs w:val="20"/>
                <w:lang w:eastAsia="sk-SK"/>
              </w:rPr>
              <w:t xml:space="preserve"> %</w:t>
            </w:r>
          </w:p>
        </w:tc>
      </w:tr>
    </w:tbl>
    <w:p w14:paraId="2529C0F9" w14:textId="77777777" w:rsidR="007A5178" w:rsidRPr="00704677" w:rsidRDefault="007A5178" w:rsidP="007A5178">
      <w:pPr>
        <w:pStyle w:val="Zdroj"/>
        <w:spacing w:line="276" w:lineRule="auto"/>
      </w:pPr>
      <w:r w:rsidRPr="00704677">
        <w:t xml:space="preserve">Zdroj: MZ SR, ÚV SR, </w:t>
      </w:r>
      <w:proofErr w:type="spellStart"/>
      <w:r w:rsidRPr="00704677">
        <w:t>V</w:t>
      </w:r>
      <w:r>
        <w:t>š</w:t>
      </w:r>
      <w:r w:rsidRPr="00704677">
        <w:t>ZP</w:t>
      </w:r>
      <w:proofErr w:type="spellEnd"/>
      <w:r w:rsidRPr="00704677">
        <w:t xml:space="preserve">, Dôvera, </w:t>
      </w:r>
      <w:proofErr w:type="spellStart"/>
      <w:r w:rsidRPr="00704677">
        <w:t>Union</w:t>
      </w:r>
      <w:proofErr w:type="spellEnd"/>
      <w:r w:rsidRPr="00704677">
        <w:t>, spracovanie NKÚ SR.</w:t>
      </w:r>
    </w:p>
    <w:p w14:paraId="019E66E1" w14:textId="4815D220" w:rsidR="00CF6858" w:rsidRDefault="004B3278" w:rsidP="004B3278">
      <w:pPr>
        <w:rPr>
          <w:rFonts w:cs="Segoe UI"/>
        </w:rPr>
      </w:pPr>
      <w:r w:rsidRPr="00A41941">
        <w:rPr>
          <w:rFonts w:cs="Segoe UI"/>
          <w:b/>
        </w:rPr>
        <w:lastRenderedPageBreak/>
        <w:t xml:space="preserve">Okrem nenaplnených úspor na lieky, ktorých potenciál bol </w:t>
      </w:r>
      <w:r w:rsidR="00C56E39">
        <w:rPr>
          <w:rFonts w:cs="Segoe UI"/>
          <w:b/>
        </w:rPr>
        <w:t>realizovaný</w:t>
      </w:r>
      <w:r w:rsidRPr="00A41941">
        <w:rPr>
          <w:rFonts w:cs="Segoe UI"/>
          <w:b/>
        </w:rPr>
        <w:t xml:space="preserve"> na 29,2 %</w:t>
      </w:r>
      <w:r>
        <w:rPr>
          <w:rFonts w:cs="Segoe UI"/>
          <w:b/>
        </w:rPr>
        <w:t xml:space="preserve"> </w:t>
      </w:r>
      <w:r w:rsidR="00F02BB9" w:rsidRPr="00F02BB9">
        <w:rPr>
          <w:rFonts w:cs="Segoe UI"/>
        </w:rPr>
        <w:t>(</w:t>
      </w:r>
      <w:r w:rsidRPr="00F02BB9">
        <w:rPr>
          <w:rFonts w:cs="Segoe UI"/>
        </w:rPr>
        <w:t xml:space="preserve">z plánovaných 115,6 mil. eur </w:t>
      </w:r>
      <w:r w:rsidR="00F02BB9" w:rsidRPr="00F02BB9">
        <w:rPr>
          <w:rFonts w:cs="Segoe UI"/>
        </w:rPr>
        <w:t xml:space="preserve">sa </w:t>
      </w:r>
      <w:r w:rsidRPr="00F02BB9">
        <w:rPr>
          <w:rFonts w:cs="Segoe UI"/>
        </w:rPr>
        <w:t>ušetrilo 33,7 mil. eur</w:t>
      </w:r>
      <w:r w:rsidRPr="00F02BB9">
        <w:rPr>
          <w:rStyle w:val="Odkaznapoznmkupodiarou"/>
          <w:rFonts w:cs="Segoe UI"/>
        </w:rPr>
        <w:footnoteReference w:id="21"/>
      </w:r>
      <w:r w:rsidR="00F02BB9" w:rsidRPr="00D5363A">
        <w:rPr>
          <w:rFonts w:cs="Segoe UI"/>
          <w:bCs/>
        </w:rPr>
        <w:t>)</w:t>
      </w:r>
      <w:r>
        <w:rPr>
          <w:rFonts w:cs="Segoe UI"/>
          <w:b/>
        </w:rPr>
        <w:t>,</w:t>
      </w:r>
      <w:r w:rsidRPr="00A41941">
        <w:rPr>
          <w:rFonts w:cs="Segoe UI"/>
          <w:b/>
        </w:rPr>
        <w:t xml:space="preserve"> boli v roku 2024 </w:t>
      </w:r>
      <w:r w:rsidR="00956665">
        <w:rPr>
          <w:rFonts w:cs="Segoe UI"/>
          <w:b/>
        </w:rPr>
        <w:t>znova</w:t>
      </w:r>
      <w:r w:rsidRPr="00A41941">
        <w:rPr>
          <w:rFonts w:cs="Segoe UI"/>
          <w:b/>
        </w:rPr>
        <w:t xml:space="preserve"> problémom prekročené výdavky na lieky a dietetické potraviny.</w:t>
      </w:r>
      <w:r w:rsidRPr="00025E21">
        <w:rPr>
          <w:rFonts w:cs="Segoe UI"/>
        </w:rPr>
        <w:t xml:space="preserve"> Po </w:t>
      </w:r>
      <w:r w:rsidR="005701FF">
        <w:rPr>
          <w:rFonts w:cs="Segoe UI"/>
        </w:rPr>
        <w:t xml:space="preserve">roku </w:t>
      </w:r>
      <w:r w:rsidRPr="00025E21">
        <w:rPr>
          <w:rFonts w:cs="Segoe UI"/>
        </w:rPr>
        <w:t>2023, ke</w:t>
      </w:r>
      <w:r w:rsidR="00F02BB9">
        <w:rPr>
          <w:rFonts w:cs="Segoe UI"/>
        </w:rPr>
        <w:t>dy</w:t>
      </w:r>
      <w:r w:rsidRPr="00025E21">
        <w:rPr>
          <w:rFonts w:cs="Segoe UI"/>
        </w:rPr>
        <w:t xml:space="preserve"> skutočné výdavky prekročili rozpočet</w:t>
      </w:r>
      <w:r>
        <w:rPr>
          <w:rFonts w:cs="Segoe UI"/>
        </w:rPr>
        <w:t xml:space="preserve"> na lieky</w:t>
      </w:r>
      <w:r w:rsidRPr="00025E21">
        <w:rPr>
          <w:rFonts w:cs="Segoe UI"/>
        </w:rPr>
        <w:t xml:space="preserve"> o 179 mil. eur</w:t>
      </w:r>
      <w:r>
        <w:rPr>
          <w:rFonts w:cs="Segoe UI"/>
        </w:rPr>
        <w:t>,</w:t>
      </w:r>
      <w:r w:rsidRPr="00025E21">
        <w:rPr>
          <w:rFonts w:cs="Segoe UI"/>
        </w:rPr>
        <w:t xml:space="preserve"> dosiahli skutočné výdavky v roku 2024 úroveň 1 649,7 mil. eur. V </w:t>
      </w:r>
      <w:r>
        <w:rPr>
          <w:rFonts w:cs="Segoe UI"/>
        </w:rPr>
        <w:t>n</w:t>
      </w:r>
      <w:r w:rsidRPr="00025E21">
        <w:rPr>
          <w:rFonts w:cs="Segoe UI"/>
        </w:rPr>
        <w:t>ávrhu ŠZÚ s</w:t>
      </w:r>
      <w:r>
        <w:rPr>
          <w:rFonts w:cs="Segoe UI"/>
        </w:rPr>
        <w:t>a</w:t>
      </w:r>
      <w:r w:rsidRPr="00025E21">
        <w:rPr>
          <w:rFonts w:cs="Segoe UI"/>
        </w:rPr>
        <w:t xml:space="preserve"> uvádza, že výdavky na lieky boli prekročené o 57 mil. eur, avšak podľa schválenej vyhlášky </w:t>
      </w:r>
      <w:r>
        <w:rPr>
          <w:rFonts w:cs="Segoe UI"/>
        </w:rPr>
        <w:t>MZ SR</w:t>
      </w:r>
      <w:r w:rsidRPr="00025E21">
        <w:rPr>
          <w:rFonts w:cs="Segoe UI"/>
        </w:rPr>
        <w:t xml:space="preserve"> prekročili lieky a dietetické potraviny sumu minimálnych úhrad ZP o 150 mil. eur</w:t>
      </w:r>
      <w:r>
        <w:rPr>
          <w:rFonts w:cs="Segoe UI"/>
        </w:rPr>
        <w:t xml:space="preserve"> (graf </w:t>
      </w:r>
      <w:r w:rsidR="005A7337">
        <w:rPr>
          <w:rFonts w:cs="Segoe UI"/>
        </w:rPr>
        <w:t>28</w:t>
      </w:r>
      <w:r>
        <w:rPr>
          <w:rFonts w:cs="Segoe UI"/>
        </w:rPr>
        <w:t>)</w:t>
      </w:r>
      <w:r w:rsidRPr="00025E21">
        <w:rPr>
          <w:rFonts w:cs="Segoe UI"/>
        </w:rPr>
        <w:t>.</w:t>
      </w:r>
      <w:r>
        <w:rPr>
          <w:rFonts w:cs="Segoe UI"/>
        </w:rPr>
        <w:t xml:space="preserve"> Ide o ďalší rok, kedy nová legislatíva v oblasti liekovej politiky nepriniesla požadovanú stabilizáciu systému, a aj z tohto dôvodu bol v októbri 2024 pozastavený kategorizačný proces nových liekov. Z dôvodu udržateľnosti verejných prostriedkov systému VZP tak nebol do kategorizácie zaradený na jeseň 2024 žiaden nový liek.</w:t>
      </w:r>
    </w:p>
    <w:p w14:paraId="79FF1BEE" w14:textId="15753BDB" w:rsidR="00F02BB9" w:rsidRDefault="00F02BB9" w:rsidP="00F02BB9">
      <w:pPr>
        <w:spacing w:after="0" w:line="240" w:lineRule="auto"/>
        <w:rPr>
          <w:rFonts w:cs="Segoe UI"/>
          <w:b/>
          <w:color w:val="314364" w:themeColor="text2"/>
        </w:rPr>
      </w:pPr>
      <w:r w:rsidRPr="003D11A6">
        <w:rPr>
          <w:rFonts w:cs="Segoe UI"/>
          <w:b/>
          <w:color w:val="314364" w:themeColor="text2"/>
        </w:rPr>
        <w:t xml:space="preserve">Graf </w:t>
      </w:r>
      <w:r w:rsidR="005A7337">
        <w:rPr>
          <w:rFonts w:cs="Segoe UI"/>
          <w:b/>
          <w:color w:val="314364" w:themeColor="text2"/>
        </w:rPr>
        <w:t>28</w:t>
      </w:r>
      <w:r w:rsidRPr="003D11A6">
        <w:rPr>
          <w:rFonts w:cs="Segoe UI"/>
          <w:b/>
          <w:color w:val="314364" w:themeColor="text2"/>
        </w:rPr>
        <w:t>: Vývoj výdavkov na lieky a dietetické potraviny (v mil. eur)</w:t>
      </w:r>
    </w:p>
    <w:tbl>
      <w:tblPr>
        <w:tblStyle w:val="Mriekatabuky"/>
        <w:tblW w:w="0" w:type="auto"/>
        <w:tblCellMar>
          <w:left w:w="70" w:type="dxa"/>
          <w:right w:w="70" w:type="dxa"/>
        </w:tblCellMar>
        <w:tblLook w:val="04A0" w:firstRow="1" w:lastRow="0" w:firstColumn="1" w:lastColumn="0" w:noHBand="0" w:noVBand="1"/>
      </w:tblPr>
      <w:tblGrid>
        <w:gridCol w:w="9070"/>
      </w:tblGrid>
      <w:tr w:rsidR="00F02BB9" w14:paraId="79346D1F" w14:textId="77777777" w:rsidTr="001A0C13">
        <w:trPr>
          <w:trHeight w:val="2835"/>
        </w:trPr>
        <w:tc>
          <w:tcPr>
            <w:tcW w:w="9060" w:type="dxa"/>
            <w:tcBorders>
              <w:top w:val="single" w:sz="4" w:space="0" w:color="314364" w:themeColor="text2"/>
              <w:left w:val="nil"/>
              <w:bottom w:val="single" w:sz="4" w:space="0" w:color="314364" w:themeColor="text2"/>
              <w:right w:val="nil"/>
            </w:tcBorders>
          </w:tcPr>
          <w:p w14:paraId="4ADF7265" w14:textId="0A8C57F3" w:rsidR="00F02BB9" w:rsidRDefault="001A0C13" w:rsidP="00DD2D30">
            <w:pPr>
              <w:spacing w:after="0" w:line="240" w:lineRule="auto"/>
              <w:rPr>
                <w:rFonts w:cs="Segoe UI"/>
                <w:b/>
                <w:color w:val="314364" w:themeColor="text2"/>
              </w:rPr>
            </w:pPr>
            <w:r>
              <w:rPr>
                <w:noProof/>
                <w:lang w:eastAsia="sk-SK"/>
              </w:rPr>
              <w:drawing>
                <wp:inline distT="0" distB="0" distL="0" distR="0" wp14:anchorId="4516BF6C" wp14:editId="77AB6AF2">
                  <wp:extent cx="5760000" cy="1800000"/>
                  <wp:effectExtent l="0" t="0" r="0" b="0"/>
                  <wp:docPr id="14" name="Graf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tc>
      </w:tr>
    </w:tbl>
    <w:p w14:paraId="6B4B35B2" w14:textId="158F6EEC" w:rsidR="00F02BB9" w:rsidRPr="00704677" w:rsidRDefault="00F02BB9" w:rsidP="00F02BB9">
      <w:pPr>
        <w:pStyle w:val="Zdroj"/>
        <w:rPr>
          <w:rFonts w:cs="Segoe UI"/>
          <w:szCs w:val="20"/>
        </w:rPr>
      </w:pPr>
      <w:r w:rsidRPr="00704677">
        <w:t>Zdroj: MF SR, MZ SR, spracovanie NKÚ SR</w:t>
      </w:r>
      <w:r>
        <w:t>.</w:t>
      </w:r>
    </w:p>
    <w:p w14:paraId="28A9EC82" w14:textId="77777777" w:rsidR="004B3278" w:rsidRPr="00025E21" w:rsidRDefault="004B3278" w:rsidP="004B3278">
      <w:pPr>
        <w:rPr>
          <w:rFonts w:cs="Segoe UI"/>
        </w:rPr>
      </w:pPr>
      <w:r>
        <w:rPr>
          <w:rFonts w:cs="Segoe UI"/>
        </w:rPr>
        <w:t>Ďalšia</w:t>
      </w:r>
      <w:r w:rsidRPr="00025E21">
        <w:rPr>
          <w:rFonts w:cs="Segoe UI"/>
        </w:rPr>
        <w:t xml:space="preserve"> potenciál</w:t>
      </w:r>
      <w:r>
        <w:rPr>
          <w:rFonts w:cs="Segoe UI"/>
        </w:rPr>
        <w:t>na</w:t>
      </w:r>
      <w:r w:rsidRPr="00025E21">
        <w:rPr>
          <w:rFonts w:cs="Segoe UI"/>
        </w:rPr>
        <w:t xml:space="preserve"> úspor</w:t>
      </w:r>
      <w:r>
        <w:rPr>
          <w:rFonts w:cs="Segoe UI"/>
        </w:rPr>
        <w:t>a</w:t>
      </w:r>
      <w:r w:rsidRPr="00025E21">
        <w:rPr>
          <w:rFonts w:cs="Segoe UI"/>
        </w:rPr>
        <w:t xml:space="preserve"> bol</w:t>
      </w:r>
      <w:r>
        <w:rPr>
          <w:rFonts w:cs="Segoe UI"/>
        </w:rPr>
        <w:t>a definovaná</w:t>
      </w:r>
      <w:r w:rsidRPr="00025E21">
        <w:rPr>
          <w:rFonts w:cs="Segoe UI"/>
        </w:rPr>
        <w:t xml:space="preserve"> v opatreniach s vplyvom na hospodárenie </w:t>
      </w:r>
      <w:proofErr w:type="spellStart"/>
      <w:r w:rsidRPr="00025E21">
        <w:rPr>
          <w:rFonts w:cs="Segoe UI"/>
        </w:rPr>
        <w:t>V</w:t>
      </w:r>
      <w:r>
        <w:rPr>
          <w:rFonts w:cs="Segoe UI"/>
        </w:rPr>
        <w:t>š</w:t>
      </w:r>
      <w:r w:rsidRPr="00025E21">
        <w:rPr>
          <w:rFonts w:cs="Segoe UI"/>
        </w:rPr>
        <w:t>ZP</w:t>
      </w:r>
      <w:proofErr w:type="spellEnd"/>
      <w:r w:rsidRPr="00025E21">
        <w:rPr>
          <w:rFonts w:cs="Segoe UI"/>
        </w:rPr>
        <w:t xml:space="preserve">. Len samotná optimalizácia platieb v nemocniciach od </w:t>
      </w:r>
      <w:proofErr w:type="spellStart"/>
      <w:r w:rsidRPr="00025E21">
        <w:rPr>
          <w:rFonts w:cs="Segoe UI"/>
        </w:rPr>
        <w:t>V</w:t>
      </w:r>
      <w:r>
        <w:rPr>
          <w:rFonts w:cs="Segoe UI"/>
        </w:rPr>
        <w:t>š</w:t>
      </w:r>
      <w:r w:rsidRPr="00025E21">
        <w:rPr>
          <w:rFonts w:cs="Segoe UI"/>
        </w:rPr>
        <w:t>ZP</w:t>
      </w:r>
      <w:proofErr w:type="spellEnd"/>
      <w:r w:rsidRPr="00025E21">
        <w:rPr>
          <w:rFonts w:cs="Segoe UI"/>
        </w:rPr>
        <w:t xml:space="preserve"> mala priniesť v roku 2024</w:t>
      </w:r>
      <w:r>
        <w:rPr>
          <w:rFonts w:cs="Segoe UI"/>
        </w:rPr>
        <w:t xml:space="preserve"> úsporu</w:t>
      </w:r>
      <w:r w:rsidRPr="00025E21">
        <w:rPr>
          <w:rFonts w:cs="Segoe UI"/>
        </w:rPr>
        <w:t xml:space="preserve"> 123,2 mil. eur. </w:t>
      </w:r>
      <w:r w:rsidRPr="00061093">
        <w:rPr>
          <w:rFonts w:cs="Segoe UI"/>
        </w:rPr>
        <w:t>Skutočné plnenie zvyšných úsporných opatrení</w:t>
      </w:r>
      <w:r w:rsidRPr="00061093">
        <w:rPr>
          <w:rStyle w:val="Odkaznapoznmkupodiarou"/>
          <w:rFonts w:cs="Segoe UI"/>
        </w:rPr>
        <w:footnoteReference w:id="22"/>
      </w:r>
      <w:r w:rsidRPr="00061093">
        <w:rPr>
          <w:rFonts w:cs="Segoe UI"/>
        </w:rPr>
        <w:t xml:space="preserve"> nie je ešte v čase písania tohto stanoviska vyhodnotené a zverejnené.</w:t>
      </w:r>
    </w:p>
    <w:p w14:paraId="57C40F69" w14:textId="429616A3" w:rsidR="00755AF5" w:rsidRPr="00571A14" w:rsidRDefault="00755AF5" w:rsidP="00755AF5">
      <w:pPr>
        <w:rPr>
          <w:rFonts w:cs="Segoe UI"/>
        </w:rPr>
      </w:pPr>
      <w:r w:rsidRPr="00F46337">
        <w:rPr>
          <w:rFonts w:cs="Segoe UI"/>
          <w:b/>
        </w:rPr>
        <w:t>NKÚ SR plánuje naďalej sledovať vývoj plnenia úspor</w:t>
      </w:r>
      <w:r w:rsidR="00D23B69">
        <w:rPr>
          <w:rFonts w:cs="Segoe UI"/>
          <w:b/>
        </w:rPr>
        <w:t>,</w:t>
      </w:r>
      <w:r w:rsidRPr="00F46337">
        <w:rPr>
          <w:rFonts w:cs="Segoe UI"/>
          <w:b/>
        </w:rPr>
        <w:t xml:space="preserve"> ako aj vynaložených finančných prostriedkov na systém VZP.</w:t>
      </w:r>
      <w:r w:rsidRPr="00C6786B">
        <w:rPr>
          <w:rFonts w:cs="Segoe UI"/>
        </w:rPr>
        <w:t xml:space="preserve"> Z dôvodu viacnásobnéh</w:t>
      </w:r>
      <w:r>
        <w:rPr>
          <w:rFonts w:cs="Segoe UI"/>
        </w:rPr>
        <w:t>o prekročenia rozpočtu na lieky,</w:t>
      </w:r>
      <w:r w:rsidRPr="00C6786B">
        <w:rPr>
          <w:rFonts w:cs="Segoe UI"/>
        </w:rPr>
        <w:t xml:space="preserve"> </w:t>
      </w:r>
      <w:r>
        <w:rPr>
          <w:rFonts w:cs="Segoe UI"/>
        </w:rPr>
        <w:t xml:space="preserve">neplnenia </w:t>
      </w:r>
      <w:r w:rsidRPr="00C6786B">
        <w:rPr>
          <w:rFonts w:cs="Segoe UI"/>
        </w:rPr>
        <w:t xml:space="preserve">úsporných opatrení </w:t>
      </w:r>
      <w:r>
        <w:rPr>
          <w:rFonts w:cs="Segoe UI"/>
        </w:rPr>
        <w:t xml:space="preserve">najmä v oblasti liekovej politiky </w:t>
      </w:r>
      <w:r w:rsidRPr="00C6786B">
        <w:rPr>
          <w:rFonts w:cs="Segoe UI"/>
        </w:rPr>
        <w:t>a rizika spočívajúceho v súčasnom systéme kategorizácie liekov začal NKÚ SR kontrolu v oblasti liekovej politiky</w:t>
      </w:r>
      <w:r>
        <w:rPr>
          <w:rFonts w:cs="Segoe UI"/>
        </w:rPr>
        <w:t>.</w:t>
      </w:r>
    </w:p>
    <w:p w14:paraId="35BE5B01" w14:textId="257C0403" w:rsidR="00ED3343" w:rsidRDefault="00ED3343" w:rsidP="00ED3343">
      <w:pPr>
        <w:pStyle w:val="Nadpis3"/>
      </w:pPr>
      <w:bookmarkStart w:id="45" w:name="_Toc198637733"/>
      <w:r>
        <w:t xml:space="preserve">5.1.4 </w:t>
      </w:r>
      <w:r w:rsidR="00AE42B7">
        <w:t xml:space="preserve"> </w:t>
      </w:r>
      <w:r w:rsidR="00BF38A4">
        <w:t>Zadlženosť v rezorte zdravotníctva</w:t>
      </w:r>
      <w:bookmarkEnd w:id="45"/>
    </w:p>
    <w:p w14:paraId="0A2E2F3B" w14:textId="7D41D193" w:rsidR="00D5363A" w:rsidRPr="000E703A" w:rsidRDefault="00BF38A4" w:rsidP="00F02BB9">
      <w:pPr>
        <w:rPr>
          <w:rFonts w:cs="Segoe UI"/>
        </w:rPr>
      </w:pPr>
      <w:r>
        <w:rPr>
          <w:rFonts w:cs="Segoe UI"/>
          <w:b/>
        </w:rPr>
        <w:t>Celkový stav záväzkov v rezorte zdravotníctva je alarmujúci, v roku 2024 presiahol 2 mld. eur.</w:t>
      </w:r>
      <w:r>
        <w:rPr>
          <w:rFonts w:cs="Segoe UI"/>
        </w:rPr>
        <w:t xml:space="preserve"> Napriek opakovanému oddlž</w:t>
      </w:r>
      <w:r w:rsidR="00A464BE">
        <w:rPr>
          <w:rFonts w:cs="Segoe UI"/>
        </w:rPr>
        <w:t>ova</w:t>
      </w:r>
      <w:r>
        <w:rPr>
          <w:rFonts w:cs="Segoe UI"/>
        </w:rPr>
        <w:t xml:space="preserve">niu stav záväzkov na úrovni istiny v rezorte zdravotníctva opätovne rástol aj v roku 2024. Pokles v príspevkových organizáciách v pôsobnosti MZ SR, kde sú zahrnuté aj najväčšie univerzitné nemocnice (UN) a fakultné nemocnice (FN), bol spôsobený preložením FN s poliklinikou J. A. </w:t>
      </w:r>
      <w:proofErr w:type="spellStart"/>
      <w:r>
        <w:rPr>
          <w:rFonts w:cs="Segoe UI"/>
        </w:rPr>
        <w:t>Reimana</w:t>
      </w:r>
      <w:proofErr w:type="spellEnd"/>
      <w:r>
        <w:rPr>
          <w:rFonts w:cs="Segoe UI"/>
        </w:rPr>
        <w:t xml:space="preserve"> </w:t>
      </w:r>
      <w:r w:rsidR="004B3278">
        <w:rPr>
          <w:rFonts w:cs="Segoe UI"/>
        </w:rPr>
        <w:t xml:space="preserve">v </w:t>
      </w:r>
      <w:r>
        <w:rPr>
          <w:rFonts w:cs="Segoe UI"/>
        </w:rPr>
        <w:t>Prešov</w:t>
      </w:r>
      <w:r w:rsidR="004B3278">
        <w:rPr>
          <w:rFonts w:cs="Segoe UI"/>
        </w:rPr>
        <w:t>e</w:t>
      </w:r>
      <w:r>
        <w:rPr>
          <w:rFonts w:cs="Segoe UI"/>
        </w:rPr>
        <w:t xml:space="preserve"> do priamej pôsobnosti M</w:t>
      </w:r>
      <w:r w:rsidR="003C2CFC">
        <w:rPr>
          <w:rFonts w:cs="Segoe UI"/>
        </w:rPr>
        <w:t>O</w:t>
      </w:r>
      <w:r>
        <w:rPr>
          <w:rFonts w:cs="Segoe UI"/>
        </w:rPr>
        <w:t xml:space="preserve"> SR a odpustením dlhu voči S</w:t>
      </w:r>
      <w:r w:rsidR="003C2CFC">
        <w:rPr>
          <w:rFonts w:cs="Segoe UI"/>
        </w:rPr>
        <w:t>P</w:t>
      </w:r>
      <w:r>
        <w:rPr>
          <w:rFonts w:cs="Segoe UI"/>
        </w:rPr>
        <w:t>. Ostatné skupiny záväzkov v rezorte zdravotníctva medziročne rástli. Najviac medziročne vzrástla (o 93 %) práve skupina zdravotníckych zariadení (ZZ) v pôsobnosti M</w:t>
      </w:r>
      <w:r w:rsidR="003C2CFC">
        <w:rPr>
          <w:rFonts w:cs="Segoe UI"/>
        </w:rPr>
        <w:t>V</w:t>
      </w:r>
      <w:r>
        <w:rPr>
          <w:rFonts w:cs="Segoe UI"/>
        </w:rPr>
        <w:t xml:space="preserve"> SR a M</w:t>
      </w:r>
      <w:r w:rsidR="003C2CFC">
        <w:rPr>
          <w:rFonts w:cs="Segoe UI"/>
        </w:rPr>
        <w:t>O</w:t>
      </w:r>
      <w:r>
        <w:rPr>
          <w:rFonts w:cs="Segoe UI"/>
        </w:rPr>
        <w:t xml:space="preserve"> SR, kde sa presunula FN v Prešove (graf </w:t>
      </w:r>
      <w:r w:rsidR="005A7337">
        <w:rPr>
          <w:rFonts w:cs="Segoe UI"/>
        </w:rPr>
        <w:t>29</w:t>
      </w:r>
      <w:r>
        <w:rPr>
          <w:rFonts w:cs="Segoe UI"/>
        </w:rPr>
        <w:t>). V roku 2024 celkov</w:t>
      </w:r>
      <w:r w:rsidR="00745EFF">
        <w:rPr>
          <w:rFonts w:cs="Segoe UI"/>
        </w:rPr>
        <w:t>é</w:t>
      </w:r>
      <w:r>
        <w:rPr>
          <w:rFonts w:cs="Segoe UI"/>
        </w:rPr>
        <w:t xml:space="preserve"> záväzk</w:t>
      </w:r>
      <w:r w:rsidR="00745EFF">
        <w:rPr>
          <w:rFonts w:cs="Segoe UI"/>
        </w:rPr>
        <w:t>y</w:t>
      </w:r>
      <w:r>
        <w:rPr>
          <w:rFonts w:cs="Segoe UI"/>
        </w:rPr>
        <w:t xml:space="preserve"> </w:t>
      </w:r>
      <w:r w:rsidR="00745EFF">
        <w:rPr>
          <w:rFonts w:cs="Segoe UI"/>
        </w:rPr>
        <w:t xml:space="preserve">vzrástli, a to </w:t>
      </w:r>
      <w:r>
        <w:rPr>
          <w:rFonts w:cs="Segoe UI"/>
        </w:rPr>
        <w:t xml:space="preserve">napriek realizovanému výdavku zo ŠFA na transfer pre MZ </w:t>
      </w:r>
      <w:r>
        <w:rPr>
          <w:rFonts w:cs="Segoe UI"/>
        </w:rPr>
        <w:lastRenderedPageBreak/>
        <w:t>SR vo výške 166,8 mil. eur na stabilizáciu ZZ. Týmto procesom bola znížená časť záväzkov UN a FN voči S</w:t>
      </w:r>
      <w:r w:rsidR="003C2CFC">
        <w:rPr>
          <w:rFonts w:cs="Segoe UI"/>
        </w:rPr>
        <w:t>P</w:t>
      </w:r>
      <w:r>
        <w:rPr>
          <w:rFonts w:cs="Segoe UI"/>
        </w:rPr>
        <w:t>. Okrem týchto prostriedkov bolo v roku 2024 odpustených 93 mil. eur postúpením pohľadávok SP na penále voči ZZ.</w:t>
      </w:r>
    </w:p>
    <w:p w14:paraId="52B5BD69" w14:textId="15BF9BF7" w:rsidR="00BF38A4" w:rsidRDefault="00BF38A4" w:rsidP="003D11A6">
      <w:pPr>
        <w:spacing w:after="0" w:line="240" w:lineRule="auto"/>
        <w:rPr>
          <w:rFonts w:cs="Segoe UI"/>
          <w:b/>
          <w:color w:val="314364" w:themeColor="text2"/>
        </w:rPr>
      </w:pPr>
      <w:r w:rsidRPr="003D11A6">
        <w:rPr>
          <w:rFonts w:cs="Segoe UI"/>
          <w:b/>
          <w:color w:val="314364" w:themeColor="text2"/>
        </w:rPr>
        <w:t xml:space="preserve">Graf </w:t>
      </w:r>
      <w:r w:rsidR="005A7337">
        <w:rPr>
          <w:rFonts w:cs="Segoe UI"/>
          <w:b/>
          <w:color w:val="314364" w:themeColor="text2"/>
        </w:rPr>
        <w:t>29</w:t>
      </w:r>
      <w:r w:rsidRPr="003D11A6">
        <w:rPr>
          <w:rFonts w:cs="Segoe UI"/>
          <w:b/>
          <w:color w:val="314364" w:themeColor="text2"/>
        </w:rPr>
        <w:t xml:space="preserve">: Vývoj záväzkov </w:t>
      </w:r>
      <w:r w:rsidR="00AB019A">
        <w:rPr>
          <w:rFonts w:cs="Segoe UI"/>
          <w:b/>
          <w:color w:val="314364" w:themeColor="text2"/>
        </w:rPr>
        <w:t xml:space="preserve">ku koncu roka </w:t>
      </w:r>
      <w:r w:rsidRPr="003D11A6">
        <w:rPr>
          <w:rFonts w:cs="Segoe UI"/>
          <w:b/>
          <w:color w:val="314364" w:themeColor="text2"/>
        </w:rPr>
        <w:t>na úrovni istiny v rezorte zdravotníctva (v mil. eur)</w:t>
      </w:r>
    </w:p>
    <w:tbl>
      <w:tblPr>
        <w:tblStyle w:val="Mriekatabuky"/>
        <w:tblW w:w="0" w:type="auto"/>
        <w:tblCellMar>
          <w:left w:w="70" w:type="dxa"/>
          <w:right w:w="70" w:type="dxa"/>
        </w:tblCellMar>
        <w:tblLook w:val="04A0" w:firstRow="1" w:lastRow="0" w:firstColumn="1" w:lastColumn="0" w:noHBand="0" w:noVBand="1"/>
      </w:tblPr>
      <w:tblGrid>
        <w:gridCol w:w="9070"/>
      </w:tblGrid>
      <w:tr w:rsidR="00473AD0" w14:paraId="428D5C52" w14:textId="77777777" w:rsidTr="00AB019A">
        <w:trPr>
          <w:trHeight w:val="3402"/>
        </w:trPr>
        <w:tc>
          <w:tcPr>
            <w:tcW w:w="9060" w:type="dxa"/>
            <w:tcBorders>
              <w:top w:val="single" w:sz="4" w:space="0" w:color="314364" w:themeColor="text2"/>
              <w:left w:val="nil"/>
              <w:bottom w:val="single" w:sz="4" w:space="0" w:color="314364" w:themeColor="text2"/>
              <w:right w:val="nil"/>
            </w:tcBorders>
            <w:vAlign w:val="center"/>
          </w:tcPr>
          <w:p w14:paraId="0187672A" w14:textId="5A0456AE" w:rsidR="00473AD0" w:rsidRDefault="00AB019A" w:rsidP="00027FE3">
            <w:pPr>
              <w:spacing w:after="0" w:line="240" w:lineRule="auto"/>
              <w:jc w:val="center"/>
              <w:rPr>
                <w:rFonts w:cs="Segoe UI"/>
                <w:b/>
                <w:color w:val="314364" w:themeColor="text2"/>
              </w:rPr>
            </w:pPr>
            <w:r>
              <w:rPr>
                <w:noProof/>
                <w:lang w:eastAsia="sk-SK"/>
              </w:rPr>
              <w:drawing>
                <wp:inline distT="0" distB="0" distL="0" distR="0" wp14:anchorId="737E390F" wp14:editId="0632CD03">
                  <wp:extent cx="5760000" cy="2160000"/>
                  <wp:effectExtent l="0" t="0" r="0" b="0"/>
                  <wp:docPr id="28" name="Graf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tc>
      </w:tr>
    </w:tbl>
    <w:p w14:paraId="5238035E" w14:textId="7914312D" w:rsidR="00BF38A4" w:rsidRPr="00BF38A4" w:rsidRDefault="00BF38A4">
      <w:pPr>
        <w:pStyle w:val="Zdroj"/>
      </w:pPr>
      <w:r w:rsidRPr="00BF38A4">
        <w:t>Zdroj: MZ SR</w:t>
      </w:r>
      <w:r w:rsidR="00601FB5">
        <w:t>;</w:t>
      </w:r>
      <w:r w:rsidRPr="00BF38A4">
        <w:t xml:space="preserve"> spracovanie NKÚ SR.</w:t>
      </w:r>
    </w:p>
    <w:p w14:paraId="49E5FD9F" w14:textId="58A11E54" w:rsidR="00BF38A4" w:rsidRDefault="00BF38A4" w:rsidP="00BF38A4">
      <w:pPr>
        <w:rPr>
          <w:rFonts w:cs="Segoe UI"/>
        </w:rPr>
      </w:pPr>
      <w:r w:rsidRPr="0074547E">
        <w:rPr>
          <w:rFonts w:cs="Segoe UI"/>
          <w:b/>
        </w:rPr>
        <w:t xml:space="preserve">Záväzky </w:t>
      </w:r>
      <w:r>
        <w:rPr>
          <w:rFonts w:cs="Segoe UI"/>
          <w:b/>
        </w:rPr>
        <w:t xml:space="preserve">13 </w:t>
      </w:r>
      <w:r w:rsidRPr="0074547E">
        <w:rPr>
          <w:rFonts w:cs="Segoe UI"/>
          <w:b/>
        </w:rPr>
        <w:t>najväčší</w:t>
      </w:r>
      <w:r>
        <w:rPr>
          <w:rFonts w:cs="Segoe UI"/>
          <w:b/>
        </w:rPr>
        <w:t>ch ZZ</w:t>
      </w:r>
      <w:r w:rsidRPr="0074547E">
        <w:rPr>
          <w:rFonts w:cs="Segoe UI"/>
          <w:b/>
        </w:rPr>
        <w:t xml:space="preserve"> dosiahli v roku 2024 historicky najvyššiu úroveň, a to napriek niekoľkonásobným oddlženiam v posledných rokoch.</w:t>
      </w:r>
      <w:r w:rsidRPr="00BC1672">
        <w:rPr>
          <w:rFonts w:cs="Segoe UI"/>
        </w:rPr>
        <w:t xml:space="preserve"> Celkovo dosiahli záväzky na úrovni istiny </w:t>
      </w:r>
      <w:r>
        <w:rPr>
          <w:rFonts w:cs="Segoe UI"/>
        </w:rPr>
        <w:t xml:space="preserve">bez transferov </w:t>
      </w:r>
      <w:r w:rsidRPr="00BC1672">
        <w:rPr>
          <w:rFonts w:cs="Segoe UI"/>
        </w:rPr>
        <w:t>hodnotu približne 1,1 mld. eur</w:t>
      </w:r>
      <w:r w:rsidRPr="00C74CE7">
        <w:rPr>
          <w:rFonts w:cs="Segoe UI"/>
        </w:rPr>
        <w:t>.</w:t>
      </w:r>
      <w:r w:rsidRPr="00BC1672">
        <w:rPr>
          <w:rFonts w:cs="Segoe UI"/>
        </w:rPr>
        <w:t xml:space="preserve"> </w:t>
      </w:r>
      <w:r>
        <w:rPr>
          <w:rFonts w:cs="Segoe UI"/>
        </w:rPr>
        <w:t>Záväzky po lehote splatnosti tvoria 64,3</w:t>
      </w:r>
      <w:r w:rsidRPr="00BC1672">
        <w:rPr>
          <w:rFonts w:cs="Segoe UI"/>
        </w:rPr>
        <w:t> </w:t>
      </w:r>
      <w:r>
        <w:rPr>
          <w:rFonts w:cs="Segoe UI"/>
        </w:rPr>
        <w:t xml:space="preserve">% na celkových záväzkoch 13 najväčších </w:t>
      </w:r>
      <w:r w:rsidR="00745EFF">
        <w:rPr>
          <w:rFonts w:cs="Segoe UI"/>
        </w:rPr>
        <w:t>UN a FN</w:t>
      </w:r>
      <w:r>
        <w:rPr>
          <w:rFonts w:cs="Segoe UI"/>
        </w:rPr>
        <w:t xml:space="preserve">. Dlh nemocníc by bol ešte výraznejší, avšak prudký nárast spomalilo v roku 2024 </w:t>
      </w:r>
      <w:r w:rsidR="00745EFF">
        <w:rPr>
          <w:rFonts w:cs="Segoe UI"/>
        </w:rPr>
        <w:t xml:space="preserve">ich </w:t>
      </w:r>
      <w:r>
        <w:rPr>
          <w:rFonts w:cs="Segoe UI"/>
        </w:rPr>
        <w:t>dofinancovanie vo výške 191 mil. eur, ktoré malo stabilizovať systém a minimalizovať vznik nových dlhov. ÚDZS SR vo svojej analýze odhado</w:t>
      </w:r>
      <w:r w:rsidR="00745EFF">
        <w:rPr>
          <w:rFonts w:cs="Segoe UI"/>
        </w:rPr>
        <w:t>l</w:t>
      </w:r>
      <w:r>
        <w:rPr>
          <w:rFonts w:cs="Segoe UI"/>
        </w:rPr>
        <w:t xml:space="preserve"> nárast dlhu v roku 2024 bez dofinancovania vo výške 357 mil. eur.</w:t>
      </w:r>
      <w:r>
        <w:rPr>
          <w:rStyle w:val="Odkaznapoznmkupodiarou"/>
          <w:rFonts w:cs="Segoe UI"/>
        </w:rPr>
        <w:footnoteReference w:id="23"/>
      </w:r>
      <w:r>
        <w:rPr>
          <w:rFonts w:cs="Segoe UI"/>
        </w:rPr>
        <w:t xml:space="preserve"> Zároveň odpustenie dlhu voči S</w:t>
      </w:r>
      <w:r w:rsidR="00745EFF">
        <w:rPr>
          <w:rFonts w:cs="Segoe UI"/>
        </w:rPr>
        <w:t>P</w:t>
      </w:r>
      <w:r>
        <w:rPr>
          <w:rFonts w:cs="Segoe UI"/>
        </w:rPr>
        <w:t xml:space="preserve"> predstavovalo v roku 2024 pre 13 najväčších ZZ v SR sumu 74,5 mil. eur z celkovej alokácie pre všetky ZZ vo výške 166,8 mil. eur.</w:t>
      </w:r>
      <w:r>
        <w:rPr>
          <w:rStyle w:val="Odkaznapoznmkupodiarou"/>
          <w:rFonts w:cs="Segoe UI"/>
        </w:rPr>
        <w:footnoteReference w:id="24"/>
      </w:r>
    </w:p>
    <w:p w14:paraId="46CAC87D" w14:textId="77777777" w:rsidR="005A7337" w:rsidRDefault="005A7337" w:rsidP="005A7337">
      <w:pPr>
        <w:rPr>
          <w:rFonts w:cs="Segoe UI"/>
          <w:b/>
        </w:rPr>
      </w:pPr>
      <w:r w:rsidRPr="009221A5">
        <w:rPr>
          <w:rFonts w:cs="Segoe UI"/>
          <w:b/>
        </w:rPr>
        <w:t>Najviac záväzkov majú</w:t>
      </w:r>
      <w:r>
        <w:rPr>
          <w:rFonts w:cs="Segoe UI"/>
          <w:b/>
        </w:rPr>
        <w:t xml:space="preserve"> najväčšie UN a FN</w:t>
      </w:r>
      <w:r w:rsidRPr="009221A5">
        <w:rPr>
          <w:rFonts w:cs="Segoe UI"/>
          <w:b/>
        </w:rPr>
        <w:t xml:space="preserve"> voči S</w:t>
      </w:r>
      <w:r>
        <w:rPr>
          <w:rFonts w:cs="Segoe UI"/>
          <w:b/>
        </w:rPr>
        <w:t>P</w:t>
      </w:r>
      <w:r w:rsidRPr="009221A5">
        <w:rPr>
          <w:rFonts w:cs="Segoe UI"/>
          <w:b/>
        </w:rPr>
        <w:t xml:space="preserve"> za neplatenie odv</w:t>
      </w:r>
      <w:r>
        <w:rPr>
          <w:rFonts w:cs="Segoe UI"/>
          <w:b/>
        </w:rPr>
        <w:t>odov za svojich zamestnancov, a to aj napriek odpusteniu dlhu od SP voči ZZ.</w:t>
      </w:r>
      <w:r>
        <w:rPr>
          <w:rFonts w:cs="Segoe UI"/>
        </w:rPr>
        <w:t xml:space="preserve"> Hodnota dlhu nemocníc v SP dosiahla v roku 2024 úroveň 436,5 mil. eur</w:t>
      </w:r>
      <w:r w:rsidRPr="00C74CE7">
        <w:rPr>
          <w:rFonts w:cs="Segoe UI"/>
        </w:rPr>
        <w:t>.</w:t>
      </w:r>
      <w:r>
        <w:rPr>
          <w:rFonts w:cs="Segoe UI"/>
        </w:rPr>
        <w:t xml:space="preserve"> ZZ dlžia najviac svojim dodávateľom za zdravotnícky materiál, lieky, energie a služby (326,5 mil. eur). Taktiež ZZ dlhujú 18,9 mil. eur voči Národnej transfúznej službe SR za krv a krvné produkty.</w:t>
      </w:r>
    </w:p>
    <w:p w14:paraId="33209462" w14:textId="75F839B3" w:rsidR="00BF38A4" w:rsidRDefault="00BF38A4" w:rsidP="00BF38A4">
      <w:pPr>
        <w:rPr>
          <w:rFonts w:cs="Segoe UI"/>
        </w:rPr>
      </w:pPr>
      <w:r w:rsidRPr="00F23E61">
        <w:rPr>
          <w:rFonts w:cs="Segoe UI"/>
          <w:b/>
        </w:rPr>
        <w:t>Zo ZZ sú najviac zadlžené UN, ktoré zároveň majú aj veľmi vysoký podiel záväzkov po lehote splatnosti na celkových záväzko</w:t>
      </w:r>
      <w:r w:rsidR="005A7337">
        <w:rPr>
          <w:rFonts w:cs="Segoe UI"/>
          <w:b/>
        </w:rPr>
        <w:t xml:space="preserve">ch </w:t>
      </w:r>
      <w:r w:rsidR="005A7337">
        <w:rPr>
          <w:rFonts w:cs="Segoe UI"/>
        </w:rPr>
        <w:t>(</w:t>
      </w:r>
      <w:r w:rsidR="005701FF">
        <w:rPr>
          <w:rFonts w:cs="Segoe UI"/>
        </w:rPr>
        <w:t xml:space="preserve">graf </w:t>
      </w:r>
      <w:r w:rsidR="005A7337">
        <w:rPr>
          <w:rFonts w:cs="Segoe UI"/>
        </w:rPr>
        <w:t>30)</w:t>
      </w:r>
      <w:r w:rsidRPr="00C74CE7">
        <w:rPr>
          <w:rStyle w:val="Odkaznapoznmkupodiarou"/>
          <w:rFonts w:cs="Segoe UI"/>
        </w:rPr>
        <w:footnoteReference w:id="25"/>
      </w:r>
      <w:r w:rsidRPr="00C74CE7">
        <w:rPr>
          <w:rFonts w:cs="Segoe UI"/>
          <w:b/>
        </w:rPr>
        <w:t>.</w:t>
      </w:r>
      <w:r w:rsidRPr="00A66E7D">
        <w:rPr>
          <w:rFonts w:cs="Segoe UI"/>
          <w:b/>
        </w:rPr>
        <w:t xml:space="preserve"> </w:t>
      </w:r>
      <w:r>
        <w:rPr>
          <w:rFonts w:cs="Segoe UI"/>
        </w:rPr>
        <w:t>Dlh samotnej U</w:t>
      </w:r>
      <w:r w:rsidR="00A66E7D">
        <w:rPr>
          <w:rFonts w:cs="Segoe UI"/>
        </w:rPr>
        <w:t>N</w:t>
      </w:r>
      <w:r>
        <w:rPr>
          <w:rFonts w:cs="Segoe UI"/>
        </w:rPr>
        <w:t> Bratislav</w:t>
      </w:r>
      <w:r w:rsidR="00A66E7D">
        <w:rPr>
          <w:rFonts w:cs="Segoe UI"/>
        </w:rPr>
        <w:t>a</w:t>
      </w:r>
      <w:r>
        <w:rPr>
          <w:rFonts w:cs="Segoe UI"/>
        </w:rPr>
        <w:t xml:space="preserve"> dosahuje takmer 300 mil. eur na úrovni istiny. Najmenej zadlženými sú detské fakultné nemocnice v Košiciach a v Banskej Bystrici.</w:t>
      </w:r>
    </w:p>
    <w:p w14:paraId="4586C3D4" w14:textId="77777777" w:rsidR="00273FE3" w:rsidRDefault="00273FE3" w:rsidP="00273FE3">
      <w:r>
        <w:rPr>
          <w:rFonts w:cs="Segoe UI"/>
          <w:b/>
        </w:rPr>
        <w:t>Z</w:t>
      </w:r>
      <w:r w:rsidRPr="00C9064A">
        <w:rPr>
          <w:rFonts w:cs="Segoe UI"/>
          <w:b/>
        </w:rPr>
        <w:t>adlžovanie v rezorte zdravotníctva si všimla EK, ktorá podala a nakoniec aj v roku 2024 vyhrala žalobu na Súdnom dvore EÚ.</w:t>
      </w:r>
      <w:r>
        <w:rPr>
          <w:rStyle w:val="Odkaznapoznmkupodiarou"/>
          <w:rFonts w:cs="Segoe UI"/>
        </w:rPr>
        <w:footnoteReference w:id="26"/>
      </w:r>
      <w:r>
        <w:rPr>
          <w:rFonts w:cs="Segoe UI"/>
        </w:rPr>
        <w:t xml:space="preserve"> Aj napriek tomu si SR naďalej neplní povinnosť v uhrádzaní záväzkov načas a záväzky ZZ narastajú na úkor uhrádzania faktúr a platenia odvodov do SP. NKÚ SR vidí riziko vo včasnom plnení záväzkov zo strany ZZ, keďže nevidí žiaden pokrok v strategickom plánovaní včasných platieb a definitívneho oddlženia ZZ.</w:t>
      </w:r>
      <w:r>
        <w:t xml:space="preserve"> Z dôvodu pokračujúceho zadlžovania a nedosiahnutia </w:t>
      </w:r>
      <w:r>
        <w:lastRenderedPageBreak/>
        <w:t>stabilizácie finančnej situácie v rezorte zdravotníctva vykonal NKÚ SR v roku 2024 dve kontroly (box 7). NKÚ SR sa aj v kontexte neprestávajúceho zadlžovania a nerovnomerného financovania ZZ naďalej plánuje venovať hospodárnemu, efektívnemu a účelnému vynakladaniu zdrojov v systéme VZP.</w:t>
      </w:r>
    </w:p>
    <w:p w14:paraId="03E93910" w14:textId="78886A90" w:rsidR="00BF38A4" w:rsidRDefault="00BF38A4" w:rsidP="003D11A6">
      <w:pPr>
        <w:spacing w:after="0" w:line="240" w:lineRule="auto"/>
        <w:rPr>
          <w:rFonts w:cs="Segoe UI"/>
          <w:b/>
          <w:color w:val="314364" w:themeColor="text2"/>
        </w:rPr>
      </w:pPr>
      <w:r w:rsidRPr="003D11A6">
        <w:rPr>
          <w:rFonts w:cs="Segoe UI"/>
          <w:b/>
          <w:color w:val="314364" w:themeColor="text2"/>
        </w:rPr>
        <w:t xml:space="preserve">Graf </w:t>
      </w:r>
      <w:r w:rsidR="00F02BB9">
        <w:rPr>
          <w:rFonts w:cs="Segoe UI"/>
          <w:b/>
          <w:color w:val="314364" w:themeColor="text2"/>
        </w:rPr>
        <w:t>3</w:t>
      </w:r>
      <w:r w:rsidR="005A7337">
        <w:rPr>
          <w:rFonts w:cs="Segoe UI"/>
          <w:b/>
          <w:color w:val="314364" w:themeColor="text2"/>
        </w:rPr>
        <w:t>0</w:t>
      </w:r>
      <w:r w:rsidRPr="003D11A6">
        <w:rPr>
          <w:rFonts w:cs="Segoe UI"/>
          <w:b/>
          <w:color w:val="314364" w:themeColor="text2"/>
        </w:rPr>
        <w:t>: Záväzky UN a FN v lehote a po lehote splatnosti v roku 2024 (v mil. eur)</w:t>
      </w:r>
    </w:p>
    <w:tbl>
      <w:tblPr>
        <w:tblStyle w:val="Mriekatabuky"/>
        <w:tblW w:w="5000" w:type="pct"/>
        <w:tblLook w:val="04A0" w:firstRow="1" w:lastRow="0" w:firstColumn="1" w:lastColumn="0" w:noHBand="0" w:noVBand="1"/>
      </w:tblPr>
      <w:tblGrid>
        <w:gridCol w:w="9070"/>
      </w:tblGrid>
      <w:tr w:rsidR="008E7042" w14:paraId="71CCF4A0" w14:textId="77777777" w:rsidTr="00FE75BD">
        <w:trPr>
          <w:trHeight w:val="3402"/>
        </w:trPr>
        <w:tc>
          <w:tcPr>
            <w:tcW w:w="5000" w:type="pct"/>
            <w:tcBorders>
              <w:top w:val="single" w:sz="4" w:space="0" w:color="314364" w:themeColor="text2"/>
              <w:left w:val="nil"/>
              <w:bottom w:val="single" w:sz="4" w:space="0" w:color="314364" w:themeColor="text2"/>
              <w:right w:val="nil"/>
            </w:tcBorders>
          </w:tcPr>
          <w:p w14:paraId="020AC24F" w14:textId="225DEBC8" w:rsidR="008E7042" w:rsidRDefault="008E7042" w:rsidP="008E7042">
            <w:pPr>
              <w:spacing w:after="0" w:line="240" w:lineRule="auto"/>
              <w:rPr>
                <w:rFonts w:cs="Segoe UI"/>
                <w:b/>
                <w:color w:val="314364" w:themeColor="text2"/>
              </w:rPr>
            </w:pPr>
            <w:r>
              <w:rPr>
                <w:noProof/>
                <w:lang w:eastAsia="sk-SK"/>
              </w:rPr>
              <w:drawing>
                <wp:inline distT="0" distB="0" distL="0" distR="0" wp14:anchorId="082B0B96" wp14:editId="65EFB2BF">
                  <wp:extent cx="5686425" cy="2160000"/>
                  <wp:effectExtent l="0" t="0" r="0" b="0"/>
                  <wp:docPr id="141712262" name="Graf 1417122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r>
    </w:tbl>
    <w:p w14:paraId="77AD4555" w14:textId="636AD4FC" w:rsidR="00BF38A4" w:rsidRDefault="00BF38A4">
      <w:pPr>
        <w:pStyle w:val="Zdroj"/>
      </w:pPr>
      <w:r w:rsidRPr="00BF38A4">
        <w:t>Zdroj: MZ SR, MO SR</w:t>
      </w:r>
      <w:r w:rsidR="00C10075">
        <w:t>;</w:t>
      </w:r>
      <w:r w:rsidRPr="00BF38A4">
        <w:t xml:space="preserve"> spracovanie NKÚ SR.</w:t>
      </w:r>
    </w:p>
    <w:tbl>
      <w:tblPr>
        <w:tblStyle w:val="Mriekatabuky"/>
        <w:tblW w:w="0" w:type="auto"/>
        <w:tblBorders>
          <w:top w:val="single" w:sz="4" w:space="0" w:color="314364" w:themeColor="text2"/>
          <w:left w:val="single" w:sz="4" w:space="0" w:color="314364" w:themeColor="text2"/>
          <w:bottom w:val="single" w:sz="4" w:space="0" w:color="314364" w:themeColor="text2"/>
          <w:right w:val="single" w:sz="4" w:space="0" w:color="314364" w:themeColor="text2"/>
          <w:insideH w:val="none" w:sz="0" w:space="0" w:color="auto"/>
          <w:insideV w:val="none" w:sz="0" w:space="0" w:color="auto"/>
        </w:tblBorders>
        <w:shd w:val="clear" w:color="auto" w:fill="EBF0FB" w:themeFill="background2" w:themeFillTint="33"/>
        <w:tblLook w:val="04A0" w:firstRow="1" w:lastRow="0" w:firstColumn="1" w:lastColumn="0" w:noHBand="0" w:noVBand="1"/>
      </w:tblPr>
      <w:tblGrid>
        <w:gridCol w:w="9060"/>
      </w:tblGrid>
      <w:tr w:rsidR="008E716D" w:rsidRPr="00AC3675" w14:paraId="18590C63" w14:textId="77777777" w:rsidTr="00440B69">
        <w:trPr>
          <w:trHeight w:val="767"/>
        </w:trPr>
        <w:tc>
          <w:tcPr>
            <w:tcW w:w="9060" w:type="dxa"/>
            <w:shd w:val="clear" w:color="auto" w:fill="EBF0FB" w:themeFill="background2" w:themeFillTint="33"/>
          </w:tcPr>
          <w:p w14:paraId="76B67C50" w14:textId="608D9A15" w:rsidR="008E716D" w:rsidRDefault="008E716D" w:rsidP="00583D06">
            <w:pPr>
              <w:spacing w:before="120" w:line="240" w:lineRule="auto"/>
              <w:rPr>
                <w:b/>
                <w:szCs w:val="18"/>
              </w:rPr>
            </w:pPr>
            <w:r w:rsidRPr="00767017">
              <w:rPr>
                <w:b/>
                <w:szCs w:val="18"/>
              </w:rPr>
              <w:t>BOX</w:t>
            </w:r>
            <w:r>
              <w:rPr>
                <w:b/>
                <w:szCs w:val="18"/>
              </w:rPr>
              <w:t xml:space="preserve"> </w:t>
            </w:r>
            <w:r w:rsidR="0056729C">
              <w:rPr>
                <w:b/>
                <w:szCs w:val="18"/>
              </w:rPr>
              <w:t>7</w:t>
            </w:r>
            <w:r w:rsidRPr="00767017">
              <w:rPr>
                <w:b/>
                <w:szCs w:val="18"/>
              </w:rPr>
              <w:t xml:space="preserve">: </w:t>
            </w:r>
            <w:r w:rsidR="00865377">
              <w:rPr>
                <w:b/>
                <w:szCs w:val="18"/>
              </w:rPr>
              <w:t>Z</w:t>
            </w:r>
            <w:r>
              <w:rPr>
                <w:b/>
                <w:szCs w:val="18"/>
              </w:rPr>
              <w:t>áväzk</w:t>
            </w:r>
            <w:r w:rsidR="00865377">
              <w:rPr>
                <w:b/>
                <w:szCs w:val="18"/>
              </w:rPr>
              <w:t>y</w:t>
            </w:r>
            <w:r>
              <w:rPr>
                <w:b/>
                <w:szCs w:val="18"/>
              </w:rPr>
              <w:t xml:space="preserve"> zdravotníckych zariadení a úhradov</w:t>
            </w:r>
            <w:r w:rsidR="00865377">
              <w:rPr>
                <w:b/>
                <w:szCs w:val="18"/>
              </w:rPr>
              <w:t>é</w:t>
            </w:r>
            <w:r>
              <w:rPr>
                <w:b/>
                <w:szCs w:val="18"/>
              </w:rPr>
              <w:t xml:space="preserve"> mechanizm</w:t>
            </w:r>
            <w:r w:rsidR="00865377">
              <w:rPr>
                <w:b/>
                <w:szCs w:val="18"/>
              </w:rPr>
              <w:t>y</w:t>
            </w:r>
            <w:r w:rsidR="00865377" w:rsidRPr="00992D12">
              <w:rPr>
                <w:rFonts w:cs="Segoe UI"/>
                <w:b/>
              </w:rPr>
              <w:t xml:space="preserve"> vo vybranej zdravotnej starostlivosti poskytovanej na základe </w:t>
            </w:r>
            <w:r w:rsidR="00865377">
              <w:rPr>
                <w:rFonts w:cs="Segoe UI"/>
                <w:b/>
              </w:rPr>
              <w:t>VZP</w:t>
            </w:r>
          </w:p>
          <w:p w14:paraId="3474B578" w14:textId="344E3D04" w:rsidR="00BF38A4" w:rsidRPr="00BF38A4" w:rsidRDefault="00BF38A4" w:rsidP="00BF38A4">
            <w:pPr>
              <w:rPr>
                <w:rFonts w:cs="Segoe UI"/>
                <w:sz w:val="18"/>
                <w:szCs w:val="18"/>
              </w:rPr>
            </w:pPr>
            <w:r w:rsidRPr="00BF38A4">
              <w:rPr>
                <w:rFonts w:cs="Segoe UI"/>
                <w:sz w:val="18"/>
                <w:szCs w:val="18"/>
              </w:rPr>
              <w:t xml:space="preserve">Podľa zistení </w:t>
            </w:r>
            <w:r w:rsidRPr="009D7CA7">
              <w:rPr>
                <w:rFonts w:cs="Segoe UI"/>
                <w:b/>
                <w:sz w:val="18"/>
                <w:szCs w:val="18"/>
              </w:rPr>
              <w:t>kontroly záväzkov ZZ</w:t>
            </w:r>
            <w:r w:rsidR="00865377">
              <w:rPr>
                <w:rStyle w:val="Odkaznapoznmkupodiarou"/>
                <w:rFonts w:cs="Segoe UI"/>
                <w:sz w:val="18"/>
                <w:szCs w:val="18"/>
              </w:rPr>
              <w:footnoteReference w:id="27"/>
            </w:r>
            <w:r w:rsidRPr="00BF38A4">
              <w:rPr>
                <w:rFonts w:cs="Segoe UI"/>
                <w:sz w:val="18"/>
                <w:szCs w:val="18"/>
              </w:rPr>
              <w:t xml:space="preserve"> sa MZ SR za 20 rokov nepodarilo prijať také systémové opatrenia, ktoré by zvrátili a zastavili trend zadlžovania ZZ. MZ SR sa dlhodobo stavia prevažne do pozície monitorovacieho orgánu stavu záväzkov ZZ a distribútora požiadavky na ich oddlženie vláde SR. Celkovo v rámci piatich kôl oddlžení bolo pridelených MZ SR dokopy 2,2 mld. eur, nie všetky však ešte boli vyčerpané. V rámci kontroly záväzkov ZZ bol zistený stav záväzkov ZZ v pôsobnosti MZ SR po lehote splatnosti na úrovni istiny ku koncu roka 2023 vo výške 735,57 mil. eur, ktoré bude potrebné dodatočne uhradiť. Najväčším veriteľom bola podľa zistení kontroly S</w:t>
            </w:r>
            <w:r w:rsidR="00073A5A">
              <w:rPr>
                <w:rFonts w:cs="Segoe UI"/>
                <w:sz w:val="18"/>
                <w:szCs w:val="18"/>
              </w:rPr>
              <w:t>P</w:t>
            </w:r>
            <w:r w:rsidRPr="00BF38A4">
              <w:rPr>
                <w:rFonts w:cs="Segoe UI"/>
                <w:sz w:val="18"/>
                <w:szCs w:val="18"/>
              </w:rPr>
              <w:t xml:space="preserve"> a z dodávateľov to bola spoločnosť BFF </w:t>
            </w:r>
            <w:proofErr w:type="spellStart"/>
            <w:r w:rsidRPr="00BF38A4">
              <w:rPr>
                <w:rFonts w:cs="Segoe UI"/>
                <w:sz w:val="18"/>
                <w:szCs w:val="18"/>
              </w:rPr>
              <w:t>Central</w:t>
            </w:r>
            <w:proofErr w:type="spellEnd"/>
            <w:r w:rsidRPr="00BF38A4">
              <w:rPr>
                <w:rFonts w:cs="Segoe UI"/>
                <w:sz w:val="18"/>
                <w:szCs w:val="18"/>
              </w:rPr>
              <w:t xml:space="preserve"> </w:t>
            </w:r>
            <w:proofErr w:type="spellStart"/>
            <w:r w:rsidRPr="00BF38A4">
              <w:rPr>
                <w:rFonts w:cs="Segoe UI"/>
                <w:sz w:val="18"/>
                <w:szCs w:val="18"/>
              </w:rPr>
              <w:t>Europe</w:t>
            </w:r>
            <w:proofErr w:type="spellEnd"/>
            <w:r w:rsidRPr="00BF38A4">
              <w:rPr>
                <w:rFonts w:cs="Segoe UI"/>
                <w:sz w:val="18"/>
                <w:szCs w:val="18"/>
              </w:rPr>
              <w:t>, s.</w:t>
            </w:r>
            <w:r w:rsidR="009D7CA7">
              <w:rPr>
                <w:rFonts w:cs="Segoe UI"/>
                <w:sz w:val="18"/>
                <w:szCs w:val="18"/>
              </w:rPr>
              <w:t xml:space="preserve"> </w:t>
            </w:r>
            <w:r w:rsidRPr="00BF38A4">
              <w:rPr>
                <w:rFonts w:cs="Segoe UI"/>
                <w:sz w:val="18"/>
                <w:szCs w:val="18"/>
              </w:rPr>
              <w:t>r.</w:t>
            </w:r>
            <w:r w:rsidR="009D7CA7">
              <w:rPr>
                <w:rFonts w:cs="Segoe UI"/>
                <w:sz w:val="18"/>
                <w:szCs w:val="18"/>
              </w:rPr>
              <w:t xml:space="preserve"> </w:t>
            </w:r>
            <w:r w:rsidRPr="00BF38A4">
              <w:rPr>
                <w:rFonts w:cs="Segoe UI"/>
                <w:sz w:val="18"/>
                <w:szCs w:val="18"/>
              </w:rPr>
              <w:t>o., ktor</w:t>
            </w:r>
            <w:r w:rsidR="009D7CA7">
              <w:rPr>
                <w:rFonts w:cs="Segoe UI"/>
                <w:sz w:val="18"/>
                <w:szCs w:val="18"/>
              </w:rPr>
              <w:t>á</w:t>
            </w:r>
            <w:r w:rsidRPr="00BF38A4">
              <w:rPr>
                <w:rFonts w:cs="Segoe UI"/>
                <w:sz w:val="18"/>
                <w:szCs w:val="18"/>
              </w:rPr>
              <w:t xml:space="preserve"> sa špecializuje na odkupovanie a kapitalizáciu pohľadávok. Vo vybraných kontrolovaných ZZ za roky 2018 – 2023 sa príslušenstvo k istine (41,8 mil. eur) z uzavretých dohôd o uznaní dlhu a splátkovom kalendári </w:t>
            </w:r>
            <w:r w:rsidR="0051507C">
              <w:rPr>
                <w:rFonts w:cs="Segoe UI"/>
                <w:sz w:val="18"/>
                <w:szCs w:val="18"/>
              </w:rPr>
              <w:t xml:space="preserve">tejto spoločnosti </w:t>
            </w:r>
            <w:r w:rsidRPr="00BF38A4">
              <w:rPr>
                <w:rFonts w:cs="Segoe UI"/>
                <w:sz w:val="18"/>
                <w:szCs w:val="18"/>
              </w:rPr>
              <w:t>vyšplhalo k 31.</w:t>
            </w:r>
            <w:r w:rsidR="009D7CA7">
              <w:rPr>
                <w:rFonts w:cs="Segoe UI"/>
                <w:sz w:val="18"/>
                <w:szCs w:val="18"/>
              </w:rPr>
              <w:t xml:space="preserve"> </w:t>
            </w:r>
            <w:r w:rsidRPr="00BF38A4">
              <w:rPr>
                <w:rFonts w:cs="Segoe UI"/>
                <w:sz w:val="18"/>
                <w:szCs w:val="18"/>
              </w:rPr>
              <w:t>12.</w:t>
            </w:r>
            <w:r w:rsidR="009D7CA7">
              <w:rPr>
                <w:rFonts w:cs="Segoe UI"/>
                <w:sz w:val="18"/>
                <w:szCs w:val="18"/>
              </w:rPr>
              <w:t xml:space="preserve"> </w:t>
            </w:r>
            <w:r w:rsidRPr="00BF38A4">
              <w:rPr>
                <w:rFonts w:cs="Segoe UI"/>
                <w:sz w:val="18"/>
                <w:szCs w:val="18"/>
              </w:rPr>
              <w:t>2023 približne na úroveň 82 % z hodnoty istiny, a teda sumu 34 mil. eur, a to za predpokladu dodržania splátok od ZZ. Celkové portfólio pohľadávok tejto spoločnosti bol</w:t>
            </w:r>
            <w:r w:rsidR="009D7CA7">
              <w:rPr>
                <w:rFonts w:cs="Segoe UI"/>
                <w:sz w:val="18"/>
                <w:szCs w:val="18"/>
              </w:rPr>
              <w:t>o</w:t>
            </w:r>
            <w:r w:rsidRPr="00BF38A4">
              <w:rPr>
                <w:rFonts w:cs="Segoe UI"/>
                <w:sz w:val="18"/>
                <w:szCs w:val="18"/>
              </w:rPr>
              <w:t xml:space="preserve"> počas vykonávania kontroly vo výške 140 mil. eur na úrovni istiny, a k nim je možné si spoločnosťou uplatniť príslušenstvo v odhadovanej výške 80 mil. eur. NKÚ SR upozorňuje na obrovské riziko súvisiace s postupným systematickým zadlžovaním ZZ a</w:t>
            </w:r>
            <w:r w:rsidR="00870759">
              <w:rPr>
                <w:rFonts w:cs="Segoe UI"/>
                <w:sz w:val="18"/>
                <w:szCs w:val="18"/>
              </w:rPr>
              <w:t xml:space="preserve"> s </w:t>
            </w:r>
            <w:r w:rsidRPr="00BF38A4">
              <w:rPr>
                <w:rFonts w:cs="Segoe UI"/>
                <w:sz w:val="18"/>
                <w:szCs w:val="18"/>
              </w:rPr>
              <w:t>následn</w:t>
            </w:r>
            <w:r w:rsidR="00870759">
              <w:rPr>
                <w:rFonts w:cs="Segoe UI"/>
                <w:sz w:val="18"/>
                <w:szCs w:val="18"/>
              </w:rPr>
              <w:t>ý</w:t>
            </w:r>
            <w:r w:rsidRPr="00BF38A4">
              <w:rPr>
                <w:rFonts w:cs="Segoe UI"/>
                <w:sz w:val="18"/>
                <w:szCs w:val="18"/>
              </w:rPr>
              <w:t>m obohacovaní</w:t>
            </w:r>
            <w:r w:rsidR="00870759">
              <w:rPr>
                <w:rFonts w:cs="Segoe UI"/>
                <w:sz w:val="18"/>
                <w:szCs w:val="18"/>
              </w:rPr>
              <w:t>m</w:t>
            </w:r>
            <w:r w:rsidRPr="00BF38A4">
              <w:rPr>
                <w:rFonts w:cs="Segoe UI"/>
                <w:sz w:val="18"/>
                <w:szCs w:val="18"/>
              </w:rPr>
              <w:t xml:space="preserve"> sa na vymáhaní pohľadávok a ich príslušenstva z dôvodu nemožnosti dodržania podmienok a splátkových kalendárov </w:t>
            </w:r>
            <w:r w:rsidR="00870759">
              <w:rPr>
                <w:rFonts w:cs="Segoe UI"/>
                <w:sz w:val="18"/>
                <w:szCs w:val="18"/>
              </w:rPr>
              <w:t>kvôli</w:t>
            </w:r>
            <w:r w:rsidRPr="00BF38A4">
              <w:rPr>
                <w:rFonts w:cs="Segoe UI"/>
                <w:sz w:val="18"/>
                <w:szCs w:val="18"/>
              </w:rPr>
              <w:t xml:space="preserve"> nerovnomerný</w:t>
            </w:r>
            <w:r w:rsidR="00870759">
              <w:rPr>
                <w:rFonts w:cs="Segoe UI"/>
                <w:sz w:val="18"/>
                <w:szCs w:val="18"/>
              </w:rPr>
              <w:t>m</w:t>
            </w:r>
            <w:r w:rsidRPr="00BF38A4">
              <w:rPr>
                <w:rFonts w:cs="Segoe UI"/>
                <w:sz w:val="18"/>
                <w:szCs w:val="18"/>
              </w:rPr>
              <w:t xml:space="preserve"> úhr</w:t>
            </w:r>
            <w:r w:rsidR="005701FF">
              <w:rPr>
                <w:rFonts w:cs="Segoe UI"/>
                <w:sz w:val="18"/>
                <w:szCs w:val="18"/>
              </w:rPr>
              <w:t>ad</w:t>
            </w:r>
            <w:r w:rsidR="00870759">
              <w:rPr>
                <w:rFonts w:cs="Segoe UI"/>
                <w:sz w:val="18"/>
                <w:szCs w:val="18"/>
              </w:rPr>
              <w:t>ám</w:t>
            </w:r>
            <w:r w:rsidRPr="00BF38A4">
              <w:rPr>
                <w:rFonts w:cs="Segoe UI"/>
                <w:sz w:val="18"/>
                <w:szCs w:val="18"/>
              </w:rPr>
              <w:t xml:space="preserve"> voči ZZ zo strany ZP.</w:t>
            </w:r>
          </w:p>
          <w:p w14:paraId="51CBF3E9" w14:textId="59A93EB4" w:rsidR="008E716D" w:rsidRPr="00780954" w:rsidRDefault="00865377" w:rsidP="002F2149">
            <w:pPr>
              <w:pStyle w:val="Zkladntext0"/>
              <w:spacing w:before="120"/>
              <w:jc w:val="both"/>
              <w:rPr>
                <w:rFonts w:ascii="Segoe UI" w:eastAsia="Times New Roman" w:hAnsi="Segoe UI" w:cs="Segoe UI"/>
                <w:sz w:val="18"/>
                <w:szCs w:val="18"/>
              </w:rPr>
            </w:pPr>
            <w:r w:rsidRPr="009D7CA7">
              <w:rPr>
                <w:rFonts w:ascii="Segoe UI" w:hAnsi="Segoe UI" w:cs="Segoe UI"/>
                <w:b/>
                <w:sz w:val="18"/>
                <w:szCs w:val="18"/>
              </w:rPr>
              <w:t>Ko</w:t>
            </w:r>
            <w:r w:rsidR="00BF38A4" w:rsidRPr="009D7CA7">
              <w:rPr>
                <w:rFonts w:ascii="Segoe UI" w:hAnsi="Segoe UI" w:cs="Segoe UI"/>
                <w:b/>
                <w:sz w:val="18"/>
                <w:szCs w:val="18"/>
              </w:rPr>
              <w:t>ntrola úhradových mechanizmov</w:t>
            </w:r>
            <w:r>
              <w:rPr>
                <w:rStyle w:val="Odkaznapoznmkupodiarou"/>
                <w:rFonts w:ascii="Segoe UI" w:hAnsi="Segoe UI" w:cs="Segoe UI"/>
                <w:sz w:val="18"/>
                <w:szCs w:val="18"/>
              </w:rPr>
              <w:footnoteReference w:id="28"/>
            </w:r>
            <w:r w:rsidR="00BF38A4" w:rsidRPr="00BF38A4">
              <w:rPr>
                <w:rFonts w:ascii="Segoe UI" w:hAnsi="Segoe UI" w:cs="Segoe UI"/>
                <w:sz w:val="18"/>
                <w:szCs w:val="18"/>
              </w:rPr>
              <w:t xml:space="preserve"> priniesla zistenie, že v roku 2023 smerovalo do ústavnej zdravotnej starostlivosti približne 2,5 mld. eur, pričom chýbali jednotné pravidlá rozdeľovania. ZP používali rôzne úhradové modely. Hoci sa výkony vykazujú cez DRG</w:t>
            </w:r>
            <w:r w:rsidR="006723F6">
              <w:t xml:space="preserve"> (</w:t>
            </w:r>
            <w:proofErr w:type="spellStart"/>
            <w:r w:rsidR="006723F6" w:rsidRPr="006723F6">
              <w:rPr>
                <w:rFonts w:ascii="Segoe UI" w:hAnsi="Segoe UI" w:cs="Segoe UI"/>
                <w:sz w:val="18"/>
                <w:szCs w:val="18"/>
              </w:rPr>
              <w:t>Diagnoses</w:t>
            </w:r>
            <w:proofErr w:type="spellEnd"/>
            <w:r w:rsidR="006723F6" w:rsidRPr="006723F6">
              <w:rPr>
                <w:rFonts w:ascii="Segoe UI" w:hAnsi="Segoe UI" w:cs="Segoe UI"/>
                <w:sz w:val="18"/>
                <w:szCs w:val="18"/>
              </w:rPr>
              <w:t xml:space="preserve"> </w:t>
            </w:r>
            <w:proofErr w:type="spellStart"/>
            <w:r w:rsidR="006723F6" w:rsidRPr="006723F6">
              <w:rPr>
                <w:rFonts w:ascii="Segoe UI" w:hAnsi="Segoe UI" w:cs="Segoe UI"/>
                <w:sz w:val="18"/>
                <w:szCs w:val="18"/>
              </w:rPr>
              <w:t>Related</w:t>
            </w:r>
            <w:proofErr w:type="spellEnd"/>
            <w:r w:rsidR="006723F6" w:rsidRPr="006723F6">
              <w:rPr>
                <w:rFonts w:ascii="Segoe UI" w:hAnsi="Segoe UI" w:cs="Segoe UI"/>
                <w:sz w:val="18"/>
                <w:szCs w:val="18"/>
              </w:rPr>
              <w:t xml:space="preserve"> </w:t>
            </w:r>
            <w:proofErr w:type="spellStart"/>
            <w:r w:rsidR="006723F6" w:rsidRPr="006723F6">
              <w:rPr>
                <w:rFonts w:ascii="Segoe UI" w:hAnsi="Segoe UI" w:cs="Segoe UI"/>
                <w:sz w:val="18"/>
                <w:szCs w:val="18"/>
              </w:rPr>
              <w:t>Groups</w:t>
            </w:r>
            <w:proofErr w:type="spellEnd"/>
            <w:r w:rsidR="006723F6" w:rsidRPr="006723F6">
              <w:rPr>
                <w:rFonts w:ascii="Segoe UI" w:hAnsi="Segoe UI" w:cs="Segoe UI"/>
                <w:sz w:val="18"/>
                <w:szCs w:val="18"/>
              </w:rPr>
              <w:t xml:space="preserve"> </w:t>
            </w:r>
            <w:r w:rsidR="006723F6">
              <w:rPr>
                <w:rFonts w:ascii="Segoe UI" w:hAnsi="Segoe UI" w:cs="Segoe UI"/>
                <w:sz w:val="18"/>
                <w:szCs w:val="18"/>
              </w:rPr>
              <w:t xml:space="preserve">– </w:t>
            </w:r>
            <w:r w:rsidR="006723F6" w:rsidRPr="006723F6">
              <w:rPr>
                <w:rFonts w:ascii="Segoe UI" w:hAnsi="Segoe UI" w:cs="Segoe UI"/>
                <w:sz w:val="18"/>
                <w:szCs w:val="18"/>
              </w:rPr>
              <w:t>Skupiny súvisiacich diagnóz)</w:t>
            </w:r>
            <w:r w:rsidR="00BF38A4" w:rsidRPr="00BF38A4">
              <w:rPr>
                <w:rFonts w:ascii="Segoe UI" w:hAnsi="Segoe UI" w:cs="Segoe UI"/>
                <w:sz w:val="18"/>
                <w:szCs w:val="18"/>
              </w:rPr>
              <w:t xml:space="preserve">, úhrady prebiehajú na základe mesačných zmluvných platieb, takže DRG sa ani po viac než dekáde od zavedenia (2010) nevyužíva ako úhradový mechanizmus. </w:t>
            </w:r>
            <w:proofErr w:type="spellStart"/>
            <w:r w:rsidR="00BF38A4" w:rsidRPr="00BF38A4">
              <w:rPr>
                <w:rFonts w:ascii="Segoe UI" w:hAnsi="Segoe UI" w:cs="Segoe UI"/>
                <w:sz w:val="18"/>
                <w:szCs w:val="18"/>
              </w:rPr>
              <w:t>VšZP</w:t>
            </w:r>
            <w:proofErr w:type="spellEnd"/>
            <w:r w:rsidR="00BF38A4" w:rsidRPr="00BF38A4">
              <w:rPr>
                <w:rFonts w:ascii="Segoe UI" w:hAnsi="Segoe UI" w:cs="Segoe UI"/>
                <w:sz w:val="18"/>
                <w:szCs w:val="18"/>
              </w:rPr>
              <w:t xml:space="preserve"> pritom platila za DRG prípady viac než súkromné poisťovne, čo podľa NKÚ </w:t>
            </w:r>
            <w:r w:rsidR="009D7CA7">
              <w:rPr>
                <w:rFonts w:ascii="Segoe UI" w:hAnsi="Segoe UI" w:cs="Segoe UI"/>
                <w:sz w:val="18"/>
                <w:szCs w:val="18"/>
              </w:rPr>
              <w:t xml:space="preserve">SR </w:t>
            </w:r>
            <w:r w:rsidR="00BF38A4" w:rsidRPr="00BF38A4">
              <w:rPr>
                <w:rFonts w:ascii="Segoe UI" w:hAnsi="Segoe UI" w:cs="Segoe UI"/>
                <w:sz w:val="18"/>
                <w:szCs w:val="18"/>
              </w:rPr>
              <w:t>v rokoch 2019 – 2023 viedlo k preplateniu približne 333 mil. eur</w:t>
            </w:r>
            <w:r w:rsidR="00870759">
              <w:rPr>
                <w:rFonts w:ascii="Segoe UI" w:hAnsi="Segoe UI" w:cs="Segoe UI"/>
                <w:sz w:val="18"/>
                <w:szCs w:val="18"/>
              </w:rPr>
              <w:t>; to</w:t>
            </w:r>
            <w:r w:rsidR="00BF38A4" w:rsidRPr="00BF38A4">
              <w:rPr>
                <w:rFonts w:ascii="Segoe UI" w:hAnsi="Segoe UI" w:cs="Segoe UI"/>
                <w:sz w:val="18"/>
                <w:szCs w:val="18"/>
              </w:rPr>
              <w:t xml:space="preserve"> môže byť jedným z dôvodov jej dlhodobých strát. </w:t>
            </w:r>
            <w:proofErr w:type="spellStart"/>
            <w:r w:rsidR="00BF38A4" w:rsidRPr="00BF38A4">
              <w:rPr>
                <w:rFonts w:ascii="Segoe UI" w:hAnsi="Segoe UI" w:cs="Segoe UI"/>
                <w:sz w:val="18"/>
                <w:szCs w:val="18"/>
              </w:rPr>
              <w:t>VšZP</w:t>
            </w:r>
            <w:proofErr w:type="spellEnd"/>
            <w:r w:rsidR="00BF38A4" w:rsidRPr="00BF38A4">
              <w:rPr>
                <w:rFonts w:ascii="Segoe UI" w:hAnsi="Segoe UI" w:cs="Segoe UI"/>
                <w:sz w:val="18"/>
                <w:szCs w:val="18"/>
              </w:rPr>
              <w:t xml:space="preserve"> sa podarilo až v roku 2023 ukončiť hospodárenie so ziskom (8,34 mil. eur)</w:t>
            </w:r>
            <w:r w:rsidR="009D7CA7">
              <w:rPr>
                <w:rFonts w:ascii="Segoe UI" w:hAnsi="Segoe UI" w:cs="Segoe UI"/>
                <w:sz w:val="18"/>
                <w:szCs w:val="18"/>
              </w:rPr>
              <w:t>, a to</w:t>
            </w:r>
            <w:r w:rsidR="00BF38A4" w:rsidRPr="00BF38A4">
              <w:rPr>
                <w:rFonts w:ascii="Segoe UI" w:hAnsi="Segoe UI" w:cs="Segoe UI"/>
                <w:sz w:val="18"/>
                <w:szCs w:val="18"/>
              </w:rPr>
              <w:t xml:space="preserve"> po troch rokoch </w:t>
            </w:r>
            <w:r w:rsidR="002F2149">
              <w:rPr>
                <w:rFonts w:ascii="Segoe UI" w:hAnsi="Segoe UI" w:cs="Segoe UI"/>
                <w:sz w:val="18"/>
                <w:szCs w:val="18"/>
              </w:rPr>
              <w:t xml:space="preserve">veľkých </w:t>
            </w:r>
            <w:r w:rsidR="00BF38A4" w:rsidRPr="00BF38A4">
              <w:rPr>
                <w:rFonts w:ascii="Segoe UI" w:hAnsi="Segoe UI" w:cs="Segoe UI"/>
                <w:sz w:val="18"/>
                <w:szCs w:val="18"/>
              </w:rPr>
              <w:t>strát a najmä vďaka dofinancovaniu systému VZP zvýšenou platbou za poistenca štátu.</w:t>
            </w:r>
          </w:p>
        </w:tc>
      </w:tr>
    </w:tbl>
    <w:p w14:paraId="25EB2998" w14:textId="6A6EECE6" w:rsidR="00A95428" w:rsidRDefault="00523D20" w:rsidP="00523D20">
      <w:pPr>
        <w:pStyle w:val="Nadpis2"/>
        <w:rPr>
          <w:color w:val="314364" w:themeColor="text2"/>
        </w:rPr>
      </w:pPr>
      <w:bookmarkStart w:id="46" w:name="_Toc198637734"/>
      <w:r>
        <w:rPr>
          <w:color w:val="314364" w:themeColor="text2"/>
        </w:rPr>
        <w:lastRenderedPageBreak/>
        <w:t xml:space="preserve">5.2 </w:t>
      </w:r>
      <w:r w:rsidR="00E43045" w:rsidRPr="00523D20">
        <w:rPr>
          <w:color w:val="314364" w:themeColor="text2"/>
        </w:rPr>
        <w:t xml:space="preserve"> </w:t>
      </w:r>
      <w:r w:rsidR="00B67559" w:rsidRPr="00741DFC">
        <w:rPr>
          <w:color w:val="314364" w:themeColor="text2"/>
        </w:rPr>
        <w:t>Sociáln</w:t>
      </w:r>
      <w:r w:rsidR="00C50B0E" w:rsidRPr="00741DFC">
        <w:rPr>
          <w:color w:val="314364" w:themeColor="text2"/>
        </w:rPr>
        <w:t>e politiky</w:t>
      </w:r>
      <w:bookmarkEnd w:id="46"/>
    </w:p>
    <w:p w14:paraId="62F72892" w14:textId="244F0098" w:rsidR="00F359D6" w:rsidRPr="0038694D" w:rsidRDefault="00F359D6" w:rsidP="00F359D6">
      <w:r w:rsidRPr="0038694D">
        <w:t>V oblasti sociálnych politík sa NKÚ SR zameral na zmeny v programovej štruktúre kapitoly a na výdavky hlavných programov. Prioritne sú rozobraté výdavky na podporu rodiny, financované cez kapitolu MPSVR SR a na dôchodky, vrátane predčasných starobných dôchodkov, financované prostredníctvom S</w:t>
      </w:r>
      <w:r>
        <w:t xml:space="preserve">P a tiež výdavky na </w:t>
      </w:r>
      <w:proofErr w:type="spellStart"/>
      <w:r>
        <w:t>energopomoc</w:t>
      </w:r>
      <w:proofErr w:type="spellEnd"/>
      <w:r>
        <w:t xml:space="preserve"> cez MH SR</w:t>
      </w:r>
      <w:r w:rsidRPr="0038694D">
        <w:t xml:space="preserve">. </w:t>
      </w:r>
    </w:p>
    <w:p w14:paraId="71FEA49F" w14:textId="6664E400" w:rsidR="0034051F" w:rsidRPr="0034051F" w:rsidRDefault="0034051F" w:rsidP="00BC2323">
      <w:pPr>
        <w:rPr>
          <w:rFonts w:cs="Segoe UI"/>
          <w:szCs w:val="20"/>
        </w:rPr>
      </w:pPr>
      <w:r w:rsidRPr="007D3345">
        <w:rPr>
          <w:rFonts w:cs="Segoe UI"/>
          <w:b/>
          <w:szCs w:val="20"/>
        </w:rPr>
        <w:t>Výdavky rezortu práce sa medziročne znížili o 3,8 % a dosiahli 4 729,3 mil. eur</w:t>
      </w:r>
      <w:r w:rsidRPr="005C4FAC">
        <w:rPr>
          <w:rFonts w:cs="Segoe UI"/>
          <w:szCs w:val="20"/>
        </w:rPr>
        <w:t xml:space="preserve">. </w:t>
      </w:r>
      <w:r w:rsidRPr="0034051F">
        <w:rPr>
          <w:rFonts w:cs="Segoe UI"/>
          <w:szCs w:val="20"/>
        </w:rPr>
        <w:t xml:space="preserve">Oproti schválenému rozpočtu boli </w:t>
      </w:r>
      <w:r>
        <w:rPr>
          <w:rFonts w:cs="Segoe UI"/>
          <w:szCs w:val="20"/>
        </w:rPr>
        <w:t xml:space="preserve">však </w:t>
      </w:r>
      <w:r w:rsidRPr="0034051F">
        <w:rPr>
          <w:rFonts w:cs="Segoe UI"/>
          <w:szCs w:val="20"/>
        </w:rPr>
        <w:t xml:space="preserve">v skutočnosti vyššie o 5,4 %. </w:t>
      </w:r>
    </w:p>
    <w:p w14:paraId="0195CA51" w14:textId="411ADF42" w:rsidR="001E63E8" w:rsidRDefault="00BC2323" w:rsidP="00BC2323">
      <w:pPr>
        <w:rPr>
          <w:rFonts w:cs="Segoe UI"/>
          <w:szCs w:val="20"/>
        </w:rPr>
      </w:pPr>
      <w:r w:rsidRPr="007D3345">
        <w:rPr>
          <w:rFonts w:cs="Segoe UI"/>
          <w:b/>
          <w:szCs w:val="20"/>
        </w:rPr>
        <w:t>V porovnaní s minulým rokom došlo k zmenám v programovej štruktúre kapitoly, čo umožnilo presnejšie sledovanie čerpania rozpočtu.</w:t>
      </w:r>
      <w:r>
        <w:rPr>
          <w:rFonts w:cs="Segoe UI"/>
          <w:szCs w:val="20"/>
        </w:rPr>
        <w:t xml:space="preserve"> Pribudol nový podprogram </w:t>
      </w:r>
      <w:r w:rsidRPr="007D3345">
        <w:rPr>
          <w:rFonts w:cs="Segoe UI"/>
          <w:i/>
          <w:szCs w:val="20"/>
        </w:rPr>
        <w:t>Príspevok na hypotéky</w:t>
      </w:r>
      <w:r>
        <w:rPr>
          <w:rFonts w:cs="Segoe UI"/>
          <w:szCs w:val="20"/>
        </w:rPr>
        <w:t xml:space="preserve"> spolu s novým prvkom </w:t>
      </w:r>
      <w:r w:rsidRPr="007D3345">
        <w:rPr>
          <w:rFonts w:cs="Segoe UI"/>
          <w:i/>
          <w:szCs w:val="20"/>
        </w:rPr>
        <w:t>Príspevok na zvýšenú splátku úveru na bývanie</w:t>
      </w:r>
      <w:r w:rsidR="00AA4064">
        <w:rPr>
          <w:rFonts w:cs="Segoe UI"/>
          <w:szCs w:val="20"/>
        </w:rPr>
        <w:t>.</w:t>
      </w:r>
      <w:r>
        <w:rPr>
          <w:rFonts w:cs="Segoe UI"/>
          <w:szCs w:val="20"/>
        </w:rPr>
        <w:t xml:space="preserve"> </w:t>
      </w:r>
      <w:r w:rsidR="00AA4064">
        <w:rPr>
          <w:rFonts w:cs="Segoe UI"/>
          <w:szCs w:val="20"/>
        </w:rPr>
        <w:t>Z</w:t>
      </w:r>
      <w:r>
        <w:rPr>
          <w:rFonts w:cs="Segoe UI"/>
          <w:szCs w:val="20"/>
        </w:rPr>
        <w:t xml:space="preserve">menil sa </w:t>
      </w:r>
      <w:r w:rsidR="00AA4064">
        <w:rPr>
          <w:rFonts w:cs="Segoe UI"/>
          <w:szCs w:val="20"/>
        </w:rPr>
        <w:t xml:space="preserve">aj </w:t>
      </w:r>
      <w:r>
        <w:rPr>
          <w:rFonts w:cs="Segoe UI"/>
          <w:szCs w:val="20"/>
        </w:rPr>
        <w:t xml:space="preserve">obsah podprogramu </w:t>
      </w:r>
      <w:r w:rsidRPr="00AA4064">
        <w:rPr>
          <w:rFonts w:cs="Segoe UI"/>
          <w:i/>
          <w:szCs w:val="20"/>
        </w:rPr>
        <w:t>13. dôchodok</w:t>
      </w:r>
      <w:r>
        <w:rPr>
          <w:rFonts w:cs="Segoe UI"/>
          <w:szCs w:val="20"/>
        </w:rPr>
        <w:t xml:space="preserve">, ktorý je určený už len pre vybrané skupiny poberateľov (podstatný objem 13. dôchodku financuje SP zo svojho rozpočtu). MPSVR SR zaviedlo 25 nových prvkov, najviac v oblasti sociálnej inklúzie (19),  jeden prvok v ľudských zdrojoch </w:t>
      </w:r>
      <w:r w:rsidR="001E63E8">
        <w:rPr>
          <w:rFonts w:cs="Segoe UI"/>
          <w:szCs w:val="20"/>
        </w:rPr>
        <w:t xml:space="preserve">– </w:t>
      </w:r>
      <w:r w:rsidRPr="00AA4064">
        <w:rPr>
          <w:rFonts w:cs="Segoe UI"/>
          <w:i/>
          <w:szCs w:val="20"/>
        </w:rPr>
        <w:t>Inovatívny, prístupný a rozvíjajúci sa trh práce</w:t>
      </w:r>
      <w:r>
        <w:rPr>
          <w:rFonts w:cs="Segoe UI"/>
          <w:szCs w:val="20"/>
        </w:rPr>
        <w:t xml:space="preserve"> a </w:t>
      </w:r>
      <w:r w:rsidR="00AA4064">
        <w:rPr>
          <w:rFonts w:cs="Segoe UI"/>
          <w:szCs w:val="20"/>
        </w:rPr>
        <w:t>päť</w:t>
      </w:r>
      <w:r>
        <w:rPr>
          <w:rFonts w:cs="Segoe UI"/>
          <w:szCs w:val="20"/>
        </w:rPr>
        <w:t xml:space="preserve"> nových prvkov v programe </w:t>
      </w:r>
      <w:r w:rsidRPr="00AA4064">
        <w:rPr>
          <w:rFonts w:cs="Segoe UI"/>
          <w:i/>
          <w:szCs w:val="20"/>
        </w:rPr>
        <w:t>Informačné technológie financované zo ŠR</w:t>
      </w:r>
      <w:r>
        <w:rPr>
          <w:rFonts w:cs="Segoe UI"/>
          <w:szCs w:val="20"/>
        </w:rPr>
        <w:t xml:space="preserve">. Dôvodom doplnenia nových prvkov </w:t>
      </w:r>
      <w:r w:rsidR="001E63E8">
        <w:rPr>
          <w:rFonts w:cs="Segoe UI"/>
          <w:szCs w:val="20"/>
        </w:rPr>
        <w:t>do</w:t>
      </w:r>
      <w:r>
        <w:rPr>
          <w:rFonts w:cs="Segoe UI"/>
          <w:szCs w:val="20"/>
        </w:rPr>
        <w:t> programovej štruktúr</w:t>
      </w:r>
      <w:r w:rsidR="001E63E8">
        <w:rPr>
          <w:rFonts w:cs="Segoe UI"/>
          <w:szCs w:val="20"/>
        </w:rPr>
        <w:t>y</w:t>
      </w:r>
      <w:r>
        <w:rPr>
          <w:rFonts w:cs="Segoe UI"/>
          <w:szCs w:val="20"/>
        </w:rPr>
        <w:t xml:space="preserve"> bolo zavedenie monitoringu v súvislosti s </w:t>
      </w:r>
      <w:r w:rsidR="00AA4064">
        <w:rPr>
          <w:rFonts w:cs="Segoe UI"/>
          <w:szCs w:val="20"/>
        </w:rPr>
        <w:t>LVV</w:t>
      </w:r>
      <w:r>
        <w:rPr>
          <w:rFonts w:cs="Segoe UI"/>
          <w:szCs w:val="20"/>
        </w:rPr>
        <w:t xml:space="preserve"> zo strany MF SR. Podprogram </w:t>
      </w:r>
      <w:r w:rsidRPr="007D3345">
        <w:rPr>
          <w:rFonts w:cs="Segoe UI"/>
          <w:i/>
          <w:szCs w:val="20"/>
        </w:rPr>
        <w:t>I</w:t>
      </w:r>
      <w:r w:rsidRPr="00C46E97">
        <w:rPr>
          <w:rFonts w:cs="Segoe UI"/>
          <w:i/>
          <w:szCs w:val="20"/>
        </w:rPr>
        <w:t>mplementácia programov ESF</w:t>
      </w:r>
      <w:r>
        <w:rPr>
          <w:rFonts w:cs="Segoe UI"/>
          <w:szCs w:val="20"/>
        </w:rPr>
        <w:t xml:space="preserve"> spolu so svojim prvkom, ktorý zabezpečoval financovanie Implementačnej agentúry MPSVR SR</w:t>
      </w:r>
      <w:r w:rsidR="001E63E8">
        <w:rPr>
          <w:rFonts w:cs="Segoe UI"/>
          <w:szCs w:val="20"/>
        </w:rPr>
        <w:t>,</w:t>
      </w:r>
      <w:r>
        <w:rPr>
          <w:rFonts w:cs="Segoe UI"/>
          <w:szCs w:val="20"/>
        </w:rPr>
        <w:t xml:space="preserve"> sa už neobjavil, </w:t>
      </w:r>
      <w:r w:rsidR="00741DFC">
        <w:rPr>
          <w:rFonts w:cs="Segoe UI"/>
          <w:szCs w:val="20"/>
        </w:rPr>
        <w:t xml:space="preserve">pretože </w:t>
      </w:r>
      <w:r>
        <w:rPr>
          <w:rFonts w:cs="Segoe UI"/>
          <w:szCs w:val="20"/>
        </w:rPr>
        <w:t>agentúra bola k 31.</w:t>
      </w:r>
      <w:r w:rsidR="001E63E8">
        <w:rPr>
          <w:rFonts w:cs="Segoe UI"/>
          <w:szCs w:val="20"/>
        </w:rPr>
        <w:t xml:space="preserve"> </w:t>
      </w:r>
      <w:r>
        <w:rPr>
          <w:rFonts w:cs="Segoe UI"/>
          <w:szCs w:val="20"/>
        </w:rPr>
        <w:t>12.</w:t>
      </w:r>
      <w:r w:rsidR="001E63E8">
        <w:rPr>
          <w:rFonts w:cs="Segoe UI"/>
          <w:szCs w:val="20"/>
        </w:rPr>
        <w:t xml:space="preserve"> </w:t>
      </w:r>
      <w:r>
        <w:rPr>
          <w:rFonts w:cs="Segoe UI"/>
          <w:szCs w:val="20"/>
        </w:rPr>
        <w:t>2023 zrušená.</w:t>
      </w:r>
    </w:p>
    <w:p w14:paraId="738A4712" w14:textId="54D27367" w:rsidR="001E63E8" w:rsidRDefault="001E63E8" w:rsidP="001E63E8">
      <w:pPr>
        <w:rPr>
          <w:rFonts w:eastAsia="Times New Roman" w:cs="Segoe UI"/>
          <w:color w:val="000000"/>
          <w:szCs w:val="20"/>
          <w:lang w:eastAsia="sk-SK"/>
        </w:rPr>
      </w:pPr>
      <w:r w:rsidRPr="0034051F">
        <w:rPr>
          <w:rFonts w:cs="Segoe UI"/>
          <w:b/>
          <w:szCs w:val="20"/>
        </w:rPr>
        <w:t xml:space="preserve">Program </w:t>
      </w:r>
      <w:r w:rsidRPr="0034051F">
        <w:rPr>
          <w:rFonts w:cs="Segoe UI"/>
          <w:b/>
          <w:i/>
          <w:szCs w:val="20"/>
        </w:rPr>
        <w:t>Ľudské zdroje</w:t>
      </w:r>
      <w:r w:rsidRPr="0034051F">
        <w:rPr>
          <w:rFonts w:cs="Segoe UI"/>
          <w:b/>
          <w:szCs w:val="20"/>
        </w:rPr>
        <w:t xml:space="preserve"> zaznamenal najvyšší medziročný nárast </w:t>
      </w:r>
      <w:r w:rsidR="00741DFC" w:rsidRPr="00A97EA6">
        <w:rPr>
          <w:rFonts w:eastAsia="Times New Roman" w:cs="Segoe UI"/>
          <w:color w:val="000000"/>
          <w:szCs w:val="20"/>
          <w:lang w:eastAsia="sk-SK"/>
        </w:rPr>
        <w:t>–</w:t>
      </w:r>
      <w:r w:rsidR="00741DFC">
        <w:rPr>
          <w:rFonts w:eastAsia="Times New Roman" w:cs="Segoe UI"/>
          <w:color w:val="000000"/>
          <w:szCs w:val="20"/>
          <w:lang w:eastAsia="sk-SK"/>
        </w:rPr>
        <w:t xml:space="preserve"> </w:t>
      </w:r>
      <w:r w:rsidRPr="0034051F">
        <w:rPr>
          <w:rFonts w:cs="Segoe UI"/>
          <w:b/>
          <w:szCs w:val="20"/>
        </w:rPr>
        <w:t>o 10,6 %</w:t>
      </w:r>
      <w:r w:rsidR="00741DFC">
        <w:rPr>
          <w:rFonts w:cs="Segoe UI"/>
          <w:b/>
          <w:szCs w:val="20"/>
        </w:rPr>
        <w:t>,</w:t>
      </w:r>
      <w:r w:rsidRPr="0034051F">
        <w:rPr>
          <w:rFonts w:cs="Segoe UI"/>
          <w:b/>
          <w:szCs w:val="20"/>
        </w:rPr>
        <w:t xml:space="preserve"> aj prekročenie rozpočtu </w:t>
      </w:r>
      <w:r w:rsidR="00741DFC" w:rsidRPr="00A97EA6">
        <w:rPr>
          <w:rFonts w:eastAsia="Times New Roman" w:cs="Segoe UI"/>
          <w:color w:val="000000"/>
          <w:szCs w:val="20"/>
          <w:lang w:eastAsia="sk-SK"/>
        </w:rPr>
        <w:t>–</w:t>
      </w:r>
      <w:r w:rsidR="00741DFC">
        <w:rPr>
          <w:rFonts w:eastAsia="Times New Roman" w:cs="Segoe UI"/>
          <w:color w:val="000000"/>
          <w:szCs w:val="20"/>
          <w:lang w:eastAsia="sk-SK"/>
        </w:rPr>
        <w:t xml:space="preserve"> </w:t>
      </w:r>
      <w:r w:rsidRPr="0034051F">
        <w:rPr>
          <w:rFonts w:cs="Segoe UI"/>
          <w:b/>
          <w:szCs w:val="20"/>
        </w:rPr>
        <w:t>o 282,7 %</w:t>
      </w:r>
      <w:r w:rsidR="00741DFC">
        <w:rPr>
          <w:rFonts w:cs="Segoe UI"/>
          <w:b/>
          <w:szCs w:val="20"/>
        </w:rPr>
        <w:t>,</w:t>
      </w:r>
      <w:r w:rsidRPr="0034051F">
        <w:rPr>
          <w:rFonts w:cs="Segoe UI"/>
          <w:b/>
          <w:szCs w:val="20"/>
        </w:rPr>
        <w:t xml:space="preserve"> zo všetkých programov</w:t>
      </w:r>
      <w:r w:rsidR="00EA43BC" w:rsidRPr="0034051F">
        <w:rPr>
          <w:rFonts w:cs="Segoe UI"/>
          <w:b/>
          <w:szCs w:val="20"/>
        </w:rPr>
        <w:t xml:space="preserve"> </w:t>
      </w:r>
      <w:r w:rsidR="00EA43BC" w:rsidRPr="0034051F">
        <w:rPr>
          <w:rFonts w:cs="Segoe UI"/>
          <w:szCs w:val="20"/>
        </w:rPr>
        <w:t xml:space="preserve">(graf </w:t>
      </w:r>
      <w:r w:rsidR="00C40A79">
        <w:rPr>
          <w:rFonts w:cs="Segoe UI"/>
          <w:szCs w:val="20"/>
        </w:rPr>
        <w:t>31</w:t>
      </w:r>
      <w:r w:rsidR="00EA43BC" w:rsidRPr="0034051F">
        <w:rPr>
          <w:rFonts w:cs="Segoe UI"/>
          <w:szCs w:val="20"/>
        </w:rPr>
        <w:t>)</w:t>
      </w:r>
      <w:r w:rsidRPr="0034051F">
        <w:rPr>
          <w:rFonts w:cs="Segoe UI"/>
          <w:b/>
          <w:szCs w:val="20"/>
        </w:rPr>
        <w:t>.</w:t>
      </w:r>
      <w:r w:rsidRPr="00A97EA6">
        <w:rPr>
          <w:rFonts w:cs="Segoe UI"/>
          <w:szCs w:val="20"/>
        </w:rPr>
        <w:t xml:space="preserve"> Dôvod</w:t>
      </w:r>
      <w:r>
        <w:rPr>
          <w:rFonts w:cs="Segoe UI"/>
          <w:szCs w:val="20"/>
        </w:rPr>
        <w:t>om</w:t>
      </w:r>
      <w:r w:rsidRPr="00A97EA6">
        <w:rPr>
          <w:rFonts w:cs="Segoe UI"/>
          <w:szCs w:val="20"/>
        </w:rPr>
        <w:t xml:space="preserve"> bol</w:t>
      </w:r>
      <w:r w:rsidR="00573DF8">
        <w:rPr>
          <w:rFonts w:cs="Segoe UI"/>
          <w:szCs w:val="20"/>
        </w:rPr>
        <w:t>o navýšenie</w:t>
      </w:r>
      <w:r w:rsidRPr="00A97EA6">
        <w:rPr>
          <w:rFonts w:cs="Segoe UI"/>
          <w:szCs w:val="20"/>
        </w:rPr>
        <w:t xml:space="preserve"> rozpočt</w:t>
      </w:r>
      <w:r>
        <w:rPr>
          <w:rFonts w:cs="Segoe UI"/>
          <w:szCs w:val="20"/>
        </w:rPr>
        <w:t>u</w:t>
      </w:r>
      <w:r w:rsidRPr="00A97EA6">
        <w:rPr>
          <w:rFonts w:cs="Segoe UI"/>
          <w:szCs w:val="20"/>
        </w:rPr>
        <w:t xml:space="preserve"> v podprograme </w:t>
      </w:r>
      <w:r>
        <w:rPr>
          <w:rFonts w:cs="Segoe UI"/>
          <w:i/>
          <w:szCs w:val="20"/>
        </w:rPr>
        <w:t>I</w:t>
      </w:r>
      <w:r w:rsidRPr="00B15188">
        <w:rPr>
          <w:rFonts w:cs="Segoe UI"/>
          <w:i/>
          <w:szCs w:val="20"/>
        </w:rPr>
        <w:t>novatívny, prístupný a rozvíjajúci sa trh práce</w:t>
      </w:r>
      <w:r w:rsidRPr="00A97EA6">
        <w:rPr>
          <w:rFonts w:cs="Segoe UI"/>
          <w:szCs w:val="20"/>
        </w:rPr>
        <w:t xml:space="preserve"> </w:t>
      </w:r>
      <w:r w:rsidR="00741DFC" w:rsidRPr="00A97EA6">
        <w:rPr>
          <w:rFonts w:eastAsia="Times New Roman" w:cs="Segoe UI"/>
          <w:color w:val="000000"/>
          <w:szCs w:val="20"/>
          <w:lang w:eastAsia="sk-SK"/>
        </w:rPr>
        <w:t>–</w:t>
      </w:r>
      <w:r w:rsidR="00741DFC">
        <w:rPr>
          <w:rFonts w:eastAsia="Times New Roman" w:cs="Segoe UI"/>
          <w:color w:val="000000"/>
          <w:szCs w:val="20"/>
          <w:lang w:eastAsia="sk-SK"/>
        </w:rPr>
        <w:t xml:space="preserve"> </w:t>
      </w:r>
      <w:r w:rsidRPr="00A97EA6">
        <w:rPr>
          <w:rFonts w:cs="Segoe UI"/>
          <w:szCs w:val="20"/>
        </w:rPr>
        <w:t>o </w:t>
      </w:r>
      <w:r w:rsidRPr="00A97EA6">
        <w:rPr>
          <w:rFonts w:eastAsia="Times New Roman" w:cs="Segoe UI"/>
          <w:color w:val="000000"/>
          <w:szCs w:val="20"/>
          <w:lang w:eastAsia="sk-SK"/>
        </w:rPr>
        <w:t xml:space="preserve">181,8 mil. eur, </w:t>
      </w:r>
      <w:r>
        <w:rPr>
          <w:rFonts w:eastAsia="Times New Roman" w:cs="Segoe UI"/>
          <w:color w:val="000000"/>
          <w:szCs w:val="20"/>
          <w:lang w:eastAsia="sk-SK"/>
        </w:rPr>
        <w:t>ktorý sa následne vyčerpal pri realizácii</w:t>
      </w:r>
      <w:r w:rsidRPr="00A97EA6">
        <w:rPr>
          <w:rFonts w:eastAsia="Times New Roman" w:cs="Segoe UI"/>
          <w:color w:val="000000"/>
          <w:szCs w:val="20"/>
          <w:lang w:eastAsia="sk-SK"/>
        </w:rPr>
        <w:t xml:space="preserve"> projekt</w:t>
      </w:r>
      <w:r>
        <w:rPr>
          <w:rFonts w:eastAsia="Times New Roman" w:cs="Segoe UI"/>
          <w:color w:val="000000"/>
          <w:szCs w:val="20"/>
          <w:lang w:eastAsia="sk-SK"/>
        </w:rPr>
        <w:t>ov</w:t>
      </w:r>
      <w:r w:rsidRPr="00A97EA6">
        <w:rPr>
          <w:rFonts w:eastAsia="Times New Roman" w:cs="Segoe UI"/>
          <w:color w:val="000000"/>
          <w:szCs w:val="20"/>
          <w:lang w:eastAsia="sk-SK"/>
        </w:rPr>
        <w:t xml:space="preserve"> v </w:t>
      </w:r>
      <w:r>
        <w:rPr>
          <w:rFonts w:eastAsia="Times New Roman" w:cs="Segoe UI"/>
          <w:color w:val="000000"/>
          <w:szCs w:val="20"/>
          <w:lang w:eastAsia="sk-SK"/>
        </w:rPr>
        <w:t>rámci</w:t>
      </w:r>
      <w:r w:rsidRPr="00A97EA6">
        <w:rPr>
          <w:rFonts w:eastAsia="Times New Roman" w:cs="Segoe UI"/>
          <w:color w:val="000000"/>
          <w:szCs w:val="20"/>
          <w:lang w:eastAsia="sk-SK"/>
        </w:rPr>
        <w:t xml:space="preserve"> cie</w:t>
      </w:r>
      <w:r>
        <w:rPr>
          <w:rFonts w:eastAsia="Times New Roman" w:cs="Segoe UI"/>
          <w:color w:val="000000"/>
          <w:szCs w:val="20"/>
          <w:lang w:eastAsia="sk-SK"/>
        </w:rPr>
        <w:t>ľa</w:t>
      </w:r>
      <w:r w:rsidRPr="00A97EA6">
        <w:rPr>
          <w:rFonts w:eastAsia="Times New Roman" w:cs="Segoe UI"/>
          <w:color w:val="000000"/>
          <w:szCs w:val="20"/>
          <w:lang w:eastAsia="sk-SK"/>
        </w:rPr>
        <w:t xml:space="preserve"> politiky 4 – Sociálnejšia a </w:t>
      </w:r>
      <w:proofErr w:type="spellStart"/>
      <w:r w:rsidRPr="00A97EA6">
        <w:rPr>
          <w:rFonts w:eastAsia="Times New Roman" w:cs="Segoe UI"/>
          <w:color w:val="000000"/>
          <w:szCs w:val="20"/>
          <w:lang w:eastAsia="sk-SK"/>
        </w:rPr>
        <w:t>inkluzívnejšia</w:t>
      </w:r>
      <w:proofErr w:type="spellEnd"/>
      <w:r w:rsidRPr="00A97EA6">
        <w:rPr>
          <w:rFonts w:eastAsia="Times New Roman" w:cs="Segoe UI"/>
          <w:color w:val="000000"/>
          <w:szCs w:val="20"/>
          <w:lang w:eastAsia="sk-SK"/>
        </w:rPr>
        <w:t xml:space="preserve"> Európa, ktoré MPSVR SR ako sprostredkovateľský orgán implementuje v Program</w:t>
      </w:r>
      <w:r>
        <w:rPr>
          <w:rFonts w:eastAsia="Times New Roman" w:cs="Segoe UI"/>
          <w:color w:val="000000"/>
          <w:szCs w:val="20"/>
          <w:lang w:eastAsia="sk-SK"/>
        </w:rPr>
        <w:t>e</w:t>
      </w:r>
      <w:r w:rsidRPr="00A97EA6">
        <w:rPr>
          <w:rFonts w:eastAsia="Times New Roman" w:cs="Segoe UI"/>
          <w:color w:val="000000"/>
          <w:szCs w:val="20"/>
          <w:lang w:eastAsia="sk-SK"/>
        </w:rPr>
        <w:t xml:space="preserve"> Slovensko.</w:t>
      </w:r>
    </w:p>
    <w:p w14:paraId="58F8E059" w14:textId="6D7C57E0" w:rsidR="00EA43BC" w:rsidRPr="00987D5D" w:rsidRDefault="00EA43BC" w:rsidP="00EA43BC">
      <w:pPr>
        <w:pStyle w:val="Popis"/>
        <w:keepNext/>
        <w:rPr>
          <w:color w:val="314364"/>
        </w:rPr>
      </w:pPr>
      <w:r w:rsidRPr="00987D5D">
        <w:rPr>
          <w:color w:val="314364"/>
        </w:rPr>
        <w:t xml:space="preserve">Graf </w:t>
      </w:r>
      <w:r w:rsidR="00C40A79">
        <w:rPr>
          <w:color w:val="314364"/>
        </w:rPr>
        <w:t>31</w:t>
      </w:r>
      <w:r w:rsidRPr="00987D5D">
        <w:rPr>
          <w:color w:val="314364"/>
        </w:rPr>
        <w:t xml:space="preserve">: </w:t>
      </w:r>
      <w:r>
        <w:rPr>
          <w:color w:val="314364"/>
        </w:rPr>
        <w:t xml:space="preserve">Čerpanie programov kapitoly MPSVR SR </w:t>
      </w:r>
      <w:r w:rsidRPr="00987D5D">
        <w:rPr>
          <w:color w:val="314364"/>
        </w:rPr>
        <w:t>(</w:t>
      </w:r>
      <w:r>
        <w:rPr>
          <w:color w:val="314364"/>
        </w:rPr>
        <w:t>v mil. eur</w:t>
      </w:r>
      <w:r w:rsidR="00832BC2">
        <w:rPr>
          <w:color w:val="314364"/>
        </w:rPr>
        <w:t>; v</w:t>
      </w:r>
      <w:r w:rsidRPr="00987D5D">
        <w:rPr>
          <w:color w:val="314364"/>
        </w:rPr>
        <w:t xml:space="preserve"> %)</w:t>
      </w:r>
    </w:p>
    <w:tbl>
      <w:tblPr>
        <w:tblStyle w:val="Mriekatabuky"/>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2"/>
      </w:tblGrid>
      <w:tr w:rsidR="00EA43BC" w:rsidRPr="000F43AE" w14:paraId="10D4CA45" w14:textId="77777777" w:rsidTr="003D11A6">
        <w:trPr>
          <w:trHeight w:val="3458"/>
        </w:trPr>
        <w:tc>
          <w:tcPr>
            <w:tcW w:w="9071" w:type="dxa"/>
            <w:tcBorders>
              <w:top w:val="single" w:sz="4" w:space="0" w:color="314364"/>
              <w:bottom w:val="single" w:sz="4" w:space="0" w:color="314364"/>
            </w:tcBorders>
            <w:vAlign w:val="center"/>
          </w:tcPr>
          <w:p w14:paraId="5EC39916" w14:textId="77777777" w:rsidR="00EA43BC" w:rsidRPr="000F43AE" w:rsidRDefault="00EA43BC" w:rsidP="003D11A6">
            <w:pPr>
              <w:spacing w:after="0"/>
              <w:rPr>
                <w:b/>
                <w:color w:val="576431"/>
                <w:highlight w:val="yellow"/>
              </w:rPr>
            </w:pPr>
            <w:r>
              <w:rPr>
                <w:noProof/>
                <w:lang w:eastAsia="sk-SK"/>
              </w:rPr>
              <w:drawing>
                <wp:inline distT="0" distB="0" distL="0" distR="0" wp14:anchorId="655EB496" wp14:editId="4AB8725F">
                  <wp:extent cx="5619750" cy="2159635"/>
                  <wp:effectExtent l="0" t="0" r="0" b="0"/>
                  <wp:docPr id="19" name="Graf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bl>
    <w:p w14:paraId="4E607469" w14:textId="20E28192" w:rsidR="00EA43BC" w:rsidRDefault="00EA43BC" w:rsidP="00EA43BC">
      <w:pPr>
        <w:pStyle w:val="Zdroj"/>
        <w:rPr>
          <w:highlight w:val="yellow"/>
        </w:rPr>
      </w:pPr>
      <w:r>
        <w:t>Zdroj: MPSVR SR</w:t>
      </w:r>
      <w:r w:rsidR="00C10075">
        <w:t>.</w:t>
      </w:r>
    </w:p>
    <w:p w14:paraId="31F4D0E5" w14:textId="62D2AABE" w:rsidR="00BC2323" w:rsidRDefault="0034051F" w:rsidP="00BC2323">
      <w:pPr>
        <w:rPr>
          <w:rFonts w:eastAsia="Times New Roman" w:cs="Segoe UI"/>
          <w:bCs/>
          <w:szCs w:val="20"/>
          <w:lang w:eastAsia="sk-SK"/>
        </w:rPr>
      </w:pPr>
      <w:r w:rsidRPr="0034051F">
        <w:rPr>
          <w:rFonts w:cs="Segoe UI"/>
          <w:b/>
          <w:szCs w:val="20"/>
        </w:rPr>
        <w:t xml:space="preserve">V programe </w:t>
      </w:r>
      <w:r w:rsidRPr="0034051F">
        <w:rPr>
          <w:rFonts w:cs="Segoe UI"/>
          <w:b/>
          <w:i/>
          <w:szCs w:val="20"/>
        </w:rPr>
        <w:t xml:space="preserve">Sociálna inklúzia </w:t>
      </w:r>
      <w:r w:rsidRPr="0034051F">
        <w:rPr>
          <w:rFonts w:cs="Segoe UI"/>
          <w:b/>
          <w:szCs w:val="20"/>
        </w:rPr>
        <w:t>sa medziročne</w:t>
      </w:r>
      <w:r w:rsidRPr="0034051F">
        <w:rPr>
          <w:rFonts w:cs="Segoe UI"/>
          <w:b/>
          <w:i/>
          <w:szCs w:val="20"/>
        </w:rPr>
        <w:t xml:space="preserve"> </w:t>
      </w:r>
      <w:r w:rsidRPr="0034051F">
        <w:rPr>
          <w:rFonts w:cs="Segoe UI"/>
          <w:b/>
          <w:szCs w:val="20"/>
        </w:rPr>
        <w:t>minulo o 256 mil. eur menej a</w:t>
      </w:r>
      <w:r>
        <w:rPr>
          <w:rFonts w:cs="Segoe UI"/>
          <w:b/>
          <w:szCs w:val="20"/>
        </w:rPr>
        <w:t xml:space="preserve"> bolo to menej aj </w:t>
      </w:r>
      <w:r w:rsidRPr="0034051F">
        <w:rPr>
          <w:rFonts w:cs="Segoe UI"/>
          <w:b/>
          <w:szCs w:val="20"/>
        </w:rPr>
        <w:t>oproti rozpočtu</w:t>
      </w:r>
      <w:r>
        <w:rPr>
          <w:rFonts w:cs="Segoe UI"/>
          <w:szCs w:val="20"/>
        </w:rPr>
        <w:t xml:space="preserve"> (graf </w:t>
      </w:r>
      <w:r w:rsidR="00C40A79">
        <w:rPr>
          <w:rFonts w:cs="Segoe UI"/>
          <w:szCs w:val="20"/>
        </w:rPr>
        <w:t>3</w:t>
      </w:r>
      <w:r>
        <w:rPr>
          <w:rFonts w:cs="Segoe UI"/>
          <w:szCs w:val="20"/>
        </w:rPr>
        <w:t>1)</w:t>
      </w:r>
      <w:r w:rsidRPr="0034051F">
        <w:rPr>
          <w:rFonts w:cs="Segoe UI"/>
          <w:b/>
          <w:szCs w:val="20"/>
        </w:rPr>
        <w:t>.</w:t>
      </w:r>
      <w:r>
        <w:rPr>
          <w:rFonts w:cs="Segoe UI"/>
          <w:szCs w:val="20"/>
        </w:rPr>
        <w:t xml:space="preserve"> Príčinou bolo nižšie čerpanie </w:t>
      </w:r>
      <w:r w:rsidRPr="00713195">
        <w:rPr>
          <w:rFonts w:cs="Segoe UI"/>
          <w:szCs w:val="20"/>
        </w:rPr>
        <w:t>pomoci v hmotnej núdzi</w:t>
      </w:r>
      <w:r>
        <w:rPr>
          <w:rFonts w:cs="Segoe UI"/>
          <w:szCs w:val="20"/>
        </w:rPr>
        <w:t xml:space="preserve"> (84,5 % rozpočtu) a podprogramu </w:t>
      </w:r>
      <w:r>
        <w:rPr>
          <w:rFonts w:cs="Segoe UI"/>
          <w:i/>
          <w:szCs w:val="20"/>
        </w:rPr>
        <w:t>P</w:t>
      </w:r>
      <w:r w:rsidRPr="007D3345">
        <w:rPr>
          <w:rFonts w:cs="Segoe UI"/>
          <w:i/>
          <w:szCs w:val="20"/>
        </w:rPr>
        <w:t>odpora rodiny</w:t>
      </w:r>
      <w:r>
        <w:rPr>
          <w:rFonts w:cs="Segoe UI"/>
          <w:szCs w:val="20"/>
        </w:rPr>
        <w:t xml:space="preserve"> (89,9 % rozpočtu)</w:t>
      </w:r>
      <w:r w:rsidRPr="005C4FAC">
        <w:rPr>
          <w:rFonts w:cs="Segoe UI"/>
          <w:szCs w:val="20"/>
        </w:rPr>
        <w:t xml:space="preserve">. </w:t>
      </w:r>
      <w:r>
        <w:rPr>
          <w:rFonts w:cs="Segoe UI"/>
          <w:szCs w:val="20"/>
        </w:rPr>
        <w:t xml:space="preserve">V oblasti sociálnej inklúzie sa príspevok na zvýšenú splátku úveru na bývanie vyčerpal na 26 %, z rozpočtovanej sumy 64 mil. eur sa podarilo minúť len 16,7 mil. eur. </w:t>
      </w:r>
      <w:r w:rsidR="00550500">
        <w:rPr>
          <w:rFonts w:cs="Segoe UI"/>
          <w:szCs w:val="20"/>
        </w:rPr>
        <w:t>Výdavky p</w:t>
      </w:r>
      <w:r w:rsidR="001E63E8" w:rsidRPr="005C4FAC">
        <w:rPr>
          <w:rFonts w:cs="Segoe UI"/>
          <w:szCs w:val="20"/>
        </w:rPr>
        <w:t>rogram</w:t>
      </w:r>
      <w:r w:rsidR="00550500">
        <w:rPr>
          <w:rFonts w:cs="Segoe UI"/>
          <w:szCs w:val="20"/>
        </w:rPr>
        <w:t>u</w:t>
      </w:r>
      <w:r w:rsidR="001E63E8" w:rsidRPr="005C4FAC">
        <w:rPr>
          <w:rFonts w:cs="Segoe UI"/>
          <w:szCs w:val="20"/>
        </w:rPr>
        <w:t xml:space="preserve"> </w:t>
      </w:r>
      <w:r w:rsidR="001E63E8">
        <w:rPr>
          <w:rFonts w:cs="Segoe UI"/>
          <w:i/>
          <w:szCs w:val="20"/>
        </w:rPr>
        <w:t>T</w:t>
      </w:r>
      <w:r w:rsidR="001E63E8" w:rsidRPr="007D3345">
        <w:rPr>
          <w:rFonts w:cs="Segoe UI"/>
          <w:i/>
          <w:szCs w:val="20"/>
        </w:rPr>
        <w:t>vorba a implementácia politík</w:t>
      </w:r>
      <w:r w:rsidR="001E63E8" w:rsidRPr="005C4FAC">
        <w:rPr>
          <w:rFonts w:cs="Segoe UI"/>
          <w:szCs w:val="20"/>
        </w:rPr>
        <w:t xml:space="preserve"> </w:t>
      </w:r>
      <w:r w:rsidR="001E63E8">
        <w:rPr>
          <w:rFonts w:cs="Segoe UI"/>
          <w:szCs w:val="20"/>
        </w:rPr>
        <w:t>stúpl</w:t>
      </w:r>
      <w:r w:rsidR="00550500">
        <w:rPr>
          <w:rFonts w:cs="Segoe UI"/>
          <w:szCs w:val="20"/>
        </w:rPr>
        <w:t>i</w:t>
      </w:r>
      <w:r w:rsidR="001E63E8">
        <w:rPr>
          <w:rFonts w:cs="Segoe UI"/>
          <w:szCs w:val="20"/>
        </w:rPr>
        <w:t xml:space="preserve"> o takmer 10 % oproti roku 2023 a v porovnaní s rozpočtom </w:t>
      </w:r>
      <w:r w:rsidR="001E63E8" w:rsidRPr="005C4FAC">
        <w:rPr>
          <w:rFonts w:cs="Segoe UI"/>
          <w:szCs w:val="20"/>
        </w:rPr>
        <w:t>bol</w:t>
      </w:r>
      <w:r w:rsidR="00550500">
        <w:rPr>
          <w:rFonts w:cs="Segoe UI"/>
          <w:szCs w:val="20"/>
        </w:rPr>
        <w:t>i</w:t>
      </w:r>
      <w:r w:rsidR="001E63E8" w:rsidRPr="005C4FAC">
        <w:rPr>
          <w:rFonts w:cs="Segoe UI"/>
          <w:szCs w:val="20"/>
        </w:rPr>
        <w:t xml:space="preserve"> </w:t>
      </w:r>
      <w:r w:rsidR="001E63E8">
        <w:rPr>
          <w:rFonts w:cs="Segoe UI"/>
          <w:szCs w:val="20"/>
        </w:rPr>
        <w:t>vyšš</w:t>
      </w:r>
      <w:r w:rsidR="00550500">
        <w:rPr>
          <w:rFonts w:cs="Segoe UI"/>
          <w:szCs w:val="20"/>
        </w:rPr>
        <w:t>ie</w:t>
      </w:r>
      <w:r w:rsidR="001E63E8" w:rsidRPr="005C4FAC">
        <w:rPr>
          <w:rFonts w:cs="Segoe UI"/>
          <w:szCs w:val="20"/>
        </w:rPr>
        <w:t xml:space="preserve"> o 3,6 %. </w:t>
      </w:r>
      <w:r w:rsidR="00BC2323" w:rsidRPr="005C4FAC">
        <w:rPr>
          <w:rFonts w:cs="Segoe UI"/>
          <w:szCs w:val="20"/>
        </w:rPr>
        <w:t>Ostatné progra</w:t>
      </w:r>
      <w:r w:rsidR="00BC2323">
        <w:rPr>
          <w:rFonts w:cs="Segoe UI"/>
          <w:szCs w:val="20"/>
        </w:rPr>
        <w:t>my sa síce medziročne zvýšili len o 1,8 %</w:t>
      </w:r>
      <w:r>
        <w:rPr>
          <w:rFonts w:cs="Segoe UI"/>
          <w:szCs w:val="20"/>
        </w:rPr>
        <w:t>,</w:t>
      </w:r>
      <w:r w:rsidR="00BC2323">
        <w:rPr>
          <w:rFonts w:cs="Segoe UI"/>
          <w:szCs w:val="20"/>
        </w:rPr>
        <w:t xml:space="preserve"> avšak rozpočet prekročili o 28,4 %</w:t>
      </w:r>
      <w:r w:rsidR="00BC2323" w:rsidRPr="005C4FAC">
        <w:rPr>
          <w:rFonts w:cs="Segoe UI"/>
          <w:szCs w:val="20"/>
        </w:rPr>
        <w:t xml:space="preserve">, čo bolo spôsobené </w:t>
      </w:r>
      <w:r w:rsidR="00BC2323">
        <w:rPr>
          <w:rFonts w:cs="Segoe UI"/>
          <w:szCs w:val="20"/>
        </w:rPr>
        <w:t>navýšením</w:t>
      </w:r>
      <w:r w:rsidR="00BC2323" w:rsidRPr="005C4FAC">
        <w:rPr>
          <w:rFonts w:cs="Segoe UI"/>
          <w:szCs w:val="20"/>
        </w:rPr>
        <w:t xml:space="preserve"> rozpočtu v</w:t>
      </w:r>
      <w:r w:rsidR="00BC2323">
        <w:rPr>
          <w:rFonts w:cs="Segoe UI"/>
          <w:szCs w:val="20"/>
        </w:rPr>
        <w:t xml:space="preserve"> podprograme</w:t>
      </w:r>
      <w:r w:rsidR="00BC2323" w:rsidRPr="005C4FAC">
        <w:rPr>
          <w:rFonts w:cs="Segoe UI"/>
          <w:szCs w:val="20"/>
        </w:rPr>
        <w:t xml:space="preserve"> </w:t>
      </w:r>
      <w:r w:rsidR="00BC2323">
        <w:rPr>
          <w:rFonts w:eastAsia="Times New Roman" w:cs="Segoe UI"/>
          <w:bCs/>
          <w:i/>
          <w:szCs w:val="20"/>
          <w:lang w:eastAsia="sk-SK"/>
        </w:rPr>
        <w:t>I</w:t>
      </w:r>
      <w:r w:rsidR="00BC2323" w:rsidRPr="007D3345">
        <w:rPr>
          <w:rFonts w:eastAsia="Times New Roman" w:cs="Segoe UI"/>
          <w:bCs/>
          <w:i/>
          <w:szCs w:val="20"/>
          <w:lang w:eastAsia="sk-SK"/>
        </w:rPr>
        <w:t xml:space="preserve">nformačné technológie financované zo </w:t>
      </w:r>
      <w:r w:rsidR="00C40A79">
        <w:rPr>
          <w:rFonts w:eastAsia="Times New Roman" w:cs="Segoe UI"/>
          <w:bCs/>
          <w:i/>
          <w:szCs w:val="20"/>
          <w:lang w:eastAsia="sk-SK"/>
        </w:rPr>
        <w:t>ŠR</w:t>
      </w:r>
      <w:r w:rsidR="00BC2323">
        <w:rPr>
          <w:rFonts w:eastAsia="Times New Roman" w:cs="Segoe UI"/>
          <w:bCs/>
          <w:szCs w:val="20"/>
          <w:lang w:eastAsia="sk-SK"/>
        </w:rPr>
        <w:t xml:space="preserve"> o 6 mil. eur.</w:t>
      </w:r>
    </w:p>
    <w:p w14:paraId="11FED0D0" w14:textId="1D5F471B" w:rsidR="00C40A79" w:rsidRPr="0034051F" w:rsidRDefault="00C40A79" w:rsidP="00C40A79">
      <w:r w:rsidRPr="007D3345">
        <w:rPr>
          <w:rFonts w:cs="Segoe UI"/>
          <w:b/>
          <w:szCs w:val="20"/>
        </w:rPr>
        <w:lastRenderedPageBreak/>
        <w:t xml:space="preserve">Výdavky na podporu rodiny sa medziročne zvýšili o 7,2 % </w:t>
      </w:r>
      <w:r>
        <w:rPr>
          <w:rFonts w:cs="Segoe UI"/>
          <w:b/>
          <w:szCs w:val="20"/>
        </w:rPr>
        <w:t>n</w:t>
      </w:r>
      <w:r w:rsidRPr="007D3345">
        <w:rPr>
          <w:rFonts w:cs="Segoe UI"/>
          <w:b/>
          <w:szCs w:val="20"/>
        </w:rPr>
        <w:t xml:space="preserve">a 2 198,4 mil. eur, </w:t>
      </w:r>
      <w:r>
        <w:rPr>
          <w:rFonts w:cs="Segoe UI"/>
          <w:b/>
          <w:szCs w:val="20"/>
        </w:rPr>
        <w:t xml:space="preserve">avšak </w:t>
      </w:r>
      <w:r w:rsidRPr="007D3345">
        <w:rPr>
          <w:rFonts w:cs="Segoe UI"/>
          <w:b/>
          <w:szCs w:val="20"/>
        </w:rPr>
        <w:t>oproti rozpočtu boli nižšie o 10,1 %</w:t>
      </w:r>
      <w:r>
        <w:rPr>
          <w:rFonts w:cs="Segoe UI"/>
          <w:szCs w:val="20"/>
        </w:rPr>
        <w:t xml:space="preserve"> (graf 32)</w:t>
      </w:r>
      <w:r w:rsidRPr="007D3345">
        <w:rPr>
          <w:rFonts w:cs="Segoe UI"/>
          <w:b/>
          <w:szCs w:val="20"/>
        </w:rPr>
        <w:t>.</w:t>
      </w:r>
      <w:r>
        <w:rPr>
          <w:rFonts w:cs="Segoe UI"/>
          <w:szCs w:val="20"/>
        </w:rPr>
        <w:t xml:space="preserve"> Dominovali prídavok na dieťa a rodičovský príspevok, ktoré tvorili  67,8 % skutočných výdavkoch na podporu rodiny a štátom platené poistné s 22,2</w:t>
      </w:r>
      <w:r w:rsidR="00D5363A">
        <w:rPr>
          <w:rFonts w:cs="Segoe UI"/>
          <w:szCs w:val="20"/>
        </w:rPr>
        <w:t xml:space="preserve"> %</w:t>
      </w:r>
      <w:r>
        <w:rPr>
          <w:rFonts w:cs="Segoe UI"/>
          <w:szCs w:val="20"/>
        </w:rPr>
        <w:t xml:space="preserve"> podielom. Dotácia na podporu výchovy k stravovacím návykom dieťaťa zaznamenala najvyšší medziročný nárast </w:t>
      </w:r>
      <w:r w:rsidR="00741DFC" w:rsidRPr="00A97EA6">
        <w:rPr>
          <w:rFonts w:eastAsia="Times New Roman" w:cs="Segoe UI"/>
          <w:color w:val="000000"/>
          <w:szCs w:val="20"/>
          <w:lang w:eastAsia="sk-SK"/>
        </w:rPr>
        <w:t>–</w:t>
      </w:r>
      <w:r w:rsidR="00741DFC">
        <w:rPr>
          <w:rFonts w:eastAsia="Times New Roman" w:cs="Segoe UI"/>
          <w:color w:val="000000"/>
          <w:szCs w:val="20"/>
          <w:lang w:eastAsia="sk-SK"/>
        </w:rPr>
        <w:t xml:space="preserve"> </w:t>
      </w:r>
      <w:r>
        <w:rPr>
          <w:rFonts w:cs="Segoe UI"/>
          <w:szCs w:val="20"/>
        </w:rPr>
        <w:t>o 58,6 %</w:t>
      </w:r>
      <w:r w:rsidR="00741DFC">
        <w:rPr>
          <w:rFonts w:cs="Segoe UI"/>
          <w:szCs w:val="20"/>
        </w:rPr>
        <w:t>,</w:t>
      </w:r>
      <w:r>
        <w:rPr>
          <w:rFonts w:cs="Segoe UI"/>
          <w:szCs w:val="20"/>
        </w:rPr>
        <w:t xml:space="preserve"> z dôvodu rozšírenia okruhu oprávnených detí a oprávnených žiadateľov o poskytnutie dotácie na stravu od septembra 2023.</w:t>
      </w:r>
    </w:p>
    <w:p w14:paraId="216E3E2F" w14:textId="1CF09D91" w:rsidR="00BC2323" w:rsidRPr="00987D5D" w:rsidRDefault="00BC2323" w:rsidP="00FE75BD">
      <w:pPr>
        <w:pStyle w:val="Popis"/>
        <w:keepNext/>
        <w:spacing w:line="276" w:lineRule="auto"/>
        <w:rPr>
          <w:color w:val="314364"/>
        </w:rPr>
      </w:pPr>
      <w:r w:rsidRPr="00987D5D">
        <w:rPr>
          <w:color w:val="314364"/>
        </w:rPr>
        <w:t xml:space="preserve">Graf </w:t>
      </w:r>
      <w:r w:rsidR="00C40A79">
        <w:rPr>
          <w:color w:val="314364"/>
        </w:rPr>
        <w:t>32</w:t>
      </w:r>
      <w:r w:rsidRPr="00987D5D">
        <w:rPr>
          <w:color w:val="314364"/>
        </w:rPr>
        <w:t xml:space="preserve">: </w:t>
      </w:r>
      <w:r>
        <w:rPr>
          <w:color w:val="314364"/>
        </w:rPr>
        <w:t xml:space="preserve">Výdavky na podporu rodiny v kapitole MPSVR SR </w:t>
      </w:r>
      <w:r w:rsidRPr="00987D5D">
        <w:rPr>
          <w:color w:val="314364"/>
        </w:rPr>
        <w:t>(</w:t>
      </w:r>
      <w:r>
        <w:rPr>
          <w:color w:val="314364"/>
        </w:rPr>
        <w:t>v mil. eur)</w:t>
      </w:r>
    </w:p>
    <w:tbl>
      <w:tblPr>
        <w:tblStyle w:val="Mriekatabuky"/>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2"/>
      </w:tblGrid>
      <w:tr w:rsidR="00BC2323" w:rsidRPr="000F43AE" w14:paraId="496B7221" w14:textId="77777777" w:rsidTr="003D11A6">
        <w:trPr>
          <w:trHeight w:val="2835"/>
        </w:trPr>
        <w:tc>
          <w:tcPr>
            <w:tcW w:w="9071" w:type="dxa"/>
            <w:tcBorders>
              <w:top w:val="single" w:sz="4" w:space="0" w:color="314364"/>
              <w:bottom w:val="single" w:sz="4" w:space="0" w:color="314364"/>
            </w:tcBorders>
            <w:vAlign w:val="center"/>
          </w:tcPr>
          <w:p w14:paraId="1D546320" w14:textId="77777777" w:rsidR="00BC2323" w:rsidRPr="000F43AE" w:rsidRDefault="00BC2323" w:rsidP="003D11A6">
            <w:pPr>
              <w:spacing w:after="0"/>
              <w:rPr>
                <w:b/>
                <w:color w:val="576431"/>
                <w:highlight w:val="yellow"/>
              </w:rPr>
            </w:pPr>
            <w:r>
              <w:rPr>
                <w:noProof/>
                <w:lang w:eastAsia="sk-SK"/>
              </w:rPr>
              <w:drawing>
                <wp:inline distT="0" distB="0" distL="0" distR="0" wp14:anchorId="68107F72" wp14:editId="1974C8D2">
                  <wp:extent cx="5648325" cy="1799590"/>
                  <wp:effectExtent l="0" t="0" r="0" b="0"/>
                  <wp:docPr id="21" name="Graf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14:paraId="3A063BF9" w14:textId="096D1BFA" w:rsidR="00BC2323" w:rsidRDefault="00BC2323" w:rsidP="00BC2323">
      <w:pPr>
        <w:pStyle w:val="Zdroj"/>
        <w:spacing w:line="276" w:lineRule="auto"/>
        <w:rPr>
          <w:highlight w:val="yellow"/>
        </w:rPr>
      </w:pPr>
      <w:r>
        <w:t>Zdroj: MPSVR SR</w:t>
      </w:r>
      <w:r w:rsidR="00C10075">
        <w:t>.</w:t>
      </w:r>
    </w:p>
    <w:p w14:paraId="2966919B" w14:textId="31C945DF" w:rsidR="000E227B" w:rsidRDefault="000E227B" w:rsidP="000E227B">
      <w:pPr>
        <w:rPr>
          <w:rFonts w:cs="Segoe UI"/>
          <w:b/>
          <w:szCs w:val="20"/>
        </w:rPr>
      </w:pPr>
      <w:r>
        <w:rPr>
          <w:rFonts w:cs="Segoe UI"/>
          <w:b/>
          <w:szCs w:val="20"/>
        </w:rPr>
        <w:t>Aj napriek zvýšeným výdavkom na podporu rodiny</w:t>
      </w:r>
      <w:r w:rsidRPr="007D3345">
        <w:rPr>
          <w:rFonts w:cs="Segoe UI"/>
          <w:b/>
          <w:szCs w:val="20"/>
        </w:rPr>
        <w:t xml:space="preserve"> súčasná </w:t>
      </w:r>
      <w:r>
        <w:rPr>
          <w:rFonts w:cs="Segoe UI"/>
          <w:b/>
          <w:szCs w:val="20"/>
        </w:rPr>
        <w:t xml:space="preserve">štátna rodinná </w:t>
      </w:r>
      <w:r w:rsidRPr="007D3345">
        <w:rPr>
          <w:rFonts w:cs="Segoe UI"/>
          <w:b/>
          <w:szCs w:val="20"/>
        </w:rPr>
        <w:t xml:space="preserve">politika nestačí na zastavenie nepriaznivého vývoja pôrodnosti. </w:t>
      </w:r>
      <w:r w:rsidRPr="009167E4">
        <w:rPr>
          <w:rFonts w:cs="Segoe UI"/>
          <w:szCs w:val="20"/>
        </w:rPr>
        <w:t xml:space="preserve">Hrubá miera </w:t>
      </w:r>
      <w:proofErr w:type="spellStart"/>
      <w:r w:rsidRPr="009167E4">
        <w:rPr>
          <w:rFonts w:cs="Segoe UI"/>
          <w:szCs w:val="20"/>
        </w:rPr>
        <w:t>živorodenosti</w:t>
      </w:r>
      <w:proofErr w:type="spellEnd"/>
      <w:r w:rsidRPr="009167E4">
        <w:rPr>
          <w:rFonts w:cs="Segoe UI"/>
          <w:szCs w:val="20"/>
        </w:rPr>
        <w:t xml:space="preserve"> klesá už tretí rok </w:t>
      </w:r>
      <w:r>
        <w:rPr>
          <w:rFonts w:cs="Segoe UI"/>
          <w:szCs w:val="20"/>
        </w:rPr>
        <w:t>po sebe</w:t>
      </w:r>
      <w:r w:rsidRPr="009167E4">
        <w:rPr>
          <w:rFonts w:cs="Segoe UI"/>
          <w:szCs w:val="20"/>
        </w:rPr>
        <w:t xml:space="preserve"> a dostala sa na najnižšiu úroveň 853 živonarodených detí na 100 tisíc obyvateľov za posledných 100 rokov</w:t>
      </w:r>
      <w:r>
        <w:rPr>
          <w:rFonts w:cs="Segoe UI"/>
          <w:szCs w:val="20"/>
        </w:rPr>
        <w:t xml:space="preserve"> (graf </w:t>
      </w:r>
      <w:r w:rsidR="00720678">
        <w:rPr>
          <w:rFonts w:cs="Segoe UI"/>
          <w:szCs w:val="20"/>
        </w:rPr>
        <w:t>33</w:t>
      </w:r>
      <w:r>
        <w:rPr>
          <w:rFonts w:cs="Segoe UI"/>
          <w:szCs w:val="20"/>
        </w:rPr>
        <w:t>)</w:t>
      </w:r>
      <w:r w:rsidRPr="009167E4">
        <w:rPr>
          <w:rFonts w:cs="Segoe UI"/>
          <w:szCs w:val="20"/>
        </w:rPr>
        <w:t>.</w:t>
      </w:r>
      <w:r>
        <w:rPr>
          <w:rFonts w:cs="Segoe UI"/>
          <w:szCs w:val="20"/>
        </w:rPr>
        <w:t xml:space="preserve"> </w:t>
      </w:r>
      <w:r w:rsidRPr="000E227B">
        <w:rPr>
          <w:rFonts w:cs="Segoe UI"/>
          <w:b/>
          <w:szCs w:val="20"/>
        </w:rPr>
        <w:t>NKÚ SR preto upozorňuje na nutnosť zamyslieť sa nad novými nástrojmi na podporu rodín s deťmi v súvislosti so zhoršujúcou sa demografickou situáciou na Slovensku.</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533"/>
        <w:gridCol w:w="4537"/>
      </w:tblGrid>
      <w:tr w:rsidR="000E227B" w:rsidRPr="006647A7" w14:paraId="38088B32" w14:textId="77777777" w:rsidTr="003D11A6">
        <w:trPr>
          <w:trHeight w:val="567"/>
        </w:trPr>
        <w:tc>
          <w:tcPr>
            <w:tcW w:w="2499" w:type="pct"/>
            <w:tcBorders>
              <w:bottom w:val="single" w:sz="4" w:space="0" w:color="314364"/>
            </w:tcBorders>
            <w:vAlign w:val="center"/>
          </w:tcPr>
          <w:p w14:paraId="66A165A8" w14:textId="6C4C18B9" w:rsidR="000E227B" w:rsidRPr="006647A7" w:rsidRDefault="000E227B" w:rsidP="00720678">
            <w:pPr>
              <w:keepNext/>
              <w:spacing w:after="0"/>
              <w:ind w:right="150"/>
              <w:jc w:val="left"/>
              <w:rPr>
                <w:b/>
                <w:iCs/>
                <w:noProof/>
                <w:color w:val="314364" w:themeColor="text2"/>
                <w:szCs w:val="18"/>
                <w:lang w:eastAsia="sk-SK"/>
              </w:rPr>
            </w:pPr>
            <w:r w:rsidRPr="006647A7">
              <w:rPr>
                <w:b/>
                <w:iCs/>
                <w:color w:val="314364"/>
                <w:szCs w:val="18"/>
              </w:rPr>
              <w:t xml:space="preserve">Graf </w:t>
            </w:r>
            <w:r w:rsidR="00720678">
              <w:rPr>
                <w:b/>
                <w:iCs/>
                <w:color w:val="314364"/>
                <w:szCs w:val="18"/>
              </w:rPr>
              <w:t>33</w:t>
            </w:r>
            <w:r w:rsidRPr="006647A7">
              <w:rPr>
                <w:b/>
                <w:iCs/>
                <w:color w:val="314364"/>
                <w:szCs w:val="18"/>
              </w:rPr>
              <w:t xml:space="preserve">: </w:t>
            </w:r>
            <w:r>
              <w:rPr>
                <w:b/>
                <w:iCs/>
                <w:color w:val="314364"/>
                <w:szCs w:val="18"/>
              </w:rPr>
              <w:t xml:space="preserve">Hrubá miera </w:t>
            </w:r>
            <w:proofErr w:type="spellStart"/>
            <w:r>
              <w:rPr>
                <w:b/>
                <w:iCs/>
                <w:color w:val="314364"/>
                <w:szCs w:val="18"/>
              </w:rPr>
              <w:t>živorodenosti</w:t>
            </w:r>
            <w:proofErr w:type="spellEnd"/>
            <w:r>
              <w:rPr>
                <w:b/>
                <w:iCs/>
                <w:color w:val="314364"/>
                <w:szCs w:val="18"/>
              </w:rPr>
              <w:t xml:space="preserve"> (2000 </w:t>
            </w:r>
            <w:r w:rsidR="00741DFC" w:rsidRPr="00D5363A">
              <w:rPr>
                <w:rFonts w:eastAsia="Times New Roman" w:cs="Segoe UI"/>
                <w:b/>
                <w:bCs/>
                <w:color w:val="000000"/>
                <w:szCs w:val="20"/>
                <w:lang w:eastAsia="sk-SK"/>
              </w:rPr>
              <w:t>–</w:t>
            </w:r>
            <w:r>
              <w:rPr>
                <w:b/>
                <w:iCs/>
                <w:color w:val="314364"/>
                <w:szCs w:val="18"/>
              </w:rPr>
              <w:t xml:space="preserve"> 2024</w:t>
            </w:r>
            <w:r w:rsidR="00741DFC">
              <w:rPr>
                <w:b/>
                <w:iCs/>
                <w:color w:val="314364"/>
                <w:szCs w:val="18"/>
              </w:rPr>
              <w:t xml:space="preserve">; </w:t>
            </w:r>
            <w:r w:rsidR="007D3FEB">
              <w:rPr>
                <w:b/>
                <w:iCs/>
                <w:color w:val="314364"/>
                <w:szCs w:val="18"/>
              </w:rPr>
              <w:t xml:space="preserve">v </w:t>
            </w:r>
            <w:r>
              <w:rPr>
                <w:rFonts w:cs="Segoe UI"/>
                <w:b/>
                <w:iCs/>
                <w:color w:val="314364"/>
                <w:szCs w:val="18"/>
              </w:rPr>
              <w:t>‰</w:t>
            </w:r>
            <w:r w:rsidRPr="006647A7">
              <w:rPr>
                <w:b/>
                <w:iCs/>
                <w:color w:val="314364"/>
                <w:szCs w:val="18"/>
              </w:rPr>
              <w:t xml:space="preserve">)  </w:t>
            </w:r>
          </w:p>
        </w:tc>
        <w:tc>
          <w:tcPr>
            <w:tcW w:w="2501" w:type="pct"/>
            <w:tcBorders>
              <w:bottom w:val="single" w:sz="4" w:space="0" w:color="314364"/>
            </w:tcBorders>
            <w:vAlign w:val="center"/>
          </w:tcPr>
          <w:p w14:paraId="58C5D1A5" w14:textId="20BDC783" w:rsidR="000E227B" w:rsidRPr="006647A7" w:rsidRDefault="000E227B" w:rsidP="00720678">
            <w:pPr>
              <w:keepNext/>
              <w:spacing w:after="0"/>
              <w:jc w:val="left"/>
              <w:rPr>
                <w:b/>
                <w:iCs/>
                <w:color w:val="314364"/>
                <w:szCs w:val="18"/>
              </w:rPr>
            </w:pPr>
            <w:r w:rsidRPr="006647A7">
              <w:rPr>
                <w:b/>
                <w:iCs/>
                <w:color w:val="314364"/>
                <w:szCs w:val="18"/>
              </w:rPr>
              <w:t xml:space="preserve">Graf </w:t>
            </w:r>
            <w:r w:rsidR="00720678">
              <w:rPr>
                <w:b/>
                <w:iCs/>
                <w:color w:val="314364"/>
                <w:szCs w:val="18"/>
              </w:rPr>
              <w:t>3</w:t>
            </w:r>
            <w:r w:rsidR="00C74CE7">
              <w:rPr>
                <w:b/>
                <w:iCs/>
                <w:color w:val="314364"/>
                <w:szCs w:val="18"/>
              </w:rPr>
              <w:t>4</w:t>
            </w:r>
            <w:r w:rsidRPr="006647A7">
              <w:rPr>
                <w:b/>
                <w:iCs/>
                <w:color w:val="314364"/>
                <w:szCs w:val="18"/>
              </w:rPr>
              <w:t xml:space="preserve">: </w:t>
            </w:r>
            <w:r>
              <w:rPr>
                <w:b/>
                <w:iCs/>
                <w:color w:val="314364"/>
                <w:szCs w:val="18"/>
              </w:rPr>
              <w:t>Miera rizika chudoby alebo sociálneho vylúčenia (2015 – 2023</w:t>
            </w:r>
            <w:r w:rsidR="00741DFC">
              <w:rPr>
                <w:b/>
                <w:iCs/>
                <w:color w:val="314364"/>
                <w:szCs w:val="18"/>
              </w:rPr>
              <w:t>;</w:t>
            </w:r>
            <w:r w:rsidR="00741DFC" w:rsidRPr="006647A7">
              <w:rPr>
                <w:b/>
                <w:iCs/>
                <w:color w:val="314364"/>
                <w:szCs w:val="18"/>
              </w:rPr>
              <w:t xml:space="preserve"> </w:t>
            </w:r>
            <w:r w:rsidR="00741DFC">
              <w:rPr>
                <w:b/>
                <w:iCs/>
                <w:color w:val="314364"/>
                <w:szCs w:val="18"/>
              </w:rPr>
              <w:t xml:space="preserve">v </w:t>
            </w:r>
            <w:r>
              <w:rPr>
                <w:b/>
                <w:iCs/>
                <w:color w:val="314364"/>
                <w:szCs w:val="18"/>
              </w:rPr>
              <w:t>%</w:t>
            </w:r>
            <w:r w:rsidRPr="006647A7">
              <w:rPr>
                <w:b/>
                <w:iCs/>
                <w:color w:val="314364"/>
                <w:szCs w:val="18"/>
              </w:rPr>
              <w:t xml:space="preserve">)  </w:t>
            </w:r>
          </w:p>
        </w:tc>
      </w:tr>
      <w:tr w:rsidR="000E227B" w:rsidRPr="006647A7" w14:paraId="7908D0B4" w14:textId="77777777" w:rsidTr="003D11A6">
        <w:trPr>
          <w:trHeight w:val="567"/>
        </w:trPr>
        <w:tc>
          <w:tcPr>
            <w:tcW w:w="5000" w:type="pct"/>
            <w:gridSpan w:val="2"/>
            <w:tcBorders>
              <w:top w:val="single" w:sz="4" w:space="0" w:color="314364"/>
              <w:bottom w:val="single" w:sz="4" w:space="0" w:color="314364"/>
            </w:tcBorders>
            <w:vAlign w:val="center"/>
          </w:tcPr>
          <w:p w14:paraId="3AD0D85A" w14:textId="77777777" w:rsidR="000E227B" w:rsidRPr="006647A7" w:rsidRDefault="000E227B" w:rsidP="003D11A6">
            <w:pPr>
              <w:spacing w:after="0"/>
              <w:rPr>
                <w:b/>
                <w:color w:val="576431"/>
              </w:rPr>
            </w:pPr>
            <w:r>
              <w:rPr>
                <w:noProof/>
                <w:lang w:eastAsia="sk-SK"/>
              </w:rPr>
              <w:drawing>
                <wp:inline distT="0" distB="0" distL="0" distR="0" wp14:anchorId="216ADA59" wp14:editId="289AFF9D">
                  <wp:extent cx="2781300" cy="1799590"/>
                  <wp:effectExtent l="0" t="0" r="0" b="0"/>
                  <wp:docPr id="33" name="Graf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r w:rsidRPr="006647A7">
              <w:rPr>
                <w:noProof/>
                <w:lang w:eastAsia="sk-SK"/>
              </w:rPr>
              <w:t xml:space="preserve"> </w:t>
            </w:r>
            <w:r>
              <w:rPr>
                <w:noProof/>
                <w:lang w:eastAsia="sk-SK"/>
              </w:rPr>
              <w:t xml:space="preserve"> </w:t>
            </w:r>
            <w:r>
              <w:rPr>
                <w:noProof/>
                <w:lang w:eastAsia="sk-SK"/>
              </w:rPr>
              <w:drawing>
                <wp:inline distT="0" distB="0" distL="0" distR="0" wp14:anchorId="17BCDB24" wp14:editId="2F0BDB88">
                  <wp:extent cx="2808000" cy="1799590"/>
                  <wp:effectExtent l="0" t="0" r="0" b="0"/>
                  <wp:docPr id="34" name="Graf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bl>
    <w:p w14:paraId="623B8BB0" w14:textId="252674DA" w:rsidR="000E227B" w:rsidRPr="00D56A89" w:rsidRDefault="000E227B" w:rsidP="003D11A6">
      <w:pPr>
        <w:pStyle w:val="Zdroj"/>
        <w:rPr>
          <w:szCs w:val="20"/>
        </w:rPr>
      </w:pPr>
      <w:r w:rsidRPr="006647A7">
        <w:t xml:space="preserve">Zdroj: </w:t>
      </w:r>
      <w:r>
        <w:t>ŠÚ SR, Eurostat</w:t>
      </w:r>
      <w:r w:rsidR="00C10075">
        <w:t>.</w:t>
      </w:r>
      <w:r w:rsidRPr="00D56A89">
        <w:rPr>
          <w:szCs w:val="20"/>
        </w:rPr>
        <w:t xml:space="preserve"> </w:t>
      </w:r>
    </w:p>
    <w:p w14:paraId="5EAAD1D7" w14:textId="653D39C5" w:rsidR="000E227B" w:rsidRDefault="000E227B" w:rsidP="000E227B">
      <w:pPr>
        <w:rPr>
          <w:rFonts w:cs="Segoe UI"/>
          <w:szCs w:val="20"/>
        </w:rPr>
      </w:pPr>
      <w:r w:rsidRPr="000E227B">
        <w:rPr>
          <w:rFonts w:cs="Segoe UI"/>
          <w:b/>
          <w:szCs w:val="20"/>
        </w:rPr>
        <w:t>Nepriaznivý vývoj vykazuje aj mier</w:t>
      </w:r>
      <w:r w:rsidR="000D06ED">
        <w:rPr>
          <w:rFonts w:cs="Segoe UI"/>
          <w:b/>
          <w:szCs w:val="20"/>
        </w:rPr>
        <w:t>a</w:t>
      </w:r>
      <w:r w:rsidRPr="000E227B">
        <w:rPr>
          <w:rFonts w:cs="Segoe UI"/>
          <w:b/>
          <w:szCs w:val="20"/>
        </w:rPr>
        <w:t xml:space="preserve"> rizika chudoby alebo sociálneho vylúčenia, ktor</w:t>
      </w:r>
      <w:r w:rsidR="000D06ED">
        <w:rPr>
          <w:rFonts w:cs="Segoe UI"/>
          <w:b/>
          <w:szCs w:val="20"/>
        </w:rPr>
        <w:t>á</w:t>
      </w:r>
      <w:r w:rsidRPr="000E227B">
        <w:rPr>
          <w:rFonts w:cs="Segoe UI"/>
          <w:b/>
          <w:szCs w:val="20"/>
        </w:rPr>
        <w:t xml:space="preserve"> </w:t>
      </w:r>
      <w:r>
        <w:rPr>
          <w:rFonts w:cs="Segoe UI"/>
          <w:b/>
          <w:szCs w:val="20"/>
        </w:rPr>
        <w:t xml:space="preserve">od roku 2020 </w:t>
      </w:r>
      <w:r w:rsidRPr="000E227B">
        <w:rPr>
          <w:rFonts w:cs="Segoe UI"/>
          <w:b/>
          <w:szCs w:val="20"/>
        </w:rPr>
        <w:t>stúpa</w:t>
      </w:r>
      <w:r>
        <w:rPr>
          <w:rFonts w:cs="Segoe UI"/>
          <w:b/>
          <w:szCs w:val="20"/>
        </w:rPr>
        <w:t xml:space="preserve"> </w:t>
      </w:r>
      <w:r>
        <w:rPr>
          <w:rFonts w:cs="Segoe UI"/>
          <w:szCs w:val="20"/>
        </w:rPr>
        <w:t xml:space="preserve">(graf </w:t>
      </w:r>
      <w:r w:rsidR="00720678">
        <w:rPr>
          <w:rFonts w:cs="Segoe UI"/>
          <w:szCs w:val="20"/>
        </w:rPr>
        <w:t>3</w:t>
      </w:r>
      <w:r w:rsidR="00C74CE7">
        <w:rPr>
          <w:rFonts w:cs="Segoe UI"/>
          <w:szCs w:val="20"/>
        </w:rPr>
        <w:t>4</w:t>
      </w:r>
      <w:r w:rsidR="00720678">
        <w:rPr>
          <w:rFonts w:cs="Segoe UI"/>
          <w:szCs w:val="20"/>
        </w:rPr>
        <w:t>)</w:t>
      </w:r>
      <w:r>
        <w:rPr>
          <w:rFonts w:cs="Segoe UI"/>
          <w:b/>
          <w:szCs w:val="20"/>
        </w:rPr>
        <w:t>.</w:t>
      </w:r>
      <w:r>
        <w:rPr>
          <w:rFonts w:cs="Segoe UI"/>
          <w:szCs w:val="20"/>
        </w:rPr>
        <w:t xml:space="preserve"> Za rok 2023 dosiahol tento ukazovateľ 17,6 %. Počet osôb ohrozených chudobou alebo sociálnym vylúčením sa od roku 2020 zvýšil o 199 tisíc na 943 tisíc v 2023.</w:t>
      </w:r>
    </w:p>
    <w:p w14:paraId="5AFFDAD8" w14:textId="1120E118" w:rsidR="000E227B" w:rsidRPr="000D06ED" w:rsidRDefault="000E227B" w:rsidP="000E227B">
      <w:pPr>
        <w:autoSpaceDE w:val="0"/>
        <w:autoSpaceDN w:val="0"/>
        <w:adjustRightInd w:val="0"/>
        <w:rPr>
          <w:rFonts w:cs="Segoe UI"/>
          <w:color w:val="000000"/>
          <w:szCs w:val="20"/>
        </w:rPr>
      </w:pPr>
      <w:r>
        <w:rPr>
          <w:rFonts w:cs="Segoe UI"/>
          <w:b/>
          <w:color w:val="000000"/>
          <w:szCs w:val="20"/>
        </w:rPr>
        <w:t xml:space="preserve">V roku 2024 </w:t>
      </w:r>
      <w:r w:rsidR="005369A1">
        <w:rPr>
          <w:rFonts w:cs="Segoe UI"/>
          <w:b/>
          <w:color w:val="000000"/>
          <w:szCs w:val="20"/>
        </w:rPr>
        <w:t xml:space="preserve">mali </w:t>
      </w:r>
      <w:r>
        <w:rPr>
          <w:rFonts w:cs="Segoe UI"/>
          <w:b/>
          <w:color w:val="000000"/>
          <w:szCs w:val="20"/>
        </w:rPr>
        <w:t xml:space="preserve">na udržateľnosť verejných financií zásadný vplyv výdavky na dôchodky. </w:t>
      </w:r>
      <w:r w:rsidRPr="000D06ED">
        <w:rPr>
          <w:rFonts w:cs="Segoe UI"/>
          <w:color w:val="000000"/>
          <w:szCs w:val="20"/>
        </w:rPr>
        <w:t>Ich ďalšie zvýšenie bolo spôsobené zavedením 13. dôchodku, vyplatením rodičovského dôchodku, enormným záujmom o PSD 40+</w:t>
      </w:r>
      <w:r w:rsidR="000D06ED" w:rsidRPr="000D06ED">
        <w:rPr>
          <w:rFonts w:cs="Segoe UI"/>
          <w:color w:val="000000"/>
          <w:szCs w:val="20"/>
        </w:rPr>
        <w:t>,</w:t>
      </w:r>
      <w:r w:rsidRPr="000D06ED">
        <w:rPr>
          <w:rFonts w:cs="Segoe UI"/>
          <w:color w:val="000000"/>
          <w:szCs w:val="20"/>
        </w:rPr>
        <w:t xml:space="preserve"> ako aj plánovanou valorizáciou dôchodkov o 3,6 % a v prípade novopriznan</w:t>
      </w:r>
      <w:r w:rsidR="000D06ED" w:rsidRPr="000D06ED">
        <w:rPr>
          <w:rFonts w:cs="Segoe UI"/>
          <w:color w:val="000000"/>
          <w:szCs w:val="20"/>
        </w:rPr>
        <w:t>ých dôchodkov o 14,5 %.</w:t>
      </w:r>
    </w:p>
    <w:p w14:paraId="129FFC41" w14:textId="212E2569" w:rsidR="00BC2323" w:rsidRPr="00987D5D" w:rsidRDefault="00BC2323" w:rsidP="00BC2323">
      <w:pPr>
        <w:pStyle w:val="Popis"/>
        <w:keepNext/>
        <w:rPr>
          <w:color w:val="314364"/>
        </w:rPr>
      </w:pPr>
      <w:r w:rsidRPr="00987D5D">
        <w:rPr>
          <w:color w:val="314364"/>
        </w:rPr>
        <w:lastRenderedPageBreak/>
        <w:t xml:space="preserve">Graf </w:t>
      </w:r>
      <w:r w:rsidR="00720678">
        <w:rPr>
          <w:color w:val="314364"/>
        </w:rPr>
        <w:t>35</w:t>
      </w:r>
      <w:r w:rsidRPr="00987D5D">
        <w:rPr>
          <w:color w:val="314364"/>
        </w:rPr>
        <w:t xml:space="preserve">: </w:t>
      </w:r>
      <w:r>
        <w:rPr>
          <w:color w:val="314364"/>
        </w:rPr>
        <w:t xml:space="preserve">Výdavky na dôchodky </w:t>
      </w:r>
      <w:r w:rsidRPr="00987D5D">
        <w:rPr>
          <w:color w:val="314364"/>
        </w:rPr>
        <w:t>(</w:t>
      </w:r>
      <w:r>
        <w:rPr>
          <w:color w:val="314364"/>
        </w:rPr>
        <w:t>v mil. eur</w:t>
      </w:r>
      <w:r w:rsidR="00832BC2">
        <w:rPr>
          <w:color w:val="314364"/>
        </w:rPr>
        <w:t>;</w:t>
      </w:r>
      <w:r w:rsidRPr="007E3CE6">
        <w:rPr>
          <w:color w:val="314364"/>
        </w:rPr>
        <w:t xml:space="preserve"> </w:t>
      </w:r>
      <w:r w:rsidR="00741DFC">
        <w:rPr>
          <w:color w:val="314364"/>
        </w:rPr>
        <w:t xml:space="preserve">v </w:t>
      </w:r>
      <w:r w:rsidRPr="007E3CE6">
        <w:rPr>
          <w:color w:val="314364"/>
        </w:rPr>
        <w:t>%</w:t>
      </w:r>
      <w:r>
        <w:rPr>
          <w:color w:val="314364"/>
        </w:rPr>
        <w:t>)</w:t>
      </w:r>
    </w:p>
    <w:tbl>
      <w:tblPr>
        <w:tblStyle w:val="Mriekatabuky"/>
        <w:tblW w:w="500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95"/>
      </w:tblGrid>
      <w:tr w:rsidR="00BC2323" w:rsidRPr="000F43AE" w14:paraId="07A90CE7" w14:textId="77777777" w:rsidTr="003D11A6">
        <w:trPr>
          <w:trHeight w:val="2139"/>
        </w:trPr>
        <w:tc>
          <w:tcPr>
            <w:tcW w:w="9071" w:type="dxa"/>
            <w:tcBorders>
              <w:top w:val="single" w:sz="4" w:space="0" w:color="314364"/>
              <w:bottom w:val="single" w:sz="4" w:space="0" w:color="314364"/>
            </w:tcBorders>
            <w:vAlign w:val="center"/>
          </w:tcPr>
          <w:p w14:paraId="1E9CFD2B" w14:textId="77777777" w:rsidR="00BC2323" w:rsidRPr="000F43AE" w:rsidRDefault="00BC2323" w:rsidP="003D11A6">
            <w:pPr>
              <w:spacing w:after="0"/>
              <w:rPr>
                <w:b/>
                <w:color w:val="576431"/>
                <w:highlight w:val="yellow"/>
              </w:rPr>
            </w:pPr>
            <w:r>
              <w:rPr>
                <w:noProof/>
                <w:lang w:eastAsia="sk-SK"/>
              </w:rPr>
              <w:drawing>
                <wp:inline distT="0" distB="0" distL="0" distR="0" wp14:anchorId="273F781C" wp14:editId="514055FE">
                  <wp:extent cx="5686425" cy="1979930"/>
                  <wp:effectExtent l="0" t="0" r="0" b="1270"/>
                  <wp:docPr id="35" name="Graf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bl>
    <w:p w14:paraId="7B60A8D2" w14:textId="70DE864A" w:rsidR="00BC2323" w:rsidRDefault="00BC2323" w:rsidP="00BC2323">
      <w:pPr>
        <w:pStyle w:val="Zdroj"/>
      </w:pPr>
      <w:r>
        <w:t>Zdroj: Sociálna poisťovňa</w:t>
      </w:r>
      <w:r w:rsidR="00C10075">
        <w:t>.</w:t>
      </w:r>
    </w:p>
    <w:p w14:paraId="0BBAA239" w14:textId="0E9DA2A1" w:rsidR="00956665" w:rsidRPr="007D3345" w:rsidRDefault="00956665" w:rsidP="00956665">
      <w:pPr>
        <w:autoSpaceDE w:val="0"/>
        <w:autoSpaceDN w:val="0"/>
        <w:adjustRightInd w:val="0"/>
        <w:rPr>
          <w:rFonts w:cs="Segoe UI"/>
          <w:b/>
          <w:color w:val="000000"/>
          <w:szCs w:val="20"/>
        </w:rPr>
      </w:pPr>
      <w:r w:rsidRPr="005369A1">
        <w:rPr>
          <w:rFonts w:cs="Segoe UI"/>
          <w:b/>
          <w:color w:val="000000"/>
          <w:szCs w:val="20"/>
        </w:rPr>
        <w:t xml:space="preserve">Výdavky na starobné dôchodky </w:t>
      </w:r>
      <w:r w:rsidRPr="005369A1">
        <w:rPr>
          <w:rFonts w:cs="Segoe UI"/>
          <w:color w:val="000000"/>
          <w:szCs w:val="20"/>
        </w:rPr>
        <w:t>(SD)</w:t>
      </w:r>
      <w:r w:rsidRPr="005369A1">
        <w:rPr>
          <w:rFonts w:cs="Segoe UI"/>
          <w:b/>
          <w:color w:val="000000"/>
          <w:szCs w:val="20"/>
        </w:rPr>
        <w:t xml:space="preserve"> medziročne vrástli o 11,7 % </w:t>
      </w:r>
      <w:r w:rsidRPr="005369A1">
        <w:rPr>
          <w:rFonts w:cs="Segoe UI"/>
          <w:color w:val="000000"/>
          <w:szCs w:val="20"/>
        </w:rPr>
        <w:t xml:space="preserve">(graf </w:t>
      </w:r>
      <w:r w:rsidR="00720678">
        <w:rPr>
          <w:rFonts w:cs="Segoe UI"/>
          <w:color w:val="000000"/>
          <w:szCs w:val="20"/>
        </w:rPr>
        <w:t>35</w:t>
      </w:r>
      <w:r w:rsidRPr="005369A1">
        <w:rPr>
          <w:rFonts w:cs="Segoe UI"/>
          <w:color w:val="000000"/>
          <w:szCs w:val="20"/>
        </w:rPr>
        <w:t>)</w:t>
      </w:r>
      <w:r w:rsidRPr="005369A1">
        <w:rPr>
          <w:rFonts w:cs="Segoe UI"/>
          <w:b/>
          <w:color w:val="000000"/>
          <w:szCs w:val="20"/>
        </w:rPr>
        <w:t>, oproti schválenému rozpočtu boli vyššie o 1,4 %.</w:t>
      </w:r>
      <w:r w:rsidRPr="00663B92">
        <w:rPr>
          <w:rFonts w:cs="Segoe UI"/>
          <w:color w:val="000000"/>
          <w:szCs w:val="20"/>
        </w:rPr>
        <w:t xml:space="preserve"> </w:t>
      </w:r>
      <w:r>
        <w:rPr>
          <w:rFonts w:cs="Segoe UI"/>
          <w:color w:val="000000"/>
          <w:szCs w:val="20"/>
        </w:rPr>
        <w:t>Predčasným starobným dôchodcom sa vyplatilo o 316,7 mil. eur viac ako minulý rok.</w:t>
      </w:r>
      <w:r w:rsidRPr="00663B92">
        <w:rPr>
          <w:rFonts w:cs="Segoe UI"/>
          <w:color w:val="000000"/>
          <w:szCs w:val="20"/>
        </w:rPr>
        <w:t xml:space="preserve"> Zavedenie </w:t>
      </w:r>
      <w:r w:rsidRPr="00663B92">
        <w:rPr>
          <w:rFonts w:cs="Segoe UI"/>
          <w:szCs w:val="20"/>
        </w:rPr>
        <w:t>13. dôchodku zvýšilo výdavky na dôchodkové dávky o 823 mil. eur, ktoré pôvodne neboli rozpočt</w:t>
      </w:r>
      <w:r>
        <w:rPr>
          <w:rFonts w:cs="Segoe UI"/>
          <w:szCs w:val="20"/>
        </w:rPr>
        <w:t>ované v</w:t>
      </w:r>
      <w:r w:rsidRPr="00663B92">
        <w:rPr>
          <w:rFonts w:cs="Segoe UI"/>
          <w:szCs w:val="20"/>
        </w:rPr>
        <w:t xml:space="preserve"> SP, </w:t>
      </w:r>
      <w:r>
        <w:rPr>
          <w:rFonts w:cs="Segoe UI"/>
          <w:szCs w:val="20"/>
        </w:rPr>
        <w:t>aj keď v skutočnosti ich SP vyplácala. Finančné prostriedky boli s</w:t>
      </w:r>
      <w:r w:rsidRPr="00663B92">
        <w:rPr>
          <w:rFonts w:cs="Segoe UI"/>
          <w:szCs w:val="20"/>
        </w:rPr>
        <w:t>chválené v rozpočte kapitoly VPS</w:t>
      </w:r>
      <w:r>
        <w:rPr>
          <w:rFonts w:cs="Segoe UI"/>
          <w:szCs w:val="20"/>
        </w:rPr>
        <w:t xml:space="preserve"> a k SP sa dostali prostredníctvom transferu</w:t>
      </w:r>
      <w:r w:rsidRPr="00663B92">
        <w:rPr>
          <w:rFonts w:cs="Segoe UI"/>
          <w:szCs w:val="20"/>
        </w:rPr>
        <w:t xml:space="preserve">. Rodičovský dôchodok, </w:t>
      </w:r>
      <w:r w:rsidRPr="00F50A91">
        <w:rPr>
          <w:rFonts w:cs="Segoe UI"/>
          <w:szCs w:val="20"/>
        </w:rPr>
        <w:t>zavedený v roku 2023, m</w:t>
      </w:r>
      <w:r w:rsidRPr="00F50A91">
        <w:rPr>
          <w:rFonts w:cs="Segoe UI"/>
          <w:color w:val="000000"/>
          <w:szCs w:val="20"/>
        </w:rPr>
        <w:t>edziročne vzrástol o 10,5 %. Výdavky na invalidné dôchodky sa v porovnaní s rokom 2023 zvýšili o 12,5 %  a dosiahli 1</w:t>
      </w:r>
      <w:r>
        <w:rPr>
          <w:rFonts w:cs="Segoe UI"/>
          <w:color w:val="000000"/>
          <w:szCs w:val="20"/>
        </w:rPr>
        <w:t xml:space="preserve">,1 mld. </w:t>
      </w:r>
      <w:r w:rsidRPr="00F50A91">
        <w:rPr>
          <w:rFonts w:cs="Segoe UI"/>
          <w:color w:val="000000"/>
          <w:szCs w:val="20"/>
        </w:rPr>
        <w:t>eur.</w:t>
      </w:r>
    </w:p>
    <w:p w14:paraId="255406EC" w14:textId="5E2AE77A" w:rsidR="00BC2323" w:rsidRPr="00F50A91" w:rsidRDefault="00720678" w:rsidP="00BC2323">
      <w:pPr>
        <w:autoSpaceDE w:val="0"/>
        <w:autoSpaceDN w:val="0"/>
        <w:adjustRightInd w:val="0"/>
        <w:rPr>
          <w:rFonts w:cs="Segoe UI"/>
          <w:color w:val="000000"/>
          <w:szCs w:val="20"/>
        </w:rPr>
      </w:pPr>
      <w:r>
        <w:rPr>
          <w:rFonts w:cs="Segoe UI"/>
          <w:b/>
          <w:color w:val="000000"/>
          <w:szCs w:val="20"/>
        </w:rPr>
        <w:t>Sociálna situácia dôchodcov sa nezlepšuje</w:t>
      </w:r>
      <w:r w:rsidRPr="007D3345">
        <w:rPr>
          <w:rFonts w:cs="Segoe UI"/>
          <w:b/>
          <w:color w:val="000000"/>
          <w:szCs w:val="20"/>
        </w:rPr>
        <w:t xml:space="preserve"> </w:t>
      </w:r>
      <w:r>
        <w:rPr>
          <w:rFonts w:cs="Segoe UI"/>
          <w:b/>
          <w:color w:val="000000"/>
          <w:szCs w:val="20"/>
        </w:rPr>
        <w:t>a</w:t>
      </w:r>
      <w:r w:rsidR="005369A1" w:rsidRPr="007D3345">
        <w:rPr>
          <w:rFonts w:cs="Segoe UI"/>
          <w:b/>
          <w:color w:val="000000"/>
          <w:szCs w:val="20"/>
        </w:rPr>
        <w:t>j napriek zvýšeným výdavkom na dôchodky</w:t>
      </w:r>
      <w:r w:rsidR="005369A1">
        <w:rPr>
          <w:rFonts w:cs="Segoe UI"/>
          <w:b/>
          <w:color w:val="000000"/>
          <w:szCs w:val="20"/>
        </w:rPr>
        <w:t xml:space="preserve">. </w:t>
      </w:r>
      <w:r w:rsidR="005369A1" w:rsidRPr="005369A1">
        <w:rPr>
          <w:rFonts w:cs="Segoe UI"/>
          <w:color w:val="000000"/>
          <w:szCs w:val="20"/>
        </w:rPr>
        <w:t>Je to zrejmé z rozdielu medzi priemerným sólo SD a priemernou mzdou, ktorý sa naďalej zväčšuje</w:t>
      </w:r>
      <w:r w:rsidR="005369A1">
        <w:rPr>
          <w:rFonts w:cs="Segoe UI"/>
          <w:color w:val="000000"/>
          <w:szCs w:val="20"/>
        </w:rPr>
        <w:t xml:space="preserve"> (graf </w:t>
      </w:r>
      <w:r>
        <w:rPr>
          <w:rFonts w:cs="Segoe UI"/>
          <w:color w:val="000000"/>
          <w:szCs w:val="20"/>
        </w:rPr>
        <w:t>36</w:t>
      </w:r>
      <w:r w:rsidR="005369A1">
        <w:rPr>
          <w:rFonts w:cs="Segoe UI"/>
          <w:color w:val="000000"/>
          <w:szCs w:val="20"/>
        </w:rPr>
        <w:t>)</w:t>
      </w:r>
      <w:r w:rsidR="005369A1" w:rsidRPr="005369A1">
        <w:rPr>
          <w:rFonts w:cs="Segoe UI"/>
          <w:color w:val="000000"/>
          <w:szCs w:val="20"/>
        </w:rPr>
        <w:t>.</w:t>
      </w:r>
      <w:r w:rsidR="005369A1">
        <w:rPr>
          <w:rFonts w:cs="Segoe UI"/>
          <w:color w:val="000000"/>
          <w:szCs w:val="20"/>
        </w:rPr>
        <w:t xml:space="preserve"> V súčasnosti priemerný sólo SD tvorí 44,8 % priemernej mesačnej mzdy v hospodárstve SR, medziročne sa tento podiel znížil o 0,6 p. b.</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533"/>
        <w:gridCol w:w="4537"/>
      </w:tblGrid>
      <w:tr w:rsidR="00BC2323" w:rsidRPr="006647A7" w14:paraId="57C7066B" w14:textId="77777777" w:rsidTr="003D11A6">
        <w:trPr>
          <w:trHeight w:val="443"/>
        </w:trPr>
        <w:tc>
          <w:tcPr>
            <w:tcW w:w="2499" w:type="pct"/>
            <w:tcBorders>
              <w:bottom w:val="single" w:sz="4" w:space="0" w:color="314364"/>
            </w:tcBorders>
            <w:vAlign w:val="center"/>
          </w:tcPr>
          <w:p w14:paraId="239A4A14" w14:textId="648655EF" w:rsidR="00BC2323" w:rsidRPr="006647A7" w:rsidRDefault="00BC2323" w:rsidP="00720678">
            <w:pPr>
              <w:keepNext/>
              <w:spacing w:after="0"/>
              <w:ind w:right="150"/>
              <w:jc w:val="left"/>
              <w:rPr>
                <w:b/>
                <w:iCs/>
                <w:noProof/>
                <w:color w:val="314364" w:themeColor="text2"/>
                <w:szCs w:val="18"/>
                <w:lang w:eastAsia="sk-SK"/>
              </w:rPr>
            </w:pPr>
            <w:r w:rsidRPr="006647A7">
              <w:rPr>
                <w:b/>
                <w:iCs/>
                <w:color w:val="314364"/>
                <w:szCs w:val="18"/>
              </w:rPr>
              <w:t xml:space="preserve">Graf </w:t>
            </w:r>
            <w:r w:rsidR="00720678">
              <w:rPr>
                <w:b/>
                <w:iCs/>
                <w:color w:val="314364"/>
                <w:szCs w:val="18"/>
              </w:rPr>
              <w:t>36</w:t>
            </w:r>
            <w:r w:rsidRPr="006647A7">
              <w:rPr>
                <w:b/>
                <w:iCs/>
                <w:color w:val="314364"/>
                <w:szCs w:val="18"/>
              </w:rPr>
              <w:t xml:space="preserve">: </w:t>
            </w:r>
            <w:r>
              <w:rPr>
                <w:b/>
                <w:iCs/>
                <w:color w:val="314364"/>
                <w:szCs w:val="18"/>
              </w:rPr>
              <w:t xml:space="preserve">Priemerný sólo SD a priemerná mzda (2015 </w:t>
            </w:r>
            <w:r w:rsidR="00741DFC" w:rsidRPr="00D5363A">
              <w:rPr>
                <w:rFonts w:eastAsia="Times New Roman" w:cs="Segoe UI"/>
                <w:b/>
                <w:bCs/>
                <w:color w:val="000000"/>
                <w:szCs w:val="20"/>
                <w:lang w:eastAsia="sk-SK"/>
              </w:rPr>
              <w:t>–</w:t>
            </w:r>
            <w:r>
              <w:rPr>
                <w:b/>
                <w:iCs/>
                <w:color w:val="314364"/>
                <w:szCs w:val="18"/>
              </w:rPr>
              <w:t xml:space="preserve"> 2024</w:t>
            </w:r>
            <w:r w:rsidR="00832BC2">
              <w:rPr>
                <w:b/>
                <w:iCs/>
                <w:color w:val="314364"/>
                <w:szCs w:val="18"/>
              </w:rPr>
              <w:t>;</w:t>
            </w:r>
            <w:r>
              <w:rPr>
                <w:b/>
                <w:iCs/>
                <w:color w:val="314364"/>
                <w:szCs w:val="18"/>
              </w:rPr>
              <w:t xml:space="preserve"> v eurách)</w:t>
            </w:r>
            <w:r w:rsidRPr="006647A7">
              <w:rPr>
                <w:b/>
                <w:iCs/>
                <w:color w:val="314364"/>
                <w:szCs w:val="18"/>
              </w:rPr>
              <w:t xml:space="preserve"> </w:t>
            </w:r>
          </w:p>
        </w:tc>
        <w:tc>
          <w:tcPr>
            <w:tcW w:w="2501" w:type="pct"/>
            <w:tcBorders>
              <w:bottom w:val="single" w:sz="4" w:space="0" w:color="314364"/>
            </w:tcBorders>
            <w:vAlign w:val="center"/>
          </w:tcPr>
          <w:p w14:paraId="71189989" w14:textId="109BA0A5" w:rsidR="00BC2323" w:rsidRPr="006647A7" w:rsidRDefault="00BC2323" w:rsidP="00720678">
            <w:pPr>
              <w:keepNext/>
              <w:spacing w:after="0"/>
              <w:jc w:val="left"/>
              <w:rPr>
                <w:b/>
                <w:iCs/>
                <w:color w:val="314364"/>
                <w:szCs w:val="18"/>
              </w:rPr>
            </w:pPr>
            <w:r w:rsidRPr="006647A7">
              <w:rPr>
                <w:b/>
                <w:iCs/>
                <w:color w:val="314364"/>
                <w:szCs w:val="18"/>
              </w:rPr>
              <w:t xml:space="preserve">Graf </w:t>
            </w:r>
            <w:r w:rsidR="00720678">
              <w:rPr>
                <w:b/>
                <w:iCs/>
                <w:color w:val="314364"/>
                <w:szCs w:val="18"/>
              </w:rPr>
              <w:t>37</w:t>
            </w:r>
            <w:r w:rsidRPr="006647A7">
              <w:rPr>
                <w:b/>
                <w:iCs/>
                <w:color w:val="314364"/>
                <w:szCs w:val="18"/>
              </w:rPr>
              <w:t xml:space="preserve">: </w:t>
            </w:r>
            <w:r>
              <w:rPr>
                <w:b/>
                <w:iCs/>
                <w:color w:val="314364"/>
                <w:szCs w:val="18"/>
              </w:rPr>
              <w:t>Miera rizika chudoby alebo sociálneho vylúčenia 65+ (2015 – 2023</w:t>
            </w:r>
            <w:r w:rsidR="00832BC2">
              <w:rPr>
                <w:b/>
                <w:iCs/>
                <w:color w:val="314364"/>
                <w:szCs w:val="18"/>
              </w:rPr>
              <w:t>; v</w:t>
            </w:r>
            <w:r w:rsidRPr="006647A7">
              <w:rPr>
                <w:b/>
                <w:iCs/>
                <w:color w:val="314364"/>
                <w:szCs w:val="18"/>
              </w:rPr>
              <w:t xml:space="preserve"> </w:t>
            </w:r>
            <w:r>
              <w:rPr>
                <w:b/>
                <w:iCs/>
                <w:color w:val="314364"/>
                <w:szCs w:val="18"/>
              </w:rPr>
              <w:t>%</w:t>
            </w:r>
            <w:r w:rsidRPr="006647A7">
              <w:rPr>
                <w:b/>
                <w:iCs/>
                <w:color w:val="314364"/>
                <w:szCs w:val="18"/>
              </w:rPr>
              <w:t xml:space="preserve">)  </w:t>
            </w:r>
          </w:p>
        </w:tc>
      </w:tr>
      <w:tr w:rsidR="00BC2323" w:rsidRPr="006647A7" w14:paraId="13906008" w14:textId="77777777" w:rsidTr="003D11A6">
        <w:trPr>
          <w:trHeight w:val="2454"/>
        </w:trPr>
        <w:tc>
          <w:tcPr>
            <w:tcW w:w="5000" w:type="pct"/>
            <w:gridSpan w:val="2"/>
            <w:tcBorders>
              <w:top w:val="single" w:sz="4" w:space="0" w:color="314364"/>
              <w:bottom w:val="single" w:sz="4" w:space="0" w:color="314364"/>
            </w:tcBorders>
            <w:vAlign w:val="center"/>
          </w:tcPr>
          <w:p w14:paraId="094E1536" w14:textId="19F0CFE3" w:rsidR="00BC2323" w:rsidRPr="006647A7" w:rsidRDefault="00BC2323" w:rsidP="003D11A6">
            <w:pPr>
              <w:spacing w:after="0"/>
              <w:jc w:val="center"/>
              <w:rPr>
                <w:b/>
                <w:color w:val="576431"/>
              </w:rPr>
            </w:pPr>
            <w:r>
              <w:rPr>
                <w:noProof/>
                <w:lang w:eastAsia="sk-SK"/>
              </w:rPr>
              <w:drawing>
                <wp:inline distT="0" distB="0" distL="0" distR="0" wp14:anchorId="28D64268" wp14:editId="474078E9">
                  <wp:extent cx="2808000" cy="1800000"/>
                  <wp:effectExtent l="0" t="0" r="0" b="0"/>
                  <wp:docPr id="36" name="Graf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noProof/>
                <w:lang w:eastAsia="sk-SK"/>
              </w:rPr>
              <w:drawing>
                <wp:inline distT="0" distB="0" distL="0" distR="0" wp14:anchorId="2779E65F" wp14:editId="70EC9062">
                  <wp:extent cx="2844000" cy="1800000"/>
                  <wp:effectExtent l="0" t="0" r="0" b="0"/>
                  <wp:docPr id="16" name="Graf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bl>
    <w:p w14:paraId="24C0DB37" w14:textId="798DB3C7" w:rsidR="00BC2323" w:rsidRPr="006647A7" w:rsidRDefault="00BC2323" w:rsidP="003D11A6">
      <w:pPr>
        <w:pStyle w:val="Zdroj"/>
      </w:pPr>
      <w:r w:rsidRPr="006647A7">
        <w:t xml:space="preserve">Zdroj: </w:t>
      </w:r>
      <w:r>
        <w:t>Sociálna poisťovňa, Eurostat</w:t>
      </w:r>
      <w:r w:rsidR="00C10075">
        <w:t>.</w:t>
      </w:r>
    </w:p>
    <w:p w14:paraId="15A68B53" w14:textId="5E65A005" w:rsidR="00BC2323" w:rsidRPr="00852F27" w:rsidRDefault="005369A1" w:rsidP="00BC2323">
      <w:pPr>
        <w:autoSpaceDE w:val="0"/>
        <w:autoSpaceDN w:val="0"/>
        <w:adjustRightInd w:val="0"/>
        <w:rPr>
          <w:rFonts w:cs="Segoe UI"/>
          <w:color w:val="000000"/>
          <w:szCs w:val="20"/>
        </w:rPr>
      </w:pPr>
      <w:r>
        <w:rPr>
          <w:rFonts w:cs="Segoe UI"/>
          <w:b/>
          <w:color w:val="000000"/>
          <w:szCs w:val="20"/>
        </w:rPr>
        <w:t xml:space="preserve">Aj </w:t>
      </w:r>
      <w:r w:rsidR="00BC2323">
        <w:rPr>
          <w:rFonts w:cs="Segoe UI"/>
          <w:b/>
          <w:color w:val="000000"/>
          <w:szCs w:val="20"/>
        </w:rPr>
        <w:t>m</w:t>
      </w:r>
      <w:r w:rsidR="00BC2323" w:rsidRPr="007D3345">
        <w:rPr>
          <w:rFonts w:cs="Segoe UI"/>
          <w:b/>
          <w:color w:val="000000"/>
          <w:szCs w:val="20"/>
        </w:rPr>
        <w:t>iera rizika chudoby alebo sociálneho vylúčenia seniorov vo veku 65+ sa podľa posledných výsledkov EU SILC 2023 zhoršil</w:t>
      </w:r>
      <w:r>
        <w:rPr>
          <w:rFonts w:cs="Segoe UI"/>
          <w:b/>
          <w:color w:val="000000"/>
          <w:szCs w:val="20"/>
        </w:rPr>
        <w:t>a</w:t>
      </w:r>
      <w:r w:rsidR="00BC2323" w:rsidRPr="007D3345">
        <w:rPr>
          <w:rFonts w:cs="Segoe UI"/>
          <w:b/>
          <w:color w:val="000000"/>
          <w:szCs w:val="20"/>
        </w:rPr>
        <w:t xml:space="preserve"> o 2,1 p.</w:t>
      </w:r>
      <w:r>
        <w:rPr>
          <w:rFonts w:cs="Segoe UI"/>
          <w:b/>
          <w:color w:val="000000"/>
          <w:szCs w:val="20"/>
        </w:rPr>
        <w:t xml:space="preserve"> </w:t>
      </w:r>
      <w:r w:rsidR="00BC2323" w:rsidRPr="007D3345">
        <w:rPr>
          <w:rFonts w:cs="Segoe UI"/>
          <w:b/>
          <w:color w:val="000000"/>
          <w:szCs w:val="20"/>
        </w:rPr>
        <w:t>b.</w:t>
      </w:r>
      <w:r w:rsidR="00AE1FD7">
        <w:rPr>
          <w:rFonts w:cs="Segoe UI"/>
          <w:color w:val="000000"/>
          <w:szCs w:val="20"/>
        </w:rPr>
        <w:t xml:space="preserve"> (graf </w:t>
      </w:r>
      <w:r w:rsidR="00720678">
        <w:rPr>
          <w:rFonts w:cs="Segoe UI"/>
          <w:color w:val="000000"/>
          <w:szCs w:val="20"/>
        </w:rPr>
        <w:t>37</w:t>
      </w:r>
      <w:r w:rsidR="00AE1FD7">
        <w:rPr>
          <w:rFonts w:cs="Segoe UI"/>
          <w:color w:val="000000"/>
          <w:szCs w:val="20"/>
        </w:rPr>
        <w:t>)</w:t>
      </w:r>
      <w:r w:rsidR="00AE1FD7">
        <w:rPr>
          <w:rFonts w:cs="Segoe UI"/>
          <w:b/>
          <w:color w:val="000000"/>
          <w:szCs w:val="20"/>
        </w:rPr>
        <w:t>.</w:t>
      </w:r>
      <w:r w:rsidR="00BC2323" w:rsidRPr="002E6E74">
        <w:rPr>
          <w:rFonts w:cs="Segoe UI"/>
          <w:color w:val="000000"/>
          <w:szCs w:val="20"/>
        </w:rPr>
        <w:t xml:space="preserve"> </w:t>
      </w:r>
      <w:r>
        <w:rPr>
          <w:rFonts w:cs="Segoe UI"/>
          <w:color w:val="000000"/>
          <w:szCs w:val="20"/>
        </w:rPr>
        <w:t xml:space="preserve">A to </w:t>
      </w:r>
      <w:r w:rsidR="00BC2323" w:rsidRPr="002E6E74">
        <w:rPr>
          <w:rFonts w:cs="Segoe UI"/>
          <w:color w:val="000000"/>
          <w:szCs w:val="20"/>
        </w:rPr>
        <w:t xml:space="preserve">aj </w:t>
      </w:r>
      <w:r>
        <w:rPr>
          <w:rFonts w:cs="Segoe UI"/>
          <w:color w:val="000000"/>
          <w:szCs w:val="20"/>
        </w:rPr>
        <w:t xml:space="preserve">napriek </w:t>
      </w:r>
      <w:r w:rsidR="00AE1FD7">
        <w:rPr>
          <w:rFonts w:cs="Segoe UI"/>
          <w:color w:val="000000"/>
          <w:szCs w:val="20"/>
        </w:rPr>
        <w:t xml:space="preserve">tomu, že </w:t>
      </w:r>
      <w:r w:rsidR="00BC2323">
        <w:rPr>
          <w:rFonts w:cs="Segoe UI"/>
          <w:color w:val="000000"/>
          <w:szCs w:val="20"/>
        </w:rPr>
        <w:t xml:space="preserve">v roku 2023 </w:t>
      </w:r>
      <w:r w:rsidR="00BC2323" w:rsidRPr="002E6E74">
        <w:rPr>
          <w:rFonts w:cs="Segoe UI"/>
          <w:color w:val="000000"/>
          <w:szCs w:val="20"/>
        </w:rPr>
        <w:t>prebehla riadna aj mimoriadna valorizácia dôchodkov</w:t>
      </w:r>
      <w:r w:rsidR="00AE1FD7">
        <w:rPr>
          <w:rFonts w:cs="Segoe UI"/>
          <w:color w:val="000000"/>
          <w:szCs w:val="20"/>
        </w:rPr>
        <w:t>,</w:t>
      </w:r>
      <w:r w:rsidR="00BC2323">
        <w:rPr>
          <w:rFonts w:cs="Segoe UI"/>
          <w:color w:val="000000"/>
          <w:szCs w:val="20"/>
        </w:rPr>
        <w:t xml:space="preserve"> ako aj výplata 13. dôchodku v sume 746,3 mil. eur</w:t>
      </w:r>
      <w:r w:rsidR="00BC2323" w:rsidRPr="002E6E74">
        <w:rPr>
          <w:rFonts w:cs="Segoe UI"/>
          <w:color w:val="000000"/>
          <w:szCs w:val="20"/>
        </w:rPr>
        <w:t>.</w:t>
      </w:r>
      <w:r w:rsidR="00BC2323">
        <w:rPr>
          <w:rFonts w:cs="Segoe UI"/>
          <w:color w:val="000000"/>
          <w:szCs w:val="20"/>
        </w:rPr>
        <w:t xml:space="preserve"> </w:t>
      </w:r>
    </w:p>
    <w:p w14:paraId="313BA76D" w14:textId="0900805B" w:rsidR="00BC2323" w:rsidRDefault="00BC2323" w:rsidP="00BC2323">
      <w:pPr>
        <w:pStyle w:val="Nadpis3"/>
      </w:pPr>
      <w:bookmarkStart w:id="47" w:name="_Toc197091806"/>
      <w:bookmarkStart w:id="48" w:name="_Toc198637735"/>
      <w:r w:rsidRPr="00257B9E">
        <w:t>5.2.</w:t>
      </w:r>
      <w:r>
        <w:t>2</w:t>
      </w:r>
      <w:r w:rsidRPr="00257B9E">
        <w:t xml:space="preserve"> </w:t>
      </w:r>
      <w:r>
        <w:t xml:space="preserve"> Výdavky na p</w:t>
      </w:r>
      <w:r w:rsidRPr="00257B9E">
        <w:t>redčasné starobné dôchodky</w:t>
      </w:r>
      <w:bookmarkEnd w:id="47"/>
      <w:bookmarkEnd w:id="48"/>
    </w:p>
    <w:p w14:paraId="1171934A" w14:textId="39745C59" w:rsidR="00BC2323" w:rsidRPr="00C85E21" w:rsidRDefault="00BC2323" w:rsidP="00BC2323">
      <w:pPr>
        <w:rPr>
          <w:rFonts w:cs="Segoe UI"/>
          <w:szCs w:val="20"/>
        </w:rPr>
      </w:pPr>
      <w:r w:rsidRPr="007D3345">
        <w:rPr>
          <w:rFonts w:cs="Segoe UI"/>
          <w:b/>
          <w:szCs w:val="20"/>
        </w:rPr>
        <w:t xml:space="preserve">Možnosť získať </w:t>
      </w:r>
      <w:r w:rsidR="006A2437">
        <w:rPr>
          <w:rFonts w:cs="Segoe UI"/>
          <w:b/>
          <w:szCs w:val="20"/>
        </w:rPr>
        <w:t xml:space="preserve">predčasný starobný dôchodok </w:t>
      </w:r>
      <w:r w:rsidR="006A2437" w:rsidRPr="006A2437">
        <w:rPr>
          <w:rFonts w:cs="Segoe UI"/>
          <w:szCs w:val="20"/>
        </w:rPr>
        <w:t>(</w:t>
      </w:r>
      <w:r w:rsidRPr="006A2437">
        <w:rPr>
          <w:rFonts w:cs="Segoe UI"/>
          <w:szCs w:val="20"/>
        </w:rPr>
        <w:t>PSD</w:t>
      </w:r>
      <w:r w:rsidR="006A2437" w:rsidRPr="006A2437">
        <w:rPr>
          <w:rFonts w:cs="Segoe UI"/>
          <w:szCs w:val="20"/>
        </w:rPr>
        <w:t>)</w:t>
      </w:r>
      <w:r w:rsidRPr="007D3345">
        <w:rPr>
          <w:rFonts w:cs="Segoe UI"/>
          <w:b/>
          <w:szCs w:val="20"/>
        </w:rPr>
        <w:t xml:space="preserve"> po 40. odpracovaných rokoch vyvolala </w:t>
      </w:r>
      <w:r>
        <w:rPr>
          <w:rFonts w:cs="Segoe UI"/>
          <w:b/>
          <w:szCs w:val="20"/>
        </w:rPr>
        <w:t xml:space="preserve">v posledných dvoch rokoch </w:t>
      </w:r>
      <w:r w:rsidR="00382E0C">
        <w:rPr>
          <w:rFonts w:cs="Segoe UI"/>
          <w:b/>
          <w:szCs w:val="20"/>
        </w:rPr>
        <w:t xml:space="preserve">zvýšený </w:t>
      </w:r>
      <w:r w:rsidRPr="007D3345">
        <w:rPr>
          <w:rFonts w:cs="Segoe UI"/>
          <w:b/>
          <w:szCs w:val="20"/>
        </w:rPr>
        <w:t>záujem o</w:t>
      </w:r>
      <w:r w:rsidR="00382E0C">
        <w:rPr>
          <w:rFonts w:cs="Segoe UI"/>
          <w:b/>
          <w:szCs w:val="20"/>
        </w:rPr>
        <w:t> skorší odchod do dôchodku</w:t>
      </w:r>
      <w:r w:rsidRPr="007D3345">
        <w:rPr>
          <w:rFonts w:cs="Segoe UI"/>
          <w:b/>
          <w:szCs w:val="20"/>
        </w:rPr>
        <w:t xml:space="preserve">, čo spôsobilo nárast počtu dôchodcov aj zvýšenie výdavkov SP zo základného fondu starobného poistenia. </w:t>
      </w:r>
      <w:r>
        <w:rPr>
          <w:rFonts w:cs="Segoe UI"/>
          <w:szCs w:val="20"/>
        </w:rPr>
        <w:t>Počet novopriznaných PSD 40+ stúpol najviac v období január až apríl 2024</w:t>
      </w:r>
      <w:r w:rsidR="00197D44">
        <w:rPr>
          <w:rFonts w:cs="Segoe UI"/>
          <w:szCs w:val="20"/>
        </w:rPr>
        <w:t xml:space="preserve"> (graf </w:t>
      </w:r>
      <w:r w:rsidR="00720678">
        <w:rPr>
          <w:rFonts w:cs="Segoe UI"/>
          <w:szCs w:val="20"/>
        </w:rPr>
        <w:t>38</w:t>
      </w:r>
      <w:r w:rsidR="00197D44">
        <w:rPr>
          <w:rFonts w:cs="Segoe UI"/>
          <w:szCs w:val="20"/>
        </w:rPr>
        <w:t>)</w:t>
      </w:r>
      <w:r w:rsidR="00382E0C">
        <w:rPr>
          <w:rFonts w:cs="Segoe UI"/>
          <w:szCs w:val="20"/>
        </w:rPr>
        <w:t>.</w:t>
      </w:r>
      <w:r>
        <w:rPr>
          <w:rFonts w:cs="Segoe UI"/>
          <w:szCs w:val="20"/>
        </w:rPr>
        <w:t xml:space="preserve"> </w:t>
      </w:r>
      <w:r w:rsidR="00382E0C">
        <w:rPr>
          <w:rFonts w:cs="Segoe UI"/>
          <w:szCs w:val="20"/>
        </w:rPr>
        <w:t>D</w:t>
      </w:r>
      <w:r>
        <w:rPr>
          <w:rFonts w:cs="Segoe UI"/>
          <w:szCs w:val="20"/>
        </w:rPr>
        <w:t xml:space="preserve">ôvodom bola </w:t>
      </w:r>
      <w:r>
        <w:rPr>
          <w:rFonts w:cs="Segoe UI"/>
          <w:szCs w:val="20"/>
        </w:rPr>
        <w:lastRenderedPageBreak/>
        <w:t>novelizácia zákona o sociálnom poistení, platná od mája 2024, ktorá sprísnila podmienky získania PSD 40+</w:t>
      </w:r>
      <w:r w:rsidR="00382E0C">
        <w:rPr>
          <w:rFonts w:cs="Segoe UI"/>
          <w:szCs w:val="20"/>
        </w:rPr>
        <w:t>.</w:t>
      </w:r>
      <w:r>
        <w:rPr>
          <w:rFonts w:cs="Segoe UI"/>
          <w:szCs w:val="20"/>
        </w:rPr>
        <w:t xml:space="preserve"> Od mája počet novopriznaných P</w:t>
      </w:r>
      <w:r w:rsidR="006A2437">
        <w:rPr>
          <w:rFonts w:cs="Segoe UI"/>
          <w:szCs w:val="20"/>
        </w:rPr>
        <w:t>S</w:t>
      </w:r>
      <w:r>
        <w:rPr>
          <w:rFonts w:cs="Segoe UI"/>
          <w:szCs w:val="20"/>
        </w:rPr>
        <w:t>D</w:t>
      </w:r>
      <w:r w:rsidR="00CE6494">
        <w:rPr>
          <w:rFonts w:cs="Segoe UI"/>
          <w:szCs w:val="20"/>
        </w:rPr>
        <w:t>,</w:t>
      </w:r>
      <w:r>
        <w:rPr>
          <w:rFonts w:cs="Segoe UI"/>
          <w:szCs w:val="20"/>
        </w:rPr>
        <w:t xml:space="preserve"> </w:t>
      </w:r>
      <w:r w:rsidR="00CE6494">
        <w:rPr>
          <w:rFonts w:cs="Segoe UI"/>
          <w:szCs w:val="20"/>
        </w:rPr>
        <w:t>n</w:t>
      </w:r>
      <w:r>
        <w:rPr>
          <w:rFonts w:cs="Segoe UI"/>
          <w:szCs w:val="20"/>
        </w:rPr>
        <w:t>o aj PSD 40+ zač</w:t>
      </w:r>
      <w:r w:rsidR="00382E0C">
        <w:rPr>
          <w:rFonts w:cs="Segoe UI"/>
          <w:szCs w:val="20"/>
        </w:rPr>
        <w:t>al</w:t>
      </w:r>
      <w:r>
        <w:rPr>
          <w:rFonts w:cs="Segoe UI"/>
          <w:szCs w:val="20"/>
        </w:rPr>
        <w:t xml:space="preserve"> klesať a od augusta do decembra sa dosta</w:t>
      </w:r>
      <w:r w:rsidR="00382E0C">
        <w:rPr>
          <w:rFonts w:cs="Segoe UI"/>
          <w:szCs w:val="20"/>
        </w:rPr>
        <w:t>l</w:t>
      </w:r>
      <w:r>
        <w:rPr>
          <w:rFonts w:cs="Segoe UI"/>
          <w:szCs w:val="20"/>
        </w:rPr>
        <w:t xml:space="preserve"> na najnižšiu úroveň roka.</w:t>
      </w:r>
    </w:p>
    <w:p w14:paraId="4D2C3DB9" w14:textId="66B498E1" w:rsidR="00BC2323" w:rsidRPr="00987D5D" w:rsidRDefault="00BC2323" w:rsidP="00BC2323">
      <w:pPr>
        <w:pStyle w:val="Popis"/>
        <w:keepNext/>
        <w:rPr>
          <w:color w:val="314364"/>
        </w:rPr>
      </w:pPr>
      <w:r w:rsidRPr="00987D5D">
        <w:rPr>
          <w:color w:val="314364"/>
        </w:rPr>
        <w:t xml:space="preserve">Graf </w:t>
      </w:r>
      <w:r w:rsidR="00720678">
        <w:rPr>
          <w:color w:val="314364"/>
        </w:rPr>
        <w:t>38</w:t>
      </w:r>
      <w:r w:rsidRPr="00987D5D">
        <w:rPr>
          <w:color w:val="314364"/>
        </w:rPr>
        <w:t xml:space="preserve">: </w:t>
      </w:r>
      <w:r>
        <w:rPr>
          <w:color w:val="314364"/>
        </w:rPr>
        <w:t xml:space="preserve">Počet novopriznaných PSD, PSD 40+ </w:t>
      </w:r>
      <w:r w:rsidRPr="00987D5D">
        <w:rPr>
          <w:color w:val="314364"/>
        </w:rPr>
        <w:t>(</w:t>
      </w:r>
      <w:r>
        <w:rPr>
          <w:color w:val="314364"/>
        </w:rPr>
        <w:t>02/2023 – 12/2024)</w:t>
      </w:r>
    </w:p>
    <w:tbl>
      <w:tblPr>
        <w:tblStyle w:val="Mriekatabuky"/>
        <w:tblW w:w="498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BC2323" w:rsidRPr="000F43AE" w14:paraId="40FE7A11" w14:textId="77777777" w:rsidTr="00956665">
        <w:trPr>
          <w:trHeight w:val="2667"/>
        </w:trPr>
        <w:tc>
          <w:tcPr>
            <w:tcW w:w="9049" w:type="dxa"/>
            <w:tcBorders>
              <w:top w:val="single" w:sz="4" w:space="0" w:color="314364"/>
              <w:bottom w:val="single" w:sz="4" w:space="0" w:color="314364"/>
            </w:tcBorders>
            <w:vAlign w:val="center"/>
          </w:tcPr>
          <w:p w14:paraId="3548B2C2" w14:textId="77777777" w:rsidR="00BC2323" w:rsidRPr="000F43AE" w:rsidRDefault="00BC2323" w:rsidP="003D11A6">
            <w:pPr>
              <w:spacing w:after="0"/>
              <w:rPr>
                <w:b/>
                <w:color w:val="576431"/>
                <w:highlight w:val="yellow"/>
              </w:rPr>
            </w:pPr>
            <w:r>
              <w:rPr>
                <w:noProof/>
                <w:lang w:eastAsia="sk-SK"/>
              </w:rPr>
              <w:drawing>
                <wp:inline distT="0" distB="0" distL="0" distR="0" wp14:anchorId="0C12D7E9" wp14:editId="70433161">
                  <wp:extent cx="5745480" cy="1752600"/>
                  <wp:effectExtent l="0" t="0" r="7620" b="0"/>
                  <wp:docPr id="37" name="Graf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bl>
    <w:p w14:paraId="7D9DC3DA" w14:textId="59D6F6A0" w:rsidR="00BC2323" w:rsidRPr="000E7E47" w:rsidRDefault="00BC2323" w:rsidP="003D11A6">
      <w:pPr>
        <w:pStyle w:val="Zdroj"/>
      </w:pPr>
      <w:r>
        <w:t xml:space="preserve"> </w:t>
      </w:r>
      <w:r w:rsidRPr="000E7E47">
        <w:t>Zdroj: MF SR</w:t>
      </w:r>
      <w:r w:rsidR="00956665">
        <w:t>.</w:t>
      </w:r>
    </w:p>
    <w:p w14:paraId="286F6EB1" w14:textId="463063C3" w:rsidR="00BC2323" w:rsidRPr="003B1C7C" w:rsidRDefault="00BC2323" w:rsidP="00BC2323">
      <w:pPr>
        <w:rPr>
          <w:rFonts w:cs="Segoe UI"/>
          <w:szCs w:val="20"/>
        </w:rPr>
      </w:pPr>
      <w:r w:rsidRPr="00F43BC1">
        <w:rPr>
          <w:rFonts w:cs="Segoe UI"/>
          <w:b/>
          <w:szCs w:val="20"/>
        </w:rPr>
        <w:t xml:space="preserve">SP koncom </w:t>
      </w:r>
      <w:r w:rsidR="00F43BC1">
        <w:rPr>
          <w:rFonts w:cs="Segoe UI"/>
          <w:b/>
          <w:szCs w:val="20"/>
        </w:rPr>
        <w:t xml:space="preserve">minulého </w:t>
      </w:r>
      <w:r w:rsidRPr="00F43BC1">
        <w:rPr>
          <w:rFonts w:cs="Segoe UI"/>
          <w:b/>
          <w:szCs w:val="20"/>
        </w:rPr>
        <w:t xml:space="preserve">roka vyplácala viac ako 1,1 milióna SD a viac ako 39 tisíc PSD </w:t>
      </w:r>
      <w:r w:rsidRPr="00F43BC1">
        <w:rPr>
          <w:rFonts w:cs="Segoe UI"/>
          <w:szCs w:val="20"/>
        </w:rPr>
        <w:t xml:space="preserve">(graf </w:t>
      </w:r>
      <w:r w:rsidR="00720678">
        <w:rPr>
          <w:rFonts w:cs="Segoe UI"/>
          <w:szCs w:val="20"/>
        </w:rPr>
        <w:t>39</w:t>
      </w:r>
      <w:r w:rsidRPr="00F43BC1">
        <w:rPr>
          <w:rFonts w:cs="Segoe UI"/>
          <w:szCs w:val="20"/>
        </w:rPr>
        <w:t>)</w:t>
      </w:r>
      <w:r w:rsidRPr="00F43BC1">
        <w:rPr>
          <w:rFonts w:cs="Segoe UI"/>
          <w:b/>
          <w:szCs w:val="20"/>
        </w:rPr>
        <w:t xml:space="preserve">. </w:t>
      </w:r>
      <w:r w:rsidR="00F43BC1" w:rsidRPr="00F43BC1">
        <w:rPr>
          <w:rFonts w:cs="Segoe UI"/>
          <w:szCs w:val="20"/>
        </w:rPr>
        <w:t xml:space="preserve">V roku 2024 bol zaznamenaný </w:t>
      </w:r>
      <w:r>
        <w:rPr>
          <w:rFonts w:cs="Segoe UI"/>
          <w:szCs w:val="20"/>
        </w:rPr>
        <w:t>2,5</w:t>
      </w:r>
      <w:r w:rsidR="00CE6494">
        <w:rPr>
          <w:rFonts w:cs="Segoe UI"/>
          <w:szCs w:val="20"/>
        </w:rPr>
        <w:t>-</w:t>
      </w:r>
      <w:r>
        <w:rPr>
          <w:rFonts w:cs="Segoe UI"/>
          <w:szCs w:val="20"/>
        </w:rPr>
        <w:t>násobný nárast počtu vyplácaných PSD. Priemerná mesačná výška PSD dosiahla 733,2 eur a medziročne stúpla o 30,70 eur. V porovnaní s výškou SD bola vyš</w:t>
      </w:r>
      <w:r w:rsidR="00C74CE7">
        <w:rPr>
          <w:rFonts w:cs="Segoe UI"/>
          <w:szCs w:val="20"/>
        </w:rPr>
        <w:t xml:space="preserve">šia o 7,3 % (graf </w:t>
      </w:r>
      <w:r w:rsidR="00720678">
        <w:rPr>
          <w:rFonts w:cs="Segoe UI"/>
          <w:szCs w:val="20"/>
        </w:rPr>
        <w:t>40</w:t>
      </w:r>
      <w:r>
        <w:rPr>
          <w:rFonts w:cs="Segoe UI"/>
          <w:szCs w:val="20"/>
        </w:rPr>
        <w:t>). Výdavky na PSD sa zvýšili zo 144,6 mil. eur na 461,3 mil. eur.</w:t>
      </w:r>
    </w:p>
    <w:tbl>
      <w:tblPr>
        <w:tblStyle w:val="Mriekatabuky"/>
        <w:tblW w:w="501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549"/>
        <w:gridCol w:w="4552"/>
      </w:tblGrid>
      <w:tr w:rsidR="00BC2323" w:rsidRPr="006647A7" w14:paraId="1CE61244" w14:textId="77777777" w:rsidTr="00F02BB9">
        <w:trPr>
          <w:trHeight w:val="578"/>
        </w:trPr>
        <w:tc>
          <w:tcPr>
            <w:tcW w:w="2499" w:type="pct"/>
            <w:tcBorders>
              <w:bottom w:val="single" w:sz="4" w:space="0" w:color="314364"/>
            </w:tcBorders>
            <w:vAlign w:val="center"/>
          </w:tcPr>
          <w:p w14:paraId="55F656BD" w14:textId="709D24C8" w:rsidR="00BC2323" w:rsidRPr="006647A7" w:rsidRDefault="00BC2323" w:rsidP="00464350">
            <w:pPr>
              <w:keepNext/>
              <w:spacing w:after="0"/>
              <w:ind w:right="150"/>
              <w:rPr>
                <w:b/>
                <w:iCs/>
                <w:noProof/>
                <w:color w:val="314364" w:themeColor="text2"/>
                <w:szCs w:val="18"/>
                <w:lang w:eastAsia="sk-SK"/>
              </w:rPr>
            </w:pPr>
            <w:r w:rsidRPr="006647A7">
              <w:rPr>
                <w:b/>
                <w:iCs/>
                <w:color w:val="314364"/>
                <w:szCs w:val="18"/>
              </w:rPr>
              <w:t xml:space="preserve">Graf </w:t>
            </w:r>
            <w:r w:rsidR="00720678">
              <w:rPr>
                <w:b/>
                <w:iCs/>
                <w:color w:val="314364"/>
                <w:szCs w:val="18"/>
              </w:rPr>
              <w:t>39</w:t>
            </w:r>
            <w:r w:rsidRPr="006647A7">
              <w:rPr>
                <w:b/>
                <w:iCs/>
                <w:color w:val="314364"/>
                <w:szCs w:val="18"/>
              </w:rPr>
              <w:t xml:space="preserve">: </w:t>
            </w:r>
            <w:r>
              <w:rPr>
                <w:b/>
                <w:iCs/>
                <w:color w:val="314364"/>
                <w:szCs w:val="18"/>
              </w:rPr>
              <w:t xml:space="preserve">Počet vyplácaných SD, PSD (2020 </w:t>
            </w:r>
            <w:r w:rsidR="00382E0C">
              <w:rPr>
                <w:b/>
                <w:iCs/>
                <w:color w:val="314364"/>
                <w:szCs w:val="18"/>
              </w:rPr>
              <w:t xml:space="preserve">– </w:t>
            </w:r>
            <w:r>
              <w:rPr>
                <w:b/>
                <w:iCs/>
                <w:color w:val="314364"/>
                <w:szCs w:val="18"/>
              </w:rPr>
              <w:t>2024</w:t>
            </w:r>
            <w:r w:rsidRPr="006647A7">
              <w:rPr>
                <w:b/>
                <w:iCs/>
                <w:color w:val="314364"/>
                <w:szCs w:val="18"/>
              </w:rPr>
              <w:t xml:space="preserve">)  </w:t>
            </w:r>
          </w:p>
        </w:tc>
        <w:tc>
          <w:tcPr>
            <w:tcW w:w="2501" w:type="pct"/>
            <w:tcBorders>
              <w:bottom w:val="single" w:sz="4" w:space="0" w:color="314364"/>
            </w:tcBorders>
            <w:vAlign w:val="center"/>
          </w:tcPr>
          <w:p w14:paraId="666A73B7" w14:textId="3B14C9DB" w:rsidR="00BC2323" w:rsidRPr="006647A7" w:rsidRDefault="00BC2323" w:rsidP="00464350">
            <w:pPr>
              <w:keepNext/>
              <w:spacing w:after="0"/>
              <w:rPr>
                <w:b/>
                <w:iCs/>
                <w:color w:val="314364"/>
                <w:szCs w:val="18"/>
              </w:rPr>
            </w:pPr>
            <w:r w:rsidRPr="006647A7">
              <w:rPr>
                <w:b/>
                <w:iCs/>
                <w:color w:val="314364"/>
                <w:szCs w:val="18"/>
              </w:rPr>
              <w:t xml:space="preserve">Graf </w:t>
            </w:r>
            <w:r w:rsidR="00F02BB9">
              <w:rPr>
                <w:b/>
                <w:iCs/>
                <w:color w:val="314364"/>
                <w:szCs w:val="18"/>
              </w:rPr>
              <w:t>4</w:t>
            </w:r>
            <w:r w:rsidR="00720678">
              <w:rPr>
                <w:b/>
                <w:iCs/>
                <w:color w:val="314364"/>
                <w:szCs w:val="18"/>
              </w:rPr>
              <w:t>0</w:t>
            </w:r>
            <w:r w:rsidRPr="006647A7">
              <w:rPr>
                <w:b/>
                <w:iCs/>
                <w:color w:val="314364"/>
                <w:szCs w:val="18"/>
              </w:rPr>
              <w:t xml:space="preserve">: </w:t>
            </w:r>
            <w:r>
              <w:rPr>
                <w:b/>
                <w:iCs/>
                <w:color w:val="314364"/>
                <w:szCs w:val="18"/>
              </w:rPr>
              <w:t xml:space="preserve">Priemerná výška SD, PSD (2020 </w:t>
            </w:r>
            <w:r w:rsidR="00382E0C">
              <w:rPr>
                <w:b/>
                <w:iCs/>
                <w:color w:val="314364"/>
                <w:szCs w:val="18"/>
              </w:rPr>
              <w:t xml:space="preserve">– </w:t>
            </w:r>
            <w:r>
              <w:rPr>
                <w:b/>
                <w:iCs/>
                <w:color w:val="314364"/>
                <w:szCs w:val="18"/>
              </w:rPr>
              <w:t>2024</w:t>
            </w:r>
            <w:r w:rsidR="00CE6494">
              <w:rPr>
                <w:b/>
                <w:iCs/>
                <w:color w:val="314364"/>
                <w:szCs w:val="18"/>
              </w:rPr>
              <w:t>;</w:t>
            </w:r>
            <w:r w:rsidRPr="006647A7">
              <w:rPr>
                <w:b/>
                <w:iCs/>
                <w:color w:val="314364"/>
                <w:szCs w:val="18"/>
              </w:rPr>
              <w:t xml:space="preserve"> </w:t>
            </w:r>
            <w:r>
              <w:rPr>
                <w:b/>
                <w:iCs/>
                <w:color w:val="314364"/>
                <w:szCs w:val="18"/>
              </w:rPr>
              <w:t xml:space="preserve">v </w:t>
            </w:r>
            <w:r w:rsidRPr="006647A7">
              <w:rPr>
                <w:b/>
                <w:iCs/>
                <w:color w:val="314364"/>
                <w:szCs w:val="18"/>
              </w:rPr>
              <w:t>eur</w:t>
            </w:r>
            <w:r>
              <w:rPr>
                <w:b/>
                <w:iCs/>
                <w:color w:val="314364"/>
                <w:szCs w:val="18"/>
              </w:rPr>
              <w:t>ách</w:t>
            </w:r>
            <w:r w:rsidRPr="006647A7">
              <w:rPr>
                <w:b/>
                <w:iCs/>
                <w:color w:val="314364"/>
                <w:szCs w:val="18"/>
              </w:rPr>
              <w:t xml:space="preserve">)      </w:t>
            </w:r>
          </w:p>
        </w:tc>
      </w:tr>
      <w:tr w:rsidR="00BC2323" w:rsidRPr="006647A7" w14:paraId="569FD90A" w14:textId="77777777" w:rsidTr="00F02BB9">
        <w:trPr>
          <w:trHeight w:val="3372"/>
        </w:trPr>
        <w:tc>
          <w:tcPr>
            <w:tcW w:w="5000" w:type="pct"/>
            <w:gridSpan w:val="2"/>
            <w:tcBorders>
              <w:top w:val="single" w:sz="4" w:space="0" w:color="314364"/>
              <w:bottom w:val="single" w:sz="4" w:space="0" w:color="314364"/>
            </w:tcBorders>
            <w:vAlign w:val="center"/>
          </w:tcPr>
          <w:p w14:paraId="41578BED" w14:textId="08A8A57C" w:rsidR="00BC2323" w:rsidRPr="00D02C22" w:rsidRDefault="00BC2323" w:rsidP="00D02C22">
            <w:pPr>
              <w:pStyle w:val="Zdroj"/>
              <w:spacing w:after="0"/>
              <w:jc w:val="both"/>
            </w:pPr>
            <w:r>
              <w:rPr>
                <w:noProof/>
                <w:lang w:eastAsia="sk-SK"/>
              </w:rPr>
              <w:drawing>
                <wp:inline distT="0" distB="0" distL="0" distR="0" wp14:anchorId="5BFE0D69" wp14:editId="7F4B3C18">
                  <wp:extent cx="2772000" cy="1980000"/>
                  <wp:effectExtent l="0" t="0" r="0" b="1270"/>
                  <wp:docPr id="38" name="Graf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noProof/>
                <w:lang w:eastAsia="sk-SK"/>
              </w:rPr>
              <w:drawing>
                <wp:inline distT="0" distB="0" distL="0" distR="0" wp14:anchorId="336D010F" wp14:editId="13DF3454">
                  <wp:extent cx="2844000" cy="1980000"/>
                  <wp:effectExtent l="0" t="0" r="0" b="1270"/>
                  <wp:docPr id="23" name="Graf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bl>
    <w:p w14:paraId="4D563B95" w14:textId="3124D7C7" w:rsidR="00BC2323" w:rsidRPr="00D02C22" w:rsidRDefault="00BC2323" w:rsidP="00D02C22">
      <w:pPr>
        <w:pStyle w:val="Zdroj"/>
        <w:spacing w:after="0"/>
        <w:jc w:val="both"/>
      </w:pPr>
      <w:r w:rsidRPr="00D02C22">
        <w:t>Zdroj: Sociálna poisťovňa</w:t>
      </w:r>
      <w:r w:rsidR="00C10075">
        <w:t>.</w:t>
      </w:r>
    </w:p>
    <w:p w14:paraId="162AFEDE" w14:textId="2CF1E12A" w:rsidR="00B16203" w:rsidRDefault="00B16203" w:rsidP="00B16203">
      <w:pPr>
        <w:pStyle w:val="Nadpis3"/>
      </w:pPr>
      <w:bookmarkStart w:id="49" w:name="_Toc198637736"/>
      <w:r w:rsidRPr="001E15F4">
        <w:t>5.2.</w:t>
      </w:r>
      <w:r w:rsidR="00BC2323">
        <w:t>3</w:t>
      </w:r>
      <w:r w:rsidRPr="001E15F4">
        <w:t xml:space="preserve"> </w:t>
      </w:r>
      <w:r w:rsidR="00E43045" w:rsidRPr="001E15F4">
        <w:t xml:space="preserve"> </w:t>
      </w:r>
      <w:r w:rsidRPr="001E15F4">
        <w:t xml:space="preserve">Výdavky na </w:t>
      </w:r>
      <w:proofErr w:type="spellStart"/>
      <w:r w:rsidRPr="001E15F4">
        <w:t>energopomoc</w:t>
      </w:r>
      <w:bookmarkEnd w:id="49"/>
      <w:proofErr w:type="spellEnd"/>
    </w:p>
    <w:p w14:paraId="6F4EBC31" w14:textId="06A905D4" w:rsidR="00C6546E" w:rsidRDefault="00C6546E" w:rsidP="00C6546E">
      <w:r w:rsidRPr="003B51E5">
        <w:rPr>
          <w:b/>
        </w:rPr>
        <w:t xml:space="preserve">V roku 2024 </w:t>
      </w:r>
      <w:r>
        <w:rPr>
          <w:b/>
        </w:rPr>
        <w:t xml:space="preserve">predstavovali výdavky na </w:t>
      </w:r>
      <w:proofErr w:type="spellStart"/>
      <w:r>
        <w:rPr>
          <w:b/>
        </w:rPr>
        <w:t>energopomoc</w:t>
      </w:r>
      <w:proofErr w:type="spellEnd"/>
      <w:r>
        <w:rPr>
          <w:b/>
        </w:rPr>
        <w:t xml:space="preserve"> jednu z najvýznamnejších jednorazových položiek, ktoré mali vplyv na schodok</w:t>
      </w:r>
      <w:r w:rsidR="0080276A">
        <w:rPr>
          <w:b/>
        </w:rPr>
        <w:t xml:space="preserve"> VS</w:t>
      </w:r>
      <w:r>
        <w:rPr>
          <w:b/>
        </w:rPr>
        <w:t xml:space="preserve">. </w:t>
      </w:r>
      <w:r>
        <w:t xml:space="preserve">Celkové akruálne výdavky na kompenzácie vysokých cien energií </w:t>
      </w:r>
      <w:r w:rsidR="00474B51">
        <w:t xml:space="preserve">za minulý rok </w:t>
      </w:r>
      <w:r>
        <w:t xml:space="preserve">dosiahli 1 125,7 mil. eur, z čoho najväčšia časť smerovala na zafixovanie cien elektriny a plynu pre domácnosti (887,8 mil. eur), pričom menší balík bol vyčlenený na kompenzácie pre podniky a subjekty VS. </w:t>
      </w:r>
    </w:p>
    <w:p w14:paraId="3A96A6ED" w14:textId="3063EF6A" w:rsidR="00C6546E" w:rsidRDefault="00C6546E" w:rsidP="00C6546E">
      <w:r w:rsidRPr="00D97426">
        <w:rPr>
          <w:b/>
        </w:rPr>
        <w:t xml:space="preserve">Hoci sa </w:t>
      </w:r>
      <w:proofErr w:type="spellStart"/>
      <w:r w:rsidRPr="00D97426">
        <w:rPr>
          <w:b/>
        </w:rPr>
        <w:t>energopomoc</w:t>
      </w:r>
      <w:proofErr w:type="spellEnd"/>
      <w:r w:rsidRPr="00D97426">
        <w:rPr>
          <w:b/>
        </w:rPr>
        <w:t xml:space="preserve"> považovala za ekonomicky opodstatnený nástroj v kontexte energetickej krízy, dlhodobo plošné kompenzácie </w:t>
      </w:r>
      <w:r>
        <w:rPr>
          <w:b/>
        </w:rPr>
        <w:t xml:space="preserve">deformujú trh a vytvárajú morálny hazard. </w:t>
      </w:r>
      <w:r>
        <w:t>Navyše</w:t>
      </w:r>
      <w:r w:rsidR="00CE6494">
        <w:t>,</w:t>
      </w:r>
      <w:r>
        <w:t xml:space="preserve"> v roku 2024 ceny energií na trhoch významne poklesli, vďaka čomu mohlo dôjsť k stabilizácii aj </w:t>
      </w:r>
      <w:r w:rsidR="00854C46">
        <w:t>v</w:t>
      </w:r>
      <w:r w:rsidR="00521A81">
        <w:t xml:space="preserve"> </w:t>
      </w:r>
      <w:r>
        <w:t>regulovaných ce</w:t>
      </w:r>
      <w:r w:rsidR="00521A81">
        <w:t>n</w:t>
      </w:r>
      <w:r w:rsidR="00854C46">
        <w:t>ách</w:t>
      </w:r>
      <w:r>
        <w:t>. Napriek tomu sa vláda rozhodla pokračovať v plošnom dotovaní namiesto adresnej podpory zraniteľných skupín</w:t>
      </w:r>
      <w:r w:rsidR="00521A81">
        <w:t xml:space="preserve"> obyvateľov</w:t>
      </w:r>
      <w:r>
        <w:t>. Plošné kompenzácie síce tlmili infláciu, ale zároveň dotovali aj vysokopríjmové skupiny</w:t>
      </w:r>
      <w:r w:rsidR="00521A81">
        <w:t xml:space="preserve"> občanov</w:t>
      </w:r>
      <w:r>
        <w:t xml:space="preserve">, ktoré necítia nárast cien ako existenčný problém. </w:t>
      </w:r>
      <w:proofErr w:type="spellStart"/>
      <w:r>
        <w:t>Energopomoc</w:t>
      </w:r>
      <w:proofErr w:type="spellEnd"/>
      <w:r>
        <w:t xml:space="preserve"> vedie </w:t>
      </w:r>
      <w:r>
        <w:lastRenderedPageBreak/>
        <w:t xml:space="preserve">takisto k nedostatočnej motivácii domácností a podnikov k úsporám </w:t>
      </w:r>
      <w:r w:rsidR="00521A81">
        <w:t xml:space="preserve">na </w:t>
      </w:r>
      <w:r>
        <w:t>spotreb</w:t>
      </w:r>
      <w:r w:rsidR="00521A81">
        <w:t>e energií</w:t>
      </w:r>
      <w:r>
        <w:t xml:space="preserve"> a nevytvára tlak na energetickú efektívnosť.</w:t>
      </w:r>
    </w:p>
    <w:p w14:paraId="408EA724" w14:textId="5834F77E" w:rsidR="00C6546E" w:rsidRDefault="00C6546E" w:rsidP="00C6546E">
      <w:r w:rsidRPr="00133335">
        <w:rPr>
          <w:b/>
        </w:rPr>
        <w:t xml:space="preserve">Vláda </w:t>
      </w:r>
      <w:r w:rsidR="00854C46">
        <w:rPr>
          <w:b/>
        </w:rPr>
        <w:t xml:space="preserve">v roku 2024 </w:t>
      </w:r>
      <w:r w:rsidRPr="00133335">
        <w:rPr>
          <w:b/>
        </w:rPr>
        <w:t xml:space="preserve">zmrazila ceny plynu na úrovni z roka 2023 a zároveň </w:t>
      </w:r>
      <w:proofErr w:type="spellStart"/>
      <w:r w:rsidRPr="00133335">
        <w:rPr>
          <w:b/>
        </w:rPr>
        <w:t>zastropovala</w:t>
      </w:r>
      <w:proofErr w:type="spellEnd"/>
      <w:r w:rsidRPr="00133335">
        <w:rPr>
          <w:b/>
        </w:rPr>
        <w:t xml:space="preserve"> ceny elektriny pre domácnosti a</w:t>
      </w:r>
      <w:r>
        <w:rPr>
          <w:b/>
        </w:rPr>
        <w:t> </w:t>
      </w:r>
      <w:r w:rsidRPr="00133335">
        <w:rPr>
          <w:b/>
        </w:rPr>
        <w:t>tepla</w:t>
      </w:r>
      <w:r>
        <w:rPr>
          <w:b/>
        </w:rPr>
        <w:t xml:space="preserve"> pre vybrané skupiny obyvateľov. </w:t>
      </w:r>
      <w:r>
        <w:t>M</w:t>
      </w:r>
      <w:r w:rsidR="00521A81">
        <w:t>H SR</w:t>
      </w:r>
      <w:r>
        <w:t xml:space="preserve"> pripravilo schémy pomoci, ktoré umožnili podnikateľom a organizáciám žiadať o kompenzácie a dotácie cien energií.</w:t>
      </w:r>
      <w:r>
        <w:rPr>
          <w:rStyle w:val="Odkaznapoznmkupodiarou"/>
        </w:rPr>
        <w:footnoteReference w:id="29"/>
      </w:r>
      <w:r>
        <w:t xml:space="preserve"> </w:t>
      </w:r>
      <w:proofErr w:type="spellStart"/>
      <w:r w:rsidR="00854C46">
        <w:rPr>
          <w:rFonts w:cs="Segoe UI"/>
          <w:szCs w:val="20"/>
        </w:rPr>
        <w:t>Energopomoc</w:t>
      </w:r>
      <w:proofErr w:type="spellEnd"/>
      <w:r w:rsidR="00854C46">
        <w:rPr>
          <w:rFonts w:cs="Segoe UI"/>
          <w:szCs w:val="20"/>
        </w:rPr>
        <w:t xml:space="preserve"> bola poskytovaná od roku 2022, pričom najvyššie výdavky ŠR boli v roku 2023 v objeme 2,92 mld. eur. </w:t>
      </w:r>
      <w:r>
        <w:t>Rezerva v</w:t>
      </w:r>
      <w:r w:rsidR="00CE6494">
        <w:t> </w:t>
      </w:r>
      <w:r w:rsidR="00521A81">
        <w:t>ŠR</w:t>
      </w:r>
      <w:r w:rsidR="00CE6494">
        <w:t>,</w:t>
      </w:r>
      <w:r>
        <w:t xml:space="preserve"> určená na kompenzačné opatrenia súvisiace s rastom cien energií</w:t>
      </w:r>
      <w:r w:rsidR="00CE6494">
        <w:t>,</w:t>
      </w:r>
      <w:r>
        <w:t xml:space="preserve"> bola pre rok 2024 rozpočtovaná v kapitole VPS vo výške 800 mil. eur, pričom </w:t>
      </w:r>
      <w:proofErr w:type="spellStart"/>
      <w:r>
        <w:t>energopomoc</w:t>
      </w:r>
      <w:proofErr w:type="spellEnd"/>
      <w:r>
        <w:t xml:space="preserve"> realizovaná prostredníctvom MH SR bola na úrovni 1 222,2 mil. </w:t>
      </w:r>
      <w:r w:rsidRPr="0004161F">
        <w:t xml:space="preserve">eur </w:t>
      </w:r>
      <w:r w:rsidR="00854C46">
        <w:t xml:space="preserve">s významným využitím zdrojov EÚ </w:t>
      </w:r>
      <w:r w:rsidRPr="0004161F">
        <w:t xml:space="preserve">(tabuľka </w:t>
      </w:r>
      <w:r w:rsidR="0004161F" w:rsidRPr="0004161F">
        <w:t>2</w:t>
      </w:r>
      <w:r w:rsidR="00956665">
        <w:t>1).</w:t>
      </w:r>
    </w:p>
    <w:p w14:paraId="01B75E01" w14:textId="77777777" w:rsidR="00956665" w:rsidRPr="008F7624" w:rsidRDefault="00956665" w:rsidP="00956665">
      <w:pPr>
        <w:rPr>
          <w:rFonts w:cs="Segoe UI"/>
          <w:szCs w:val="20"/>
        </w:rPr>
      </w:pPr>
      <w:r>
        <w:rPr>
          <w:rFonts w:cs="Segoe UI"/>
          <w:b/>
          <w:szCs w:val="20"/>
        </w:rPr>
        <w:t xml:space="preserve">Celkové výdavky na </w:t>
      </w:r>
      <w:proofErr w:type="spellStart"/>
      <w:r>
        <w:rPr>
          <w:rFonts w:cs="Segoe UI"/>
          <w:b/>
          <w:szCs w:val="20"/>
        </w:rPr>
        <w:t>energopomoc</w:t>
      </w:r>
      <w:proofErr w:type="spellEnd"/>
      <w:r>
        <w:rPr>
          <w:rFonts w:cs="Segoe UI"/>
          <w:b/>
          <w:szCs w:val="20"/>
        </w:rPr>
        <w:t xml:space="preserve"> za roky 2022 až 2024 dosiahli 4 221 mil. eur, z toho 3 285 mil. eur bolo zo ŠR a 937 mil. eur pochádzalo zo zdrojov EÚ. </w:t>
      </w:r>
      <w:proofErr w:type="spellStart"/>
      <w:r>
        <w:rPr>
          <w:rFonts w:cs="Segoe UI"/>
          <w:szCs w:val="20"/>
        </w:rPr>
        <w:t>Energopomoc</w:t>
      </w:r>
      <w:proofErr w:type="spellEnd"/>
      <w:r>
        <w:rPr>
          <w:rFonts w:cs="Segoe UI"/>
          <w:szCs w:val="20"/>
        </w:rPr>
        <w:t xml:space="preserve"> v roku 2024 bola realizovaná v rámci podtriedy 0435 – </w:t>
      </w:r>
      <w:r w:rsidRPr="00854C46">
        <w:rPr>
          <w:rFonts w:cs="Segoe UI"/>
          <w:i/>
          <w:szCs w:val="20"/>
        </w:rPr>
        <w:t>Elektrická energia</w:t>
      </w:r>
      <w:r>
        <w:rPr>
          <w:rFonts w:cs="Segoe UI"/>
          <w:szCs w:val="20"/>
        </w:rPr>
        <w:t xml:space="preserve"> (funkčná klasifikácia) a prvku </w:t>
      </w:r>
      <w:r w:rsidRPr="00DC5851">
        <w:rPr>
          <w:rFonts w:cs="Segoe UI"/>
          <w:szCs w:val="20"/>
        </w:rPr>
        <w:t xml:space="preserve">07K021M </w:t>
      </w:r>
      <w:r>
        <w:rPr>
          <w:rFonts w:cs="Segoe UI"/>
          <w:szCs w:val="20"/>
        </w:rPr>
        <w:t xml:space="preserve">– </w:t>
      </w:r>
      <w:r w:rsidRPr="00854C46">
        <w:rPr>
          <w:rFonts w:cs="Segoe UI"/>
          <w:i/>
          <w:szCs w:val="20"/>
        </w:rPr>
        <w:t xml:space="preserve">Podpora podnikateľov </w:t>
      </w:r>
      <w:r>
        <w:rPr>
          <w:rFonts w:cs="Segoe UI"/>
          <w:i/>
          <w:szCs w:val="20"/>
        </w:rPr>
        <w:t xml:space="preserve">– </w:t>
      </w:r>
      <w:r w:rsidRPr="00854C46">
        <w:rPr>
          <w:rFonts w:cs="Segoe UI"/>
          <w:i/>
          <w:szCs w:val="20"/>
        </w:rPr>
        <w:t>dotácia na kompenzáciu zvýšených nákladov na energie</w:t>
      </w:r>
      <w:r>
        <w:rPr>
          <w:rFonts w:cs="Segoe UI"/>
          <w:szCs w:val="20"/>
        </w:rPr>
        <w:t xml:space="preserve"> (programové rozpočtovanie).</w:t>
      </w:r>
    </w:p>
    <w:p w14:paraId="421B3948" w14:textId="71A01EBE" w:rsidR="00854C46" w:rsidRDefault="00854C46" w:rsidP="00854C46">
      <w:pPr>
        <w:pStyle w:val="Popis"/>
        <w:keepNext/>
      </w:pPr>
      <w:r w:rsidRPr="00EA4CBA">
        <w:t xml:space="preserve">Tabuľka </w:t>
      </w:r>
      <w:r w:rsidRPr="00854C46">
        <w:t>21</w:t>
      </w:r>
      <w:r>
        <w:t xml:space="preserve">: </w:t>
      </w:r>
      <w:r w:rsidRPr="006C3A54">
        <w:t xml:space="preserve">Skutočné čerpanie finančných prostriedkov na </w:t>
      </w:r>
      <w:proofErr w:type="spellStart"/>
      <w:r w:rsidRPr="006C3A54">
        <w:t>energopomoc</w:t>
      </w:r>
      <w:proofErr w:type="spellEnd"/>
      <w:r w:rsidRPr="006C3A54">
        <w:t xml:space="preserve"> </w:t>
      </w:r>
      <w:r>
        <w:t>(</w:t>
      </w:r>
      <w:r w:rsidRPr="00A8009D">
        <w:t>v eur</w:t>
      </w:r>
      <w:r>
        <w:t>ách)</w:t>
      </w:r>
    </w:p>
    <w:tbl>
      <w:tblPr>
        <w:tblW w:w="9072" w:type="dxa"/>
        <w:tblBorders>
          <w:bottom w:val="single" w:sz="4" w:space="0" w:color="314364" w:themeColor="text2"/>
        </w:tblBorders>
        <w:tblLayout w:type="fixed"/>
        <w:tblCellMar>
          <w:left w:w="70" w:type="dxa"/>
          <w:right w:w="70" w:type="dxa"/>
        </w:tblCellMar>
        <w:tblLook w:val="04A0" w:firstRow="1" w:lastRow="0" w:firstColumn="1" w:lastColumn="0" w:noHBand="0" w:noVBand="1"/>
      </w:tblPr>
      <w:tblGrid>
        <w:gridCol w:w="5245"/>
        <w:gridCol w:w="1276"/>
        <w:gridCol w:w="1276"/>
        <w:gridCol w:w="1275"/>
      </w:tblGrid>
      <w:tr w:rsidR="00854C46" w:rsidRPr="00C712B4" w14:paraId="73F9A030" w14:textId="77777777" w:rsidTr="00DE37D3">
        <w:trPr>
          <w:trHeight w:val="283"/>
          <w:tblHeader/>
        </w:trPr>
        <w:tc>
          <w:tcPr>
            <w:tcW w:w="5245" w:type="dxa"/>
            <w:shd w:val="clear" w:color="auto" w:fill="314364"/>
            <w:noWrap/>
          </w:tcPr>
          <w:p w14:paraId="2971515B" w14:textId="77777777" w:rsidR="00854C46" w:rsidRPr="00C712B4" w:rsidRDefault="00854C46" w:rsidP="004A2F16">
            <w:pPr>
              <w:spacing w:after="0" w:line="240" w:lineRule="auto"/>
              <w:rPr>
                <w:rFonts w:eastAsia="Times New Roman" w:cs="Segoe UI"/>
                <w:b/>
                <w:bCs/>
                <w:color w:val="FFFFFF" w:themeColor="background1"/>
                <w:sz w:val="18"/>
                <w:szCs w:val="18"/>
                <w:lang w:eastAsia="sk-SK"/>
              </w:rPr>
            </w:pPr>
            <w:r>
              <w:rPr>
                <w:rFonts w:cs="Segoe UI"/>
                <w:b/>
                <w:bCs/>
                <w:color w:val="FFFFFF" w:themeColor="background1"/>
                <w:sz w:val="18"/>
                <w:szCs w:val="18"/>
              </w:rPr>
              <w:t>MH SR - z</w:t>
            </w:r>
            <w:r w:rsidRPr="00C712B4">
              <w:rPr>
                <w:rFonts w:cs="Segoe UI"/>
                <w:b/>
                <w:bCs/>
                <w:color w:val="FFFFFF" w:themeColor="background1"/>
                <w:sz w:val="18"/>
                <w:szCs w:val="18"/>
              </w:rPr>
              <w:t>droje financovania</w:t>
            </w:r>
          </w:p>
        </w:tc>
        <w:tc>
          <w:tcPr>
            <w:tcW w:w="1276" w:type="dxa"/>
            <w:shd w:val="clear" w:color="auto" w:fill="314364"/>
          </w:tcPr>
          <w:p w14:paraId="7B4ACD7F" w14:textId="77777777" w:rsidR="00854C46" w:rsidRPr="00C712B4" w:rsidRDefault="00854C46" w:rsidP="004A2F16">
            <w:pPr>
              <w:spacing w:after="0" w:line="240" w:lineRule="auto"/>
              <w:jc w:val="center"/>
              <w:rPr>
                <w:rFonts w:cs="Segoe UI"/>
                <w:b/>
                <w:bCs/>
                <w:color w:val="FFFFFF" w:themeColor="background1"/>
                <w:sz w:val="18"/>
                <w:szCs w:val="18"/>
              </w:rPr>
            </w:pPr>
            <w:r w:rsidRPr="00C712B4">
              <w:rPr>
                <w:rFonts w:cs="Segoe UI"/>
                <w:b/>
                <w:bCs/>
                <w:color w:val="FFFFFF" w:themeColor="background1"/>
                <w:sz w:val="18"/>
                <w:szCs w:val="18"/>
              </w:rPr>
              <w:t>202</w:t>
            </w:r>
            <w:r>
              <w:rPr>
                <w:rFonts w:cs="Segoe UI"/>
                <w:b/>
                <w:bCs/>
                <w:color w:val="FFFFFF" w:themeColor="background1"/>
                <w:sz w:val="18"/>
                <w:szCs w:val="18"/>
              </w:rPr>
              <w:t>2</w:t>
            </w:r>
            <w:r w:rsidRPr="00C712B4">
              <w:rPr>
                <w:rFonts w:cs="Segoe UI"/>
                <w:b/>
                <w:bCs/>
                <w:color w:val="FFFFFF" w:themeColor="background1"/>
                <w:sz w:val="18"/>
                <w:szCs w:val="18"/>
              </w:rPr>
              <w:t xml:space="preserve"> </w:t>
            </w:r>
            <w:r>
              <w:rPr>
                <w:rFonts w:cs="Segoe UI"/>
                <w:b/>
                <w:bCs/>
                <w:color w:val="FFFFFF" w:themeColor="background1"/>
                <w:sz w:val="18"/>
                <w:szCs w:val="18"/>
              </w:rPr>
              <w:t>S</w:t>
            </w:r>
          </w:p>
        </w:tc>
        <w:tc>
          <w:tcPr>
            <w:tcW w:w="1276" w:type="dxa"/>
            <w:shd w:val="clear" w:color="auto" w:fill="314364"/>
          </w:tcPr>
          <w:p w14:paraId="7FBA7F3D" w14:textId="77777777" w:rsidR="00854C46" w:rsidRPr="00C712B4" w:rsidRDefault="00854C46" w:rsidP="004A2F16">
            <w:pPr>
              <w:spacing w:after="0" w:line="240" w:lineRule="auto"/>
              <w:jc w:val="center"/>
              <w:rPr>
                <w:rFonts w:cs="Segoe UI"/>
                <w:b/>
                <w:bCs/>
                <w:color w:val="FFFFFF" w:themeColor="background1"/>
                <w:sz w:val="18"/>
                <w:szCs w:val="18"/>
              </w:rPr>
            </w:pPr>
            <w:r w:rsidRPr="00C712B4">
              <w:rPr>
                <w:rFonts w:cs="Segoe UI"/>
                <w:b/>
                <w:bCs/>
                <w:color w:val="FFFFFF" w:themeColor="background1"/>
                <w:sz w:val="18"/>
                <w:szCs w:val="18"/>
              </w:rPr>
              <w:t>202</w:t>
            </w:r>
            <w:r>
              <w:rPr>
                <w:rFonts w:cs="Segoe UI"/>
                <w:b/>
                <w:bCs/>
                <w:color w:val="FFFFFF" w:themeColor="background1"/>
                <w:sz w:val="18"/>
                <w:szCs w:val="18"/>
              </w:rPr>
              <w:t>3</w:t>
            </w:r>
            <w:r w:rsidRPr="00C712B4">
              <w:rPr>
                <w:rFonts w:cs="Segoe UI"/>
                <w:b/>
                <w:bCs/>
                <w:color w:val="FFFFFF" w:themeColor="background1"/>
                <w:sz w:val="18"/>
                <w:szCs w:val="18"/>
              </w:rPr>
              <w:t xml:space="preserve"> </w:t>
            </w:r>
            <w:r>
              <w:rPr>
                <w:rFonts w:cs="Segoe UI"/>
                <w:b/>
                <w:bCs/>
                <w:color w:val="FFFFFF" w:themeColor="background1"/>
                <w:sz w:val="18"/>
                <w:szCs w:val="18"/>
              </w:rPr>
              <w:t>S</w:t>
            </w:r>
          </w:p>
        </w:tc>
        <w:tc>
          <w:tcPr>
            <w:tcW w:w="1275" w:type="dxa"/>
            <w:shd w:val="clear" w:color="auto" w:fill="314364"/>
            <w:noWrap/>
          </w:tcPr>
          <w:p w14:paraId="30B03BFA" w14:textId="77777777" w:rsidR="00854C46" w:rsidRPr="00C712B4" w:rsidRDefault="00854C46" w:rsidP="004A2F16">
            <w:pPr>
              <w:spacing w:after="0" w:line="240" w:lineRule="auto"/>
              <w:jc w:val="center"/>
              <w:rPr>
                <w:rFonts w:eastAsia="Times New Roman" w:cs="Segoe UI"/>
                <w:b/>
                <w:bCs/>
                <w:color w:val="FFFFFF" w:themeColor="background1"/>
                <w:sz w:val="18"/>
                <w:szCs w:val="18"/>
                <w:lang w:eastAsia="sk-SK"/>
              </w:rPr>
            </w:pPr>
            <w:r w:rsidRPr="00C712B4">
              <w:rPr>
                <w:rFonts w:cs="Segoe UI"/>
                <w:b/>
                <w:bCs/>
                <w:color w:val="FFFFFF" w:themeColor="background1"/>
                <w:sz w:val="18"/>
                <w:szCs w:val="18"/>
              </w:rPr>
              <w:t>2024 S</w:t>
            </w:r>
          </w:p>
        </w:tc>
      </w:tr>
      <w:tr w:rsidR="00854C46" w:rsidRPr="00C712B4" w14:paraId="11035C2A" w14:textId="77777777" w:rsidTr="00DE37D3">
        <w:trPr>
          <w:trHeight w:val="283"/>
        </w:trPr>
        <w:tc>
          <w:tcPr>
            <w:tcW w:w="5245" w:type="dxa"/>
            <w:tcBorders>
              <w:right w:val="nil"/>
            </w:tcBorders>
            <w:shd w:val="clear" w:color="auto" w:fill="auto"/>
            <w:noWrap/>
            <w:vAlign w:val="bottom"/>
          </w:tcPr>
          <w:p w14:paraId="4A833E62" w14:textId="77777777" w:rsidR="00854C46" w:rsidRPr="00C712B4" w:rsidRDefault="00854C46" w:rsidP="004A2F16">
            <w:pPr>
              <w:spacing w:after="0" w:line="240" w:lineRule="auto"/>
              <w:ind w:left="-75"/>
              <w:rPr>
                <w:rFonts w:eastAsia="Times New Roman" w:cs="Segoe UI"/>
                <w:sz w:val="18"/>
                <w:szCs w:val="18"/>
                <w:lang w:eastAsia="sk-SK"/>
              </w:rPr>
            </w:pPr>
            <w:r>
              <w:rPr>
                <w:rFonts w:cs="Segoe UI"/>
                <w:sz w:val="18"/>
                <w:szCs w:val="18"/>
              </w:rPr>
              <w:t>111 - Rozpočtové prostriedky kapitoly</w:t>
            </w:r>
          </w:p>
        </w:tc>
        <w:tc>
          <w:tcPr>
            <w:tcW w:w="1276" w:type="dxa"/>
            <w:tcBorders>
              <w:right w:val="nil"/>
            </w:tcBorders>
            <w:vAlign w:val="bottom"/>
          </w:tcPr>
          <w:p w14:paraId="27FD13A3"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76 167 950 </w:t>
            </w:r>
          </w:p>
        </w:tc>
        <w:tc>
          <w:tcPr>
            <w:tcW w:w="1276" w:type="dxa"/>
            <w:tcBorders>
              <w:right w:val="nil"/>
            </w:tcBorders>
            <w:vAlign w:val="bottom"/>
          </w:tcPr>
          <w:p w14:paraId="32E72C7B"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1 184 866 705 </w:t>
            </w:r>
          </w:p>
        </w:tc>
        <w:tc>
          <w:tcPr>
            <w:tcW w:w="1275" w:type="dxa"/>
            <w:tcBorders>
              <w:top w:val="nil"/>
              <w:left w:val="nil"/>
              <w:bottom w:val="nil"/>
              <w:right w:val="nil"/>
            </w:tcBorders>
            <w:shd w:val="clear" w:color="auto" w:fill="auto"/>
            <w:noWrap/>
            <w:vAlign w:val="bottom"/>
          </w:tcPr>
          <w:p w14:paraId="69A24379"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750 279 949 </w:t>
            </w:r>
          </w:p>
        </w:tc>
      </w:tr>
      <w:tr w:rsidR="00854C46" w:rsidRPr="00C712B4" w14:paraId="7AD4172A" w14:textId="77777777" w:rsidTr="00DE37D3">
        <w:trPr>
          <w:trHeight w:val="283"/>
        </w:trPr>
        <w:tc>
          <w:tcPr>
            <w:tcW w:w="5245" w:type="dxa"/>
            <w:tcBorders>
              <w:right w:val="nil"/>
            </w:tcBorders>
            <w:shd w:val="clear" w:color="auto" w:fill="auto"/>
            <w:noWrap/>
            <w:vAlign w:val="bottom"/>
          </w:tcPr>
          <w:p w14:paraId="48F37D9E" w14:textId="4D2B6B7D" w:rsidR="00854C46" w:rsidRPr="00C712B4" w:rsidRDefault="00854C46" w:rsidP="00DE37D3">
            <w:pPr>
              <w:spacing w:after="0" w:line="240" w:lineRule="auto"/>
              <w:ind w:left="-75"/>
              <w:rPr>
                <w:rFonts w:eastAsia="Times New Roman" w:cs="Segoe UI"/>
                <w:sz w:val="18"/>
                <w:szCs w:val="18"/>
                <w:lang w:eastAsia="sk-SK"/>
              </w:rPr>
            </w:pPr>
            <w:r>
              <w:rPr>
                <w:rFonts w:cs="Segoe UI"/>
                <w:sz w:val="18"/>
                <w:szCs w:val="18"/>
              </w:rPr>
              <w:t xml:space="preserve">131M - Zo </w:t>
            </w:r>
            <w:r w:rsidR="00DE37D3">
              <w:rPr>
                <w:rFonts w:cs="Segoe UI"/>
                <w:sz w:val="18"/>
                <w:szCs w:val="18"/>
              </w:rPr>
              <w:t>ŠR</w:t>
            </w:r>
            <w:r>
              <w:rPr>
                <w:rFonts w:cs="Segoe UI"/>
                <w:sz w:val="18"/>
                <w:szCs w:val="18"/>
              </w:rPr>
              <w:t xml:space="preserve"> z 202</w:t>
            </w:r>
            <w:r w:rsidR="00DE37D3">
              <w:rPr>
                <w:rFonts w:cs="Segoe UI"/>
                <w:sz w:val="18"/>
                <w:szCs w:val="18"/>
              </w:rPr>
              <w:t xml:space="preserve">2 (nevyčerpané prostriedky z </w:t>
            </w:r>
            <w:r>
              <w:rPr>
                <w:rFonts w:cs="Segoe UI"/>
                <w:sz w:val="18"/>
                <w:szCs w:val="18"/>
              </w:rPr>
              <w:t>2022)</w:t>
            </w:r>
          </w:p>
        </w:tc>
        <w:tc>
          <w:tcPr>
            <w:tcW w:w="1276" w:type="dxa"/>
            <w:tcBorders>
              <w:right w:val="nil"/>
            </w:tcBorders>
            <w:vAlign w:val="bottom"/>
          </w:tcPr>
          <w:p w14:paraId="4026DF61"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6" w:type="dxa"/>
            <w:tcBorders>
              <w:right w:val="nil"/>
            </w:tcBorders>
            <w:vAlign w:val="bottom"/>
          </w:tcPr>
          <w:p w14:paraId="2E5462EF"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1 237 970 410 </w:t>
            </w:r>
          </w:p>
        </w:tc>
        <w:tc>
          <w:tcPr>
            <w:tcW w:w="1275" w:type="dxa"/>
            <w:tcBorders>
              <w:top w:val="nil"/>
              <w:left w:val="nil"/>
              <w:bottom w:val="nil"/>
              <w:right w:val="nil"/>
            </w:tcBorders>
            <w:shd w:val="clear" w:color="auto" w:fill="auto"/>
            <w:noWrap/>
            <w:vAlign w:val="bottom"/>
          </w:tcPr>
          <w:p w14:paraId="7664245E"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21 000 000 </w:t>
            </w:r>
          </w:p>
        </w:tc>
      </w:tr>
      <w:tr w:rsidR="00854C46" w:rsidRPr="00C712B4" w14:paraId="29BD4197" w14:textId="77777777" w:rsidTr="00DE37D3">
        <w:trPr>
          <w:trHeight w:val="283"/>
        </w:trPr>
        <w:tc>
          <w:tcPr>
            <w:tcW w:w="5245" w:type="dxa"/>
            <w:tcBorders>
              <w:right w:val="nil"/>
            </w:tcBorders>
            <w:shd w:val="clear" w:color="auto" w:fill="auto"/>
            <w:noWrap/>
            <w:vAlign w:val="bottom"/>
          </w:tcPr>
          <w:p w14:paraId="3589B18D" w14:textId="66010EB9" w:rsidR="00854C46" w:rsidRPr="00C712B4" w:rsidRDefault="00854C46" w:rsidP="00DE37D3">
            <w:pPr>
              <w:spacing w:after="0" w:line="240" w:lineRule="auto"/>
              <w:ind w:left="-75"/>
              <w:rPr>
                <w:rFonts w:eastAsia="Times New Roman" w:cs="Segoe UI"/>
                <w:sz w:val="18"/>
                <w:szCs w:val="18"/>
                <w:lang w:eastAsia="sk-SK"/>
              </w:rPr>
            </w:pPr>
            <w:r>
              <w:rPr>
                <w:rFonts w:cs="Segoe UI"/>
                <w:sz w:val="18"/>
                <w:szCs w:val="18"/>
              </w:rPr>
              <w:t xml:space="preserve">131N - Zo </w:t>
            </w:r>
            <w:r w:rsidR="00DE37D3">
              <w:rPr>
                <w:rFonts w:cs="Segoe UI"/>
                <w:sz w:val="18"/>
                <w:szCs w:val="18"/>
              </w:rPr>
              <w:t>ŠR</w:t>
            </w:r>
            <w:r>
              <w:rPr>
                <w:rFonts w:cs="Segoe UI"/>
                <w:sz w:val="18"/>
                <w:szCs w:val="18"/>
              </w:rPr>
              <w:t xml:space="preserve"> z 2023 (nevyčerpané prostriedky z 2023)</w:t>
            </w:r>
          </w:p>
        </w:tc>
        <w:tc>
          <w:tcPr>
            <w:tcW w:w="1276" w:type="dxa"/>
            <w:tcBorders>
              <w:right w:val="nil"/>
            </w:tcBorders>
            <w:vAlign w:val="bottom"/>
          </w:tcPr>
          <w:p w14:paraId="7E6D3B78"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6" w:type="dxa"/>
            <w:tcBorders>
              <w:right w:val="nil"/>
            </w:tcBorders>
            <w:vAlign w:val="bottom"/>
          </w:tcPr>
          <w:p w14:paraId="3F8F7536"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5" w:type="dxa"/>
            <w:tcBorders>
              <w:top w:val="nil"/>
              <w:left w:val="nil"/>
              <w:bottom w:val="nil"/>
              <w:right w:val="nil"/>
            </w:tcBorders>
            <w:shd w:val="clear" w:color="auto" w:fill="auto"/>
            <w:noWrap/>
            <w:vAlign w:val="bottom"/>
          </w:tcPr>
          <w:p w14:paraId="7D9073F4"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14 235 252 </w:t>
            </w:r>
          </w:p>
        </w:tc>
      </w:tr>
      <w:tr w:rsidR="00854C46" w:rsidRPr="00C712B4" w14:paraId="2996F780" w14:textId="77777777" w:rsidTr="00DE37D3">
        <w:trPr>
          <w:trHeight w:val="283"/>
        </w:trPr>
        <w:tc>
          <w:tcPr>
            <w:tcW w:w="5245" w:type="dxa"/>
            <w:tcBorders>
              <w:right w:val="nil"/>
            </w:tcBorders>
            <w:shd w:val="clear" w:color="auto" w:fill="auto"/>
            <w:noWrap/>
            <w:vAlign w:val="bottom"/>
          </w:tcPr>
          <w:p w14:paraId="5C8A11B3" w14:textId="61B3A28A" w:rsidR="00854C46" w:rsidRPr="00C712B4" w:rsidRDefault="00854C46" w:rsidP="00DE37D3">
            <w:pPr>
              <w:spacing w:after="0" w:line="240" w:lineRule="auto"/>
              <w:ind w:left="-75"/>
              <w:rPr>
                <w:rFonts w:cs="Segoe UI"/>
                <w:sz w:val="18"/>
                <w:szCs w:val="18"/>
              </w:rPr>
            </w:pPr>
            <w:r>
              <w:rPr>
                <w:rFonts w:cs="Segoe UI"/>
                <w:sz w:val="18"/>
                <w:szCs w:val="18"/>
              </w:rPr>
              <w:t xml:space="preserve">1AA1 - Európsky fond regionálneho rozvoja (Prostriedky EÚ – z 3. </w:t>
            </w:r>
            <w:r w:rsidR="00DE37D3">
              <w:rPr>
                <w:rFonts w:cs="Segoe UI"/>
                <w:sz w:val="18"/>
                <w:szCs w:val="18"/>
              </w:rPr>
              <w:t>PO</w:t>
            </w:r>
            <w:r>
              <w:rPr>
                <w:rFonts w:cs="Segoe UI"/>
                <w:sz w:val="18"/>
                <w:szCs w:val="18"/>
              </w:rPr>
              <w:t xml:space="preserve"> 2014 – 2020)</w:t>
            </w:r>
          </w:p>
        </w:tc>
        <w:tc>
          <w:tcPr>
            <w:tcW w:w="1276" w:type="dxa"/>
            <w:tcBorders>
              <w:right w:val="nil"/>
            </w:tcBorders>
            <w:vAlign w:val="bottom"/>
          </w:tcPr>
          <w:p w14:paraId="37D5E3AF" w14:textId="77777777" w:rsidR="00854C46" w:rsidRPr="00C712B4" w:rsidRDefault="00854C46" w:rsidP="004A2F16">
            <w:pPr>
              <w:spacing w:after="0" w:line="240" w:lineRule="auto"/>
              <w:ind w:left="-75"/>
              <w:jc w:val="right"/>
              <w:rPr>
                <w:rFonts w:cs="Segoe UI"/>
                <w:sz w:val="18"/>
                <w:szCs w:val="18"/>
              </w:rPr>
            </w:pPr>
            <w:r>
              <w:rPr>
                <w:rFonts w:cs="Segoe UI"/>
                <w:sz w:val="18"/>
                <w:szCs w:val="18"/>
              </w:rPr>
              <w:t xml:space="preserve">0 </w:t>
            </w:r>
          </w:p>
        </w:tc>
        <w:tc>
          <w:tcPr>
            <w:tcW w:w="1276" w:type="dxa"/>
            <w:tcBorders>
              <w:right w:val="nil"/>
            </w:tcBorders>
            <w:vAlign w:val="bottom"/>
          </w:tcPr>
          <w:p w14:paraId="238C7A61" w14:textId="77777777" w:rsidR="00854C46" w:rsidRPr="00C712B4" w:rsidRDefault="00854C46" w:rsidP="004A2F16">
            <w:pPr>
              <w:spacing w:after="0" w:line="240" w:lineRule="auto"/>
              <w:ind w:left="-75"/>
              <w:jc w:val="right"/>
              <w:rPr>
                <w:rFonts w:cs="Segoe UI"/>
                <w:sz w:val="18"/>
                <w:szCs w:val="18"/>
              </w:rPr>
            </w:pPr>
            <w:r>
              <w:rPr>
                <w:rFonts w:cs="Segoe UI"/>
                <w:sz w:val="18"/>
                <w:szCs w:val="18"/>
              </w:rPr>
              <w:t xml:space="preserve">86 250 </w:t>
            </w:r>
          </w:p>
        </w:tc>
        <w:tc>
          <w:tcPr>
            <w:tcW w:w="1275" w:type="dxa"/>
            <w:tcBorders>
              <w:top w:val="nil"/>
              <w:left w:val="nil"/>
              <w:bottom w:val="nil"/>
              <w:right w:val="nil"/>
            </w:tcBorders>
            <w:shd w:val="clear" w:color="auto" w:fill="auto"/>
            <w:noWrap/>
            <w:vAlign w:val="bottom"/>
          </w:tcPr>
          <w:p w14:paraId="5F3FB1DB" w14:textId="77777777" w:rsidR="00854C46" w:rsidRPr="00C712B4" w:rsidRDefault="00854C46" w:rsidP="004A2F16">
            <w:pPr>
              <w:spacing w:after="0" w:line="240" w:lineRule="auto"/>
              <w:ind w:left="-75"/>
              <w:jc w:val="right"/>
              <w:rPr>
                <w:rFonts w:cs="Segoe UI"/>
                <w:sz w:val="18"/>
                <w:szCs w:val="18"/>
              </w:rPr>
            </w:pPr>
            <w:r>
              <w:rPr>
                <w:rFonts w:cs="Segoe UI"/>
                <w:sz w:val="18"/>
                <w:szCs w:val="18"/>
              </w:rPr>
              <w:t xml:space="preserve">0 </w:t>
            </w:r>
          </w:p>
        </w:tc>
      </w:tr>
      <w:tr w:rsidR="00854C46" w:rsidRPr="00C712B4" w14:paraId="1313B0A3" w14:textId="77777777" w:rsidTr="00DE37D3">
        <w:trPr>
          <w:trHeight w:val="283"/>
        </w:trPr>
        <w:tc>
          <w:tcPr>
            <w:tcW w:w="5245" w:type="dxa"/>
            <w:tcBorders>
              <w:right w:val="nil"/>
            </w:tcBorders>
            <w:shd w:val="clear" w:color="auto" w:fill="auto"/>
            <w:noWrap/>
            <w:vAlign w:val="bottom"/>
          </w:tcPr>
          <w:p w14:paraId="1FA1B448" w14:textId="3D428891" w:rsidR="00854C46" w:rsidRPr="00C712B4" w:rsidRDefault="00854C46" w:rsidP="004A2F16">
            <w:pPr>
              <w:spacing w:after="0" w:line="240" w:lineRule="auto"/>
              <w:ind w:left="-75"/>
              <w:rPr>
                <w:rFonts w:eastAsia="Times New Roman" w:cs="Segoe UI"/>
                <w:sz w:val="18"/>
                <w:szCs w:val="18"/>
                <w:lang w:eastAsia="sk-SK"/>
              </w:rPr>
            </w:pPr>
            <w:r>
              <w:rPr>
                <w:rFonts w:cs="Segoe UI"/>
                <w:sz w:val="18"/>
                <w:szCs w:val="18"/>
              </w:rPr>
              <w:t>1AB1 - Kohézny fond (Prostriedk</w:t>
            </w:r>
            <w:r w:rsidR="00DE37D3">
              <w:rPr>
                <w:rFonts w:cs="Segoe UI"/>
                <w:sz w:val="18"/>
                <w:szCs w:val="18"/>
              </w:rPr>
              <w:t>y EÚ – z 3. PO</w:t>
            </w:r>
            <w:r>
              <w:rPr>
                <w:rFonts w:cs="Segoe UI"/>
                <w:sz w:val="18"/>
                <w:szCs w:val="18"/>
              </w:rPr>
              <w:t xml:space="preserve"> 2014 – 2020)</w:t>
            </w:r>
          </w:p>
        </w:tc>
        <w:tc>
          <w:tcPr>
            <w:tcW w:w="1276" w:type="dxa"/>
            <w:tcBorders>
              <w:right w:val="nil"/>
            </w:tcBorders>
            <w:vAlign w:val="bottom"/>
          </w:tcPr>
          <w:p w14:paraId="198DEC46"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6" w:type="dxa"/>
            <w:tcBorders>
              <w:right w:val="nil"/>
            </w:tcBorders>
            <w:vAlign w:val="bottom"/>
          </w:tcPr>
          <w:p w14:paraId="74AE0328"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5" w:type="dxa"/>
            <w:tcBorders>
              <w:top w:val="nil"/>
              <w:left w:val="nil"/>
              <w:bottom w:val="nil"/>
              <w:right w:val="nil"/>
            </w:tcBorders>
            <w:shd w:val="clear" w:color="auto" w:fill="auto"/>
            <w:noWrap/>
            <w:vAlign w:val="bottom"/>
          </w:tcPr>
          <w:p w14:paraId="52BC0B8B"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1 107 552 </w:t>
            </w:r>
          </w:p>
        </w:tc>
      </w:tr>
      <w:tr w:rsidR="00854C46" w:rsidRPr="00C712B4" w14:paraId="002C7F66" w14:textId="77777777" w:rsidTr="00DE37D3">
        <w:trPr>
          <w:trHeight w:val="283"/>
        </w:trPr>
        <w:tc>
          <w:tcPr>
            <w:tcW w:w="5245" w:type="dxa"/>
            <w:tcBorders>
              <w:right w:val="nil"/>
            </w:tcBorders>
            <w:shd w:val="clear" w:color="auto" w:fill="auto"/>
            <w:noWrap/>
            <w:vAlign w:val="bottom"/>
          </w:tcPr>
          <w:p w14:paraId="756C0839" w14:textId="1A0BC6A0" w:rsidR="00854C46" w:rsidRPr="00C712B4" w:rsidRDefault="00854C46" w:rsidP="00DE37D3">
            <w:pPr>
              <w:spacing w:after="0" w:line="240" w:lineRule="auto"/>
              <w:ind w:left="-75"/>
              <w:rPr>
                <w:rFonts w:eastAsia="Times New Roman" w:cs="Segoe UI"/>
                <w:sz w:val="18"/>
                <w:szCs w:val="18"/>
                <w:lang w:eastAsia="sk-SK"/>
              </w:rPr>
            </w:pPr>
            <w:r>
              <w:rPr>
                <w:rFonts w:cs="Segoe UI"/>
                <w:sz w:val="18"/>
                <w:szCs w:val="18"/>
              </w:rPr>
              <w:t xml:space="preserve">3AA1 - Európsky fond regionálneho rozvoja (Prostriedky EÚ – z 3. </w:t>
            </w:r>
            <w:r w:rsidR="00DE37D3">
              <w:rPr>
                <w:rFonts w:cs="Segoe UI"/>
                <w:sz w:val="18"/>
                <w:szCs w:val="18"/>
              </w:rPr>
              <w:t>PO</w:t>
            </w:r>
            <w:r>
              <w:rPr>
                <w:rFonts w:cs="Segoe UI"/>
                <w:sz w:val="18"/>
                <w:szCs w:val="18"/>
              </w:rPr>
              <w:t xml:space="preserve">  2014 – 2020)</w:t>
            </w:r>
          </w:p>
        </w:tc>
        <w:tc>
          <w:tcPr>
            <w:tcW w:w="1276" w:type="dxa"/>
            <w:tcBorders>
              <w:right w:val="nil"/>
            </w:tcBorders>
            <w:vAlign w:val="bottom"/>
          </w:tcPr>
          <w:p w14:paraId="4C845696"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6" w:type="dxa"/>
            <w:tcBorders>
              <w:right w:val="nil"/>
            </w:tcBorders>
            <w:vAlign w:val="bottom"/>
          </w:tcPr>
          <w:p w14:paraId="0BFA9748"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5" w:type="dxa"/>
            <w:tcBorders>
              <w:top w:val="nil"/>
              <w:left w:val="nil"/>
              <w:bottom w:val="nil"/>
              <w:right w:val="nil"/>
            </w:tcBorders>
            <w:shd w:val="clear" w:color="auto" w:fill="auto"/>
            <w:noWrap/>
            <w:vAlign w:val="bottom"/>
          </w:tcPr>
          <w:p w14:paraId="278A5004"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1 534 265 </w:t>
            </w:r>
          </w:p>
        </w:tc>
      </w:tr>
      <w:tr w:rsidR="00854C46" w:rsidRPr="00C712B4" w14:paraId="7F00694F" w14:textId="77777777" w:rsidTr="00DE37D3">
        <w:trPr>
          <w:trHeight w:val="283"/>
        </w:trPr>
        <w:tc>
          <w:tcPr>
            <w:tcW w:w="5245" w:type="dxa"/>
            <w:tcBorders>
              <w:right w:val="nil"/>
            </w:tcBorders>
            <w:shd w:val="clear" w:color="auto" w:fill="auto"/>
            <w:noWrap/>
            <w:vAlign w:val="bottom"/>
          </w:tcPr>
          <w:p w14:paraId="46202CA5" w14:textId="71F0BE27" w:rsidR="00854C46" w:rsidRPr="00C712B4" w:rsidRDefault="00854C46" w:rsidP="004A2F16">
            <w:pPr>
              <w:spacing w:after="0" w:line="240" w:lineRule="auto"/>
              <w:ind w:left="-75"/>
              <w:rPr>
                <w:rFonts w:cs="Segoe UI"/>
                <w:sz w:val="18"/>
                <w:szCs w:val="18"/>
              </w:rPr>
            </w:pPr>
            <w:r>
              <w:rPr>
                <w:rFonts w:cs="Segoe UI"/>
                <w:sz w:val="18"/>
                <w:szCs w:val="18"/>
              </w:rPr>
              <w:t>3AB1 - Kohézny fond (Prostriedk</w:t>
            </w:r>
            <w:r w:rsidR="00DE37D3">
              <w:rPr>
                <w:rFonts w:cs="Segoe UI"/>
                <w:sz w:val="18"/>
                <w:szCs w:val="18"/>
              </w:rPr>
              <w:t>y EÚ – z 3. PO</w:t>
            </w:r>
            <w:r>
              <w:rPr>
                <w:rFonts w:cs="Segoe UI"/>
                <w:sz w:val="18"/>
                <w:szCs w:val="18"/>
              </w:rPr>
              <w:t xml:space="preserve">  2014 – 2020)</w:t>
            </w:r>
          </w:p>
        </w:tc>
        <w:tc>
          <w:tcPr>
            <w:tcW w:w="1276" w:type="dxa"/>
            <w:tcBorders>
              <w:right w:val="nil"/>
            </w:tcBorders>
            <w:vAlign w:val="bottom"/>
          </w:tcPr>
          <w:p w14:paraId="5B5D7F72" w14:textId="77777777" w:rsidR="00854C46" w:rsidRPr="00C712B4" w:rsidRDefault="00854C46" w:rsidP="004A2F16">
            <w:pPr>
              <w:spacing w:after="0" w:line="240" w:lineRule="auto"/>
              <w:ind w:left="-75"/>
              <w:jc w:val="right"/>
              <w:rPr>
                <w:rFonts w:cs="Segoe UI"/>
                <w:sz w:val="18"/>
                <w:szCs w:val="18"/>
              </w:rPr>
            </w:pPr>
            <w:r>
              <w:rPr>
                <w:rFonts w:cs="Segoe UI"/>
                <w:sz w:val="18"/>
                <w:szCs w:val="18"/>
              </w:rPr>
              <w:t xml:space="preserve">0 </w:t>
            </w:r>
          </w:p>
        </w:tc>
        <w:tc>
          <w:tcPr>
            <w:tcW w:w="1276" w:type="dxa"/>
            <w:tcBorders>
              <w:right w:val="nil"/>
            </w:tcBorders>
            <w:vAlign w:val="bottom"/>
          </w:tcPr>
          <w:p w14:paraId="2CEF27E9" w14:textId="77777777" w:rsidR="00854C46" w:rsidRPr="00C712B4" w:rsidRDefault="00854C46" w:rsidP="004A2F16">
            <w:pPr>
              <w:spacing w:after="0" w:line="240" w:lineRule="auto"/>
              <w:ind w:left="-75"/>
              <w:jc w:val="right"/>
              <w:rPr>
                <w:rFonts w:cs="Segoe UI"/>
                <w:sz w:val="18"/>
                <w:szCs w:val="18"/>
              </w:rPr>
            </w:pPr>
            <w:r>
              <w:rPr>
                <w:rFonts w:cs="Segoe UI"/>
                <w:sz w:val="18"/>
                <w:szCs w:val="18"/>
              </w:rPr>
              <w:t xml:space="preserve">0 </w:t>
            </w:r>
          </w:p>
        </w:tc>
        <w:tc>
          <w:tcPr>
            <w:tcW w:w="1275" w:type="dxa"/>
            <w:tcBorders>
              <w:top w:val="nil"/>
              <w:left w:val="nil"/>
              <w:bottom w:val="nil"/>
              <w:right w:val="nil"/>
            </w:tcBorders>
            <w:shd w:val="clear" w:color="auto" w:fill="auto"/>
            <w:noWrap/>
            <w:vAlign w:val="bottom"/>
          </w:tcPr>
          <w:p w14:paraId="6DDAD3E8" w14:textId="77777777" w:rsidR="00854C46" w:rsidRPr="00C712B4" w:rsidRDefault="00854C46" w:rsidP="004A2F16">
            <w:pPr>
              <w:spacing w:after="0" w:line="240" w:lineRule="auto"/>
              <w:ind w:left="-75"/>
              <w:jc w:val="right"/>
              <w:rPr>
                <w:rFonts w:cs="Segoe UI"/>
                <w:sz w:val="18"/>
                <w:szCs w:val="18"/>
              </w:rPr>
            </w:pPr>
            <w:r>
              <w:rPr>
                <w:rFonts w:cs="Segoe UI"/>
                <w:sz w:val="18"/>
                <w:szCs w:val="18"/>
              </w:rPr>
              <w:t xml:space="preserve">425 491 024 </w:t>
            </w:r>
          </w:p>
        </w:tc>
      </w:tr>
      <w:tr w:rsidR="00854C46" w:rsidRPr="00C712B4" w14:paraId="26F4B133" w14:textId="77777777" w:rsidTr="00464350">
        <w:trPr>
          <w:trHeight w:val="283"/>
        </w:trPr>
        <w:tc>
          <w:tcPr>
            <w:tcW w:w="5245" w:type="dxa"/>
            <w:tcBorders>
              <w:bottom w:val="nil"/>
              <w:right w:val="nil"/>
            </w:tcBorders>
            <w:shd w:val="clear" w:color="auto" w:fill="auto"/>
            <w:noWrap/>
            <w:vAlign w:val="bottom"/>
          </w:tcPr>
          <w:p w14:paraId="4DD4E99E" w14:textId="0C72B074" w:rsidR="00854C46" w:rsidRPr="00C712B4" w:rsidRDefault="00854C46" w:rsidP="004A2F16">
            <w:pPr>
              <w:spacing w:after="0" w:line="240" w:lineRule="auto"/>
              <w:ind w:left="-75"/>
              <w:rPr>
                <w:rFonts w:eastAsia="Times New Roman" w:cs="Segoe UI"/>
                <w:sz w:val="18"/>
                <w:szCs w:val="18"/>
                <w:lang w:eastAsia="sk-SK"/>
              </w:rPr>
            </w:pPr>
            <w:r>
              <w:rPr>
                <w:rFonts w:cs="Segoe UI"/>
                <w:sz w:val="18"/>
                <w:szCs w:val="18"/>
              </w:rPr>
              <w:t>3AZ1 - ERDF - REACT - EU (Prostriedk</w:t>
            </w:r>
            <w:r w:rsidR="00DE37D3">
              <w:rPr>
                <w:rFonts w:cs="Segoe UI"/>
                <w:sz w:val="18"/>
                <w:szCs w:val="18"/>
              </w:rPr>
              <w:t>y EÚ – z 3. PO</w:t>
            </w:r>
            <w:r>
              <w:rPr>
                <w:rFonts w:cs="Segoe UI"/>
                <w:sz w:val="18"/>
                <w:szCs w:val="18"/>
              </w:rPr>
              <w:t xml:space="preserve">  2014 – 2020)</w:t>
            </w:r>
          </w:p>
        </w:tc>
        <w:tc>
          <w:tcPr>
            <w:tcW w:w="1276" w:type="dxa"/>
            <w:tcBorders>
              <w:bottom w:val="nil"/>
              <w:right w:val="nil"/>
            </w:tcBorders>
            <w:vAlign w:val="bottom"/>
          </w:tcPr>
          <w:p w14:paraId="7C133E38"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6" w:type="dxa"/>
            <w:tcBorders>
              <w:bottom w:val="nil"/>
              <w:right w:val="nil"/>
            </w:tcBorders>
            <w:vAlign w:val="bottom"/>
          </w:tcPr>
          <w:p w14:paraId="0946D2CC"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5" w:type="dxa"/>
            <w:tcBorders>
              <w:top w:val="nil"/>
              <w:left w:val="nil"/>
              <w:bottom w:val="nil"/>
              <w:right w:val="nil"/>
            </w:tcBorders>
            <w:shd w:val="clear" w:color="auto" w:fill="auto"/>
            <w:noWrap/>
            <w:vAlign w:val="bottom"/>
          </w:tcPr>
          <w:p w14:paraId="7D1197AD"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8 519 135 </w:t>
            </w:r>
          </w:p>
        </w:tc>
      </w:tr>
      <w:tr w:rsidR="00854C46" w:rsidRPr="00C712B4" w14:paraId="4224AD50" w14:textId="77777777" w:rsidTr="00464350">
        <w:trPr>
          <w:trHeight w:val="283"/>
        </w:trPr>
        <w:tc>
          <w:tcPr>
            <w:tcW w:w="5245" w:type="dxa"/>
            <w:tcBorders>
              <w:bottom w:val="single" w:sz="4" w:space="0" w:color="314364" w:themeColor="text2"/>
              <w:right w:val="nil"/>
            </w:tcBorders>
            <w:shd w:val="clear" w:color="auto" w:fill="auto"/>
            <w:noWrap/>
            <w:vAlign w:val="bottom"/>
          </w:tcPr>
          <w:p w14:paraId="143EB3FE" w14:textId="77777777" w:rsidR="00854C46" w:rsidRPr="00C712B4" w:rsidRDefault="00854C46" w:rsidP="004A2F16">
            <w:pPr>
              <w:spacing w:after="0" w:line="240" w:lineRule="auto"/>
              <w:ind w:left="-75"/>
              <w:rPr>
                <w:rFonts w:eastAsia="Times New Roman" w:cs="Segoe UI"/>
                <w:sz w:val="18"/>
                <w:szCs w:val="18"/>
                <w:lang w:eastAsia="sk-SK"/>
              </w:rPr>
            </w:pPr>
            <w:r>
              <w:rPr>
                <w:rFonts w:cs="Segoe UI"/>
                <w:sz w:val="18"/>
                <w:szCs w:val="18"/>
              </w:rPr>
              <w:t>1AA1+3AA1 (SAFE CARE)</w:t>
            </w:r>
          </w:p>
        </w:tc>
        <w:tc>
          <w:tcPr>
            <w:tcW w:w="1276" w:type="dxa"/>
            <w:tcBorders>
              <w:bottom w:val="single" w:sz="4" w:space="0" w:color="314364" w:themeColor="text2"/>
              <w:right w:val="nil"/>
            </w:tcBorders>
            <w:vAlign w:val="bottom"/>
          </w:tcPr>
          <w:p w14:paraId="448BCF2C"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c>
          <w:tcPr>
            <w:tcW w:w="1276" w:type="dxa"/>
            <w:tcBorders>
              <w:bottom w:val="single" w:sz="4" w:space="0" w:color="314364" w:themeColor="text2"/>
              <w:right w:val="nil"/>
            </w:tcBorders>
            <w:vAlign w:val="bottom"/>
          </w:tcPr>
          <w:p w14:paraId="429791CB"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500 083 536 </w:t>
            </w:r>
          </w:p>
        </w:tc>
        <w:tc>
          <w:tcPr>
            <w:tcW w:w="1275" w:type="dxa"/>
            <w:tcBorders>
              <w:top w:val="nil"/>
              <w:left w:val="nil"/>
              <w:bottom w:val="single" w:sz="4" w:space="0" w:color="314364" w:themeColor="text2"/>
              <w:right w:val="nil"/>
            </w:tcBorders>
            <w:shd w:val="clear" w:color="auto" w:fill="auto"/>
            <w:noWrap/>
            <w:vAlign w:val="bottom"/>
          </w:tcPr>
          <w:p w14:paraId="4BC0E52C" w14:textId="77777777" w:rsidR="00854C46" w:rsidRPr="00C712B4" w:rsidRDefault="00854C46" w:rsidP="004A2F16">
            <w:pPr>
              <w:spacing w:after="0" w:line="240" w:lineRule="auto"/>
              <w:ind w:left="-75"/>
              <w:jc w:val="right"/>
              <w:rPr>
                <w:rFonts w:eastAsia="Times New Roman" w:cs="Segoe UI"/>
                <w:sz w:val="18"/>
                <w:szCs w:val="18"/>
                <w:lang w:eastAsia="sk-SK"/>
              </w:rPr>
            </w:pPr>
            <w:r>
              <w:rPr>
                <w:rFonts w:cs="Segoe UI"/>
                <w:sz w:val="18"/>
                <w:szCs w:val="18"/>
              </w:rPr>
              <w:t xml:space="preserve">0 </w:t>
            </w:r>
          </w:p>
        </w:tc>
      </w:tr>
      <w:tr w:rsidR="00854C46" w:rsidRPr="00C712B4" w14:paraId="57303D3F" w14:textId="77777777" w:rsidTr="00464350">
        <w:trPr>
          <w:trHeight w:val="283"/>
        </w:trPr>
        <w:tc>
          <w:tcPr>
            <w:tcW w:w="5245" w:type="dxa"/>
            <w:tcBorders>
              <w:top w:val="single" w:sz="4" w:space="0" w:color="314364" w:themeColor="text2"/>
              <w:bottom w:val="single" w:sz="4" w:space="0" w:color="314364" w:themeColor="text2"/>
              <w:right w:val="nil"/>
            </w:tcBorders>
            <w:shd w:val="clear" w:color="auto" w:fill="auto"/>
            <w:noWrap/>
            <w:vAlign w:val="bottom"/>
          </w:tcPr>
          <w:p w14:paraId="1419B839" w14:textId="77777777" w:rsidR="00854C46" w:rsidRPr="00C712B4" w:rsidRDefault="00854C46" w:rsidP="004A2F16">
            <w:pPr>
              <w:spacing w:after="0" w:line="240" w:lineRule="auto"/>
              <w:ind w:left="-75"/>
              <w:rPr>
                <w:rFonts w:eastAsia="Times New Roman" w:cs="Segoe UI"/>
                <w:b/>
                <w:bCs/>
                <w:sz w:val="18"/>
                <w:szCs w:val="18"/>
                <w:lang w:eastAsia="sk-SK"/>
              </w:rPr>
            </w:pPr>
            <w:r>
              <w:rPr>
                <w:rFonts w:cs="Segoe UI"/>
                <w:b/>
                <w:bCs/>
                <w:sz w:val="18"/>
                <w:szCs w:val="18"/>
              </w:rPr>
              <w:t>Spolu</w:t>
            </w:r>
          </w:p>
        </w:tc>
        <w:tc>
          <w:tcPr>
            <w:tcW w:w="1276" w:type="dxa"/>
            <w:tcBorders>
              <w:top w:val="single" w:sz="4" w:space="0" w:color="314364" w:themeColor="text2"/>
              <w:bottom w:val="single" w:sz="4" w:space="0" w:color="314364" w:themeColor="text2"/>
              <w:right w:val="nil"/>
            </w:tcBorders>
            <w:vAlign w:val="bottom"/>
          </w:tcPr>
          <w:p w14:paraId="39BD143C" w14:textId="77777777" w:rsidR="00854C46" w:rsidRPr="00C712B4" w:rsidRDefault="00854C46" w:rsidP="004A2F16">
            <w:pPr>
              <w:spacing w:after="0" w:line="240" w:lineRule="auto"/>
              <w:ind w:left="-75"/>
              <w:jc w:val="right"/>
              <w:rPr>
                <w:rFonts w:eastAsia="Times New Roman" w:cs="Segoe UI"/>
                <w:b/>
                <w:bCs/>
                <w:sz w:val="18"/>
                <w:szCs w:val="18"/>
                <w:lang w:eastAsia="sk-SK"/>
              </w:rPr>
            </w:pPr>
            <w:r>
              <w:rPr>
                <w:rFonts w:cs="Segoe UI"/>
                <w:b/>
                <w:bCs/>
                <w:sz w:val="18"/>
                <w:szCs w:val="18"/>
              </w:rPr>
              <w:t xml:space="preserve">76 167 950 </w:t>
            </w:r>
          </w:p>
        </w:tc>
        <w:tc>
          <w:tcPr>
            <w:tcW w:w="1276" w:type="dxa"/>
            <w:tcBorders>
              <w:top w:val="single" w:sz="4" w:space="0" w:color="314364" w:themeColor="text2"/>
              <w:bottom w:val="single" w:sz="4" w:space="0" w:color="314364" w:themeColor="text2"/>
              <w:right w:val="nil"/>
            </w:tcBorders>
            <w:vAlign w:val="bottom"/>
          </w:tcPr>
          <w:p w14:paraId="25BE1E1C" w14:textId="77777777" w:rsidR="00854C46" w:rsidRPr="00C712B4" w:rsidRDefault="00854C46" w:rsidP="004A2F16">
            <w:pPr>
              <w:spacing w:after="0" w:line="240" w:lineRule="auto"/>
              <w:ind w:left="-75"/>
              <w:jc w:val="right"/>
              <w:rPr>
                <w:rFonts w:eastAsia="Times New Roman" w:cs="Segoe UI"/>
                <w:b/>
                <w:bCs/>
                <w:sz w:val="18"/>
                <w:szCs w:val="18"/>
                <w:lang w:eastAsia="sk-SK"/>
              </w:rPr>
            </w:pPr>
            <w:r>
              <w:rPr>
                <w:rFonts w:cs="Segoe UI"/>
                <w:b/>
                <w:bCs/>
                <w:sz w:val="18"/>
                <w:szCs w:val="18"/>
              </w:rPr>
              <w:t xml:space="preserve">2 923 006 901 </w:t>
            </w:r>
          </w:p>
        </w:tc>
        <w:tc>
          <w:tcPr>
            <w:tcW w:w="1275" w:type="dxa"/>
            <w:tcBorders>
              <w:top w:val="single" w:sz="4" w:space="0" w:color="314364" w:themeColor="text2"/>
              <w:left w:val="nil"/>
              <w:bottom w:val="single" w:sz="4" w:space="0" w:color="314364" w:themeColor="text2"/>
              <w:right w:val="nil"/>
            </w:tcBorders>
            <w:shd w:val="clear" w:color="auto" w:fill="auto"/>
            <w:noWrap/>
            <w:vAlign w:val="bottom"/>
          </w:tcPr>
          <w:p w14:paraId="0995E99F" w14:textId="77777777" w:rsidR="00854C46" w:rsidRPr="00C712B4" w:rsidRDefault="00854C46" w:rsidP="004A2F16">
            <w:pPr>
              <w:spacing w:after="0" w:line="240" w:lineRule="auto"/>
              <w:ind w:left="-75"/>
              <w:jc w:val="right"/>
              <w:rPr>
                <w:rFonts w:eastAsia="Times New Roman" w:cs="Segoe UI"/>
                <w:b/>
                <w:bCs/>
                <w:sz w:val="18"/>
                <w:szCs w:val="18"/>
                <w:lang w:eastAsia="sk-SK"/>
              </w:rPr>
            </w:pPr>
            <w:r>
              <w:rPr>
                <w:rFonts w:cs="Segoe UI"/>
                <w:b/>
                <w:bCs/>
                <w:sz w:val="18"/>
                <w:szCs w:val="18"/>
              </w:rPr>
              <w:t xml:space="preserve">1 222 167 177 </w:t>
            </w:r>
          </w:p>
        </w:tc>
      </w:tr>
    </w:tbl>
    <w:p w14:paraId="70AA7479" w14:textId="28E55821" w:rsidR="00854C46" w:rsidRDefault="00854C46" w:rsidP="00854C46">
      <w:pPr>
        <w:pStyle w:val="Zdroj"/>
      </w:pPr>
      <w:r>
        <w:t>Zdroj: ZÚ MH SR za roky 2022, 2023 a 2024.</w:t>
      </w:r>
    </w:p>
    <w:p w14:paraId="1D9BF703" w14:textId="79A52A35" w:rsidR="00C6546E" w:rsidRDefault="00C6546E" w:rsidP="00DE37D3">
      <w:pPr>
        <w:spacing w:after="0"/>
        <w:rPr>
          <w:b/>
        </w:rPr>
      </w:pPr>
      <w:r w:rsidRPr="00AC2A9F">
        <w:rPr>
          <w:b/>
        </w:rPr>
        <w:t xml:space="preserve">Vláda SR z dôvodu </w:t>
      </w:r>
      <w:r>
        <w:rPr>
          <w:b/>
        </w:rPr>
        <w:t>regulácie cien energií prija</w:t>
      </w:r>
      <w:r w:rsidR="00720678">
        <w:rPr>
          <w:b/>
        </w:rPr>
        <w:t>la</w:t>
      </w:r>
      <w:r w:rsidRPr="00AC2A9F">
        <w:rPr>
          <w:b/>
        </w:rPr>
        <w:t xml:space="preserve"> niekoľko legis</w:t>
      </w:r>
      <w:r>
        <w:rPr>
          <w:b/>
        </w:rPr>
        <w:t>latívnych opatrení:</w:t>
      </w:r>
    </w:p>
    <w:p w14:paraId="035FF74C" w14:textId="5368AE90" w:rsidR="00C6546E" w:rsidRPr="00AC2A9F" w:rsidRDefault="00521A81" w:rsidP="00DE37D3">
      <w:pPr>
        <w:pStyle w:val="Odsekzoznamu"/>
        <w:numPr>
          <w:ilvl w:val="0"/>
          <w:numId w:val="30"/>
        </w:numPr>
      </w:pPr>
      <w:r>
        <w:t>u</w:t>
      </w:r>
      <w:r w:rsidR="00C6546E" w:rsidRPr="00AC2A9F">
        <w:t>rčenie výšky taríf pre koncových odberateľov elektriny a pre odberateľov plynu</w:t>
      </w:r>
      <w:r w:rsidR="00C6546E">
        <w:t>,</w:t>
      </w:r>
      <w:r w:rsidR="00C6546E">
        <w:rPr>
          <w:rStyle w:val="Odkaznapoznmkupodiarou"/>
        </w:rPr>
        <w:footnoteReference w:id="30"/>
      </w:r>
    </w:p>
    <w:p w14:paraId="139EE3D9" w14:textId="49AD0502" w:rsidR="00C6546E" w:rsidRDefault="00521A81" w:rsidP="00DE37D3">
      <w:pPr>
        <w:pStyle w:val="Odsekzoznamu"/>
        <w:numPr>
          <w:ilvl w:val="0"/>
          <w:numId w:val="30"/>
        </w:numPr>
      </w:pPr>
      <w:r>
        <w:t>stanovenie</w:t>
      </w:r>
      <w:r w:rsidR="00C6546E">
        <w:t xml:space="preserve"> maximálnej ceny za časť regulovanej dodávky plynu pre koncových odberateľov plynu v domácnosti, maximálnej ceny za časť regulovanej dodávky elektriny pre vybraných zraniteľných odberateľov elektriny a maximálnej ceny za časť regulovanej dodávky plynu pre vybraných zraniteľných odberateľov plynu,</w:t>
      </w:r>
      <w:r w:rsidR="00C6546E">
        <w:rPr>
          <w:rStyle w:val="Odkaznapoznmkupodiarou"/>
        </w:rPr>
        <w:footnoteReference w:id="31"/>
      </w:r>
    </w:p>
    <w:p w14:paraId="5197A903" w14:textId="556B2478" w:rsidR="00C6546E" w:rsidRPr="00AC2A9F" w:rsidRDefault="00521A81" w:rsidP="00DE37D3">
      <w:pPr>
        <w:pStyle w:val="Odsekzoznamu"/>
        <w:numPr>
          <w:ilvl w:val="0"/>
          <w:numId w:val="30"/>
        </w:numPr>
      </w:pPr>
      <w:r>
        <w:t>u</w:t>
      </w:r>
      <w:r w:rsidR="00C6546E">
        <w:t>rčenie maximálnej ceny za regulovanú dodávku tepla pre vybra</w:t>
      </w:r>
      <w:r w:rsidR="00DE37D3">
        <w:t>ných koncových odberateľov</w:t>
      </w:r>
      <w:r w:rsidR="00C6546E">
        <w:t>.</w:t>
      </w:r>
      <w:r w:rsidR="00C6546E">
        <w:rPr>
          <w:rStyle w:val="Odkaznapoznmkupodiarou"/>
        </w:rPr>
        <w:footnoteReference w:id="32"/>
      </w:r>
    </w:p>
    <w:p w14:paraId="310C55F5" w14:textId="434C0A99" w:rsidR="00123348" w:rsidRDefault="00523D20" w:rsidP="00523D20">
      <w:pPr>
        <w:pStyle w:val="Nadpis2"/>
        <w:rPr>
          <w:color w:val="314364" w:themeColor="text2"/>
        </w:rPr>
      </w:pPr>
      <w:bookmarkStart w:id="50" w:name="_Toc198637737"/>
      <w:r>
        <w:rPr>
          <w:color w:val="314364" w:themeColor="text2"/>
        </w:rPr>
        <w:t xml:space="preserve">5.3 </w:t>
      </w:r>
      <w:r w:rsidR="00E43045" w:rsidRPr="00523D20">
        <w:rPr>
          <w:color w:val="314364" w:themeColor="text2"/>
        </w:rPr>
        <w:t xml:space="preserve"> </w:t>
      </w:r>
      <w:r w:rsidR="00123348" w:rsidRPr="00523D20">
        <w:rPr>
          <w:color w:val="314364" w:themeColor="text2"/>
        </w:rPr>
        <w:t>Vzdelávanie, veda a</w:t>
      </w:r>
      <w:r w:rsidR="008E716D">
        <w:rPr>
          <w:color w:val="314364" w:themeColor="text2"/>
        </w:rPr>
        <w:t> </w:t>
      </w:r>
      <w:r w:rsidR="00123348" w:rsidRPr="00523D20">
        <w:rPr>
          <w:color w:val="314364" w:themeColor="text2"/>
        </w:rPr>
        <w:t>výskum</w:t>
      </w:r>
      <w:bookmarkEnd w:id="50"/>
    </w:p>
    <w:p w14:paraId="0E32147D" w14:textId="3EA1221F" w:rsidR="00643864" w:rsidRDefault="00643864" w:rsidP="00643864">
      <w:bookmarkStart w:id="51" w:name="_Toc166658081"/>
      <w:r w:rsidRPr="007808CC">
        <w:rPr>
          <w:b/>
        </w:rPr>
        <w:t xml:space="preserve">NKÚ </w:t>
      </w:r>
      <w:r>
        <w:rPr>
          <w:b/>
        </w:rPr>
        <w:t>SR opätovne upozorňuje na</w:t>
      </w:r>
      <w:r w:rsidRPr="007808CC">
        <w:rPr>
          <w:b/>
        </w:rPr>
        <w:t xml:space="preserve"> problém</w:t>
      </w:r>
      <w:r>
        <w:rPr>
          <w:b/>
        </w:rPr>
        <w:t xml:space="preserve"> pretrvávajúceho netransparentného rozpočtovania kapitoly ministerstva školstva v rámci programovej štruktúry.</w:t>
      </w:r>
      <w:r w:rsidRPr="00942BE1">
        <w:t xml:space="preserve"> Oproti schválenému rozpočtu</w:t>
      </w:r>
      <w:r>
        <w:t xml:space="preserve"> </w:t>
      </w:r>
      <w:r w:rsidRPr="00942BE1">
        <w:t>na rok 2024 sa vyčerpalo</w:t>
      </w:r>
      <w:r>
        <w:t xml:space="preserve"> viac</w:t>
      </w:r>
      <w:r w:rsidRPr="00942BE1">
        <w:t xml:space="preserve"> o 141 mil. eur</w:t>
      </w:r>
      <w:r w:rsidR="00720678">
        <w:t>.</w:t>
      </w:r>
    </w:p>
    <w:p w14:paraId="5EE7BC9A" w14:textId="780A2AC3" w:rsidR="00956665" w:rsidRPr="007D5633" w:rsidRDefault="00956665" w:rsidP="00956665">
      <w:r>
        <w:rPr>
          <w:b/>
        </w:rPr>
        <w:lastRenderedPageBreak/>
        <w:t>A</w:t>
      </w:r>
      <w:r w:rsidRPr="000D479E">
        <w:rPr>
          <w:b/>
        </w:rPr>
        <w:t xml:space="preserve">j v roku 2024 bolo až približne 70 % výdavkov alokovaných na jeden program, konkrétne </w:t>
      </w:r>
      <w:r w:rsidRPr="000D479E">
        <w:rPr>
          <w:b/>
          <w:i/>
        </w:rPr>
        <w:t>N</w:t>
      </w:r>
      <w:r>
        <w:rPr>
          <w:b/>
          <w:i/>
        </w:rPr>
        <w:t>árodný program</w:t>
      </w:r>
      <w:r w:rsidRPr="000D479E">
        <w:rPr>
          <w:b/>
          <w:i/>
        </w:rPr>
        <w:t xml:space="preserve"> výchovy, vzdelávania a</w:t>
      </w:r>
      <w:r w:rsidR="00720678">
        <w:rPr>
          <w:b/>
          <w:i/>
        </w:rPr>
        <w:t> </w:t>
      </w:r>
      <w:r w:rsidRPr="000D479E">
        <w:rPr>
          <w:b/>
          <w:i/>
        </w:rPr>
        <w:t>mládeže</w:t>
      </w:r>
      <w:r w:rsidR="00720678">
        <w:rPr>
          <w:b/>
          <w:i/>
        </w:rPr>
        <w:t xml:space="preserve"> </w:t>
      </w:r>
      <w:r w:rsidR="00720678">
        <w:t>(graf 41)</w:t>
      </w:r>
      <w:r w:rsidRPr="000D479E">
        <w:rPr>
          <w:b/>
        </w:rPr>
        <w:t>.</w:t>
      </w:r>
      <w:r>
        <w:t xml:space="preserve"> </w:t>
      </w:r>
      <w:r w:rsidRPr="008D3A88">
        <w:t xml:space="preserve">Zmena </w:t>
      </w:r>
      <w:r>
        <w:t xml:space="preserve">systému </w:t>
      </w:r>
      <w:r w:rsidRPr="008D3A88">
        <w:t xml:space="preserve">financovania </w:t>
      </w:r>
      <w:proofErr w:type="spellStart"/>
      <w:r w:rsidRPr="008D3A88">
        <w:t>predprimárneho</w:t>
      </w:r>
      <w:proofErr w:type="spellEnd"/>
      <w:r w:rsidRPr="008D3A88">
        <w:t xml:space="preserve"> vzdelávania </w:t>
      </w:r>
      <w:r>
        <w:t>od roku 2025 tento balík ešte navýši. Program výchovy, vzdelávania a mládeže</w:t>
      </w:r>
      <w:r w:rsidRPr="007808CC">
        <w:t xml:space="preserve"> je zároveň nedostatočne a nelogicky členený</w:t>
      </w:r>
      <w:r>
        <w:t xml:space="preserve"> na podprogramy a prvky, ktoré pri najväčšej alokácii len kopírujú názov podprogramu. Z programovej štruktúry MŠVVM SR však nie je možné zistiť zásadnejšie údaje, napríklad koľko išlo na výchovu a vzdelávanie na základných školách</w:t>
      </w:r>
      <w:r w:rsidRPr="005447EE">
        <w:t xml:space="preserve">, keďže programová štruktúra nerozlišuje </w:t>
      </w:r>
      <w:proofErr w:type="spellStart"/>
      <w:r w:rsidRPr="005447EE">
        <w:t>predprimárne</w:t>
      </w:r>
      <w:proofErr w:type="spellEnd"/>
      <w:r w:rsidRPr="005447EE">
        <w:t>, základné a stredn</w:t>
      </w:r>
      <w:r>
        <w:t>é</w:t>
      </w:r>
      <w:r w:rsidRPr="005447EE">
        <w:t xml:space="preserve"> vzdelávanie</w:t>
      </w:r>
      <w:r>
        <w:t>. Paradoxne však je možné v rámci programovej štruktúry zistiť detailný údaj,</w:t>
      </w:r>
      <w:r w:rsidRPr="005447EE">
        <w:t xml:space="preserve"> koľko </w:t>
      </w:r>
      <w:r>
        <w:t xml:space="preserve">prostriedkov </w:t>
      </w:r>
      <w:r w:rsidRPr="005447EE">
        <w:t>išlo na vakcíny proti chrípke a hepatitíde pre pedagogických a odborných zam</w:t>
      </w:r>
      <w:r>
        <w:t xml:space="preserve">estnancov (511 eur spolu za celý rok 2024). </w:t>
      </w:r>
    </w:p>
    <w:p w14:paraId="3248AF4A" w14:textId="22CA6A32" w:rsidR="00643864" w:rsidRPr="00BC3CA3" w:rsidRDefault="00643864" w:rsidP="00643864">
      <w:pPr>
        <w:pStyle w:val="Popis"/>
        <w:keepNext/>
        <w:rPr>
          <w:color w:val="314364"/>
        </w:rPr>
      </w:pPr>
      <w:r w:rsidRPr="00BC3CA3">
        <w:rPr>
          <w:color w:val="314364"/>
        </w:rPr>
        <w:t>Graf</w:t>
      </w:r>
      <w:r>
        <w:rPr>
          <w:color w:val="314364"/>
        </w:rPr>
        <w:t xml:space="preserve"> </w:t>
      </w:r>
      <w:r w:rsidR="00720678">
        <w:rPr>
          <w:color w:val="314364"/>
        </w:rPr>
        <w:t>41</w:t>
      </w:r>
      <w:r w:rsidRPr="00BC3CA3">
        <w:rPr>
          <w:color w:val="314364"/>
        </w:rPr>
        <w:t>:</w:t>
      </w:r>
      <w:r>
        <w:rPr>
          <w:color w:val="314364"/>
        </w:rPr>
        <w:t xml:space="preserve"> </w:t>
      </w:r>
      <w:r w:rsidRPr="00774A93">
        <w:rPr>
          <w:color w:val="314364"/>
        </w:rPr>
        <w:t>Výdavky kapitoly MŠVVM SR na vybrané programy v roku 2024 (v mil. eur)</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643864" w:rsidRPr="00C75134" w14:paraId="3623BD5A" w14:textId="77777777" w:rsidTr="009D7F54">
        <w:trPr>
          <w:trHeight w:val="3118"/>
        </w:trPr>
        <w:tc>
          <w:tcPr>
            <w:tcW w:w="9070" w:type="dxa"/>
            <w:tcBorders>
              <w:top w:val="single" w:sz="4" w:space="0" w:color="314364"/>
              <w:bottom w:val="single" w:sz="4" w:space="0" w:color="314364"/>
            </w:tcBorders>
            <w:shd w:val="clear" w:color="auto" w:fill="auto"/>
            <w:vAlign w:val="center"/>
          </w:tcPr>
          <w:p w14:paraId="29798659" w14:textId="77777777" w:rsidR="00643864" w:rsidRPr="00C75134" w:rsidRDefault="00643864" w:rsidP="005369A1">
            <w:pPr>
              <w:spacing w:after="0"/>
              <w:rPr>
                <w:b/>
                <w:color w:val="576431"/>
              </w:rPr>
            </w:pPr>
            <w:r>
              <w:rPr>
                <w:noProof/>
                <w:lang w:eastAsia="sk-SK"/>
              </w:rPr>
              <w:drawing>
                <wp:inline distT="0" distB="0" distL="0" distR="0" wp14:anchorId="2B67BB43" wp14:editId="37A92E3E">
                  <wp:extent cx="5759450" cy="1943100"/>
                  <wp:effectExtent l="0" t="0" r="0" b="0"/>
                  <wp:docPr id="2"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bl>
    <w:p w14:paraId="1424084E" w14:textId="20814E1E" w:rsidR="00643864" w:rsidRDefault="00643864" w:rsidP="00643864">
      <w:pPr>
        <w:pStyle w:val="Zdroj"/>
        <w:rPr>
          <w:rFonts w:cs="Segoe UI"/>
          <w:szCs w:val="20"/>
        </w:rPr>
      </w:pPr>
      <w:r w:rsidRPr="00CD7042">
        <w:t xml:space="preserve">Zdroj: </w:t>
      </w:r>
      <w:r w:rsidRPr="00774A93">
        <w:rPr>
          <w:rFonts w:cs="Segoe UI"/>
          <w:szCs w:val="20"/>
        </w:rPr>
        <w:t>RIS; výpočty a spracovanie NKÚ SR.</w:t>
      </w:r>
    </w:p>
    <w:p w14:paraId="7D23FAB4" w14:textId="057F8B29" w:rsidR="00F77FDB" w:rsidRPr="007D5633" w:rsidRDefault="00F77FDB" w:rsidP="00F77FDB">
      <w:r w:rsidRPr="002F5EA7">
        <w:rPr>
          <w:b/>
        </w:rPr>
        <w:t xml:space="preserve">Ani v roku 2024 sa nepodarilo vyčerpať všetky predplatené balíky transformačných zmlúv, ktoré Centrum vedecko-technických informácií SR </w:t>
      </w:r>
      <w:r w:rsidRPr="00F77FDB">
        <w:t>(CVTI SR)</w:t>
      </w:r>
      <w:r w:rsidRPr="002F5EA7">
        <w:rPr>
          <w:b/>
        </w:rPr>
        <w:t xml:space="preserve"> uzavrelo na obdobie 2023 </w:t>
      </w:r>
      <w:r>
        <w:rPr>
          <w:b/>
        </w:rPr>
        <w:t>až</w:t>
      </w:r>
      <w:r w:rsidRPr="002F5EA7">
        <w:rPr>
          <w:b/>
        </w:rPr>
        <w:t xml:space="preserve"> 2026 s</w:t>
      </w:r>
      <w:r w:rsidR="003744CA">
        <w:rPr>
          <w:b/>
        </w:rPr>
        <w:t> </w:t>
      </w:r>
      <w:r w:rsidRPr="002F5EA7">
        <w:rPr>
          <w:b/>
        </w:rPr>
        <w:t xml:space="preserve">vydavateľstvami </w:t>
      </w:r>
      <w:proofErr w:type="spellStart"/>
      <w:r w:rsidRPr="002F5EA7">
        <w:rPr>
          <w:b/>
        </w:rPr>
        <w:t>SpringerNature</w:t>
      </w:r>
      <w:proofErr w:type="spellEnd"/>
      <w:r w:rsidRPr="002F5EA7">
        <w:rPr>
          <w:b/>
        </w:rPr>
        <w:t xml:space="preserve">, </w:t>
      </w:r>
      <w:proofErr w:type="spellStart"/>
      <w:r w:rsidRPr="002F5EA7">
        <w:rPr>
          <w:b/>
        </w:rPr>
        <w:t>Elsevier</w:t>
      </w:r>
      <w:proofErr w:type="spellEnd"/>
      <w:r w:rsidRPr="002F5EA7">
        <w:rPr>
          <w:b/>
        </w:rPr>
        <w:t xml:space="preserve"> a IEEE.</w:t>
      </w:r>
      <w:r w:rsidRPr="002F5EA7">
        <w:rPr>
          <w:rStyle w:val="Odkaznapoznmkupodiarou"/>
        </w:rPr>
        <w:footnoteReference w:id="33"/>
      </w:r>
      <w:r w:rsidRPr="002F5EA7">
        <w:t xml:space="preserve"> Tieto zmluvy umožňujú slovenským vedcom nielen prístup k vedeckým databázam, ale aj publikovanie s otvoreným prístupom </w:t>
      </w:r>
      <w:r>
        <w:t>(</w:t>
      </w:r>
      <w:proofErr w:type="spellStart"/>
      <w:r>
        <w:t>open</w:t>
      </w:r>
      <w:proofErr w:type="spellEnd"/>
      <w:r>
        <w:t xml:space="preserve"> </w:t>
      </w:r>
      <w:proofErr w:type="spellStart"/>
      <w:r>
        <w:t>access</w:t>
      </w:r>
      <w:proofErr w:type="spellEnd"/>
      <w:r>
        <w:t xml:space="preserve">) </w:t>
      </w:r>
      <w:r w:rsidRPr="002F5EA7">
        <w:t xml:space="preserve">bez nutnosti hradiť poplatky za spracovanie článkov. </w:t>
      </w:r>
      <w:r>
        <w:t>NKÚ SR</w:t>
      </w:r>
      <w:r w:rsidRPr="002F5EA7">
        <w:t xml:space="preserve"> už v predchádzajúcom stanovisku</w:t>
      </w:r>
      <w:r>
        <w:rPr>
          <w:rStyle w:val="Odkaznapoznmkupodiarou"/>
        </w:rPr>
        <w:footnoteReference w:id="34"/>
      </w:r>
      <w:r w:rsidRPr="002F5EA7">
        <w:t xml:space="preserve"> upozornil na potenciál zvýšiť hospodárnosť týchto zmlúv, pričom aj v roku 2024 zostali viaceré </w:t>
      </w:r>
      <w:r w:rsidR="006723F6">
        <w:t>verejné vysoké školy (V</w:t>
      </w:r>
      <w:r>
        <w:t>VŠ</w:t>
      </w:r>
      <w:r w:rsidR="006723F6">
        <w:t>)</w:t>
      </w:r>
      <w:r w:rsidRPr="002F5EA7">
        <w:t xml:space="preserve"> mimo systému predplateného </w:t>
      </w:r>
      <w:proofErr w:type="spellStart"/>
      <w:r w:rsidRPr="002F5EA7">
        <w:t>open</w:t>
      </w:r>
      <w:proofErr w:type="spellEnd"/>
      <w:r w:rsidRPr="002F5EA7">
        <w:t xml:space="preserve"> </w:t>
      </w:r>
      <w:proofErr w:type="spellStart"/>
      <w:r w:rsidRPr="002F5EA7">
        <w:t>access</w:t>
      </w:r>
      <w:proofErr w:type="spellEnd"/>
      <w:r w:rsidRPr="002F5EA7">
        <w:t xml:space="preserve"> publikovania – v prípade zmluvy s </w:t>
      </w:r>
      <w:proofErr w:type="spellStart"/>
      <w:r w:rsidRPr="002F5EA7">
        <w:t>Elsevier</w:t>
      </w:r>
      <w:proofErr w:type="spellEnd"/>
      <w:r w:rsidRPr="002F5EA7">
        <w:t xml:space="preserve"> ide až o sedem z</w:t>
      </w:r>
      <w:r>
        <w:t> 20 VVŠ</w:t>
      </w:r>
      <w:r w:rsidRPr="002F5EA7">
        <w:t xml:space="preserve">. CVTI SR pritom aj naďalej vychádzalo z pôvodného zoznamu inštitúcií, bez jeho aktualizácie. Pozitívnou zmenou však </w:t>
      </w:r>
      <w:r w:rsidR="003744CA">
        <w:t>je</w:t>
      </w:r>
      <w:r w:rsidRPr="002F5EA7">
        <w:t xml:space="preserve">, že CVTI SR v roku 2024 </w:t>
      </w:r>
      <w:r>
        <w:t>naviazalo otvorené publikovanie na fondy</w:t>
      </w:r>
      <w:r w:rsidRPr="002F5EA7">
        <w:t xml:space="preserve"> EÚ prostredníctvom projektu NISPEZ V, čo umožnilo </w:t>
      </w:r>
      <w:r>
        <w:t>u</w:t>
      </w:r>
      <w:r w:rsidRPr="002F5EA7">
        <w:t xml:space="preserve">šetriť prostriedky </w:t>
      </w:r>
      <w:r>
        <w:t>ŠR SR, a tie mohli byť vynaložené na iné aktivity v oblasti vedy a výskumu</w:t>
      </w:r>
      <w:r w:rsidRPr="002F5EA7">
        <w:t>. NKÚ SR tento krok víta a plánuje pokračovať v monitorovaní financovania vedy a výskumu, ako aj rozširovania prístupu k otvorenému publikovaniu pre ďalšie subjekty.</w:t>
      </w:r>
    </w:p>
    <w:p w14:paraId="7425B9A5" w14:textId="032BC31D" w:rsidR="00643864" w:rsidRDefault="00643864" w:rsidP="00643864">
      <w:pPr>
        <w:pStyle w:val="Nadpis3"/>
      </w:pPr>
      <w:bookmarkStart w:id="52" w:name="_Toc166658079"/>
      <w:bookmarkStart w:id="53" w:name="_Toc197347589"/>
      <w:bookmarkStart w:id="54" w:name="_Toc197499692"/>
      <w:bookmarkStart w:id="55" w:name="_Toc198637738"/>
      <w:r>
        <w:t xml:space="preserve">5.3.1  </w:t>
      </w:r>
      <w:r w:rsidRPr="00747F82">
        <w:t xml:space="preserve">Zhodnotenie čerpania a adresnosti výzvy na zvýšenie kapacít </w:t>
      </w:r>
      <w:bookmarkEnd w:id="52"/>
      <w:bookmarkEnd w:id="53"/>
      <w:bookmarkEnd w:id="54"/>
      <w:r w:rsidR="00F02BB9">
        <w:t>MŠ</w:t>
      </w:r>
      <w:bookmarkEnd w:id="55"/>
    </w:p>
    <w:p w14:paraId="664FE8FF" w14:textId="4CE90A09" w:rsidR="00643864" w:rsidRDefault="00643864" w:rsidP="009D7F54">
      <w:pPr>
        <w:spacing w:after="0"/>
      </w:pPr>
      <w:r w:rsidRPr="000D479E">
        <w:rPr>
          <w:b/>
        </w:rPr>
        <w:t xml:space="preserve">NKÚ SR opakovane upozorňuje aj na </w:t>
      </w:r>
      <w:r w:rsidRPr="0052175D">
        <w:rPr>
          <w:b/>
        </w:rPr>
        <w:t xml:space="preserve">dlhodobé a výrazné zaostávanie Slovenska v účasti detí na </w:t>
      </w:r>
      <w:proofErr w:type="spellStart"/>
      <w:r w:rsidRPr="0052175D">
        <w:rPr>
          <w:b/>
        </w:rPr>
        <w:t>predprimárnom</w:t>
      </w:r>
      <w:proofErr w:type="spellEnd"/>
      <w:r w:rsidRPr="0052175D">
        <w:rPr>
          <w:b/>
        </w:rPr>
        <w:t xml:space="preserve"> vzdelávaní</w:t>
      </w:r>
      <w:r>
        <w:t xml:space="preserve"> </w:t>
      </w:r>
      <w:r w:rsidRPr="000D479E">
        <w:rPr>
          <w:b/>
        </w:rPr>
        <w:t>a</w:t>
      </w:r>
      <w:r w:rsidRPr="00230370">
        <w:t xml:space="preserve"> </w:t>
      </w:r>
      <w:r w:rsidRPr="00D42A8B">
        <w:rPr>
          <w:b/>
        </w:rPr>
        <w:t>pomalé čerpanie a nedostatočnú adresnosť prostriedkov z </w:t>
      </w:r>
      <w:r w:rsidR="00A27B26">
        <w:rPr>
          <w:b/>
        </w:rPr>
        <w:t>POO</w:t>
      </w:r>
      <w:r w:rsidR="0099487D">
        <w:rPr>
          <w:b/>
        </w:rPr>
        <w:t>,</w:t>
      </w:r>
      <w:r w:rsidRPr="00D42A8B">
        <w:rPr>
          <w:b/>
        </w:rPr>
        <w:t xml:space="preserve"> určených na zvýšenie kapacít materských škôl</w:t>
      </w:r>
      <w:r>
        <w:rPr>
          <w:b/>
        </w:rPr>
        <w:t xml:space="preserve"> </w:t>
      </w:r>
      <w:r w:rsidRPr="001F4E88">
        <w:t>(MŠ)</w:t>
      </w:r>
      <w:r w:rsidRPr="00A27B26">
        <w:rPr>
          <w:b/>
          <w:bCs/>
        </w:rPr>
        <w:t>.</w:t>
      </w:r>
      <w:r>
        <w:rPr>
          <w:rStyle w:val="Odkaznapoznmkupodiarou"/>
        </w:rPr>
        <w:footnoteReference w:id="35"/>
      </w:r>
      <w:r>
        <w:rPr>
          <w:rStyle w:val="Odkaznapoznmkupodiarou"/>
        </w:rPr>
        <w:t>,</w:t>
      </w:r>
      <w:r>
        <w:rPr>
          <w:rStyle w:val="Odkaznapoznmkupodiarou"/>
        </w:rPr>
        <w:footnoteReference w:id="36"/>
      </w:r>
      <w:r>
        <w:t xml:space="preserve"> Hoci celkovo počet </w:t>
      </w:r>
      <w:r w:rsidRPr="0052175D">
        <w:t>zamietnutých žiados</w:t>
      </w:r>
      <w:r>
        <w:t xml:space="preserve">tí o miesto v MŠ medziročne poklesol (z </w:t>
      </w:r>
      <w:r w:rsidRPr="00552B69">
        <w:t>21</w:t>
      </w:r>
      <w:r>
        <w:t> </w:t>
      </w:r>
      <w:r w:rsidRPr="00552B69">
        <w:t>149</w:t>
      </w:r>
      <w:r>
        <w:t xml:space="preserve"> v roku 2023 na </w:t>
      </w:r>
      <w:r w:rsidRPr="00552B69">
        <w:t>17</w:t>
      </w:r>
      <w:r>
        <w:t> </w:t>
      </w:r>
      <w:r w:rsidRPr="00552B69">
        <w:t>214</w:t>
      </w:r>
      <w:r>
        <w:t xml:space="preserve"> v roku 2024), stále boli desiatky okresov, v ktorých počet zamietnutých žiadostí medziročne vzrástol </w:t>
      </w:r>
      <w:r w:rsidRPr="0004161F">
        <w:t xml:space="preserve">(graf </w:t>
      </w:r>
      <w:r w:rsidR="00720678">
        <w:t>42</w:t>
      </w:r>
      <w:r w:rsidRPr="0004161F">
        <w:t>).</w:t>
      </w:r>
    </w:p>
    <w:p w14:paraId="22AA7ACC" w14:textId="7436B6CC" w:rsidR="00643864" w:rsidRPr="00BC3CA3" w:rsidRDefault="00643864" w:rsidP="00643864">
      <w:pPr>
        <w:pStyle w:val="Popis"/>
        <w:keepNext/>
        <w:rPr>
          <w:color w:val="314364"/>
        </w:rPr>
      </w:pPr>
      <w:r w:rsidRPr="00BC3CA3">
        <w:rPr>
          <w:color w:val="314364"/>
        </w:rPr>
        <w:lastRenderedPageBreak/>
        <w:t>Graf</w:t>
      </w:r>
      <w:r>
        <w:rPr>
          <w:color w:val="314364"/>
        </w:rPr>
        <w:t xml:space="preserve"> </w:t>
      </w:r>
      <w:r w:rsidR="00720678">
        <w:rPr>
          <w:color w:val="314364"/>
        </w:rPr>
        <w:t>42</w:t>
      </w:r>
      <w:r w:rsidRPr="00BC3CA3">
        <w:rPr>
          <w:color w:val="314364"/>
        </w:rPr>
        <w:t>:</w:t>
      </w:r>
      <w:r>
        <w:rPr>
          <w:color w:val="314364"/>
        </w:rPr>
        <w:t xml:space="preserve"> </w:t>
      </w:r>
      <w:r w:rsidRPr="003465E3">
        <w:rPr>
          <w:color w:val="314364"/>
        </w:rPr>
        <w:t xml:space="preserve">Medziročná </w:t>
      </w:r>
      <w:r w:rsidR="007F3948">
        <w:rPr>
          <w:color w:val="314364"/>
        </w:rPr>
        <w:t>%</w:t>
      </w:r>
      <w:r w:rsidRPr="003465E3">
        <w:rPr>
          <w:color w:val="314364"/>
        </w:rPr>
        <w:t xml:space="preserve"> zmena počtu zamietnutých žiadostí o miesto v</w:t>
      </w:r>
      <w:r>
        <w:rPr>
          <w:color w:val="314364"/>
        </w:rPr>
        <w:t xml:space="preserve"> MŠ v roku </w:t>
      </w:r>
      <w:r w:rsidRPr="003465E3">
        <w:rPr>
          <w:color w:val="314364"/>
        </w:rPr>
        <w:t>2024</w:t>
      </w:r>
    </w:p>
    <w:tbl>
      <w:tblPr>
        <w:tblStyle w:val="Mriekatabuky"/>
        <w:tblW w:w="499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54"/>
      </w:tblGrid>
      <w:tr w:rsidR="00643864" w:rsidRPr="00C75134" w14:paraId="7FE58895" w14:textId="77777777" w:rsidTr="00643864">
        <w:trPr>
          <w:trHeight w:val="4127"/>
        </w:trPr>
        <w:tc>
          <w:tcPr>
            <w:tcW w:w="9054" w:type="dxa"/>
            <w:tcBorders>
              <w:top w:val="single" w:sz="4" w:space="0" w:color="314364"/>
              <w:bottom w:val="single" w:sz="4" w:space="0" w:color="314364"/>
            </w:tcBorders>
            <w:vAlign w:val="center"/>
          </w:tcPr>
          <w:p w14:paraId="013596C4" w14:textId="77777777" w:rsidR="00643864" w:rsidRPr="00C75134" w:rsidRDefault="00643864" w:rsidP="005369A1">
            <w:pPr>
              <w:spacing w:after="0"/>
              <w:rPr>
                <w:b/>
                <w:color w:val="576431"/>
              </w:rPr>
            </w:pPr>
            <w:r>
              <w:rPr>
                <w:b/>
                <w:noProof/>
                <w:color w:val="576431"/>
                <w:lang w:eastAsia="sk-SK"/>
              </w:rPr>
              <w:drawing>
                <wp:inline distT="0" distB="0" distL="0" distR="0" wp14:anchorId="073BD7B2" wp14:editId="1AA73D83">
                  <wp:extent cx="5660474" cy="2592000"/>
                  <wp:effectExtent l="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ka.png"/>
                          <pic:cNvPicPr/>
                        </pic:nvPicPr>
                        <pic:blipFill>
                          <a:blip r:embed="rId59">
                            <a:extLst>
                              <a:ext uri="{28A0092B-C50C-407E-A947-70E740481C1C}">
                                <a14:useLocalDpi xmlns:a14="http://schemas.microsoft.com/office/drawing/2010/main" val="0"/>
                              </a:ext>
                            </a:extLst>
                          </a:blip>
                          <a:stretch>
                            <a:fillRect/>
                          </a:stretch>
                        </pic:blipFill>
                        <pic:spPr>
                          <a:xfrm>
                            <a:off x="0" y="0"/>
                            <a:ext cx="5660474" cy="2592000"/>
                          </a:xfrm>
                          <a:prstGeom prst="rect">
                            <a:avLst/>
                          </a:prstGeom>
                        </pic:spPr>
                      </pic:pic>
                    </a:graphicData>
                  </a:graphic>
                </wp:inline>
              </w:drawing>
            </w:r>
          </w:p>
        </w:tc>
      </w:tr>
    </w:tbl>
    <w:p w14:paraId="23B5C2DA" w14:textId="77777777" w:rsidR="00643864" w:rsidRPr="000F2428" w:rsidRDefault="00643864" w:rsidP="00643864">
      <w:pPr>
        <w:pStyle w:val="Zdroj"/>
        <w:rPr>
          <w:rFonts w:cs="Segoe UI"/>
          <w:szCs w:val="20"/>
        </w:rPr>
      </w:pPr>
      <w:r w:rsidRPr="00CD7042">
        <w:t xml:space="preserve">Zdroj: </w:t>
      </w:r>
      <w:r w:rsidRPr="003465E3">
        <w:rPr>
          <w:rFonts w:cs="Segoe UI"/>
          <w:szCs w:val="20"/>
        </w:rPr>
        <w:t>CVTI SR; výpočty a spracovanie NKÚ SR.</w:t>
      </w:r>
    </w:p>
    <w:p w14:paraId="0F00FAD7" w14:textId="1F5B5845" w:rsidR="00643864" w:rsidRDefault="00720678" w:rsidP="00643864">
      <w:r>
        <w:rPr>
          <w:b/>
        </w:rPr>
        <w:t>Počas</w:t>
      </w:r>
      <w:r w:rsidR="00643864" w:rsidRPr="00C8029E">
        <w:rPr>
          <w:b/>
        </w:rPr>
        <w:t> rok</w:t>
      </w:r>
      <w:r>
        <w:rPr>
          <w:b/>
        </w:rPr>
        <w:t>a</w:t>
      </w:r>
      <w:r w:rsidR="00643864" w:rsidRPr="00C8029E">
        <w:rPr>
          <w:b/>
        </w:rPr>
        <w:t xml:space="preserve"> 2024 tempo čerpania</w:t>
      </w:r>
      <w:r w:rsidR="00643864">
        <w:rPr>
          <w:b/>
        </w:rPr>
        <w:t xml:space="preserve"> výzvy </w:t>
      </w:r>
      <w:r w:rsidR="00643864" w:rsidRPr="009A5747">
        <w:rPr>
          <w:b/>
          <w:i/>
        </w:rPr>
        <w:t>Zvýšenie kapacít materských škôl</w:t>
      </w:r>
      <w:r w:rsidR="00643864" w:rsidRPr="00C8029E">
        <w:rPr>
          <w:b/>
        </w:rPr>
        <w:t xml:space="preserve"> výrazne </w:t>
      </w:r>
      <w:r>
        <w:rPr>
          <w:b/>
        </w:rPr>
        <w:t>vzrástlo</w:t>
      </w:r>
      <w:r w:rsidR="00643864" w:rsidRPr="00C8029E">
        <w:rPr>
          <w:b/>
        </w:rPr>
        <w:t xml:space="preserve"> a</w:t>
      </w:r>
      <w:r w:rsidR="00F02BB9">
        <w:rPr>
          <w:b/>
        </w:rPr>
        <w:t> </w:t>
      </w:r>
      <w:r w:rsidR="00643864" w:rsidRPr="00C8029E">
        <w:rPr>
          <w:b/>
        </w:rPr>
        <w:t>k</w:t>
      </w:r>
      <w:r w:rsidR="00F02BB9">
        <w:rPr>
          <w:b/>
        </w:rPr>
        <w:t>u koncu roka</w:t>
      </w:r>
      <w:r w:rsidR="00643864" w:rsidRPr="00C8029E">
        <w:rPr>
          <w:b/>
        </w:rPr>
        <w:t xml:space="preserve"> bolo z navýšenej alokácie 143,8 mil. eur </w:t>
      </w:r>
      <w:proofErr w:type="spellStart"/>
      <w:r w:rsidR="00643864" w:rsidRPr="00C8029E">
        <w:rPr>
          <w:b/>
        </w:rPr>
        <w:t>zazmluvnených</w:t>
      </w:r>
      <w:proofErr w:type="spellEnd"/>
      <w:r w:rsidR="00643864" w:rsidRPr="00C8029E">
        <w:rPr>
          <w:b/>
        </w:rPr>
        <w:t xml:space="preserve"> 118,4 mil. eur</w:t>
      </w:r>
      <w:r w:rsidR="00643864">
        <w:rPr>
          <w:b/>
        </w:rPr>
        <w:t>.</w:t>
      </w:r>
      <w:r w:rsidR="00643864" w:rsidRPr="00562BED">
        <w:rPr>
          <w:b/>
        </w:rPr>
        <w:t xml:space="preserve"> NKÚ SR však upozorňuje na množstvo obcí s nízkou dostupnosťou MŠ, v ktorých žiadne nové kapacity nepribudnú</w:t>
      </w:r>
      <w:r w:rsidR="00643864" w:rsidRPr="00A27B26">
        <w:rPr>
          <w:b/>
          <w:bCs/>
        </w:rPr>
        <w:t>.</w:t>
      </w:r>
      <w:r w:rsidR="00643864">
        <w:t xml:space="preserve"> Objem prostriedkov výzvy, ktoré smerujú do obcí s</w:t>
      </w:r>
      <w:r w:rsidR="00643864" w:rsidRPr="00562BED">
        <w:t xml:space="preserve"> nízkou dostupnosťou</w:t>
      </w:r>
      <w:r w:rsidR="00643864">
        <w:t xml:space="preserve"> MŠ, nie je dostatočný. Z </w:t>
      </w:r>
      <w:r w:rsidR="00643864" w:rsidRPr="00562BED">
        <w:t>celkového počtu 246 obcí s indexom dostupnosti MŠ</w:t>
      </w:r>
      <w:r w:rsidR="00643864">
        <w:rPr>
          <w:rStyle w:val="Odkaznapoznmkupodiarou"/>
        </w:rPr>
        <w:footnoteReference w:id="37"/>
      </w:r>
      <w:r w:rsidR="00643864" w:rsidRPr="00562BED">
        <w:t xml:space="preserve"> nižší</w:t>
      </w:r>
      <w:r w:rsidR="00643864">
        <w:t>m alebo rovným</w:t>
      </w:r>
      <w:r w:rsidR="00643864" w:rsidRPr="00562BED">
        <w:t xml:space="preserve"> 3 nebudú v 195 </w:t>
      </w:r>
      <w:r w:rsidR="00643864">
        <w:t xml:space="preserve">obciach </w:t>
      </w:r>
      <w:r w:rsidR="00643864" w:rsidRPr="00562BED">
        <w:t xml:space="preserve">vytvorené žiadne nové </w:t>
      </w:r>
      <w:r w:rsidR="00643864" w:rsidRPr="0004161F">
        <w:t xml:space="preserve">kapacity (graf </w:t>
      </w:r>
      <w:r>
        <w:t>43</w:t>
      </w:r>
      <w:r w:rsidR="00643864" w:rsidRPr="0004161F">
        <w:t>).</w:t>
      </w:r>
      <w:r w:rsidR="00643864" w:rsidRPr="0004161F">
        <w:rPr>
          <w:rStyle w:val="Odkaznapoznmkupodiarou"/>
        </w:rPr>
        <w:footnoteReference w:id="38"/>
      </w:r>
    </w:p>
    <w:tbl>
      <w:tblPr>
        <w:tblStyle w:val="Mriekatabuky3"/>
        <w:tblW w:w="486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643864" w:rsidRPr="00D40AB4" w14:paraId="11320763" w14:textId="77777777" w:rsidTr="00720678">
        <w:trPr>
          <w:trHeight w:val="146"/>
        </w:trPr>
        <w:tc>
          <w:tcPr>
            <w:tcW w:w="2500" w:type="pct"/>
            <w:tcBorders>
              <w:bottom w:val="single" w:sz="4" w:space="0" w:color="314364"/>
            </w:tcBorders>
            <w:shd w:val="clear" w:color="auto" w:fill="auto"/>
          </w:tcPr>
          <w:p w14:paraId="2F364610" w14:textId="683893B6" w:rsidR="00643864" w:rsidRPr="00D40AB4" w:rsidRDefault="00643864" w:rsidP="00720678">
            <w:pPr>
              <w:pStyle w:val="Popis"/>
              <w:keepNext/>
              <w:jc w:val="left"/>
              <w:rPr>
                <w:color w:val="314364"/>
              </w:rPr>
            </w:pPr>
            <w:r w:rsidRPr="00D40AB4">
              <w:rPr>
                <w:color w:val="314364"/>
              </w:rPr>
              <w:t>Graf</w:t>
            </w:r>
            <w:r>
              <w:rPr>
                <w:color w:val="314364"/>
              </w:rPr>
              <w:t xml:space="preserve"> </w:t>
            </w:r>
            <w:r w:rsidR="00720678">
              <w:rPr>
                <w:color w:val="314364"/>
              </w:rPr>
              <w:t>43</w:t>
            </w:r>
            <w:r>
              <w:rPr>
                <w:color w:val="314364"/>
              </w:rPr>
              <w:t xml:space="preserve">: </w:t>
            </w:r>
            <w:r w:rsidRPr="00D4456E">
              <w:rPr>
                <w:color w:val="314364"/>
              </w:rPr>
              <w:t xml:space="preserve">Výzva </w:t>
            </w:r>
            <w:r w:rsidRPr="00D4456E">
              <w:rPr>
                <w:i/>
                <w:color w:val="314364"/>
              </w:rPr>
              <w:t>Zvýšenie kapacít materských škôl</w:t>
            </w:r>
            <w:r w:rsidRPr="00D4456E">
              <w:rPr>
                <w:color w:val="314364"/>
              </w:rPr>
              <w:t xml:space="preserve"> – </w:t>
            </w:r>
            <w:r>
              <w:rPr>
                <w:color w:val="314364"/>
              </w:rPr>
              <w:t>budovanie kapacít v obciach</w:t>
            </w:r>
            <w:r w:rsidRPr="00D4456E">
              <w:rPr>
                <w:color w:val="314364"/>
              </w:rPr>
              <w:t xml:space="preserve"> s nízkou dostupnosťou MŠ</w:t>
            </w:r>
          </w:p>
        </w:tc>
        <w:tc>
          <w:tcPr>
            <w:tcW w:w="2500" w:type="pct"/>
            <w:tcBorders>
              <w:bottom w:val="single" w:sz="4" w:space="0" w:color="314364"/>
            </w:tcBorders>
            <w:shd w:val="clear" w:color="auto" w:fill="auto"/>
          </w:tcPr>
          <w:p w14:paraId="502AB36C" w14:textId="2EED1159" w:rsidR="00643864" w:rsidRPr="00D40AB4" w:rsidRDefault="00643864" w:rsidP="00720678">
            <w:pPr>
              <w:pStyle w:val="Popis"/>
              <w:keepNext/>
              <w:ind w:left="8"/>
              <w:jc w:val="left"/>
              <w:rPr>
                <w:color w:val="314364"/>
              </w:rPr>
            </w:pPr>
            <w:r>
              <w:rPr>
                <w:color w:val="314364"/>
              </w:rPr>
              <w:t xml:space="preserve">Graf </w:t>
            </w:r>
            <w:r w:rsidR="00720678">
              <w:rPr>
                <w:color w:val="314364"/>
              </w:rPr>
              <w:t>44</w:t>
            </w:r>
            <w:r>
              <w:rPr>
                <w:color w:val="314364"/>
              </w:rPr>
              <w:t xml:space="preserve">: </w:t>
            </w:r>
            <w:r w:rsidRPr="00890E26">
              <w:t xml:space="preserve">Výzva </w:t>
            </w:r>
            <w:r w:rsidRPr="00890E26">
              <w:rPr>
                <w:i/>
              </w:rPr>
              <w:t>Zvýšenie kapacít materských škôl</w:t>
            </w:r>
            <w:r w:rsidRPr="00890E26">
              <w:t xml:space="preserve"> – </w:t>
            </w:r>
            <w:proofErr w:type="spellStart"/>
            <w:r w:rsidRPr="00890E26">
              <w:t>zazmluvnená</w:t>
            </w:r>
            <w:proofErr w:type="spellEnd"/>
            <w:r w:rsidRPr="00890E26">
              <w:t xml:space="preserve"> alokácia podľa ho</w:t>
            </w:r>
            <w:r>
              <w:t>dnoty indexu dostupnosti MŠ obcí</w:t>
            </w:r>
            <w:r w:rsidRPr="00890E26">
              <w:t xml:space="preserve">, </w:t>
            </w:r>
            <w:r>
              <w:t>ktorých sa nové</w:t>
            </w:r>
            <w:r w:rsidRPr="00890E26">
              <w:t xml:space="preserve"> kapacity týkajú</w:t>
            </w:r>
          </w:p>
        </w:tc>
      </w:tr>
      <w:tr w:rsidR="00643864" w:rsidRPr="00402675" w14:paraId="6DCB0C73" w14:textId="77777777" w:rsidTr="00720678">
        <w:tblPrEx>
          <w:tblCellMar>
            <w:left w:w="70" w:type="dxa"/>
            <w:right w:w="70" w:type="dxa"/>
          </w:tblCellMar>
        </w:tblPrEx>
        <w:trPr>
          <w:trHeight w:val="2823"/>
        </w:trPr>
        <w:tc>
          <w:tcPr>
            <w:tcW w:w="2500" w:type="pct"/>
            <w:tcBorders>
              <w:top w:val="single" w:sz="4" w:space="0" w:color="314364"/>
              <w:bottom w:val="single" w:sz="4" w:space="0" w:color="auto"/>
            </w:tcBorders>
            <w:vAlign w:val="center"/>
          </w:tcPr>
          <w:p w14:paraId="47520993" w14:textId="77777777" w:rsidR="00643864" w:rsidRPr="00402675" w:rsidRDefault="00643864" w:rsidP="005369A1">
            <w:pPr>
              <w:spacing w:after="0"/>
              <w:jc w:val="left"/>
              <w:rPr>
                <w:rFonts w:cs="Segoe UI"/>
                <w:b/>
                <w:szCs w:val="20"/>
              </w:rPr>
            </w:pPr>
            <w:r>
              <w:rPr>
                <w:noProof/>
                <w:lang w:eastAsia="sk-SK"/>
              </w:rPr>
              <w:drawing>
                <wp:inline distT="0" distB="0" distL="0" distR="0" wp14:anchorId="16D8146C" wp14:editId="705FC6BB">
                  <wp:extent cx="2880000" cy="1980000"/>
                  <wp:effectExtent l="0" t="0" r="0" b="1270"/>
                  <wp:docPr id="7"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c>
          <w:tcPr>
            <w:tcW w:w="2500" w:type="pct"/>
            <w:tcBorders>
              <w:top w:val="single" w:sz="4" w:space="0" w:color="314364"/>
              <w:bottom w:val="single" w:sz="4" w:space="0" w:color="auto"/>
            </w:tcBorders>
            <w:vAlign w:val="center"/>
          </w:tcPr>
          <w:p w14:paraId="3146377A" w14:textId="77777777" w:rsidR="00643864" w:rsidRPr="00402675" w:rsidRDefault="00643864" w:rsidP="005369A1">
            <w:pPr>
              <w:spacing w:after="0"/>
              <w:jc w:val="left"/>
              <w:rPr>
                <w:rFonts w:cs="Segoe UI"/>
                <w:b/>
                <w:szCs w:val="20"/>
              </w:rPr>
            </w:pPr>
            <w:r>
              <w:rPr>
                <w:noProof/>
                <w:lang w:eastAsia="sk-SK"/>
              </w:rPr>
              <w:drawing>
                <wp:inline distT="0" distB="0" distL="0" distR="0" wp14:anchorId="2407BE7A" wp14:editId="2557D558">
                  <wp:extent cx="2880000" cy="1980000"/>
                  <wp:effectExtent l="0" t="0" r="0" b="1270"/>
                  <wp:docPr id="5"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r>
      <w:tr w:rsidR="00643864" w14:paraId="58EBD7C5" w14:textId="77777777" w:rsidTr="00720678">
        <w:tblPrEx>
          <w:tblCellMar>
            <w:left w:w="70" w:type="dxa"/>
            <w:right w:w="70" w:type="dxa"/>
          </w:tblCellMar>
        </w:tblPrEx>
        <w:trPr>
          <w:trHeight w:val="528"/>
        </w:trPr>
        <w:tc>
          <w:tcPr>
            <w:tcW w:w="2500" w:type="pct"/>
            <w:tcBorders>
              <w:top w:val="single" w:sz="4" w:space="0" w:color="auto"/>
            </w:tcBorders>
          </w:tcPr>
          <w:p w14:paraId="21A97C69" w14:textId="34E4D69C" w:rsidR="00643864" w:rsidRDefault="00643864" w:rsidP="005369A1">
            <w:pPr>
              <w:pStyle w:val="Zdroj"/>
              <w:spacing w:after="0"/>
            </w:pPr>
            <w:r>
              <w:t xml:space="preserve">Zdroj: </w:t>
            </w:r>
            <w:r w:rsidRPr="00D4456E">
              <w:t>MŠVVM SR; výpočty a spracovanie NKÚ SR.</w:t>
            </w:r>
          </w:p>
          <w:p w14:paraId="7E167985" w14:textId="77777777" w:rsidR="00643864" w:rsidRDefault="00643864" w:rsidP="005369A1">
            <w:pPr>
              <w:pStyle w:val="Zdroj"/>
              <w:spacing w:after="0"/>
            </w:pPr>
            <w:r>
              <w:t xml:space="preserve">Poznámka: </w:t>
            </w:r>
            <w:proofErr w:type="spellStart"/>
            <w:r w:rsidRPr="00D4456E">
              <w:t>Zazmluvnená</w:t>
            </w:r>
            <w:proofErr w:type="spellEnd"/>
            <w:r w:rsidRPr="00D4456E">
              <w:t xml:space="preserve"> alokácia vo výške 139,9 mil. eur (marec 2025).</w:t>
            </w:r>
          </w:p>
        </w:tc>
        <w:tc>
          <w:tcPr>
            <w:tcW w:w="2500" w:type="pct"/>
            <w:tcBorders>
              <w:top w:val="single" w:sz="4" w:space="0" w:color="auto"/>
            </w:tcBorders>
          </w:tcPr>
          <w:p w14:paraId="3F40D80E" w14:textId="53D6133B" w:rsidR="00643864" w:rsidRDefault="00643864" w:rsidP="005369A1">
            <w:pPr>
              <w:pStyle w:val="Zdroj"/>
              <w:spacing w:after="0"/>
            </w:pPr>
            <w:r>
              <w:t xml:space="preserve">Zdroj: </w:t>
            </w:r>
            <w:r w:rsidRPr="00D4456E">
              <w:t>MŠVVM SR; výpočty a spracovanie NKÚ SR.</w:t>
            </w:r>
          </w:p>
          <w:p w14:paraId="35AD6AED" w14:textId="77777777" w:rsidR="00643864" w:rsidRDefault="00643864" w:rsidP="005369A1">
            <w:pPr>
              <w:pStyle w:val="Zdroj"/>
              <w:spacing w:after="0"/>
            </w:pPr>
            <w:r>
              <w:t xml:space="preserve">Poznámka: </w:t>
            </w:r>
            <w:proofErr w:type="spellStart"/>
            <w:r w:rsidRPr="00D4456E">
              <w:t>Zazmluvnená</w:t>
            </w:r>
            <w:proofErr w:type="spellEnd"/>
            <w:r w:rsidRPr="00D4456E">
              <w:t xml:space="preserve"> alokácia vo výške 139,9 mil. eur (marec 2025).</w:t>
            </w:r>
          </w:p>
        </w:tc>
      </w:tr>
    </w:tbl>
    <w:p w14:paraId="0EDED780" w14:textId="605A68D6" w:rsidR="00720678" w:rsidRPr="00720678" w:rsidRDefault="00720678" w:rsidP="00720678">
      <w:bookmarkStart w:id="56" w:name="_Toc166658080"/>
      <w:bookmarkStart w:id="57" w:name="_Toc197347590"/>
      <w:bookmarkStart w:id="58" w:name="_Toc197499693"/>
      <w:r w:rsidRPr="0004161F" w:rsidDel="00583D06">
        <w:rPr>
          <w:b/>
        </w:rPr>
        <w:t>Nezanedbateľná časť prostriedkov výzvy zároveň smeruje do obcí s dobrou dostupnosťou</w:t>
      </w:r>
      <w:r w:rsidRPr="0004161F" w:rsidDel="00583D06">
        <w:t xml:space="preserve"> – pre obce s indexom dostupnosti MŠ vyšším ako 7 bolo schválených 10,8 mil. eur (graf </w:t>
      </w:r>
      <w:r>
        <w:t>44</w:t>
      </w:r>
      <w:r w:rsidRPr="0004161F" w:rsidDel="00583D06">
        <w:t>)</w:t>
      </w:r>
      <w:r w:rsidRPr="0004161F" w:rsidDel="00583D06">
        <w:rPr>
          <w:b/>
        </w:rPr>
        <w:t>.</w:t>
      </w:r>
    </w:p>
    <w:p w14:paraId="6AC179F4" w14:textId="4246A3BC" w:rsidR="00643864" w:rsidRDefault="00643864" w:rsidP="00643864">
      <w:pPr>
        <w:pStyle w:val="Nadpis3"/>
      </w:pPr>
      <w:bookmarkStart w:id="59" w:name="_Toc198637739"/>
      <w:r w:rsidRPr="00B16203">
        <w:lastRenderedPageBreak/>
        <w:t>5.3.2</w:t>
      </w:r>
      <w:r w:rsidR="00AE42B7">
        <w:t xml:space="preserve"> </w:t>
      </w:r>
      <w:r w:rsidRPr="00B16203">
        <w:t xml:space="preserve"> </w:t>
      </w:r>
      <w:bookmarkEnd w:id="56"/>
      <w:r w:rsidR="00636F59">
        <w:t>Č</w:t>
      </w:r>
      <w:r w:rsidRPr="001F74C1">
        <w:t xml:space="preserve">erpanie prostriedkov na individuálny profesijný rozvoj </w:t>
      </w:r>
      <w:r w:rsidR="00636F59">
        <w:t>učiteľov</w:t>
      </w:r>
      <w:bookmarkEnd w:id="57"/>
      <w:bookmarkEnd w:id="58"/>
      <w:bookmarkEnd w:id="59"/>
    </w:p>
    <w:p w14:paraId="1B707A3B" w14:textId="69F6F1E3" w:rsidR="00643864" w:rsidRDefault="00643864" w:rsidP="00643864">
      <w:r w:rsidRPr="00A30542">
        <w:rPr>
          <w:b/>
        </w:rPr>
        <w:t xml:space="preserve">Čerpanie </w:t>
      </w:r>
      <w:r>
        <w:rPr>
          <w:b/>
        </w:rPr>
        <w:t>prostriedkov na individuálny profesijný rozvoj pedagogických a odborných zamestnancov</w:t>
      </w:r>
      <w:r w:rsidRPr="00A30542">
        <w:rPr>
          <w:b/>
        </w:rPr>
        <w:t xml:space="preserve"> </w:t>
      </w:r>
      <w:r>
        <w:rPr>
          <w:b/>
        </w:rPr>
        <w:t xml:space="preserve">bolo aj v roku 2024 </w:t>
      </w:r>
      <w:r w:rsidRPr="00A30542">
        <w:rPr>
          <w:b/>
        </w:rPr>
        <w:t>veľmi nízke</w:t>
      </w:r>
      <w:r>
        <w:t xml:space="preserve"> </w:t>
      </w:r>
      <w:r w:rsidRPr="00E010BA">
        <w:rPr>
          <w:b/>
        </w:rPr>
        <w:t>a </w:t>
      </w:r>
      <w:r w:rsidRPr="002401BD">
        <w:rPr>
          <w:b/>
        </w:rPr>
        <w:t>celkovo</w:t>
      </w:r>
      <w:r>
        <w:rPr>
          <w:b/>
        </w:rPr>
        <w:t xml:space="preserve"> </w:t>
      </w:r>
      <w:r w:rsidRPr="00E010BA">
        <w:rPr>
          <w:b/>
        </w:rPr>
        <w:t>za vyše dva roky</w:t>
      </w:r>
      <w:r>
        <w:rPr>
          <w:b/>
        </w:rPr>
        <w:t xml:space="preserve"> prepadnú</w:t>
      </w:r>
      <w:r w:rsidRPr="00E010BA">
        <w:rPr>
          <w:b/>
        </w:rPr>
        <w:t xml:space="preserve"> desiatky miliónov eur</w:t>
      </w:r>
      <w:r>
        <w:t xml:space="preserve"> </w:t>
      </w:r>
      <w:r w:rsidRPr="0004161F">
        <w:t xml:space="preserve">(graf </w:t>
      </w:r>
      <w:r w:rsidR="00F02BB9">
        <w:t>4</w:t>
      </w:r>
      <w:r w:rsidR="009E651C">
        <w:t>5</w:t>
      </w:r>
      <w:r w:rsidRPr="0004161F">
        <w:t>)</w:t>
      </w:r>
      <w:r w:rsidRPr="00A27B26">
        <w:rPr>
          <w:b/>
          <w:bCs/>
        </w:rPr>
        <w:t>.</w:t>
      </w:r>
      <w:r w:rsidRPr="0004161F">
        <w:t xml:space="preserve"> V roku 2022 začalo MŠVVM SR z </w:t>
      </w:r>
      <w:r w:rsidR="009E651C">
        <w:t>POO</w:t>
      </w:r>
      <w:r w:rsidRPr="0004161F">
        <w:t xml:space="preserve"> formou metodických usmernení podporovať individuálny</w:t>
      </w:r>
      <w:r>
        <w:t xml:space="preserve"> profesijný rozvoj</w:t>
      </w:r>
      <w:r w:rsidRPr="00EB1E5D">
        <w:t xml:space="preserve"> pedagogických a odborných zamestnancov</w:t>
      </w:r>
      <w:r>
        <w:t>. Ide o súčasť reformy 2 komponentu 7, ktorej cieľom je p</w:t>
      </w:r>
      <w:r w:rsidRPr="00CB51F2">
        <w:t xml:space="preserve">ríprava a rozvoj učiteľov </w:t>
      </w:r>
      <w:r w:rsidR="0099487D">
        <w:t xml:space="preserve">so zameraním </w:t>
      </w:r>
      <w:r w:rsidRPr="00CB51F2">
        <w:t>na nový obsah a formy vzdelávania</w:t>
      </w:r>
      <w:r>
        <w:t>, a to zmenou</w:t>
      </w:r>
      <w:r w:rsidRPr="00CB51F2">
        <w:t xml:space="preserve"> vysokoškolske</w:t>
      </w:r>
      <w:r>
        <w:t>j prípravy učiteľov a posilnením</w:t>
      </w:r>
      <w:r w:rsidRPr="00CB51F2">
        <w:t xml:space="preserve"> profesijného rozvoja učiteľov</w:t>
      </w:r>
      <w:r>
        <w:t>.</w:t>
      </w:r>
      <w:r w:rsidRPr="00C000EC">
        <w:t xml:space="preserve"> Do 31. decembra 2023 </w:t>
      </w:r>
      <w:r>
        <w:t xml:space="preserve">malo </w:t>
      </w:r>
      <w:r w:rsidRPr="00C000EC">
        <w:t>aspoň 55 % pedagogických a odborných zamestnancov škôl</w:t>
      </w:r>
      <w:r>
        <w:t xml:space="preserve"> absolvovať</w:t>
      </w:r>
      <w:r w:rsidRPr="00C000EC">
        <w:t xml:space="preserve"> odbornú prípravu</w:t>
      </w:r>
      <w:r>
        <w:t xml:space="preserve"> zameranú na nové </w:t>
      </w:r>
      <w:proofErr w:type="spellStart"/>
      <w:r>
        <w:t>kurikulum</w:t>
      </w:r>
      <w:proofErr w:type="spellEnd"/>
      <w:r>
        <w:t xml:space="preserve">, </w:t>
      </w:r>
      <w:proofErr w:type="spellStart"/>
      <w:r>
        <w:t>inkluzívne</w:t>
      </w:r>
      <w:proofErr w:type="spellEnd"/>
      <w:r>
        <w:t xml:space="preserve"> vzdelávanie a/alebo digitálne zručnosti, ale nebolo to dosiahnuté ani v roku 2024.</w:t>
      </w:r>
    </w:p>
    <w:tbl>
      <w:tblPr>
        <w:tblStyle w:val="Mriekatabuky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643864" w:rsidRPr="00D40AB4" w14:paraId="30A915D9" w14:textId="77777777" w:rsidTr="000B5DF0">
        <w:trPr>
          <w:trHeight w:val="189"/>
        </w:trPr>
        <w:tc>
          <w:tcPr>
            <w:tcW w:w="2500" w:type="pct"/>
            <w:tcBorders>
              <w:bottom w:val="single" w:sz="4" w:space="0" w:color="314364"/>
            </w:tcBorders>
            <w:shd w:val="clear" w:color="auto" w:fill="auto"/>
          </w:tcPr>
          <w:p w14:paraId="4383FE6A" w14:textId="557220B0" w:rsidR="00643864" w:rsidRPr="00D40AB4" w:rsidRDefault="00643864" w:rsidP="009E651C">
            <w:pPr>
              <w:pStyle w:val="Popis"/>
              <w:keepNext/>
              <w:jc w:val="left"/>
              <w:rPr>
                <w:color w:val="314364"/>
              </w:rPr>
            </w:pPr>
            <w:r w:rsidRPr="00D40AB4">
              <w:rPr>
                <w:color w:val="314364"/>
              </w:rPr>
              <w:t>Graf</w:t>
            </w:r>
            <w:r>
              <w:rPr>
                <w:color w:val="314364"/>
              </w:rPr>
              <w:t xml:space="preserve"> </w:t>
            </w:r>
            <w:r w:rsidR="009E651C">
              <w:rPr>
                <w:color w:val="314364"/>
              </w:rPr>
              <w:t>4</w:t>
            </w:r>
            <w:r>
              <w:rPr>
                <w:color w:val="314364"/>
              </w:rPr>
              <w:t xml:space="preserve">5: Čerpanie </w:t>
            </w:r>
            <w:r w:rsidR="009E651C">
              <w:rPr>
                <w:color w:val="314364"/>
              </w:rPr>
              <w:t>POO</w:t>
            </w:r>
            <w:r w:rsidRPr="0037161B">
              <w:rPr>
                <w:color w:val="314364"/>
              </w:rPr>
              <w:t xml:space="preserve"> na individuálny profesijný rozvoj pedagogických a odborných zamestnancov</w:t>
            </w:r>
          </w:p>
        </w:tc>
        <w:tc>
          <w:tcPr>
            <w:tcW w:w="2500" w:type="pct"/>
            <w:tcBorders>
              <w:bottom w:val="single" w:sz="4" w:space="0" w:color="314364"/>
            </w:tcBorders>
            <w:shd w:val="clear" w:color="auto" w:fill="auto"/>
          </w:tcPr>
          <w:p w14:paraId="39C40964" w14:textId="218ADAA1" w:rsidR="00643864" w:rsidRPr="00D40AB4" w:rsidRDefault="00643864" w:rsidP="009E651C">
            <w:pPr>
              <w:pStyle w:val="Popis"/>
              <w:keepNext/>
              <w:ind w:left="8"/>
              <w:jc w:val="left"/>
              <w:rPr>
                <w:color w:val="314364"/>
              </w:rPr>
            </w:pPr>
            <w:r>
              <w:rPr>
                <w:color w:val="314364"/>
              </w:rPr>
              <w:t xml:space="preserve">Graf </w:t>
            </w:r>
            <w:r w:rsidR="009E651C">
              <w:rPr>
                <w:color w:val="314364"/>
              </w:rPr>
              <w:t>46</w:t>
            </w:r>
            <w:r>
              <w:rPr>
                <w:color w:val="314364"/>
              </w:rPr>
              <w:t xml:space="preserve">: Čerpanie </w:t>
            </w:r>
            <w:r w:rsidR="009E651C">
              <w:rPr>
                <w:color w:val="314364"/>
              </w:rPr>
              <w:t>POO</w:t>
            </w:r>
            <w:r w:rsidRPr="0037161B">
              <w:rPr>
                <w:color w:val="314364"/>
              </w:rPr>
              <w:t xml:space="preserve"> na individuálny profesijný rozvoj pedagogických a odborných zamestnancov – kontrolný proces</w:t>
            </w:r>
          </w:p>
        </w:tc>
      </w:tr>
      <w:tr w:rsidR="00643864" w:rsidRPr="00402675" w14:paraId="64FB1D0B" w14:textId="77777777" w:rsidTr="000B5DF0">
        <w:tblPrEx>
          <w:tblCellMar>
            <w:left w:w="70" w:type="dxa"/>
            <w:right w:w="70" w:type="dxa"/>
          </w:tblCellMar>
        </w:tblPrEx>
        <w:trPr>
          <w:trHeight w:val="3402"/>
        </w:trPr>
        <w:tc>
          <w:tcPr>
            <w:tcW w:w="2500" w:type="pct"/>
            <w:tcBorders>
              <w:top w:val="single" w:sz="4" w:space="0" w:color="314364"/>
              <w:bottom w:val="single" w:sz="4" w:space="0" w:color="auto"/>
            </w:tcBorders>
            <w:vAlign w:val="center"/>
          </w:tcPr>
          <w:p w14:paraId="61B7FB79" w14:textId="77777777" w:rsidR="00643864" w:rsidRPr="00402675" w:rsidRDefault="00643864" w:rsidP="005369A1">
            <w:pPr>
              <w:spacing w:after="0"/>
              <w:jc w:val="left"/>
              <w:rPr>
                <w:rFonts w:cs="Segoe UI"/>
                <w:b/>
                <w:szCs w:val="20"/>
              </w:rPr>
            </w:pPr>
            <w:r>
              <w:rPr>
                <w:noProof/>
                <w:lang w:eastAsia="sk-SK"/>
              </w:rPr>
              <w:drawing>
                <wp:inline distT="0" distB="0" distL="0" distR="0" wp14:anchorId="53F72A89" wp14:editId="35A0498A">
                  <wp:extent cx="2880000" cy="2160000"/>
                  <wp:effectExtent l="0" t="0" r="0" b="0"/>
                  <wp:docPr id="12"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c>
          <w:tcPr>
            <w:tcW w:w="2500" w:type="pct"/>
            <w:tcBorders>
              <w:top w:val="single" w:sz="4" w:space="0" w:color="314364"/>
              <w:bottom w:val="single" w:sz="4" w:space="0" w:color="auto"/>
            </w:tcBorders>
            <w:vAlign w:val="center"/>
          </w:tcPr>
          <w:p w14:paraId="6A374265" w14:textId="77777777" w:rsidR="00643864" w:rsidRPr="00402675" w:rsidRDefault="00643864" w:rsidP="005369A1">
            <w:pPr>
              <w:spacing w:after="0"/>
              <w:jc w:val="left"/>
              <w:rPr>
                <w:rFonts w:cs="Segoe UI"/>
                <w:b/>
                <w:szCs w:val="20"/>
              </w:rPr>
            </w:pPr>
            <w:r>
              <w:rPr>
                <w:noProof/>
                <w:lang w:eastAsia="sk-SK"/>
              </w:rPr>
              <w:drawing>
                <wp:inline distT="0" distB="0" distL="0" distR="0" wp14:anchorId="2AAD8776" wp14:editId="6132124A">
                  <wp:extent cx="2880000" cy="2160000"/>
                  <wp:effectExtent l="0" t="0" r="0" b="0"/>
                  <wp:docPr id="13" name="Graf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r>
      <w:tr w:rsidR="00643864" w14:paraId="1C8066D3" w14:textId="77777777" w:rsidTr="000B5DF0">
        <w:tblPrEx>
          <w:tblCellMar>
            <w:left w:w="70" w:type="dxa"/>
            <w:right w:w="70" w:type="dxa"/>
          </w:tblCellMar>
        </w:tblPrEx>
        <w:trPr>
          <w:trHeight w:val="397"/>
        </w:trPr>
        <w:tc>
          <w:tcPr>
            <w:tcW w:w="2500" w:type="pct"/>
            <w:tcBorders>
              <w:top w:val="single" w:sz="4" w:space="0" w:color="auto"/>
            </w:tcBorders>
          </w:tcPr>
          <w:p w14:paraId="10960E9C" w14:textId="5A2279E0" w:rsidR="00643864" w:rsidRDefault="00643864" w:rsidP="005369A1">
            <w:pPr>
              <w:pStyle w:val="Zdroj"/>
              <w:spacing w:after="0"/>
            </w:pPr>
            <w:r>
              <w:t xml:space="preserve">Zdroj: </w:t>
            </w:r>
            <w:r w:rsidRPr="00D4456E">
              <w:t>MŠVVM SR; výpočty a spracovanie NKÚ SR.</w:t>
            </w:r>
          </w:p>
          <w:p w14:paraId="67BB2174" w14:textId="77777777" w:rsidR="00643864" w:rsidRDefault="00643864" w:rsidP="005369A1">
            <w:pPr>
              <w:pStyle w:val="Zdroj"/>
              <w:spacing w:after="0"/>
            </w:pPr>
            <w:r>
              <w:t xml:space="preserve">Poznámka: </w:t>
            </w:r>
            <w:r w:rsidRPr="0037161B">
              <w:t>Stav k 28. 2. 2025.</w:t>
            </w:r>
          </w:p>
        </w:tc>
        <w:tc>
          <w:tcPr>
            <w:tcW w:w="2500" w:type="pct"/>
            <w:tcBorders>
              <w:top w:val="single" w:sz="4" w:space="0" w:color="auto"/>
            </w:tcBorders>
          </w:tcPr>
          <w:p w14:paraId="10FF547B" w14:textId="564CDF12" w:rsidR="00643864" w:rsidRDefault="00643864" w:rsidP="005369A1">
            <w:pPr>
              <w:pStyle w:val="Zdroj"/>
              <w:spacing w:after="0"/>
            </w:pPr>
            <w:r>
              <w:t xml:space="preserve">Zdroj: </w:t>
            </w:r>
            <w:r w:rsidRPr="00D4456E">
              <w:t>MŠVVM SR; výpočty a spracovanie NKÚ SR.</w:t>
            </w:r>
          </w:p>
          <w:p w14:paraId="2E58B765" w14:textId="77777777" w:rsidR="00643864" w:rsidRDefault="00643864" w:rsidP="005369A1">
            <w:pPr>
              <w:pStyle w:val="Zdroj"/>
              <w:spacing w:after="0"/>
            </w:pPr>
            <w:r>
              <w:t xml:space="preserve">Poznámka: </w:t>
            </w:r>
            <w:r w:rsidRPr="0037161B">
              <w:t>Stav k 28. 2. 2025.</w:t>
            </w:r>
          </w:p>
        </w:tc>
      </w:tr>
    </w:tbl>
    <w:p w14:paraId="04F56AEC" w14:textId="77777777" w:rsidR="00643864" w:rsidRDefault="00643864" w:rsidP="00643864">
      <w:pPr>
        <w:spacing w:after="0" w:line="240" w:lineRule="auto"/>
      </w:pPr>
    </w:p>
    <w:p w14:paraId="5088FECD" w14:textId="77777777" w:rsidR="000B5DF0" w:rsidRDefault="000B5DF0" w:rsidP="00643864">
      <w:r>
        <w:t>Najvyššia potenciálna</w:t>
      </w:r>
      <w:r>
        <w:rPr>
          <w:rStyle w:val="Odkaznapoznmkupodiarou"/>
        </w:rPr>
        <w:footnoteReference w:id="39"/>
      </w:r>
      <w:r>
        <w:t xml:space="preserve"> miera čerpania sa týka metodiky č. 1 (51,1 %). Prvá metodika však mala ešte relatívne nízku alokáciu (4,5 mil. eur). Na</w:t>
      </w:r>
      <w:r w:rsidRPr="007554F3">
        <w:t xml:space="preserve"> </w:t>
      </w:r>
      <w:r>
        <w:t xml:space="preserve">nasledujúce metodiky boli alokované už desiatky miliónov eur, pričom potenciálna miera čerpania je na úrovni jednotiek percent. Keďže v prípade všetkých štyroch metodík je prihlasovanie už ukončené, </w:t>
      </w:r>
      <w:r w:rsidRPr="00E010BA">
        <w:t>minimálne 73,3 mil. eur nebude vyčerpaných</w:t>
      </w:r>
      <w:r>
        <w:t>.</w:t>
      </w:r>
    </w:p>
    <w:p w14:paraId="56139109" w14:textId="616DE8CE" w:rsidR="00643864" w:rsidRDefault="00643864" w:rsidP="00643864">
      <w:r>
        <w:rPr>
          <w:b/>
        </w:rPr>
        <w:t>Proces kontroly</w:t>
      </w:r>
      <w:r w:rsidRPr="00CA316D">
        <w:rPr>
          <w:b/>
        </w:rPr>
        <w:t xml:space="preserve"> žiadostí</w:t>
      </w:r>
      <w:r>
        <w:rPr>
          <w:b/>
        </w:rPr>
        <w:t xml:space="preserve"> o čerpanie týchto prostriedkov</w:t>
      </w:r>
      <w:r w:rsidRPr="00CA316D">
        <w:rPr>
          <w:b/>
        </w:rPr>
        <w:t xml:space="preserve"> je extrémne </w:t>
      </w:r>
      <w:r w:rsidRPr="0004161F">
        <w:rPr>
          <w:b/>
        </w:rPr>
        <w:t xml:space="preserve">pomalý </w:t>
      </w:r>
      <w:r w:rsidRPr="0004161F">
        <w:t xml:space="preserve">(graf </w:t>
      </w:r>
      <w:r w:rsidR="009E651C">
        <w:t>46</w:t>
      </w:r>
      <w:r w:rsidRPr="0004161F">
        <w:t>)</w:t>
      </w:r>
      <w:r w:rsidRPr="00A27B26">
        <w:rPr>
          <w:b/>
          <w:bCs/>
        </w:rPr>
        <w:t>.</w:t>
      </w:r>
      <w:r>
        <w:t xml:space="preserve"> Hoci boli prvé dve metodiky uzavreté ešte v roku 2023, k 28. 2. 2025 nebola v prípade 1 694 žiadostí (z celkového počtu 2 768 podaných žiadostí) ani len začatá kontrola. Zatiaľ posledná metodika bola uzavretá 20. novembra 2024. Ani po vyše troch mesiacoch nebola skontrolovaná žiadna zo 421 podaných žiadostí. Najvyšší počet neskontrolovaných žiadostí identifikujeme v prípade metodiky č. 3. V prípade prvej metodiky zároveň upozorňujeme na skutočnosť, že z 880 skontrolovaných žiadostí bolo k 28. 2. 2025 vyše 700 takých, ktoré musia vrátiť celú poskytnutú sumu, lebo neboli splnené kritériá alebo škola nič nečerpala.</w:t>
      </w:r>
    </w:p>
    <w:p w14:paraId="42C85C4C" w14:textId="77777777" w:rsidR="009E651C" w:rsidRDefault="009E651C" w:rsidP="009E651C">
      <w:r>
        <w:rPr>
          <w:b/>
        </w:rPr>
        <w:t>Rozvoja digitálnych zručností sa bude týkať pravdepodobne len približne tretina konečného čerpania prvých štyroch metodík</w:t>
      </w:r>
      <w:r w:rsidRPr="00A27B26">
        <w:rPr>
          <w:b/>
          <w:bCs/>
        </w:rPr>
        <w:t>.</w:t>
      </w:r>
      <w:r>
        <w:t xml:space="preserve"> Keďže konečné čerpanie metodiky 1 bude pravdepodobne veľmi nízke, zameriavame sa na zvyšné metodiky. Tam sa digitalizácie týka 31,5 % podaných </w:t>
      </w:r>
      <w:r w:rsidRPr="0004161F">
        <w:t>žiadostí .</w:t>
      </w:r>
      <w:r>
        <w:t xml:space="preserve">Rozvoj digitálnych zručností je dôležitý aj v kontexte investície 1 </w:t>
      </w:r>
      <w:r w:rsidRPr="004F411E">
        <w:t>komponentu</w:t>
      </w:r>
      <w:r>
        <w:t xml:space="preserve"> 7 plánu obnovy, ktorej c</w:t>
      </w:r>
      <w:r w:rsidRPr="00244E4C">
        <w:t>elko</w:t>
      </w:r>
      <w:r>
        <w:t xml:space="preserve">vým </w:t>
      </w:r>
      <w:r>
        <w:lastRenderedPageBreak/>
        <w:t>zámerom je prostredníctvom dobudovania digitálnej infraštruktúry skvalitniť vyučovací proces</w:t>
      </w:r>
      <w:r w:rsidRPr="00244E4C">
        <w:t xml:space="preserve"> aktívnym využívaním digitálnych technológií</w:t>
      </w:r>
      <w:r>
        <w:t xml:space="preserve">. </w:t>
      </w:r>
    </w:p>
    <w:p w14:paraId="34325411" w14:textId="77777777" w:rsidR="00643864" w:rsidRPr="008E716D" w:rsidRDefault="00643864" w:rsidP="00643864">
      <w:r w:rsidRPr="008E384A">
        <w:rPr>
          <w:b/>
        </w:rPr>
        <w:t xml:space="preserve">Do výzvy, ktorej cieľom je podpora zavádzania </w:t>
      </w:r>
      <w:proofErr w:type="spellStart"/>
      <w:r w:rsidRPr="008E384A">
        <w:rPr>
          <w:b/>
        </w:rPr>
        <w:t>inkluzívneho</w:t>
      </w:r>
      <w:proofErr w:type="spellEnd"/>
      <w:r w:rsidRPr="008E384A">
        <w:rPr>
          <w:b/>
        </w:rPr>
        <w:t xml:space="preserve"> vzdelávania a rozvoj</w:t>
      </w:r>
      <w:r>
        <w:rPr>
          <w:b/>
        </w:rPr>
        <w:t>a</w:t>
      </w:r>
      <w:r w:rsidRPr="008E384A">
        <w:rPr>
          <w:b/>
        </w:rPr>
        <w:t xml:space="preserve"> digitálnych kompetencií učiteľov</w:t>
      </w:r>
      <w:r>
        <w:rPr>
          <w:b/>
        </w:rPr>
        <w:t xml:space="preserve"> prostredníctvom nových študijných programov</w:t>
      </w:r>
      <w:r w:rsidRPr="008E384A">
        <w:rPr>
          <w:b/>
        </w:rPr>
        <w:t xml:space="preserve">, sa </w:t>
      </w:r>
      <w:r>
        <w:rPr>
          <w:b/>
        </w:rPr>
        <w:t>za celý rok 2024 nikto</w:t>
      </w:r>
      <w:r w:rsidRPr="008E384A">
        <w:rPr>
          <w:b/>
        </w:rPr>
        <w:t xml:space="preserve"> neprihlásil</w:t>
      </w:r>
      <w:r w:rsidRPr="00A27B26">
        <w:rPr>
          <w:b/>
          <w:bCs/>
        </w:rPr>
        <w:t>.</w:t>
      </w:r>
      <w:r>
        <w:t xml:space="preserve"> Súčasťou reformy</w:t>
      </w:r>
      <w:r w:rsidRPr="00A95851">
        <w:t xml:space="preserve"> 2 komponentu 7 je aj grantový program</w:t>
      </w:r>
      <w:r>
        <w:t xml:space="preserve"> pre univerzity</w:t>
      </w:r>
      <w:r w:rsidRPr="00A95851">
        <w:t xml:space="preserve"> na podporu</w:t>
      </w:r>
      <w:r>
        <w:t xml:space="preserve"> vzniku</w:t>
      </w:r>
      <w:r w:rsidRPr="00A95851">
        <w:t xml:space="preserve"> nových </w:t>
      </w:r>
      <w:r>
        <w:t>učiteľských študijných programov podporujúcich</w:t>
      </w:r>
      <w:r w:rsidRPr="008E384A">
        <w:t xml:space="preserve"> zavád</w:t>
      </w:r>
      <w:r>
        <w:t xml:space="preserve">zanie </w:t>
      </w:r>
      <w:proofErr w:type="spellStart"/>
      <w:r>
        <w:t>inkluzívneho</w:t>
      </w:r>
      <w:proofErr w:type="spellEnd"/>
      <w:r>
        <w:t xml:space="preserve"> vzdelávania</w:t>
      </w:r>
      <w:r w:rsidRPr="008E384A">
        <w:t>, rozvoj digitálnych kompetencií a posilňovanie rovnosti medzi mužmi a</w:t>
      </w:r>
      <w:r>
        <w:t> </w:t>
      </w:r>
      <w:r w:rsidRPr="008E384A">
        <w:t>ženami</w:t>
      </w:r>
      <w:r>
        <w:t>.</w:t>
      </w:r>
      <w:r w:rsidRPr="00A95851">
        <w:t xml:space="preserve"> Výzva bola vyhlásená v decembri 2023 a ani po vyše roku (k 31. 12. 2024) ministerstvo školstva neevido</w:t>
      </w:r>
      <w:r>
        <w:t xml:space="preserve">valo žiadnu žiadosť zo strany vysokých škôl. </w:t>
      </w:r>
      <w:r w:rsidRPr="008E384A">
        <w:t xml:space="preserve">Výška finančných prostriedkov </w:t>
      </w:r>
      <w:r>
        <w:t>určených na výzvu je 2,5 mil. eur a výzva by mala byť uzavretá 30. 6. 2025.</w:t>
      </w:r>
    </w:p>
    <w:p w14:paraId="09CFE140" w14:textId="3764173E" w:rsidR="00643864" w:rsidRDefault="00643864" w:rsidP="00643864">
      <w:pPr>
        <w:pStyle w:val="Nadpis3"/>
      </w:pPr>
      <w:bookmarkStart w:id="60" w:name="_Toc197347591"/>
      <w:bookmarkStart w:id="61" w:name="_Toc197499694"/>
      <w:bookmarkStart w:id="62" w:name="_Toc198637740"/>
      <w:r w:rsidRPr="00B16203">
        <w:t>5.3.</w:t>
      </w:r>
      <w:r>
        <w:t>3</w:t>
      </w:r>
      <w:r w:rsidRPr="00B16203">
        <w:t xml:space="preserve"> </w:t>
      </w:r>
      <w:r>
        <w:t xml:space="preserve"> </w:t>
      </w:r>
      <w:r w:rsidRPr="00DE7F25">
        <w:t xml:space="preserve">Štipendijná schéma </w:t>
      </w:r>
      <w:r w:rsidRPr="00DE7F25">
        <w:rPr>
          <w:i/>
        </w:rPr>
        <w:t>Študuj doma, Slovensko ťa odmení</w:t>
      </w:r>
      <w:bookmarkEnd w:id="60"/>
      <w:bookmarkEnd w:id="61"/>
      <w:bookmarkEnd w:id="62"/>
    </w:p>
    <w:p w14:paraId="07011C43" w14:textId="36E73376" w:rsidR="00643864" w:rsidRDefault="00643864" w:rsidP="00643864">
      <w:r w:rsidRPr="008F1E55">
        <w:rPr>
          <w:b/>
        </w:rPr>
        <w:t xml:space="preserve">V roku 2024 bolo zo štipendijnej schémy </w:t>
      </w:r>
      <w:r w:rsidRPr="008F1E55">
        <w:rPr>
          <w:b/>
          <w:i/>
        </w:rPr>
        <w:t>Študuj doma, Slovensko ťa odmení</w:t>
      </w:r>
      <w:r w:rsidRPr="008F1E55">
        <w:rPr>
          <w:b/>
        </w:rPr>
        <w:t xml:space="preserve"> podporených spolu 1 741 študentov, pričom ich počet každý rok mierne </w:t>
      </w:r>
      <w:r w:rsidRPr="0004161F">
        <w:rPr>
          <w:b/>
        </w:rPr>
        <w:t>rastie</w:t>
      </w:r>
      <w:r w:rsidRPr="0004161F">
        <w:t xml:space="preserve"> (graf </w:t>
      </w:r>
      <w:r w:rsidR="009E651C">
        <w:t>4</w:t>
      </w:r>
      <w:r w:rsidR="00F02BB9">
        <w:t>7</w:t>
      </w:r>
      <w:r w:rsidRPr="0004161F">
        <w:t>)</w:t>
      </w:r>
      <w:r w:rsidRPr="0004161F">
        <w:rPr>
          <w:b/>
        </w:rPr>
        <w:t>.</w:t>
      </w:r>
      <w:r w:rsidRPr="0004161F">
        <w:t xml:space="preserve"> S</w:t>
      </w:r>
      <w:r>
        <w:t> cieľom podporovať a motivovať</w:t>
      </w:r>
      <w:r w:rsidRPr="00F37CC6">
        <w:t xml:space="preserve"> študentov</w:t>
      </w:r>
      <w:r>
        <w:t>, aby zostali</w:t>
      </w:r>
      <w:r w:rsidRPr="00F37CC6">
        <w:t xml:space="preserve"> študovať na Slovensku</w:t>
      </w:r>
      <w:r>
        <w:t xml:space="preserve">, </w:t>
      </w:r>
      <w:r w:rsidRPr="008F1E55">
        <w:t>MŠVVM SR vypláca od roku 2022 štipendiá v rámci štipendijnej schémy</w:t>
      </w:r>
      <w:r>
        <w:t xml:space="preserve"> financovanej z </w:t>
      </w:r>
      <w:r w:rsidR="009E651C">
        <w:t>POO</w:t>
      </w:r>
      <w:r>
        <w:t>. O štipendium bolo</w:t>
      </w:r>
      <w:r w:rsidRPr="00EF25FC">
        <w:t xml:space="preserve"> možné sa uchádzať v jednej z dvoch kategórií:</w:t>
      </w:r>
      <w:r>
        <w:t xml:space="preserve"> </w:t>
      </w:r>
      <w:r w:rsidRPr="00EF25FC">
        <w:t>najväčšie talenty spomedzi slovenských maturantov</w:t>
      </w:r>
      <w:r>
        <w:t xml:space="preserve">; </w:t>
      </w:r>
      <w:r w:rsidRPr="00EF25FC">
        <w:t>nadpriemerní študenti, ktorí sú zo sociálne znevýhodneného prostredia alebo patria do špecifických znevýhodnených skupín.</w:t>
      </w:r>
      <w:r>
        <w:t xml:space="preserve"> Na</w:t>
      </w:r>
      <w:r w:rsidRPr="00B607AC">
        <w:t xml:space="preserve"> štipend</w:t>
      </w:r>
      <w:r>
        <w:t>iá z plánu obnovy nadviaže n</w:t>
      </w:r>
      <w:r w:rsidRPr="001F41AE">
        <w:t xml:space="preserve">ový </w:t>
      </w:r>
      <w:proofErr w:type="spellStart"/>
      <w:r w:rsidRPr="001F41AE">
        <w:t>eurofondový</w:t>
      </w:r>
      <w:proofErr w:type="spellEnd"/>
      <w:r w:rsidRPr="001F41AE">
        <w:t xml:space="preserve"> projekt</w:t>
      </w:r>
      <w:r>
        <w:t xml:space="preserve">, ktorý ministerstvo predstavilo v marci 2025. </w:t>
      </w:r>
      <w:r w:rsidRPr="001F41AE">
        <w:t xml:space="preserve">Konkrétne podmienky </w:t>
      </w:r>
      <w:r>
        <w:t>zatiaľ nie sú známe.</w:t>
      </w:r>
    </w:p>
    <w:p w14:paraId="50A5D8CE" w14:textId="1B09A3B4" w:rsidR="00643864" w:rsidRPr="00BC3CA3" w:rsidRDefault="00643864" w:rsidP="00643864">
      <w:pPr>
        <w:pStyle w:val="Popis"/>
        <w:keepNext/>
        <w:rPr>
          <w:color w:val="314364"/>
        </w:rPr>
      </w:pPr>
      <w:r w:rsidRPr="00BC3CA3">
        <w:rPr>
          <w:color w:val="314364"/>
        </w:rPr>
        <w:t>Graf</w:t>
      </w:r>
      <w:r>
        <w:rPr>
          <w:color w:val="314364"/>
        </w:rPr>
        <w:t xml:space="preserve"> </w:t>
      </w:r>
      <w:r w:rsidR="009E651C">
        <w:rPr>
          <w:color w:val="314364"/>
        </w:rPr>
        <w:t>4</w:t>
      </w:r>
      <w:r w:rsidR="00F02BB9">
        <w:rPr>
          <w:color w:val="314364"/>
        </w:rPr>
        <w:t>7</w:t>
      </w:r>
      <w:r w:rsidRPr="00BC3CA3">
        <w:rPr>
          <w:color w:val="314364"/>
        </w:rPr>
        <w:t>:</w:t>
      </w:r>
      <w:r>
        <w:rPr>
          <w:color w:val="314364"/>
        </w:rPr>
        <w:t xml:space="preserve"> </w:t>
      </w:r>
      <w:r w:rsidRPr="00206A69">
        <w:t xml:space="preserve">Podporení študenti v rámci schémy </w:t>
      </w:r>
      <w:r w:rsidRPr="00206A69">
        <w:rPr>
          <w:i/>
        </w:rPr>
        <w:t>Študuj doma, Slovensko ťa odmení</w:t>
      </w:r>
    </w:p>
    <w:tbl>
      <w:tblPr>
        <w:tblStyle w:val="Mriekatabuky"/>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070"/>
      </w:tblGrid>
      <w:tr w:rsidR="00643864" w:rsidRPr="00C75134" w14:paraId="653789CA" w14:textId="77777777" w:rsidTr="000D7501">
        <w:trPr>
          <w:trHeight w:val="3118"/>
        </w:trPr>
        <w:tc>
          <w:tcPr>
            <w:tcW w:w="9070" w:type="dxa"/>
            <w:tcBorders>
              <w:top w:val="single" w:sz="4" w:space="0" w:color="314364"/>
              <w:bottom w:val="single" w:sz="4" w:space="0" w:color="314364"/>
            </w:tcBorders>
            <w:vAlign w:val="center"/>
          </w:tcPr>
          <w:p w14:paraId="057B45F5" w14:textId="77777777" w:rsidR="00643864" w:rsidRPr="00C75134" w:rsidRDefault="00643864" w:rsidP="005369A1">
            <w:pPr>
              <w:spacing w:after="0"/>
              <w:rPr>
                <w:b/>
                <w:color w:val="576431"/>
              </w:rPr>
            </w:pPr>
            <w:r>
              <w:rPr>
                <w:noProof/>
                <w:lang w:eastAsia="sk-SK"/>
              </w:rPr>
              <w:drawing>
                <wp:inline distT="0" distB="0" distL="0" distR="0" wp14:anchorId="62E575EA" wp14:editId="58F494F2">
                  <wp:extent cx="5760000" cy="1980000"/>
                  <wp:effectExtent l="0" t="0" r="0" b="1270"/>
                  <wp:docPr id="20" name="Graf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bl>
    <w:p w14:paraId="1EADF6A8" w14:textId="153970C2" w:rsidR="00643864" w:rsidRDefault="00643864" w:rsidP="00643864">
      <w:pPr>
        <w:pStyle w:val="Zdroj"/>
      </w:pPr>
      <w:r w:rsidRPr="00DE7F25">
        <w:rPr>
          <w:rFonts w:cs="Segoe UI"/>
          <w:szCs w:val="20"/>
        </w:rPr>
        <w:t>Zdroj</w:t>
      </w:r>
      <w:r>
        <w:t xml:space="preserve">: </w:t>
      </w:r>
      <w:r w:rsidRPr="00D4456E">
        <w:t>MŠVVM SR; výpočty a spracovanie NKÚ SR.</w:t>
      </w:r>
    </w:p>
    <w:p w14:paraId="063ED7C4" w14:textId="3254E889" w:rsidR="009E651C" w:rsidRDefault="009E651C" w:rsidP="009E651C">
      <w:r w:rsidRPr="00C4382F">
        <w:rPr>
          <w:b/>
        </w:rPr>
        <w:t xml:space="preserve">V roku 2024 </w:t>
      </w:r>
      <w:r>
        <w:rPr>
          <w:b/>
        </w:rPr>
        <w:t>ministerstvo</w:t>
      </w:r>
      <w:r w:rsidRPr="00C4382F">
        <w:rPr>
          <w:b/>
        </w:rPr>
        <w:t xml:space="preserve"> zaviedlo </w:t>
      </w:r>
      <w:r>
        <w:rPr>
          <w:b/>
        </w:rPr>
        <w:t>možnosť</w:t>
      </w:r>
      <w:r>
        <w:t xml:space="preserve"> </w:t>
      </w:r>
      <w:r>
        <w:rPr>
          <w:b/>
        </w:rPr>
        <w:t>n</w:t>
      </w:r>
      <w:r w:rsidRPr="00C4382F">
        <w:rPr>
          <w:b/>
        </w:rPr>
        <w:t xml:space="preserve">avýšenou sumou motivovať </w:t>
      </w:r>
      <w:r>
        <w:rPr>
          <w:b/>
        </w:rPr>
        <w:t>potenciálnych uchádzačov</w:t>
      </w:r>
      <w:r w:rsidRPr="00C4382F">
        <w:rPr>
          <w:b/>
        </w:rPr>
        <w:t xml:space="preserve"> na štúdium nedostatkových študijných programov</w:t>
      </w:r>
      <w:r>
        <w:rPr>
          <w:rStyle w:val="Odkaznapoznmkupodiarou"/>
        </w:rPr>
        <w:footnoteReference w:id="40"/>
      </w:r>
      <w:r w:rsidRPr="00A27B26">
        <w:rPr>
          <w:b/>
          <w:bCs/>
        </w:rPr>
        <w:t>.</w:t>
      </w:r>
      <w:r>
        <w:t xml:space="preserve"> </w:t>
      </w:r>
      <w:r w:rsidRPr="005F6754">
        <w:t>Náklady na 400 navýšených štipendií by za obdobie troch rokov bakalárskeho, resp. spojeného bakalárskeho a magisterského štúdia mali predstavovať 3 mil. eur</w:t>
      </w:r>
      <w:r w:rsidRPr="00F472FA">
        <w:t>.</w:t>
      </w:r>
      <w:r>
        <w:t xml:space="preserve"> </w:t>
      </w:r>
      <w:r w:rsidRPr="005F6754">
        <w:t>V prípade nedostatkových učiteľských a pedagogických smerov nemalo navýšené štipendium žiadny alebo len minimálny vplyv na záujem o štúdium</w:t>
      </w:r>
      <w:r w:rsidRPr="00F472FA">
        <w:t xml:space="preserve"> (grafy 58 a 59). Spomedzi podporených</w:t>
      </w:r>
      <w:r>
        <w:t xml:space="preserve"> v kategórii </w:t>
      </w:r>
      <w:r w:rsidRPr="008617F6">
        <w:rPr>
          <w:i/>
        </w:rPr>
        <w:t>najväčšie talenty</w:t>
      </w:r>
      <w:r>
        <w:t xml:space="preserve"> si nedostatkový učiteľský študijný program v roku 2024 vybralo 7</w:t>
      </w:r>
      <w:r w:rsidR="004035D7">
        <w:t>0 maturantov.</w:t>
      </w:r>
    </w:p>
    <w:tbl>
      <w:tblPr>
        <w:tblStyle w:val="Mriekatabuky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035D7" w:rsidRPr="00D40AB4" w14:paraId="4F96300C" w14:textId="77777777" w:rsidTr="00A37C1D">
        <w:trPr>
          <w:trHeight w:val="189"/>
        </w:trPr>
        <w:tc>
          <w:tcPr>
            <w:tcW w:w="2591" w:type="pct"/>
            <w:tcBorders>
              <w:bottom w:val="single" w:sz="4" w:space="0" w:color="314364"/>
            </w:tcBorders>
            <w:shd w:val="clear" w:color="auto" w:fill="auto"/>
          </w:tcPr>
          <w:p w14:paraId="1EEA8D95" w14:textId="77777777" w:rsidR="004035D7" w:rsidRPr="00D40AB4" w:rsidRDefault="004035D7" w:rsidP="00A37C1D">
            <w:pPr>
              <w:pStyle w:val="Popis"/>
              <w:keepNext/>
              <w:jc w:val="left"/>
              <w:rPr>
                <w:color w:val="314364"/>
              </w:rPr>
            </w:pPr>
            <w:r w:rsidRPr="00D40AB4">
              <w:rPr>
                <w:color w:val="314364"/>
              </w:rPr>
              <w:lastRenderedPageBreak/>
              <w:t>Graf</w:t>
            </w:r>
            <w:r>
              <w:rPr>
                <w:color w:val="314364"/>
              </w:rPr>
              <w:t xml:space="preserve"> 48: </w:t>
            </w:r>
            <w:r w:rsidRPr="00206A69">
              <w:t xml:space="preserve">Podporení študenti nedostatkových učiteľských študijných programov v rámci schémy </w:t>
            </w:r>
            <w:r w:rsidRPr="00206A69">
              <w:rPr>
                <w:i/>
              </w:rPr>
              <w:t>Študuj doma, Slovensko ťa odmení</w:t>
            </w:r>
            <w:r w:rsidRPr="00206A69">
              <w:t xml:space="preserve"> </w:t>
            </w:r>
          </w:p>
        </w:tc>
        <w:tc>
          <w:tcPr>
            <w:tcW w:w="2409" w:type="pct"/>
            <w:tcBorders>
              <w:bottom w:val="single" w:sz="4" w:space="0" w:color="314364"/>
            </w:tcBorders>
            <w:shd w:val="clear" w:color="auto" w:fill="auto"/>
          </w:tcPr>
          <w:p w14:paraId="274650CA" w14:textId="77777777" w:rsidR="004035D7" w:rsidRPr="00D40AB4" w:rsidRDefault="004035D7" w:rsidP="00A37C1D">
            <w:pPr>
              <w:pStyle w:val="Popis"/>
              <w:keepNext/>
              <w:ind w:left="8"/>
              <w:jc w:val="left"/>
              <w:rPr>
                <w:color w:val="314364"/>
              </w:rPr>
            </w:pPr>
            <w:r>
              <w:rPr>
                <w:color w:val="314364"/>
              </w:rPr>
              <w:t xml:space="preserve">Graf 49: </w:t>
            </w:r>
            <w:r w:rsidRPr="00206A69">
              <w:t xml:space="preserve">Podporení študenti nedostatkových pedagogických študijných programov v rámci schémy </w:t>
            </w:r>
            <w:r w:rsidRPr="00206A69">
              <w:rPr>
                <w:i/>
              </w:rPr>
              <w:t>Študuj doma, Slovensko ťa odmení</w:t>
            </w:r>
          </w:p>
        </w:tc>
      </w:tr>
      <w:tr w:rsidR="004035D7" w:rsidRPr="00402675" w14:paraId="754321F1" w14:textId="77777777" w:rsidTr="00A37C1D">
        <w:tblPrEx>
          <w:tblCellMar>
            <w:left w:w="70" w:type="dxa"/>
            <w:right w:w="70" w:type="dxa"/>
          </w:tblCellMar>
        </w:tblPrEx>
        <w:trPr>
          <w:trHeight w:val="3402"/>
        </w:trPr>
        <w:tc>
          <w:tcPr>
            <w:tcW w:w="2591" w:type="pct"/>
            <w:tcBorders>
              <w:top w:val="single" w:sz="4" w:space="0" w:color="314364"/>
              <w:bottom w:val="single" w:sz="4" w:space="0" w:color="auto"/>
            </w:tcBorders>
            <w:vAlign w:val="center"/>
          </w:tcPr>
          <w:p w14:paraId="4FBE0DF5" w14:textId="77777777" w:rsidR="004035D7" w:rsidRPr="00402675" w:rsidRDefault="004035D7" w:rsidP="00A37C1D">
            <w:pPr>
              <w:spacing w:after="0"/>
              <w:jc w:val="left"/>
              <w:rPr>
                <w:rFonts w:cs="Segoe UI"/>
                <w:b/>
                <w:szCs w:val="20"/>
              </w:rPr>
            </w:pPr>
            <w:r>
              <w:rPr>
                <w:noProof/>
                <w:lang w:eastAsia="sk-SK"/>
              </w:rPr>
              <w:drawing>
                <wp:inline distT="0" distB="0" distL="0" distR="0" wp14:anchorId="0D8DE605" wp14:editId="3A02EF9E">
                  <wp:extent cx="2880000" cy="2160000"/>
                  <wp:effectExtent l="0" t="0" r="0" b="0"/>
                  <wp:docPr id="24" name="Graf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2409" w:type="pct"/>
            <w:tcBorders>
              <w:top w:val="single" w:sz="4" w:space="0" w:color="314364"/>
              <w:bottom w:val="single" w:sz="4" w:space="0" w:color="auto"/>
            </w:tcBorders>
            <w:vAlign w:val="center"/>
          </w:tcPr>
          <w:p w14:paraId="492A426D" w14:textId="77777777" w:rsidR="004035D7" w:rsidRPr="00402675" w:rsidRDefault="004035D7" w:rsidP="00A37C1D">
            <w:pPr>
              <w:spacing w:after="0"/>
              <w:jc w:val="left"/>
              <w:rPr>
                <w:rFonts w:cs="Segoe UI"/>
                <w:b/>
                <w:szCs w:val="20"/>
              </w:rPr>
            </w:pPr>
            <w:r>
              <w:rPr>
                <w:noProof/>
                <w:lang w:eastAsia="sk-SK"/>
              </w:rPr>
              <w:drawing>
                <wp:inline distT="0" distB="0" distL="0" distR="0" wp14:anchorId="7163B379" wp14:editId="1DAF42DD">
                  <wp:extent cx="2880000" cy="2160000"/>
                  <wp:effectExtent l="0" t="0" r="0" b="0"/>
                  <wp:docPr id="26" name="Graf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4035D7" w14:paraId="3662F641" w14:textId="77777777" w:rsidTr="00A37C1D">
        <w:tblPrEx>
          <w:tblCellMar>
            <w:left w:w="70" w:type="dxa"/>
            <w:right w:w="70" w:type="dxa"/>
          </w:tblCellMar>
        </w:tblPrEx>
        <w:trPr>
          <w:trHeight w:val="170"/>
        </w:trPr>
        <w:tc>
          <w:tcPr>
            <w:tcW w:w="2591" w:type="pct"/>
            <w:tcBorders>
              <w:top w:val="single" w:sz="4" w:space="0" w:color="auto"/>
            </w:tcBorders>
          </w:tcPr>
          <w:p w14:paraId="2B7A0C4B" w14:textId="77777777" w:rsidR="004035D7" w:rsidRDefault="004035D7" w:rsidP="00A37C1D">
            <w:pPr>
              <w:pStyle w:val="Zdroj"/>
              <w:spacing w:after="0"/>
            </w:pPr>
            <w:r>
              <w:t xml:space="preserve">Zdroj: </w:t>
            </w:r>
            <w:r w:rsidRPr="00D4456E">
              <w:t>MŠVVM SR; výpočty a spracovanie NKÚ SR.</w:t>
            </w:r>
          </w:p>
        </w:tc>
        <w:tc>
          <w:tcPr>
            <w:tcW w:w="2409" w:type="pct"/>
            <w:tcBorders>
              <w:top w:val="single" w:sz="4" w:space="0" w:color="auto"/>
            </w:tcBorders>
          </w:tcPr>
          <w:p w14:paraId="043668E6" w14:textId="77777777" w:rsidR="004035D7" w:rsidRDefault="004035D7" w:rsidP="00A37C1D">
            <w:pPr>
              <w:pStyle w:val="Zdroj"/>
              <w:spacing w:after="0"/>
            </w:pPr>
            <w:r>
              <w:t xml:space="preserve">Zdroj: </w:t>
            </w:r>
            <w:r w:rsidRPr="00D4456E">
              <w:t>MŠVVM SR; výpočty a spracovanie NKÚ SR.</w:t>
            </w:r>
          </w:p>
        </w:tc>
      </w:tr>
    </w:tbl>
    <w:p w14:paraId="290B93BC" w14:textId="1026EC06" w:rsidR="00643864" w:rsidRDefault="00643864" w:rsidP="007D5158">
      <w:pPr>
        <w:spacing w:before="120" w:after="0"/>
      </w:pPr>
      <w:r>
        <w:rPr>
          <w:b/>
        </w:rPr>
        <w:t>V </w:t>
      </w:r>
      <w:r w:rsidRPr="0053164B">
        <w:rPr>
          <w:b/>
        </w:rPr>
        <w:t>prípade</w:t>
      </w:r>
      <w:r>
        <w:rPr>
          <w:b/>
        </w:rPr>
        <w:t xml:space="preserve"> nedostatkových</w:t>
      </w:r>
      <w:r w:rsidRPr="0053164B">
        <w:rPr>
          <w:b/>
        </w:rPr>
        <w:t xml:space="preserve"> učiteľských</w:t>
      </w:r>
      <w:r>
        <w:rPr>
          <w:b/>
        </w:rPr>
        <w:t xml:space="preserve"> a pedagogických</w:t>
      </w:r>
      <w:r w:rsidRPr="0053164B">
        <w:rPr>
          <w:b/>
        </w:rPr>
        <w:t xml:space="preserve"> smerov nemalo navýšené štipendium žiadny alebo len minimálny vplyv na záujem o </w:t>
      </w:r>
      <w:r w:rsidRPr="008F1E55">
        <w:rPr>
          <w:b/>
        </w:rPr>
        <w:t>štúdium</w:t>
      </w:r>
      <w:r w:rsidRPr="008F1E55">
        <w:t xml:space="preserve"> </w:t>
      </w:r>
      <w:r w:rsidRPr="0004161F">
        <w:t xml:space="preserve">(grafy </w:t>
      </w:r>
      <w:r w:rsidR="009E651C">
        <w:t>4</w:t>
      </w:r>
      <w:r w:rsidR="00F02BB9">
        <w:t>8</w:t>
      </w:r>
      <w:r w:rsidRPr="0004161F">
        <w:t xml:space="preserve"> a </w:t>
      </w:r>
      <w:r w:rsidR="009E651C">
        <w:t>4</w:t>
      </w:r>
      <w:r w:rsidR="00F02BB9">
        <w:t>9</w:t>
      </w:r>
      <w:r w:rsidRPr="0004161F">
        <w:t>)</w:t>
      </w:r>
      <w:r w:rsidRPr="00A27B26">
        <w:rPr>
          <w:b/>
          <w:bCs/>
        </w:rPr>
        <w:t>.</w:t>
      </w:r>
      <w:r w:rsidRPr="008F1E55">
        <w:t xml:space="preserve"> Spomedzi</w:t>
      </w:r>
      <w:r>
        <w:t xml:space="preserve"> podporených v kategórii </w:t>
      </w:r>
      <w:r w:rsidRPr="008617F6">
        <w:rPr>
          <w:i/>
        </w:rPr>
        <w:t>najväčšie talenty</w:t>
      </w:r>
      <w:r>
        <w:t xml:space="preserve"> si nedostatkový učiteľský študijný program v roku 2024 vybralo 70 maturantov. Je to síce o 10 maturantov viac ako v predchádzajúcom roku, ale o 11 menej ako v roku 2022.</w:t>
      </w:r>
      <w:r>
        <w:rPr>
          <w:rStyle w:val="Odkaznapoznmkupodiarou"/>
        </w:rPr>
        <w:footnoteReference w:id="41"/>
      </w:r>
      <w:r>
        <w:t xml:space="preserve"> Nedostatkový pedagogický</w:t>
      </w:r>
      <w:r w:rsidRPr="0057507C">
        <w:t xml:space="preserve"> </w:t>
      </w:r>
      <w:r>
        <w:t xml:space="preserve">študijný program si spomedzi najväčších talentov v roku 2024 vybralo osem maturantov, čo je o jedného viac ako v predchádzajúcom roku. Všetci ôsmi si vybrali študijný program </w:t>
      </w:r>
      <w:r w:rsidRPr="00E1105E">
        <w:rPr>
          <w:i/>
        </w:rPr>
        <w:t>predškolská a elementárna pedagogika</w:t>
      </w:r>
      <w:r>
        <w:t>. Zvyšné tri nedostatkové pedagogické študijné programy zostali v tejto kategórii bez štipendistov.</w:t>
      </w:r>
    </w:p>
    <w:p w14:paraId="386B4D1A" w14:textId="13939E93" w:rsidR="00B92738" w:rsidRDefault="00B92738" w:rsidP="00B92738">
      <w:pPr>
        <w:pStyle w:val="Nadpis2"/>
        <w:rPr>
          <w:color w:val="314364" w:themeColor="text2"/>
        </w:rPr>
      </w:pPr>
      <w:bookmarkStart w:id="63" w:name="_Toc198637741"/>
      <w:r>
        <w:rPr>
          <w:color w:val="314364" w:themeColor="text2"/>
        </w:rPr>
        <w:t xml:space="preserve">5.4 </w:t>
      </w:r>
      <w:r w:rsidRPr="00523D20">
        <w:rPr>
          <w:color w:val="314364" w:themeColor="text2"/>
        </w:rPr>
        <w:t xml:space="preserve"> </w:t>
      </w:r>
      <w:r>
        <w:rPr>
          <w:color w:val="314364" w:themeColor="text2"/>
        </w:rPr>
        <w:t>Obrana</w:t>
      </w:r>
      <w:bookmarkEnd w:id="63"/>
    </w:p>
    <w:p w14:paraId="77BDC40B" w14:textId="3D81CA49" w:rsidR="0047384C" w:rsidRDefault="000C0793" w:rsidP="0047384C">
      <w:pPr>
        <w:rPr>
          <w:rFonts w:cs="Segoe UI"/>
          <w:noProof/>
          <w:szCs w:val="20"/>
        </w:rPr>
      </w:pPr>
      <w:r>
        <w:rPr>
          <w:rFonts w:cs="Segoe UI"/>
          <w:b/>
          <w:bCs/>
          <w:noProof/>
          <w:szCs w:val="20"/>
        </w:rPr>
        <w:t>S</w:t>
      </w:r>
      <w:r w:rsidRPr="000C0793">
        <w:rPr>
          <w:rFonts w:cs="Segoe UI"/>
          <w:b/>
          <w:bCs/>
          <w:noProof/>
          <w:szCs w:val="20"/>
        </w:rPr>
        <w:t>kutočn</w:t>
      </w:r>
      <w:r>
        <w:rPr>
          <w:rFonts w:cs="Segoe UI"/>
          <w:b/>
          <w:bCs/>
          <w:noProof/>
          <w:szCs w:val="20"/>
        </w:rPr>
        <w:t>é</w:t>
      </w:r>
      <w:r w:rsidRPr="000C0793">
        <w:rPr>
          <w:rFonts w:cs="Segoe UI"/>
          <w:b/>
          <w:bCs/>
          <w:noProof/>
          <w:szCs w:val="20"/>
        </w:rPr>
        <w:t xml:space="preserve"> výdavk</w:t>
      </w:r>
      <w:r>
        <w:rPr>
          <w:rFonts w:cs="Segoe UI"/>
          <w:b/>
          <w:bCs/>
          <w:noProof/>
          <w:szCs w:val="20"/>
        </w:rPr>
        <w:t>y</w:t>
      </w:r>
      <w:r w:rsidRPr="000C0793">
        <w:rPr>
          <w:rFonts w:cs="Segoe UI"/>
          <w:b/>
          <w:bCs/>
          <w:noProof/>
          <w:szCs w:val="20"/>
        </w:rPr>
        <w:t xml:space="preserve"> na obranu </w:t>
      </w:r>
      <w:r>
        <w:rPr>
          <w:rFonts w:cs="Segoe UI"/>
          <w:b/>
          <w:bCs/>
          <w:noProof/>
          <w:szCs w:val="20"/>
        </w:rPr>
        <w:t xml:space="preserve">v roku 2024 </w:t>
      </w:r>
      <w:r w:rsidR="00152634">
        <w:rPr>
          <w:rFonts w:cs="Segoe UI"/>
          <w:b/>
          <w:bCs/>
          <w:noProof/>
          <w:szCs w:val="20"/>
        </w:rPr>
        <w:t>vzrástli medziročne o 20,7 %, čo predstavovalo</w:t>
      </w:r>
      <w:r>
        <w:rPr>
          <w:rFonts w:cs="Segoe UI"/>
          <w:b/>
          <w:bCs/>
          <w:noProof/>
          <w:szCs w:val="20"/>
        </w:rPr>
        <w:t xml:space="preserve"> najvyšší medziročný rast </w:t>
      </w:r>
      <w:r w:rsidRPr="000C0793">
        <w:rPr>
          <w:rFonts w:cs="Segoe UI"/>
          <w:b/>
          <w:bCs/>
          <w:noProof/>
          <w:szCs w:val="20"/>
        </w:rPr>
        <w:t>za posledných päť rokov</w:t>
      </w:r>
      <w:r w:rsidR="006B1737">
        <w:rPr>
          <w:rFonts w:cs="Segoe UI"/>
          <w:b/>
          <w:bCs/>
          <w:noProof/>
          <w:szCs w:val="20"/>
        </w:rPr>
        <w:t>.</w:t>
      </w:r>
      <w:r>
        <w:rPr>
          <w:rFonts w:cs="Segoe UI"/>
          <w:b/>
          <w:bCs/>
          <w:noProof/>
          <w:szCs w:val="20"/>
        </w:rPr>
        <w:t xml:space="preserve"> </w:t>
      </w:r>
      <w:r w:rsidR="006B1737">
        <w:rPr>
          <w:rFonts w:cs="Segoe UI"/>
          <w:b/>
          <w:bCs/>
          <w:noProof/>
          <w:szCs w:val="20"/>
        </w:rPr>
        <w:t>I</w:t>
      </w:r>
      <w:r w:rsidR="00152634">
        <w:rPr>
          <w:rFonts w:cs="Segoe UI"/>
          <w:b/>
          <w:bCs/>
          <w:noProof/>
          <w:szCs w:val="20"/>
        </w:rPr>
        <w:t>šlo o výdavky v objeme</w:t>
      </w:r>
      <w:r>
        <w:rPr>
          <w:rFonts w:cs="Segoe UI"/>
          <w:b/>
          <w:bCs/>
          <w:noProof/>
          <w:szCs w:val="20"/>
        </w:rPr>
        <w:t xml:space="preserve"> </w:t>
      </w:r>
      <w:r w:rsidRPr="000C0793">
        <w:rPr>
          <w:rFonts w:cs="Segoe UI"/>
          <w:b/>
          <w:bCs/>
          <w:noProof/>
          <w:szCs w:val="20"/>
        </w:rPr>
        <w:t>2,57 mld. eur s 1,98 % podielom na HDP</w:t>
      </w:r>
      <w:r w:rsidRPr="00EF538E">
        <w:rPr>
          <w:rFonts w:cs="Segoe UI"/>
          <w:bCs/>
          <w:noProof/>
          <w:szCs w:val="20"/>
        </w:rPr>
        <w:t xml:space="preserve"> </w:t>
      </w:r>
      <w:r w:rsidRPr="004C26D9">
        <w:rPr>
          <w:rFonts w:cs="Segoe UI"/>
          <w:noProof/>
          <w:szCs w:val="20"/>
        </w:rPr>
        <w:t xml:space="preserve">(tabuľka </w:t>
      </w:r>
      <w:r w:rsidR="00EB018B">
        <w:rPr>
          <w:rFonts w:cs="Segoe UI"/>
          <w:noProof/>
          <w:szCs w:val="20"/>
        </w:rPr>
        <w:t>22</w:t>
      </w:r>
      <w:r w:rsidRPr="004C26D9">
        <w:rPr>
          <w:rFonts w:cs="Segoe UI"/>
          <w:noProof/>
          <w:szCs w:val="20"/>
        </w:rPr>
        <w:t>)</w:t>
      </w:r>
      <w:r w:rsidRPr="000C0793">
        <w:rPr>
          <w:rFonts w:cs="Segoe UI"/>
          <w:b/>
          <w:noProof/>
          <w:szCs w:val="20"/>
        </w:rPr>
        <w:t>.</w:t>
      </w:r>
      <w:r>
        <w:rPr>
          <w:rFonts w:cs="Segoe UI"/>
          <w:b/>
          <w:bCs/>
          <w:noProof/>
          <w:szCs w:val="20"/>
        </w:rPr>
        <w:t xml:space="preserve"> </w:t>
      </w:r>
      <w:r w:rsidR="0047384C">
        <w:rPr>
          <w:rFonts w:cs="Segoe UI"/>
          <w:bCs/>
          <w:noProof/>
          <w:szCs w:val="20"/>
        </w:rPr>
        <w:t>Nárast výdavkov ovplyvnili n</w:t>
      </w:r>
      <w:r w:rsidR="0047384C" w:rsidRPr="00B54BD4">
        <w:rPr>
          <w:rFonts w:cs="Segoe UI"/>
          <w:noProof/>
          <w:szCs w:val="20"/>
        </w:rPr>
        <w:t>ajmä záväzky v rámci NATO</w:t>
      </w:r>
      <w:r w:rsidR="0047384C">
        <w:rPr>
          <w:rFonts w:cs="Segoe UI"/>
          <w:noProof/>
          <w:szCs w:val="20"/>
        </w:rPr>
        <w:t xml:space="preserve"> a</w:t>
      </w:r>
      <w:r w:rsidR="0047384C" w:rsidRPr="00B54BD4">
        <w:rPr>
          <w:rFonts w:cs="Segoe UI"/>
          <w:noProof/>
          <w:szCs w:val="20"/>
        </w:rPr>
        <w:t xml:space="preserve"> významné zhoršenie bezpečnostného prostredia vrátane pokr</w:t>
      </w:r>
      <w:r w:rsidR="0047384C">
        <w:rPr>
          <w:rFonts w:cs="Segoe UI"/>
          <w:noProof/>
          <w:szCs w:val="20"/>
        </w:rPr>
        <w:t>ačujúceho konfliktu na Ukrajine.</w:t>
      </w:r>
    </w:p>
    <w:p w14:paraId="39646B5E" w14:textId="05902350" w:rsidR="001734A5" w:rsidRDefault="001734A5" w:rsidP="001734A5">
      <w:pPr>
        <w:pStyle w:val="Popis"/>
        <w:keepNext/>
      </w:pPr>
      <w:r w:rsidRPr="00EA4CBA">
        <w:t xml:space="preserve">Tabuľka </w:t>
      </w:r>
      <w:r w:rsidR="00EB018B">
        <w:t>22</w:t>
      </w:r>
      <w:r>
        <w:t xml:space="preserve">: </w:t>
      </w:r>
      <w:r w:rsidRPr="0056720E">
        <w:t>Výsledok rozpočtového hospodárenia kapitoly</w:t>
      </w:r>
      <w:r w:rsidRPr="00F45896">
        <w:t xml:space="preserve"> </w:t>
      </w:r>
      <w:r>
        <w:t>(</w:t>
      </w:r>
      <w:r w:rsidRPr="00A8009D">
        <w:t>v eur</w:t>
      </w:r>
      <w:r>
        <w:t>ách)</w:t>
      </w:r>
    </w:p>
    <w:tbl>
      <w:tblPr>
        <w:tblW w:w="5000" w:type="pct"/>
        <w:tblBorders>
          <w:bottom w:val="single" w:sz="4" w:space="0" w:color="314364" w:themeColor="text2"/>
        </w:tblBorders>
        <w:tblLayout w:type="fixed"/>
        <w:tblCellMar>
          <w:left w:w="70" w:type="dxa"/>
          <w:right w:w="70" w:type="dxa"/>
        </w:tblCellMar>
        <w:tblLook w:val="04A0" w:firstRow="1" w:lastRow="0" w:firstColumn="1" w:lastColumn="0" w:noHBand="0" w:noVBand="1"/>
      </w:tblPr>
      <w:tblGrid>
        <w:gridCol w:w="2613"/>
        <w:gridCol w:w="1782"/>
        <w:gridCol w:w="1560"/>
        <w:gridCol w:w="1560"/>
        <w:gridCol w:w="1555"/>
      </w:tblGrid>
      <w:tr w:rsidR="001734A5" w:rsidRPr="001D7BD8" w14:paraId="33940B69" w14:textId="77777777" w:rsidTr="003D11A6">
        <w:trPr>
          <w:trHeight w:val="283"/>
        </w:trPr>
        <w:tc>
          <w:tcPr>
            <w:tcW w:w="1440" w:type="pct"/>
            <w:shd w:val="clear" w:color="auto" w:fill="314364"/>
            <w:noWrap/>
            <w:vAlign w:val="center"/>
          </w:tcPr>
          <w:p w14:paraId="5C77C6BE" w14:textId="77777777" w:rsidR="001734A5" w:rsidRPr="003D11A6" w:rsidRDefault="001734A5" w:rsidP="003D11A6">
            <w:pPr>
              <w:spacing w:after="0" w:line="240" w:lineRule="auto"/>
              <w:jc w:val="left"/>
              <w:rPr>
                <w:rFonts w:eastAsia="Times New Roman" w:cs="Segoe UI"/>
                <w:b/>
                <w:color w:val="FFFFFF"/>
                <w:sz w:val="18"/>
                <w:szCs w:val="18"/>
                <w:lang w:eastAsia="sk-SK"/>
              </w:rPr>
            </w:pPr>
            <w:r w:rsidRPr="003D11A6">
              <w:rPr>
                <w:rFonts w:eastAsia="Times New Roman" w:cs="Segoe UI"/>
                <w:b/>
                <w:color w:val="FFFFFF"/>
                <w:sz w:val="18"/>
                <w:szCs w:val="18"/>
                <w:lang w:eastAsia="sk-SK"/>
              </w:rPr>
              <w:t>MO SR 2024</w:t>
            </w:r>
          </w:p>
        </w:tc>
        <w:tc>
          <w:tcPr>
            <w:tcW w:w="982" w:type="pct"/>
            <w:shd w:val="clear" w:color="auto" w:fill="314364"/>
            <w:noWrap/>
            <w:vAlign w:val="center"/>
          </w:tcPr>
          <w:p w14:paraId="7A105FCE" w14:textId="77777777" w:rsidR="001734A5" w:rsidRPr="003D11A6" w:rsidRDefault="001734A5">
            <w:pPr>
              <w:spacing w:after="0" w:line="240" w:lineRule="auto"/>
              <w:jc w:val="right"/>
              <w:rPr>
                <w:rFonts w:eastAsia="Times New Roman" w:cs="Segoe UI"/>
                <w:b/>
                <w:color w:val="FFFFFF"/>
                <w:sz w:val="18"/>
                <w:szCs w:val="18"/>
                <w:lang w:eastAsia="sk-SK"/>
              </w:rPr>
            </w:pPr>
            <w:r w:rsidRPr="003D11A6">
              <w:rPr>
                <w:rFonts w:eastAsia="Times New Roman" w:cs="Segoe UI"/>
                <w:b/>
                <w:color w:val="FFFFFF"/>
                <w:sz w:val="18"/>
                <w:szCs w:val="18"/>
                <w:lang w:eastAsia="sk-SK"/>
              </w:rPr>
              <w:t>2023 S</w:t>
            </w:r>
          </w:p>
        </w:tc>
        <w:tc>
          <w:tcPr>
            <w:tcW w:w="860" w:type="pct"/>
            <w:shd w:val="clear" w:color="auto" w:fill="314364"/>
            <w:noWrap/>
            <w:vAlign w:val="center"/>
          </w:tcPr>
          <w:p w14:paraId="61385A8B" w14:textId="77777777" w:rsidR="001734A5" w:rsidRPr="003D11A6" w:rsidRDefault="001734A5">
            <w:pPr>
              <w:spacing w:after="0" w:line="240" w:lineRule="auto"/>
              <w:jc w:val="right"/>
              <w:rPr>
                <w:rFonts w:eastAsia="Times New Roman" w:cs="Segoe UI"/>
                <w:b/>
                <w:color w:val="FFFFFF"/>
                <w:sz w:val="18"/>
                <w:szCs w:val="18"/>
                <w:lang w:eastAsia="sk-SK"/>
              </w:rPr>
            </w:pPr>
            <w:r w:rsidRPr="003D11A6">
              <w:rPr>
                <w:rFonts w:eastAsia="Times New Roman" w:cs="Segoe UI"/>
                <w:b/>
                <w:color w:val="FFFFFF"/>
                <w:sz w:val="18"/>
                <w:szCs w:val="18"/>
                <w:lang w:eastAsia="sk-SK"/>
              </w:rPr>
              <w:t>2024 R</w:t>
            </w:r>
          </w:p>
        </w:tc>
        <w:tc>
          <w:tcPr>
            <w:tcW w:w="860" w:type="pct"/>
            <w:shd w:val="clear" w:color="auto" w:fill="314364"/>
            <w:vAlign w:val="center"/>
          </w:tcPr>
          <w:p w14:paraId="49F67850" w14:textId="77777777" w:rsidR="001734A5" w:rsidRPr="003D11A6" w:rsidRDefault="001734A5">
            <w:pPr>
              <w:spacing w:after="0" w:line="240" w:lineRule="auto"/>
              <w:jc w:val="right"/>
              <w:rPr>
                <w:rFonts w:eastAsia="Times New Roman" w:cs="Segoe UI"/>
                <w:bCs/>
                <w:color w:val="FFFFFF"/>
                <w:sz w:val="18"/>
                <w:szCs w:val="18"/>
                <w:lang w:eastAsia="sk-SK"/>
              </w:rPr>
            </w:pPr>
            <w:r w:rsidRPr="003D11A6">
              <w:rPr>
                <w:rFonts w:eastAsia="Times New Roman" w:cs="Segoe UI"/>
                <w:b/>
                <w:color w:val="FFFFFF"/>
                <w:sz w:val="18"/>
                <w:szCs w:val="18"/>
                <w:lang w:eastAsia="sk-SK"/>
              </w:rPr>
              <w:t>2024 UR</w:t>
            </w:r>
          </w:p>
        </w:tc>
        <w:tc>
          <w:tcPr>
            <w:tcW w:w="857" w:type="pct"/>
            <w:shd w:val="clear" w:color="auto" w:fill="314364"/>
            <w:vAlign w:val="center"/>
          </w:tcPr>
          <w:p w14:paraId="0F726B88" w14:textId="77777777" w:rsidR="001734A5" w:rsidRPr="003D11A6" w:rsidRDefault="001734A5">
            <w:pPr>
              <w:spacing w:after="0" w:line="240" w:lineRule="auto"/>
              <w:jc w:val="right"/>
              <w:rPr>
                <w:rFonts w:eastAsia="Times New Roman" w:cs="Segoe UI"/>
                <w:b/>
                <w:color w:val="FFFFFF"/>
                <w:sz w:val="18"/>
                <w:szCs w:val="18"/>
                <w:lang w:eastAsia="sk-SK"/>
              </w:rPr>
            </w:pPr>
            <w:r w:rsidRPr="003D11A6">
              <w:rPr>
                <w:rFonts w:eastAsia="Times New Roman" w:cs="Segoe UI"/>
                <w:b/>
                <w:color w:val="FFFFFF"/>
                <w:sz w:val="18"/>
                <w:szCs w:val="18"/>
                <w:lang w:eastAsia="sk-SK"/>
              </w:rPr>
              <w:t>2024 S</w:t>
            </w:r>
          </w:p>
        </w:tc>
      </w:tr>
      <w:tr w:rsidR="001734A5" w:rsidRPr="001D7BD8" w14:paraId="2F4B29D2" w14:textId="77777777" w:rsidTr="003D11A6">
        <w:trPr>
          <w:trHeight w:val="283"/>
        </w:trPr>
        <w:tc>
          <w:tcPr>
            <w:tcW w:w="1440" w:type="pct"/>
            <w:tcBorders>
              <w:right w:val="nil"/>
            </w:tcBorders>
            <w:shd w:val="clear" w:color="auto" w:fill="auto"/>
            <w:noWrap/>
            <w:vAlign w:val="center"/>
          </w:tcPr>
          <w:p w14:paraId="51868E2A" w14:textId="77777777" w:rsidR="001734A5" w:rsidRPr="003D11A6" w:rsidRDefault="001734A5" w:rsidP="003D11A6">
            <w:pPr>
              <w:spacing w:after="0" w:line="240" w:lineRule="auto"/>
              <w:jc w:val="left"/>
              <w:rPr>
                <w:rFonts w:cs="Segoe UI"/>
                <w:b/>
                <w:bCs/>
                <w:sz w:val="18"/>
                <w:szCs w:val="18"/>
              </w:rPr>
            </w:pPr>
            <w:r w:rsidRPr="003D11A6">
              <w:rPr>
                <w:rFonts w:cs="Segoe UI"/>
                <w:b/>
                <w:bCs/>
                <w:sz w:val="18"/>
                <w:szCs w:val="18"/>
              </w:rPr>
              <w:t>Príjmy spolu</w:t>
            </w:r>
          </w:p>
        </w:tc>
        <w:tc>
          <w:tcPr>
            <w:tcW w:w="982" w:type="pct"/>
            <w:tcBorders>
              <w:top w:val="nil"/>
              <w:left w:val="nil"/>
              <w:bottom w:val="nil"/>
              <w:right w:val="nil"/>
            </w:tcBorders>
            <w:shd w:val="clear" w:color="auto" w:fill="auto"/>
            <w:noWrap/>
            <w:vAlign w:val="center"/>
          </w:tcPr>
          <w:p w14:paraId="3208C4FD" w14:textId="77777777" w:rsidR="001734A5" w:rsidRPr="003D11A6" w:rsidRDefault="001734A5">
            <w:pPr>
              <w:spacing w:after="0" w:line="240" w:lineRule="auto"/>
              <w:jc w:val="right"/>
              <w:rPr>
                <w:rFonts w:cs="Segoe UI"/>
                <w:b/>
                <w:bCs/>
                <w:sz w:val="18"/>
                <w:szCs w:val="18"/>
              </w:rPr>
            </w:pPr>
            <w:r w:rsidRPr="003D11A6">
              <w:rPr>
                <w:b/>
                <w:bCs/>
                <w:sz w:val="18"/>
                <w:szCs w:val="18"/>
              </w:rPr>
              <w:t>56 240 739</w:t>
            </w:r>
          </w:p>
        </w:tc>
        <w:tc>
          <w:tcPr>
            <w:tcW w:w="860" w:type="pct"/>
            <w:tcBorders>
              <w:top w:val="nil"/>
              <w:left w:val="nil"/>
              <w:bottom w:val="nil"/>
              <w:right w:val="nil"/>
            </w:tcBorders>
            <w:shd w:val="clear" w:color="auto" w:fill="auto"/>
            <w:noWrap/>
            <w:vAlign w:val="center"/>
          </w:tcPr>
          <w:p w14:paraId="1579EEB0" w14:textId="77777777" w:rsidR="001734A5" w:rsidRPr="003D11A6" w:rsidRDefault="001734A5">
            <w:pPr>
              <w:spacing w:after="0" w:line="240" w:lineRule="auto"/>
              <w:jc w:val="right"/>
              <w:rPr>
                <w:rFonts w:cs="Segoe UI"/>
                <w:b/>
                <w:bCs/>
                <w:sz w:val="18"/>
                <w:szCs w:val="18"/>
              </w:rPr>
            </w:pPr>
            <w:r w:rsidRPr="003D11A6">
              <w:rPr>
                <w:b/>
                <w:bCs/>
                <w:sz w:val="18"/>
                <w:szCs w:val="18"/>
              </w:rPr>
              <w:t>16 367 802</w:t>
            </w:r>
          </w:p>
        </w:tc>
        <w:tc>
          <w:tcPr>
            <w:tcW w:w="860" w:type="pct"/>
            <w:tcBorders>
              <w:top w:val="nil"/>
              <w:left w:val="nil"/>
              <w:bottom w:val="nil"/>
              <w:right w:val="nil"/>
            </w:tcBorders>
            <w:vAlign w:val="center"/>
          </w:tcPr>
          <w:p w14:paraId="01C68213" w14:textId="77777777" w:rsidR="001734A5" w:rsidRPr="003D11A6" w:rsidRDefault="001734A5">
            <w:pPr>
              <w:spacing w:after="0" w:line="240" w:lineRule="auto"/>
              <w:jc w:val="right"/>
              <w:rPr>
                <w:rFonts w:cs="Segoe UI"/>
                <w:b/>
                <w:bCs/>
                <w:sz w:val="18"/>
                <w:szCs w:val="18"/>
              </w:rPr>
            </w:pPr>
            <w:r w:rsidRPr="003D11A6">
              <w:rPr>
                <w:b/>
                <w:bCs/>
                <w:sz w:val="18"/>
                <w:szCs w:val="18"/>
              </w:rPr>
              <w:t>16 370 156</w:t>
            </w:r>
          </w:p>
        </w:tc>
        <w:tc>
          <w:tcPr>
            <w:tcW w:w="857" w:type="pct"/>
            <w:tcBorders>
              <w:top w:val="nil"/>
              <w:left w:val="nil"/>
              <w:bottom w:val="nil"/>
              <w:right w:val="nil"/>
            </w:tcBorders>
            <w:vAlign w:val="center"/>
          </w:tcPr>
          <w:p w14:paraId="3778C5DB" w14:textId="77777777" w:rsidR="001734A5" w:rsidRPr="003D11A6" w:rsidRDefault="001734A5">
            <w:pPr>
              <w:spacing w:after="0" w:line="240" w:lineRule="auto"/>
              <w:jc w:val="right"/>
              <w:rPr>
                <w:rFonts w:cs="Segoe UI"/>
                <w:b/>
                <w:bCs/>
                <w:sz w:val="18"/>
                <w:szCs w:val="18"/>
              </w:rPr>
            </w:pPr>
            <w:r w:rsidRPr="003D11A6">
              <w:rPr>
                <w:b/>
                <w:bCs/>
                <w:sz w:val="18"/>
                <w:szCs w:val="18"/>
              </w:rPr>
              <w:t>26 973 839</w:t>
            </w:r>
          </w:p>
        </w:tc>
      </w:tr>
      <w:tr w:rsidR="001734A5" w:rsidRPr="001D7BD8" w14:paraId="2AC4E42E" w14:textId="77777777" w:rsidTr="003D11A6">
        <w:trPr>
          <w:trHeight w:val="283"/>
        </w:trPr>
        <w:tc>
          <w:tcPr>
            <w:tcW w:w="1440" w:type="pct"/>
            <w:tcBorders>
              <w:right w:val="nil"/>
            </w:tcBorders>
            <w:shd w:val="clear" w:color="auto" w:fill="auto"/>
            <w:noWrap/>
            <w:vAlign w:val="center"/>
          </w:tcPr>
          <w:p w14:paraId="71901DCD" w14:textId="77777777" w:rsidR="001734A5" w:rsidRPr="003D11A6" w:rsidRDefault="001734A5" w:rsidP="003D11A6">
            <w:pPr>
              <w:spacing w:after="0" w:line="240" w:lineRule="auto"/>
              <w:jc w:val="left"/>
              <w:rPr>
                <w:rFonts w:cs="Segoe UI"/>
                <w:sz w:val="18"/>
                <w:szCs w:val="18"/>
              </w:rPr>
            </w:pPr>
            <w:r w:rsidRPr="003D11A6">
              <w:rPr>
                <w:rFonts w:cs="Segoe UI"/>
                <w:sz w:val="18"/>
                <w:szCs w:val="18"/>
              </w:rPr>
              <w:t>z toho: prijaté z rozpočtu EÚ</w:t>
            </w:r>
          </w:p>
        </w:tc>
        <w:tc>
          <w:tcPr>
            <w:tcW w:w="982" w:type="pct"/>
            <w:tcBorders>
              <w:top w:val="nil"/>
              <w:left w:val="nil"/>
              <w:bottom w:val="nil"/>
              <w:right w:val="nil"/>
            </w:tcBorders>
            <w:shd w:val="clear" w:color="auto" w:fill="auto"/>
            <w:noWrap/>
            <w:vAlign w:val="center"/>
          </w:tcPr>
          <w:p w14:paraId="40D42A5F" w14:textId="77777777" w:rsidR="001734A5" w:rsidRPr="003D11A6" w:rsidRDefault="001734A5">
            <w:pPr>
              <w:spacing w:after="0" w:line="240" w:lineRule="auto"/>
              <w:jc w:val="right"/>
              <w:rPr>
                <w:rFonts w:cs="Segoe UI"/>
                <w:sz w:val="18"/>
                <w:szCs w:val="18"/>
              </w:rPr>
            </w:pPr>
          </w:p>
        </w:tc>
        <w:tc>
          <w:tcPr>
            <w:tcW w:w="860" w:type="pct"/>
            <w:tcBorders>
              <w:top w:val="nil"/>
              <w:left w:val="nil"/>
              <w:bottom w:val="nil"/>
              <w:right w:val="nil"/>
            </w:tcBorders>
            <w:shd w:val="clear" w:color="auto" w:fill="auto"/>
            <w:noWrap/>
            <w:vAlign w:val="center"/>
          </w:tcPr>
          <w:p w14:paraId="266A63BE" w14:textId="77777777" w:rsidR="001734A5" w:rsidRPr="003D11A6" w:rsidRDefault="001734A5">
            <w:pPr>
              <w:spacing w:after="0" w:line="240" w:lineRule="auto"/>
              <w:jc w:val="right"/>
              <w:rPr>
                <w:rFonts w:cs="Segoe UI"/>
                <w:sz w:val="18"/>
                <w:szCs w:val="18"/>
              </w:rPr>
            </w:pPr>
          </w:p>
        </w:tc>
        <w:tc>
          <w:tcPr>
            <w:tcW w:w="860" w:type="pct"/>
            <w:tcBorders>
              <w:top w:val="nil"/>
              <w:left w:val="nil"/>
              <w:bottom w:val="nil"/>
              <w:right w:val="nil"/>
            </w:tcBorders>
            <w:vAlign w:val="center"/>
          </w:tcPr>
          <w:p w14:paraId="5A8132B5" w14:textId="77777777" w:rsidR="001734A5" w:rsidRPr="003D11A6" w:rsidRDefault="001734A5">
            <w:pPr>
              <w:spacing w:after="0" w:line="240" w:lineRule="auto"/>
              <w:jc w:val="right"/>
              <w:rPr>
                <w:rFonts w:cs="Segoe UI"/>
                <w:bCs/>
                <w:sz w:val="18"/>
                <w:szCs w:val="18"/>
              </w:rPr>
            </w:pPr>
          </w:p>
        </w:tc>
        <w:tc>
          <w:tcPr>
            <w:tcW w:w="857" w:type="pct"/>
            <w:tcBorders>
              <w:top w:val="nil"/>
              <w:left w:val="nil"/>
              <w:bottom w:val="nil"/>
              <w:right w:val="nil"/>
            </w:tcBorders>
            <w:vAlign w:val="center"/>
          </w:tcPr>
          <w:p w14:paraId="29833CEC" w14:textId="77777777" w:rsidR="001734A5" w:rsidRPr="003D11A6" w:rsidRDefault="001734A5">
            <w:pPr>
              <w:spacing w:after="0" w:line="240" w:lineRule="auto"/>
              <w:jc w:val="right"/>
              <w:rPr>
                <w:rFonts w:cs="Segoe UI"/>
                <w:sz w:val="18"/>
                <w:szCs w:val="18"/>
              </w:rPr>
            </w:pPr>
          </w:p>
        </w:tc>
      </w:tr>
      <w:tr w:rsidR="001734A5" w:rsidRPr="001D7BD8" w14:paraId="786050F5" w14:textId="77777777" w:rsidTr="003D11A6">
        <w:trPr>
          <w:trHeight w:val="283"/>
        </w:trPr>
        <w:tc>
          <w:tcPr>
            <w:tcW w:w="1440" w:type="pct"/>
            <w:tcBorders>
              <w:bottom w:val="nil"/>
              <w:right w:val="nil"/>
            </w:tcBorders>
            <w:shd w:val="clear" w:color="auto" w:fill="auto"/>
            <w:noWrap/>
            <w:vAlign w:val="center"/>
          </w:tcPr>
          <w:p w14:paraId="5E728643" w14:textId="77777777" w:rsidR="001734A5" w:rsidRPr="003D11A6" w:rsidRDefault="001734A5" w:rsidP="003D11A6">
            <w:pPr>
              <w:spacing w:after="0" w:line="240" w:lineRule="auto"/>
              <w:jc w:val="left"/>
              <w:rPr>
                <w:rFonts w:cs="Segoe UI"/>
                <w:b/>
                <w:bCs/>
                <w:sz w:val="18"/>
                <w:szCs w:val="18"/>
              </w:rPr>
            </w:pPr>
            <w:r w:rsidRPr="003D11A6">
              <w:rPr>
                <w:rFonts w:cs="Segoe UI"/>
                <w:b/>
                <w:bCs/>
                <w:sz w:val="18"/>
                <w:szCs w:val="18"/>
              </w:rPr>
              <w:t>Výdavky spolu</w:t>
            </w:r>
          </w:p>
        </w:tc>
        <w:tc>
          <w:tcPr>
            <w:tcW w:w="982" w:type="pct"/>
            <w:tcBorders>
              <w:top w:val="nil"/>
              <w:left w:val="nil"/>
              <w:bottom w:val="nil"/>
              <w:right w:val="nil"/>
            </w:tcBorders>
            <w:shd w:val="clear" w:color="auto" w:fill="auto"/>
            <w:noWrap/>
            <w:vAlign w:val="center"/>
          </w:tcPr>
          <w:p w14:paraId="6A95921A" w14:textId="77777777" w:rsidR="001734A5" w:rsidRPr="003D11A6" w:rsidRDefault="001734A5">
            <w:pPr>
              <w:spacing w:after="0" w:line="240" w:lineRule="auto"/>
              <w:jc w:val="right"/>
              <w:rPr>
                <w:rFonts w:cs="Segoe UI"/>
                <w:b/>
                <w:bCs/>
                <w:sz w:val="18"/>
                <w:szCs w:val="18"/>
              </w:rPr>
            </w:pPr>
            <w:r w:rsidRPr="003D11A6">
              <w:rPr>
                <w:b/>
                <w:bCs/>
                <w:sz w:val="18"/>
                <w:szCs w:val="18"/>
              </w:rPr>
              <w:t>2 133 300 160</w:t>
            </w:r>
          </w:p>
        </w:tc>
        <w:tc>
          <w:tcPr>
            <w:tcW w:w="860" w:type="pct"/>
            <w:tcBorders>
              <w:top w:val="nil"/>
              <w:left w:val="nil"/>
              <w:bottom w:val="nil"/>
              <w:right w:val="nil"/>
            </w:tcBorders>
            <w:shd w:val="clear" w:color="auto" w:fill="auto"/>
            <w:noWrap/>
            <w:vAlign w:val="center"/>
          </w:tcPr>
          <w:p w14:paraId="0712E084" w14:textId="77777777" w:rsidR="001734A5" w:rsidRPr="003D11A6" w:rsidRDefault="001734A5">
            <w:pPr>
              <w:spacing w:after="0" w:line="240" w:lineRule="auto"/>
              <w:jc w:val="right"/>
              <w:rPr>
                <w:rFonts w:cs="Segoe UI"/>
                <w:b/>
                <w:bCs/>
                <w:sz w:val="18"/>
                <w:szCs w:val="18"/>
              </w:rPr>
            </w:pPr>
            <w:r w:rsidRPr="003D11A6">
              <w:rPr>
                <w:b/>
                <w:bCs/>
                <w:sz w:val="18"/>
                <w:szCs w:val="18"/>
              </w:rPr>
              <w:t>2 609 207 616</w:t>
            </w:r>
          </w:p>
        </w:tc>
        <w:tc>
          <w:tcPr>
            <w:tcW w:w="860" w:type="pct"/>
            <w:tcBorders>
              <w:top w:val="nil"/>
              <w:left w:val="nil"/>
              <w:bottom w:val="nil"/>
              <w:right w:val="nil"/>
            </w:tcBorders>
            <w:vAlign w:val="center"/>
          </w:tcPr>
          <w:p w14:paraId="7A3BDF19" w14:textId="77777777" w:rsidR="001734A5" w:rsidRPr="003D11A6" w:rsidRDefault="001734A5">
            <w:pPr>
              <w:spacing w:after="0" w:line="240" w:lineRule="auto"/>
              <w:jc w:val="right"/>
              <w:rPr>
                <w:rFonts w:cs="Segoe UI"/>
                <w:b/>
                <w:bCs/>
                <w:sz w:val="18"/>
                <w:szCs w:val="18"/>
              </w:rPr>
            </w:pPr>
            <w:r w:rsidRPr="003D11A6">
              <w:rPr>
                <w:b/>
                <w:bCs/>
                <w:sz w:val="18"/>
                <w:szCs w:val="18"/>
              </w:rPr>
              <w:t>2 575 652 888</w:t>
            </w:r>
          </w:p>
        </w:tc>
        <w:tc>
          <w:tcPr>
            <w:tcW w:w="857" w:type="pct"/>
            <w:tcBorders>
              <w:top w:val="nil"/>
              <w:left w:val="nil"/>
              <w:bottom w:val="nil"/>
              <w:right w:val="nil"/>
            </w:tcBorders>
            <w:vAlign w:val="center"/>
          </w:tcPr>
          <w:p w14:paraId="65EAB64B" w14:textId="77777777" w:rsidR="001734A5" w:rsidRPr="003D11A6" w:rsidRDefault="001734A5">
            <w:pPr>
              <w:spacing w:after="0" w:line="240" w:lineRule="auto"/>
              <w:jc w:val="right"/>
              <w:rPr>
                <w:rFonts w:cs="Segoe UI"/>
                <w:b/>
                <w:bCs/>
                <w:sz w:val="18"/>
                <w:szCs w:val="18"/>
              </w:rPr>
            </w:pPr>
            <w:r w:rsidRPr="003D11A6">
              <w:rPr>
                <w:b/>
                <w:bCs/>
                <w:sz w:val="18"/>
                <w:szCs w:val="18"/>
              </w:rPr>
              <w:t>2 574 464 327</w:t>
            </w:r>
          </w:p>
        </w:tc>
      </w:tr>
      <w:tr w:rsidR="001734A5" w:rsidRPr="001D7BD8" w14:paraId="1C33DF77" w14:textId="77777777" w:rsidTr="003D11A6">
        <w:trPr>
          <w:trHeight w:val="283"/>
        </w:trPr>
        <w:tc>
          <w:tcPr>
            <w:tcW w:w="1440" w:type="pct"/>
            <w:tcBorders>
              <w:bottom w:val="single" w:sz="4" w:space="0" w:color="auto"/>
              <w:right w:val="nil"/>
            </w:tcBorders>
            <w:shd w:val="clear" w:color="auto" w:fill="auto"/>
            <w:noWrap/>
            <w:vAlign w:val="center"/>
          </w:tcPr>
          <w:p w14:paraId="220EAE8F" w14:textId="77777777" w:rsidR="001734A5" w:rsidRPr="003D11A6" w:rsidRDefault="001734A5" w:rsidP="003D11A6">
            <w:pPr>
              <w:spacing w:after="0" w:line="240" w:lineRule="auto"/>
              <w:jc w:val="left"/>
              <w:rPr>
                <w:rFonts w:cs="Segoe UI"/>
                <w:sz w:val="18"/>
                <w:szCs w:val="18"/>
              </w:rPr>
            </w:pPr>
            <w:r w:rsidRPr="003D11A6">
              <w:rPr>
                <w:rFonts w:cs="Segoe UI"/>
                <w:sz w:val="18"/>
                <w:szCs w:val="18"/>
              </w:rPr>
              <w:t>z toho: kryté prostriedkami EÚ*</w:t>
            </w:r>
          </w:p>
        </w:tc>
        <w:tc>
          <w:tcPr>
            <w:tcW w:w="982" w:type="pct"/>
            <w:tcBorders>
              <w:top w:val="nil"/>
              <w:left w:val="nil"/>
              <w:bottom w:val="single" w:sz="4" w:space="0" w:color="auto"/>
              <w:right w:val="nil"/>
            </w:tcBorders>
            <w:shd w:val="clear" w:color="auto" w:fill="auto"/>
            <w:noWrap/>
            <w:vAlign w:val="center"/>
          </w:tcPr>
          <w:p w14:paraId="284B58A0" w14:textId="77777777" w:rsidR="001734A5" w:rsidRPr="003D11A6" w:rsidRDefault="001734A5">
            <w:pPr>
              <w:spacing w:after="0" w:line="240" w:lineRule="auto"/>
              <w:jc w:val="right"/>
              <w:rPr>
                <w:rFonts w:cs="Segoe UI"/>
                <w:sz w:val="18"/>
                <w:szCs w:val="18"/>
              </w:rPr>
            </w:pPr>
            <w:r w:rsidRPr="003D11A6">
              <w:rPr>
                <w:sz w:val="18"/>
                <w:szCs w:val="18"/>
              </w:rPr>
              <w:t>13 045 999</w:t>
            </w:r>
          </w:p>
        </w:tc>
        <w:tc>
          <w:tcPr>
            <w:tcW w:w="860" w:type="pct"/>
            <w:tcBorders>
              <w:top w:val="nil"/>
              <w:left w:val="nil"/>
              <w:bottom w:val="single" w:sz="4" w:space="0" w:color="auto"/>
              <w:right w:val="nil"/>
            </w:tcBorders>
            <w:shd w:val="clear" w:color="auto" w:fill="auto"/>
            <w:noWrap/>
            <w:vAlign w:val="center"/>
          </w:tcPr>
          <w:p w14:paraId="6D93C033" w14:textId="77777777" w:rsidR="001734A5" w:rsidRPr="003D11A6" w:rsidRDefault="001734A5">
            <w:pPr>
              <w:spacing w:after="0" w:line="240" w:lineRule="auto"/>
              <w:jc w:val="right"/>
              <w:rPr>
                <w:rFonts w:cs="Segoe UI"/>
                <w:sz w:val="18"/>
                <w:szCs w:val="18"/>
              </w:rPr>
            </w:pPr>
          </w:p>
        </w:tc>
        <w:tc>
          <w:tcPr>
            <w:tcW w:w="860" w:type="pct"/>
            <w:tcBorders>
              <w:top w:val="nil"/>
              <w:left w:val="nil"/>
              <w:bottom w:val="single" w:sz="4" w:space="0" w:color="auto"/>
              <w:right w:val="nil"/>
            </w:tcBorders>
            <w:vAlign w:val="center"/>
          </w:tcPr>
          <w:p w14:paraId="584148B5" w14:textId="77777777" w:rsidR="001734A5" w:rsidRPr="003D11A6" w:rsidRDefault="001734A5">
            <w:pPr>
              <w:spacing w:after="0" w:line="240" w:lineRule="auto"/>
              <w:jc w:val="right"/>
              <w:rPr>
                <w:rFonts w:cs="Segoe UI"/>
                <w:bCs/>
                <w:sz w:val="18"/>
                <w:szCs w:val="18"/>
              </w:rPr>
            </w:pPr>
            <w:r w:rsidRPr="003D11A6">
              <w:rPr>
                <w:sz w:val="18"/>
                <w:szCs w:val="18"/>
              </w:rPr>
              <w:t>4 269 334</w:t>
            </w:r>
          </w:p>
        </w:tc>
        <w:tc>
          <w:tcPr>
            <w:tcW w:w="857" w:type="pct"/>
            <w:tcBorders>
              <w:top w:val="nil"/>
              <w:left w:val="nil"/>
              <w:bottom w:val="single" w:sz="4" w:space="0" w:color="auto"/>
              <w:right w:val="nil"/>
            </w:tcBorders>
            <w:vAlign w:val="center"/>
          </w:tcPr>
          <w:p w14:paraId="5B8F1C0C" w14:textId="77777777" w:rsidR="001734A5" w:rsidRPr="003D11A6" w:rsidRDefault="001734A5">
            <w:pPr>
              <w:spacing w:after="0" w:line="240" w:lineRule="auto"/>
              <w:jc w:val="right"/>
              <w:rPr>
                <w:rFonts w:cs="Segoe UI"/>
                <w:sz w:val="18"/>
                <w:szCs w:val="18"/>
              </w:rPr>
            </w:pPr>
            <w:r w:rsidRPr="003D11A6">
              <w:rPr>
                <w:sz w:val="18"/>
                <w:szCs w:val="18"/>
              </w:rPr>
              <w:t>4 269 334</w:t>
            </w:r>
          </w:p>
        </w:tc>
      </w:tr>
    </w:tbl>
    <w:p w14:paraId="0D108950" w14:textId="3C360850" w:rsidR="001734A5" w:rsidRDefault="001734A5" w:rsidP="001734A5">
      <w:pPr>
        <w:pStyle w:val="Zdroj"/>
        <w:spacing w:after="0"/>
      </w:pPr>
      <w:r>
        <w:t>Zdro</w:t>
      </w:r>
      <w:r w:rsidR="004D538B">
        <w:t>j: ZÚ MO SR.</w:t>
      </w:r>
    </w:p>
    <w:p w14:paraId="4E707490" w14:textId="77777777" w:rsidR="001734A5" w:rsidRDefault="001734A5" w:rsidP="001734A5">
      <w:pPr>
        <w:rPr>
          <w:i/>
          <w:color w:val="314364" w:themeColor="text2"/>
          <w:sz w:val="16"/>
        </w:rPr>
      </w:pPr>
      <w:r w:rsidRPr="00533986">
        <w:rPr>
          <w:i/>
          <w:color w:val="314364" w:themeColor="text2"/>
          <w:sz w:val="16"/>
        </w:rPr>
        <w:t xml:space="preserve">*Európsky fond regionálneho rozvoja - 3 356 627 </w:t>
      </w:r>
      <w:r>
        <w:rPr>
          <w:i/>
          <w:color w:val="314364" w:themeColor="text2"/>
          <w:sz w:val="16"/>
        </w:rPr>
        <w:t>eur</w:t>
      </w:r>
      <w:r w:rsidRPr="00533986">
        <w:rPr>
          <w:i/>
          <w:color w:val="314364" w:themeColor="text2"/>
          <w:sz w:val="16"/>
        </w:rPr>
        <w:t xml:space="preserve">, Kohézny fond - 34 133 </w:t>
      </w:r>
      <w:r>
        <w:rPr>
          <w:i/>
          <w:color w:val="314364" w:themeColor="text2"/>
          <w:sz w:val="16"/>
        </w:rPr>
        <w:t>eur</w:t>
      </w:r>
      <w:r w:rsidRPr="00533986">
        <w:rPr>
          <w:i/>
          <w:color w:val="314364" w:themeColor="text2"/>
          <w:sz w:val="16"/>
        </w:rPr>
        <w:t>, Európsky sociálny fond -</w:t>
      </w:r>
      <w:r>
        <w:rPr>
          <w:i/>
          <w:color w:val="314364" w:themeColor="text2"/>
          <w:sz w:val="16"/>
        </w:rPr>
        <w:t xml:space="preserve"> </w:t>
      </w:r>
      <w:r w:rsidRPr="00533986">
        <w:rPr>
          <w:i/>
          <w:color w:val="314364" w:themeColor="text2"/>
          <w:sz w:val="16"/>
        </w:rPr>
        <w:t xml:space="preserve">141 710 </w:t>
      </w:r>
      <w:r>
        <w:rPr>
          <w:i/>
          <w:color w:val="314364" w:themeColor="text2"/>
          <w:sz w:val="16"/>
        </w:rPr>
        <w:t>eur</w:t>
      </w:r>
      <w:r w:rsidRPr="00533986">
        <w:rPr>
          <w:i/>
          <w:color w:val="314364" w:themeColor="text2"/>
          <w:sz w:val="16"/>
        </w:rPr>
        <w:t>, P</w:t>
      </w:r>
      <w:r>
        <w:rPr>
          <w:i/>
          <w:color w:val="314364" w:themeColor="text2"/>
          <w:sz w:val="16"/>
        </w:rPr>
        <w:t>OO</w:t>
      </w:r>
      <w:r w:rsidRPr="00533986">
        <w:rPr>
          <w:i/>
          <w:color w:val="314364" w:themeColor="text2"/>
          <w:sz w:val="16"/>
        </w:rPr>
        <w:t xml:space="preserve"> - 736 862 </w:t>
      </w:r>
      <w:r>
        <w:rPr>
          <w:i/>
          <w:color w:val="314364" w:themeColor="text2"/>
          <w:sz w:val="16"/>
        </w:rPr>
        <w:t>eur</w:t>
      </w:r>
      <w:r w:rsidRPr="00533986">
        <w:rPr>
          <w:i/>
          <w:color w:val="314364" w:themeColor="text2"/>
          <w:sz w:val="16"/>
        </w:rPr>
        <w:t>.</w:t>
      </w:r>
    </w:p>
    <w:p w14:paraId="5F81B527" w14:textId="38D79101" w:rsidR="00937A4C" w:rsidRDefault="00937A4C" w:rsidP="00937A4C">
      <w:pPr>
        <w:rPr>
          <w:rFonts w:cs="Segoe UI"/>
          <w:noProof/>
          <w:szCs w:val="18"/>
        </w:rPr>
      </w:pPr>
      <w:r w:rsidRPr="00DA74FD">
        <w:rPr>
          <w:rFonts w:cs="Segoe UI"/>
          <w:b/>
          <w:bCs/>
          <w:noProof/>
          <w:szCs w:val="18"/>
        </w:rPr>
        <w:t xml:space="preserve">Za obdobie rokov 2021 až 2024 zvýšili krajiny EÚ svoje výdavky na obranu o 30 %, pričom v roku 2024 dosiahli predbežne 326 mld. eur </w:t>
      </w:r>
      <w:r w:rsidRPr="00DA74FD">
        <w:rPr>
          <w:rFonts w:cs="Segoe UI"/>
          <w:noProof/>
          <w:szCs w:val="18"/>
        </w:rPr>
        <w:t>(</w:t>
      </w:r>
      <w:r w:rsidRPr="00DA74FD">
        <w:rPr>
          <w:rFonts w:cs="Segoe UI"/>
          <w:bCs/>
          <w:noProof/>
          <w:szCs w:val="18"/>
        </w:rPr>
        <w:t>1,9 % HDP)</w:t>
      </w:r>
      <w:r w:rsidRPr="00A27B26">
        <w:rPr>
          <w:rFonts w:cs="Segoe UI"/>
          <w:b/>
          <w:bCs/>
          <w:noProof/>
          <w:szCs w:val="18"/>
        </w:rPr>
        <w:t>.</w:t>
      </w:r>
      <w:r w:rsidRPr="00DA74FD">
        <w:rPr>
          <w:rFonts w:cs="Segoe UI"/>
          <w:noProof/>
          <w:szCs w:val="18"/>
        </w:rPr>
        <w:t xml:space="preserve"> EÚ a jej členské štáty sú z dôvodu zmeny bezpečnostného prostredia odhodlané spoločne vynakladať na obranu viac finančných prostriedkov a efektívnejším spôsobom. Ak zohľadníme len 23 členských štátov EÚ, ktoré sú zároveň aj členmi NATO, výdavky na obranu dosiahli v roku 2024 úroveň 1,99 % ich spoločného HDP a očakáva sa, že v roku 2025 dosiahnu 2,04 % (graf </w:t>
      </w:r>
      <w:r w:rsidR="009E651C">
        <w:rPr>
          <w:rFonts w:cs="Segoe UI"/>
          <w:noProof/>
          <w:szCs w:val="18"/>
        </w:rPr>
        <w:t>5</w:t>
      </w:r>
      <w:r w:rsidR="00F77FDB">
        <w:rPr>
          <w:rFonts w:cs="Segoe UI"/>
          <w:noProof/>
          <w:szCs w:val="18"/>
        </w:rPr>
        <w:t>0</w:t>
      </w:r>
      <w:r w:rsidR="00C35C29" w:rsidRPr="0004161F">
        <w:rPr>
          <w:rFonts w:cs="Segoe UI"/>
          <w:noProof/>
          <w:szCs w:val="18"/>
        </w:rPr>
        <w:t>).</w:t>
      </w:r>
    </w:p>
    <w:p w14:paraId="70E393C7" w14:textId="07EB8F73" w:rsidR="004D538B" w:rsidRPr="00DA74FD" w:rsidRDefault="004D538B" w:rsidP="004D538B">
      <w:pPr>
        <w:pStyle w:val="Popis"/>
        <w:keepNext/>
        <w:rPr>
          <w:noProof/>
          <w:color w:val="314364"/>
        </w:rPr>
      </w:pPr>
      <w:r w:rsidRPr="00DA74FD">
        <w:rPr>
          <w:noProof/>
          <w:color w:val="314364"/>
        </w:rPr>
        <w:lastRenderedPageBreak/>
        <w:t xml:space="preserve">Graf </w:t>
      </w:r>
      <w:r w:rsidR="009E651C">
        <w:rPr>
          <w:noProof/>
          <w:color w:val="314364"/>
        </w:rPr>
        <w:t>5</w:t>
      </w:r>
      <w:r w:rsidR="00F77FDB">
        <w:rPr>
          <w:noProof/>
          <w:color w:val="314364"/>
        </w:rPr>
        <w:t>0</w:t>
      </w:r>
      <w:r w:rsidRPr="0004161F">
        <w:rPr>
          <w:noProof/>
          <w:color w:val="314364"/>
        </w:rPr>
        <w:t>:</w:t>
      </w:r>
      <w:r w:rsidRPr="00DA74FD">
        <w:rPr>
          <w:noProof/>
          <w:color w:val="314364"/>
        </w:rPr>
        <w:t xml:space="preserve"> Výdavky na obranu v krajinách NATO (</w:t>
      </w:r>
      <w:r w:rsidR="00832BC2">
        <w:rPr>
          <w:noProof/>
          <w:color w:val="314364"/>
        </w:rPr>
        <w:t xml:space="preserve">v </w:t>
      </w:r>
      <w:r w:rsidRPr="00DA74FD">
        <w:rPr>
          <w:noProof/>
          <w:color w:val="314364"/>
        </w:rPr>
        <w:t>% HDP)</w:t>
      </w:r>
    </w:p>
    <w:tbl>
      <w:tblPr>
        <w:tblStyle w:val="Mriekatabuky"/>
        <w:tblW w:w="5033" w:type="pct"/>
        <w:tblBorders>
          <w:top w:val="single" w:sz="4" w:space="0" w:color="314364"/>
          <w:left w:val="none" w:sz="0" w:space="0" w:color="auto"/>
          <w:bottom w:val="single" w:sz="4" w:space="0" w:color="314364"/>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9130"/>
      </w:tblGrid>
      <w:tr w:rsidR="004D538B" w:rsidRPr="00DA74FD" w14:paraId="2543CF2A" w14:textId="77777777" w:rsidTr="004035D7">
        <w:trPr>
          <w:trHeight w:val="3254"/>
        </w:trPr>
        <w:tc>
          <w:tcPr>
            <w:tcW w:w="9130" w:type="dxa"/>
            <w:vAlign w:val="center"/>
            <w:hideMark/>
          </w:tcPr>
          <w:p w14:paraId="65A926D6" w14:textId="77777777" w:rsidR="004D538B" w:rsidRPr="00DA74FD" w:rsidRDefault="004D538B" w:rsidP="003D11A6">
            <w:pPr>
              <w:spacing w:after="0"/>
              <w:jc w:val="center"/>
              <w:rPr>
                <w:b/>
                <w:noProof/>
                <w:color w:val="576431"/>
              </w:rPr>
            </w:pPr>
            <w:r w:rsidRPr="00DA74FD">
              <w:rPr>
                <w:noProof/>
                <w:lang w:eastAsia="sk-SK"/>
              </w:rPr>
              <w:drawing>
                <wp:inline distT="0" distB="0" distL="0" distR="0" wp14:anchorId="06666460" wp14:editId="67A4D02E">
                  <wp:extent cx="5641340" cy="2019300"/>
                  <wp:effectExtent l="0" t="0" r="0" b="0"/>
                  <wp:docPr id="1585485688" name="Graf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bl>
    <w:p w14:paraId="356F358E" w14:textId="5F17E938" w:rsidR="004D538B" w:rsidRPr="00DA74FD" w:rsidRDefault="004D538B" w:rsidP="00CC7F31">
      <w:pPr>
        <w:pStyle w:val="Zdroj"/>
        <w:rPr>
          <w:noProof/>
        </w:rPr>
      </w:pPr>
      <w:r w:rsidRPr="00DA74FD">
        <w:rPr>
          <w:noProof/>
        </w:rPr>
        <w:t>Zdroj: NATO</w:t>
      </w:r>
      <w:r w:rsidR="00C10075">
        <w:rPr>
          <w:noProof/>
        </w:rPr>
        <w:t>;</w:t>
      </w:r>
      <w:r w:rsidRPr="00DA74FD">
        <w:rPr>
          <w:noProof/>
        </w:rPr>
        <w:t xml:space="preserve"> spracovanie</w:t>
      </w:r>
      <w:r>
        <w:rPr>
          <w:noProof/>
        </w:rPr>
        <w:t xml:space="preserve"> NKÚ SR.</w:t>
      </w:r>
    </w:p>
    <w:p w14:paraId="1D6E08E2" w14:textId="335AED86" w:rsidR="00CC7F31" w:rsidRDefault="00CC7F31" w:rsidP="00CC7F31">
      <w:pPr>
        <w:rPr>
          <w:rFonts w:cs="Segoe UI"/>
          <w:noProof/>
          <w:szCs w:val="20"/>
        </w:rPr>
      </w:pPr>
      <w:r>
        <w:rPr>
          <w:rFonts w:cs="Segoe UI"/>
          <w:b/>
          <w:bCs/>
          <w:noProof/>
          <w:szCs w:val="20"/>
        </w:rPr>
        <w:t>V roku 2024 dva rozpočtové programy</w:t>
      </w:r>
      <w:r w:rsidRPr="003A1D0E">
        <w:rPr>
          <w:rFonts w:cs="Segoe UI"/>
          <w:b/>
          <w:bCs/>
          <w:noProof/>
          <w:szCs w:val="20"/>
        </w:rPr>
        <w:t xml:space="preserve"> </w:t>
      </w:r>
      <w:r>
        <w:rPr>
          <w:rFonts w:cs="Segoe UI"/>
          <w:b/>
          <w:bCs/>
          <w:noProof/>
          <w:szCs w:val="20"/>
        </w:rPr>
        <w:t xml:space="preserve">kapitoly obrany v SR </w:t>
      </w:r>
      <w:r w:rsidRPr="003A1D0E">
        <w:rPr>
          <w:rFonts w:cs="Segoe UI"/>
          <w:b/>
          <w:bCs/>
          <w:noProof/>
          <w:szCs w:val="20"/>
        </w:rPr>
        <w:t>pokrývali</w:t>
      </w:r>
      <w:r>
        <w:rPr>
          <w:rFonts w:cs="Segoe UI"/>
          <w:b/>
          <w:bCs/>
          <w:noProof/>
          <w:szCs w:val="20"/>
        </w:rPr>
        <w:t xml:space="preserve"> spolu</w:t>
      </w:r>
      <w:r w:rsidRPr="003A1D0E">
        <w:rPr>
          <w:rFonts w:cs="Segoe UI"/>
          <w:b/>
          <w:bCs/>
          <w:noProof/>
          <w:szCs w:val="20"/>
        </w:rPr>
        <w:t xml:space="preserve"> 99,96 </w:t>
      </w:r>
      <w:r w:rsidRPr="005F6754">
        <w:rPr>
          <w:rFonts w:cs="Segoe UI"/>
          <w:b/>
          <w:bCs/>
          <w:noProof/>
          <w:szCs w:val="20"/>
        </w:rPr>
        <w:t>%</w:t>
      </w:r>
      <w:r w:rsidRPr="003A1D0E">
        <w:rPr>
          <w:rFonts w:cs="Segoe UI"/>
          <w:b/>
          <w:bCs/>
          <w:noProof/>
          <w:szCs w:val="20"/>
        </w:rPr>
        <w:t xml:space="preserve"> skutočných výdavkov.</w:t>
      </w:r>
      <w:r w:rsidRPr="006B1737">
        <w:rPr>
          <w:rFonts w:cs="Segoe UI"/>
          <w:bCs/>
          <w:noProof/>
          <w:szCs w:val="20"/>
        </w:rPr>
        <w:t xml:space="preserve"> </w:t>
      </w:r>
      <w:r>
        <w:rPr>
          <w:rFonts w:cs="Segoe UI"/>
          <w:bCs/>
          <w:noProof/>
          <w:szCs w:val="20"/>
        </w:rPr>
        <w:t xml:space="preserve">Na pôvodne </w:t>
      </w:r>
      <w:r w:rsidRPr="000C0793">
        <w:rPr>
          <w:rFonts w:cs="Segoe UI"/>
          <w:bCs/>
          <w:noProof/>
          <w:szCs w:val="20"/>
        </w:rPr>
        <w:t xml:space="preserve">vyčlenených 2,61 mld. eur </w:t>
      </w:r>
      <w:r>
        <w:rPr>
          <w:rFonts w:cs="Segoe UI"/>
          <w:bCs/>
          <w:noProof/>
          <w:szCs w:val="20"/>
        </w:rPr>
        <w:t xml:space="preserve">pre celú kapitolu </w:t>
      </w:r>
      <w:r w:rsidRPr="000C0793">
        <w:rPr>
          <w:rFonts w:cs="Segoe UI"/>
          <w:bCs/>
          <w:noProof/>
          <w:szCs w:val="20"/>
        </w:rPr>
        <w:t xml:space="preserve">boli stanovené ciele a merateľné ukazovatele. </w:t>
      </w:r>
      <w:r w:rsidRPr="00DA74FD">
        <w:rPr>
          <w:rFonts w:cs="Segoe UI"/>
          <w:noProof/>
          <w:szCs w:val="20"/>
        </w:rPr>
        <w:t>V roku 2024 bolo hodnotených 153 cieľov programov, po</w:t>
      </w:r>
      <w:r>
        <w:rPr>
          <w:rFonts w:cs="Segoe UI"/>
          <w:noProof/>
          <w:szCs w:val="20"/>
        </w:rPr>
        <w:t>dprogramov, projektov a prvkov.</w:t>
      </w:r>
      <w:r>
        <w:rPr>
          <w:rStyle w:val="Odkaznapoznmkupodiarou"/>
          <w:rFonts w:cs="Segoe UI"/>
          <w:noProof/>
          <w:szCs w:val="20"/>
        </w:rPr>
        <w:footnoteReference w:id="42"/>
      </w:r>
    </w:p>
    <w:p w14:paraId="21578891" w14:textId="425701E6" w:rsidR="00CC7F31" w:rsidRPr="003A1D0E" w:rsidRDefault="00CC7F31" w:rsidP="00CC7F31">
      <w:pPr>
        <w:rPr>
          <w:rFonts w:cs="Segoe UI"/>
          <w:b/>
          <w:bCs/>
          <w:noProof/>
          <w:szCs w:val="20"/>
        </w:rPr>
      </w:pPr>
      <w:r w:rsidRPr="005F6754">
        <w:rPr>
          <w:rFonts w:cs="Segoe UI"/>
          <w:b/>
          <w:bCs/>
          <w:noProof/>
          <w:szCs w:val="20"/>
        </w:rPr>
        <w:t>B</w:t>
      </w:r>
      <w:r w:rsidRPr="003A1D0E">
        <w:rPr>
          <w:rFonts w:cs="Segoe UI"/>
          <w:b/>
          <w:bCs/>
          <w:noProof/>
          <w:szCs w:val="20"/>
        </w:rPr>
        <w:t xml:space="preserve">ežné výdavky programu </w:t>
      </w:r>
      <w:r w:rsidRPr="00726BDB">
        <w:rPr>
          <w:rFonts w:cs="Segoe UI"/>
          <w:b/>
          <w:bCs/>
          <w:i/>
          <w:noProof/>
          <w:szCs w:val="20"/>
        </w:rPr>
        <w:t>Obrana</w:t>
      </w:r>
      <w:r>
        <w:rPr>
          <w:rFonts w:cs="Segoe UI"/>
          <w:b/>
          <w:bCs/>
          <w:noProof/>
          <w:szCs w:val="20"/>
        </w:rPr>
        <w:t xml:space="preserve"> </w:t>
      </w:r>
      <w:r w:rsidRPr="003A1D0E">
        <w:rPr>
          <w:rFonts w:cs="Segoe UI"/>
          <w:b/>
          <w:bCs/>
          <w:noProof/>
          <w:szCs w:val="20"/>
        </w:rPr>
        <w:t xml:space="preserve">tvorili 60,3 </w:t>
      </w:r>
      <w:r w:rsidRPr="005F6754">
        <w:rPr>
          <w:rFonts w:cs="Segoe UI"/>
          <w:b/>
          <w:bCs/>
          <w:noProof/>
          <w:szCs w:val="20"/>
        </w:rPr>
        <w:t>%</w:t>
      </w:r>
      <w:r w:rsidRPr="003A1D0E">
        <w:rPr>
          <w:rFonts w:cs="Segoe UI"/>
          <w:b/>
          <w:bCs/>
          <w:noProof/>
          <w:szCs w:val="20"/>
        </w:rPr>
        <w:t xml:space="preserve"> z celkových výdavkov kapitoly, v rámci ktorých boli najväčšie výdavky na mzdy a poistné.</w:t>
      </w:r>
      <w:r>
        <w:rPr>
          <w:rFonts w:cs="Segoe UI"/>
          <w:b/>
          <w:bCs/>
          <w:noProof/>
          <w:szCs w:val="20"/>
        </w:rPr>
        <w:t xml:space="preserve"> </w:t>
      </w:r>
      <w:r>
        <w:rPr>
          <w:rFonts w:cs="Segoe UI"/>
          <w:noProof/>
          <w:szCs w:val="20"/>
        </w:rPr>
        <w:t>Ako každoročne</w:t>
      </w:r>
      <w:r w:rsidR="00D41C9A">
        <w:rPr>
          <w:rFonts w:cs="Segoe UI"/>
          <w:noProof/>
          <w:szCs w:val="20"/>
        </w:rPr>
        <w:t>,</w:t>
      </w:r>
      <w:r>
        <w:rPr>
          <w:rFonts w:cs="Segoe UI"/>
          <w:noProof/>
          <w:szCs w:val="20"/>
        </w:rPr>
        <w:t xml:space="preserve"> aj v roku 2024 najviac finančných prostriedkov kapitoly bolo určených na program </w:t>
      </w:r>
      <w:r w:rsidRPr="006776E5">
        <w:rPr>
          <w:rFonts w:cs="Segoe UI"/>
          <w:i/>
          <w:noProof/>
          <w:szCs w:val="20"/>
        </w:rPr>
        <w:t>Obrana</w:t>
      </w:r>
      <w:r>
        <w:rPr>
          <w:rFonts w:cs="Segoe UI"/>
          <w:noProof/>
          <w:szCs w:val="20"/>
        </w:rPr>
        <w:t>, v rámci ktorého je zabezpečovaný s</w:t>
      </w:r>
      <w:r w:rsidRPr="009C3935">
        <w:rPr>
          <w:rFonts w:cs="Segoe UI"/>
          <w:noProof/>
          <w:szCs w:val="20"/>
        </w:rPr>
        <w:t>ystém riadenia a velenia obrany štátu</w:t>
      </w:r>
      <w:r>
        <w:rPr>
          <w:rFonts w:cs="Segoe UI"/>
          <w:noProof/>
          <w:szCs w:val="20"/>
        </w:rPr>
        <w:t>. V roku 2024 bolo v tomto programe skutočne vyčerpaných 1,63 mld. eur</w:t>
      </w:r>
      <w:r w:rsidR="00D41C9A">
        <w:rPr>
          <w:rFonts w:cs="Segoe UI"/>
          <w:noProof/>
          <w:szCs w:val="20"/>
        </w:rPr>
        <w:t>,</w:t>
      </w:r>
      <w:r>
        <w:rPr>
          <w:rFonts w:cs="Segoe UI"/>
          <w:noProof/>
          <w:szCs w:val="20"/>
        </w:rPr>
        <w:t xml:space="preserve"> čo predstavovalo 63,2 </w:t>
      </w:r>
      <w:r w:rsidRPr="005F6754">
        <w:rPr>
          <w:rFonts w:cs="Segoe UI"/>
          <w:noProof/>
          <w:szCs w:val="20"/>
        </w:rPr>
        <w:t xml:space="preserve">% </w:t>
      </w:r>
      <w:r w:rsidR="00D41C9A">
        <w:rPr>
          <w:rFonts w:cs="Segoe UI"/>
          <w:noProof/>
          <w:szCs w:val="20"/>
        </w:rPr>
        <w:t>z</w:t>
      </w:r>
      <w:r w:rsidRPr="005F6754">
        <w:rPr>
          <w:rFonts w:cs="Segoe UI"/>
          <w:noProof/>
          <w:szCs w:val="20"/>
        </w:rPr>
        <w:t xml:space="preserve"> celkových výdavkoch kapitoly.</w:t>
      </w:r>
    </w:p>
    <w:p w14:paraId="358C906F" w14:textId="2F2BCDCC" w:rsidR="00B92738" w:rsidRDefault="00B92738" w:rsidP="00B92738">
      <w:pPr>
        <w:rPr>
          <w:rFonts w:cs="Segoe UI"/>
          <w:noProof/>
          <w:szCs w:val="20"/>
        </w:rPr>
      </w:pPr>
      <w:r w:rsidRPr="00A848B7">
        <w:rPr>
          <w:rFonts w:cs="Segoe UI"/>
          <w:b/>
          <w:bCs/>
          <w:noProof/>
          <w:szCs w:val="20"/>
        </w:rPr>
        <w:t xml:space="preserve">Program </w:t>
      </w:r>
      <w:r w:rsidRPr="000C0793">
        <w:rPr>
          <w:rFonts w:cs="Segoe UI"/>
          <w:b/>
          <w:bCs/>
          <w:i/>
          <w:noProof/>
          <w:szCs w:val="20"/>
        </w:rPr>
        <w:t>Rozvoj obrany</w:t>
      </w:r>
      <w:r w:rsidRPr="00A848B7">
        <w:rPr>
          <w:rFonts w:cs="Segoe UI"/>
          <w:b/>
          <w:bCs/>
          <w:noProof/>
          <w:szCs w:val="20"/>
        </w:rPr>
        <w:t xml:space="preserve"> sa na skutočných výdavkoch </w:t>
      </w:r>
      <w:r>
        <w:rPr>
          <w:rFonts w:cs="Segoe UI"/>
          <w:b/>
          <w:bCs/>
          <w:noProof/>
          <w:szCs w:val="20"/>
        </w:rPr>
        <w:t xml:space="preserve">kapitoly </w:t>
      </w:r>
      <w:r w:rsidRPr="00A848B7">
        <w:rPr>
          <w:rFonts w:cs="Segoe UI"/>
          <w:b/>
          <w:bCs/>
          <w:noProof/>
          <w:szCs w:val="20"/>
        </w:rPr>
        <w:t xml:space="preserve">podieľal 36,8 % a najväčšiu položku tvorilo obstarávanie kapitálových aktív vo výške </w:t>
      </w:r>
      <w:r>
        <w:rPr>
          <w:rFonts w:cs="Segoe UI"/>
          <w:b/>
          <w:bCs/>
          <w:noProof/>
          <w:szCs w:val="20"/>
        </w:rPr>
        <w:t>739,8</w:t>
      </w:r>
      <w:r w:rsidRPr="00A848B7">
        <w:rPr>
          <w:rFonts w:cs="Segoe UI"/>
          <w:b/>
          <w:bCs/>
          <w:noProof/>
          <w:szCs w:val="20"/>
        </w:rPr>
        <w:t xml:space="preserve"> mil. eur</w:t>
      </w:r>
      <w:r>
        <w:rPr>
          <w:rFonts w:cs="Segoe UI"/>
          <w:b/>
          <w:bCs/>
          <w:noProof/>
          <w:szCs w:val="20"/>
        </w:rPr>
        <w:t>.</w:t>
      </w:r>
      <w:r w:rsidRPr="00807E1F">
        <w:rPr>
          <w:rFonts w:cs="Segoe UI"/>
          <w:noProof/>
          <w:szCs w:val="20"/>
        </w:rPr>
        <w:t xml:space="preserve"> </w:t>
      </w:r>
      <w:r>
        <w:rPr>
          <w:rFonts w:cs="Segoe UI"/>
          <w:noProof/>
          <w:szCs w:val="20"/>
        </w:rPr>
        <w:t>I</w:t>
      </w:r>
      <w:r w:rsidRPr="00807E1F">
        <w:rPr>
          <w:rFonts w:cs="Segoe UI"/>
          <w:noProof/>
          <w:szCs w:val="20"/>
        </w:rPr>
        <w:t xml:space="preserve">šlo </w:t>
      </w:r>
      <w:r>
        <w:rPr>
          <w:noProof/>
          <w:szCs w:val="20"/>
        </w:rPr>
        <w:t xml:space="preserve">najmä o protilietadlové rakety stredného dosahu, ťažké nákladné automobily, pásové bojové vozidlá, vrtuľníky </w:t>
      </w:r>
      <w:r w:rsidRPr="00807E1F">
        <w:rPr>
          <w:rFonts w:cs="Segoe UI"/>
          <w:noProof/>
          <w:szCs w:val="20"/>
        </w:rPr>
        <w:t>a malé vojenské dopravné lietadl</w:t>
      </w:r>
      <w:r>
        <w:rPr>
          <w:rFonts w:cs="Segoe UI"/>
          <w:noProof/>
          <w:szCs w:val="20"/>
        </w:rPr>
        <w:t>o</w:t>
      </w:r>
      <w:r w:rsidRPr="00807E1F">
        <w:rPr>
          <w:rFonts w:cs="Segoe UI"/>
          <w:noProof/>
          <w:szCs w:val="20"/>
        </w:rPr>
        <w:t>.</w:t>
      </w:r>
    </w:p>
    <w:p w14:paraId="3D3367AA" w14:textId="637A9BFD" w:rsidR="003316F3" w:rsidRDefault="003316F3" w:rsidP="003316F3">
      <w:pPr>
        <w:rPr>
          <w:rFonts w:cs="Segoe UI"/>
          <w:noProof/>
          <w:szCs w:val="18"/>
        </w:rPr>
      </w:pPr>
      <w:r w:rsidRPr="008D6F4A">
        <w:rPr>
          <w:rFonts w:cs="Segoe UI"/>
          <w:b/>
          <w:noProof/>
          <w:szCs w:val="18"/>
        </w:rPr>
        <w:t>Najväčší podiel na obranných výdavkoch SR ma</w:t>
      </w:r>
      <w:r w:rsidR="00C35C29">
        <w:rPr>
          <w:rFonts w:cs="Segoe UI"/>
          <w:b/>
          <w:noProof/>
          <w:szCs w:val="18"/>
        </w:rPr>
        <w:t>li</w:t>
      </w:r>
      <w:r w:rsidRPr="008D6F4A">
        <w:rPr>
          <w:rFonts w:cs="Segoe UI"/>
          <w:b/>
          <w:noProof/>
          <w:szCs w:val="18"/>
        </w:rPr>
        <w:t xml:space="preserve"> osobné výdavky </w:t>
      </w:r>
      <w:r w:rsidRPr="008D6F4A">
        <w:rPr>
          <w:rFonts w:cs="Segoe UI"/>
          <w:noProof/>
          <w:szCs w:val="18"/>
        </w:rPr>
        <w:t>(39,1 %)</w:t>
      </w:r>
      <w:r w:rsidRPr="008D6F4A">
        <w:rPr>
          <w:rFonts w:cs="Segoe UI"/>
          <w:b/>
          <w:noProof/>
          <w:szCs w:val="18"/>
        </w:rPr>
        <w:t>, ktoré zahŕňa</w:t>
      </w:r>
      <w:r w:rsidR="00C35C29">
        <w:rPr>
          <w:rFonts w:cs="Segoe UI"/>
          <w:b/>
          <w:noProof/>
          <w:szCs w:val="18"/>
        </w:rPr>
        <w:t>li</w:t>
      </w:r>
      <w:r w:rsidRPr="008D6F4A">
        <w:rPr>
          <w:rFonts w:cs="Segoe UI"/>
          <w:b/>
          <w:noProof/>
          <w:szCs w:val="18"/>
        </w:rPr>
        <w:t xml:space="preserve"> vojenské výdavky, civilné výdavky a dôchodky vojakov</w:t>
      </w:r>
      <w:r w:rsidR="002E1FF0">
        <w:rPr>
          <w:rFonts w:cs="Segoe UI"/>
          <w:b/>
          <w:noProof/>
          <w:szCs w:val="18"/>
        </w:rPr>
        <w:t xml:space="preserve"> </w:t>
      </w:r>
      <w:r w:rsidR="002E1FF0">
        <w:rPr>
          <w:rFonts w:cs="Segoe UI"/>
          <w:noProof/>
          <w:szCs w:val="18"/>
        </w:rPr>
        <w:t xml:space="preserve">(graf </w:t>
      </w:r>
      <w:r w:rsidR="00CC7F31">
        <w:rPr>
          <w:rFonts w:cs="Segoe UI"/>
          <w:noProof/>
          <w:szCs w:val="18"/>
        </w:rPr>
        <w:t>51</w:t>
      </w:r>
      <w:r w:rsidR="002E1FF0">
        <w:rPr>
          <w:rFonts w:cs="Segoe UI"/>
          <w:noProof/>
          <w:szCs w:val="18"/>
        </w:rPr>
        <w:t>)</w:t>
      </w:r>
      <w:r w:rsidRPr="008D6F4A">
        <w:rPr>
          <w:rFonts w:cs="Segoe UI"/>
          <w:b/>
          <w:noProof/>
          <w:szCs w:val="18"/>
        </w:rPr>
        <w:t>.</w:t>
      </w:r>
      <w:r w:rsidRPr="00DA74FD">
        <w:rPr>
          <w:rFonts w:cs="Segoe UI"/>
          <w:noProof/>
          <w:szCs w:val="18"/>
        </w:rPr>
        <w:t xml:space="preserve"> Počet vojakov významne vplýva na celkové obranné výdavky SR. Skutočný počet vojakov SR sa od roku 2014 zvýšil o 26 %</w:t>
      </w:r>
      <w:r w:rsidR="00012258">
        <w:rPr>
          <w:rFonts w:cs="Segoe UI"/>
          <w:noProof/>
          <w:szCs w:val="18"/>
        </w:rPr>
        <w:t>,</w:t>
      </w:r>
      <w:r w:rsidRPr="00DA74FD">
        <w:rPr>
          <w:rFonts w:cs="Segoe UI"/>
          <w:noProof/>
          <w:szCs w:val="18"/>
        </w:rPr>
        <w:t xml:space="preserve"> </w:t>
      </w:r>
      <w:r>
        <w:rPr>
          <w:rFonts w:cs="Segoe UI"/>
          <w:noProof/>
          <w:szCs w:val="18"/>
        </w:rPr>
        <w:t xml:space="preserve">zatiaľ čo v NATO narástol celkom o 4 </w:t>
      </w:r>
      <w:r w:rsidRPr="00EF538E">
        <w:rPr>
          <w:rFonts w:cs="Segoe UI"/>
          <w:noProof/>
          <w:szCs w:val="18"/>
        </w:rPr>
        <w:t xml:space="preserve">% (graf </w:t>
      </w:r>
      <w:r w:rsidR="00CC7F31" w:rsidRPr="00EF538E">
        <w:rPr>
          <w:rFonts w:cs="Segoe UI"/>
          <w:noProof/>
          <w:szCs w:val="18"/>
        </w:rPr>
        <w:t>52</w:t>
      </w:r>
      <w:r w:rsidRPr="00EF538E">
        <w:rPr>
          <w:rFonts w:cs="Segoe UI"/>
          <w:noProof/>
          <w:szCs w:val="18"/>
        </w:rPr>
        <w:t>)</w:t>
      </w:r>
      <w:r w:rsidRPr="002E1FF0">
        <w:rPr>
          <w:rFonts w:cs="Segoe UI"/>
          <w:noProof/>
          <w:szCs w:val="18"/>
        </w:rPr>
        <w:t>.</w:t>
      </w:r>
    </w:p>
    <w:tbl>
      <w:tblPr>
        <w:tblStyle w:val="Mriekatabuky"/>
        <w:tblW w:w="5000" w:type="pct"/>
        <w:tblCellMar>
          <w:left w:w="70" w:type="dxa"/>
          <w:right w:w="70" w:type="dxa"/>
        </w:tblCellMar>
        <w:tblLook w:val="04A0" w:firstRow="1" w:lastRow="0" w:firstColumn="1" w:lastColumn="0" w:noHBand="0" w:noVBand="1"/>
      </w:tblPr>
      <w:tblGrid>
        <w:gridCol w:w="4465"/>
        <w:gridCol w:w="70"/>
        <w:gridCol w:w="4475"/>
        <w:gridCol w:w="60"/>
      </w:tblGrid>
      <w:tr w:rsidR="00AF1A5F" w:rsidRPr="00DA74FD" w14:paraId="056567C4" w14:textId="77777777" w:rsidTr="004035D7">
        <w:trPr>
          <w:trHeight w:val="567"/>
        </w:trPr>
        <w:tc>
          <w:tcPr>
            <w:tcW w:w="2461" w:type="pct"/>
            <w:tcBorders>
              <w:top w:val="nil"/>
              <w:left w:val="nil"/>
              <w:bottom w:val="single" w:sz="4" w:space="0" w:color="314364"/>
              <w:right w:val="nil"/>
            </w:tcBorders>
            <w:vAlign w:val="bottom"/>
          </w:tcPr>
          <w:p w14:paraId="41EB02C5" w14:textId="675C3C57" w:rsidR="00AF1A5F" w:rsidRPr="003D11A6" w:rsidRDefault="00AF1A5F" w:rsidP="00CC7F31">
            <w:pPr>
              <w:spacing w:after="0"/>
              <w:jc w:val="left"/>
              <w:rPr>
                <w:b/>
                <w:noProof/>
                <w:lang w:eastAsia="sk-SK"/>
              </w:rPr>
            </w:pPr>
            <w:r w:rsidRPr="003D11A6">
              <w:rPr>
                <w:b/>
                <w:noProof/>
                <w:color w:val="314364"/>
              </w:rPr>
              <w:t xml:space="preserve">Graf </w:t>
            </w:r>
            <w:r w:rsidR="00CC7F31">
              <w:rPr>
                <w:b/>
                <w:noProof/>
                <w:color w:val="314364"/>
              </w:rPr>
              <w:t>51</w:t>
            </w:r>
            <w:r w:rsidRPr="003D11A6">
              <w:rPr>
                <w:b/>
                <w:noProof/>
                <w:color w:val="314364"/>
              </w:rPr>
              <w:t>: Hlavné kategórie obranných výdavkov SR (2024</w:t>
            </w:r>
            <w:r w:rsidR="00832BC2">
              <w:rPr>
                <w:b/>
                <w:noProof/>
                <w:color w:val="314364"/>
              </w:rPr>
              <w:t>;</w:t>
            </w:r>
            <w:r w:rsidRPr="003D11A6">
              <w:rPr>
                <w:b/>
                <w:noProof/>
                <w:color w:val="314364"/>
              </w:rPr>
              <w:t xml:space="preserve"> % z obranných výdavkov)</w:t>
            </w:r>
          </w:p>
        </w:tc>
        <w:tc>
          <w:tcPr>
            <w:tcW w:w="2539" w:type="pct"/>
            <w:gridSpan w:val="3"/>
            <w:tcBorders>
              <w:top w:val="nil"/>
              <w:left w:val="nil"/>
              <w:bottom w:val="single" w:sz="4" w:space="0" w:color="314364"/>
              <w:right w:val="nil"/>
            </w:tcBorders>
            <w:vAlign w:val="bottom"/>
          </w:tcPr>
          <w:p w14:paraId="6FD62564" w14:textId="682F26B5" w:rsidR="00AF1A5F" w:rsidRPr="003D11A6" w:rsidRDefault="00AF1A5F" w:rsidP="00CC7F31">
            <w:pPr>
              <w:spacing w:after="0"/>
              <w:jc w:val="left"/>
              <w:rPr>
                <w:b/>
                <w:noProof/>
                <w:lang w:eastAsia="sk-SK"/>
              </w:rPr>
            </w:pPr>
            <w:r w:rsidRPr="003D11A6">
              <w:rPr>
                <w:b/>
                <w:noProof/>
                <w:color w:val="314364"/>
              </w:rPr>
              <w:t xml:space="preserve">Graf </w:t>
            </w:r>
            <w:r w:rsidR="00CC7F31">
              <w:rPr>
                <w:b/>
                <w:noProof/>
                <w:color w:val="314364"/>
              </w:rPr>
              <w:t>52</w:t>
            </w:r>
            <w:r w:rsidRPr="003D11A6">
              <w:rPr>
                <w:b/>
                <w:noProof/>
                <w:color w:val="314364"/>
              </w:rPr>
              <w:t>: Vývoj počtu vojakov (</w:t>
            </w:r>
            <w:r w:rsidR="00832BC2">
              <w:rPr>
                <w:b/>
                <w:noProof/>
                <w:color w:val="314364"/>
              </w:rPr>
              <w:t xml:space="preserve">v </w:t>
            </w:r>
            <w:r w:rsidRPr="003D11A6">
              <w:rPr>
                <w:b/>
                <w:noProof/>
                <w:color w:val="314364"/>
              </w:rPr>
              <w:t>tis. osôb)</w:t>
            </w:r>
          </w:p>
        </w:tc>
      </w:tr>
      <w:tr w:rsidR="00AF1A5F" w:rsidRPr="00DA74FD" w14:paraId="0C0189E4" w14:textId="77777777" w:rsidTr="004035D7">
        <w:trPr>
          <w:gridAfter w:val="1"/>
          <w:wAfter w:w="33" w:type="pct"/>
          <w:trHeight w:val="3118"/>
        </w:trPr>
        <w:tc>
          <w:tcPr>
            <w:tcW w:w="2500" w:type="pct"/>
            <w:gridSpan w:val="2"/>
            <w:tcBorders>
              <w:top w:val="single" w:sz="4" w:space="0" w:color="314364"/>
              <w:left w:val="nil"/>
              <w:bottom w:val="single" w:sz="4" w:space="0" w:color="314364"/>
              <w:right w:val="single" w:sz="4" w:space="0" w:color="auto"/>
            </w:tcBorders>
            <w:vAlign w:val="center"/>
          </w:tcPr>
          <w:p w14:paraId="4F6BBB39" w14:textId="77777777" w:rsidR="003316F3" w:rsidRPr="00DA74FD" w:rsidRDefault="003316F3" w:rsidP="003D11A6">
            <w:pPr>
              <w:spacing w:after="0"/>
              <w:rPr>
                <w:b/>
                <w:noProof/>
                <w:color w:val="576431"/>
              </w:rPr>
            </w:pPr>
            <w:r>
              <w:rPr>
                <w:noProof/>
                <w:lang w:eastAsia="sk-SK"/>
              </w:rPr>
              <w:drawing>
                <wp:inline distT="0" distB="0" distL="0" distR="0" wp14:anchorId="0A3E457E" wp14:editId="38D361E2">
                  <wp:extent cx="2790825" cy="1980000"/>
                  <wp:effectExtent l="0" t="0" r="0" b="1270"/>
                  <wp:docPr id="490184497" name="Graf 1">
                    <a:extLst xmlns:a="http://schemas.openxmlformats.org/drawingml/2006/main">
                      <a:ext uri="{FF2B5EF4-FFF2-40B4-BE49-F238E27FC236}">
                        <a16:creationId xmlns:a16="http://schemas.microsoft.com/office/drawing/2014/main" id="{F9CE02F7-5A66-49FC-8C19-87685EB445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2467" w:type="pct"/>
            <w:tcBorders>
              <w:top w:val="single" w:sz="4" w:space="0" w:color="314364"/>
              <w:left w:val="single" w:sz="4" w:space="0" w:color="auto"/>
              <w:bottom w:val="single" w:sz="4" w:space="0" w:color="314364"/>
              <w:right w:val="nil"/>
            </w:tcBorders>
            <w:hideMark/>
          </w:tcPr>
          <w:p w14:paraId="72FA6BAC" w14:textId="77777777" w:rsidR="003316F3" w:rsidRPr="00DA74FD" w:rsidRDefault="003316F3" w:rsidP="003D11A6">
            <w:pPr>
              <w:spacing w:after="0"/>
              <w:rPr>
                <w:b/>
                <w:noProof/>
                <w:color w:val="576431"/>
              </w:rPr>
            </w:pPr>
            <w:r>
              <w:rPr>
                <w:noProof/>
                <w:lang w:eastAsia="sk-SK"/>
              </w:rPr>
              <w:drawing>
                <wp:inline distT="0" distB="0" distL="0" distR="0" wp14:anchorId="23F8BD22" wp14:editId="205EE788">
                  <wp:extent cx="2752725" cy="1980000"/>
                  <wp:effectExtent l="0" t="0" r="0" b="1270"/>
                  <wp:docPr id="2091595001" name="Graf 1">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bl>
    <w:p w14:paraId="1A8ED2D8" w14:textId="7777703F" w:rsidR="0056729C" w:rsidRDefault="003316F3" w:rsidP="00FD2B69">
      <w:pPr>
        <w:pStyle w:val="Zdroj"/>
        <w:rPr>
          <w:noProof/>
        </w:rPr>
      </w:pPr>
      <w:r w:rsidRPr="00DA74FD">
        <w:rPr>
          <w:noProof/>
        </w:rPr>
        <w:t>Zdroj: NATO</w:t>
      </w:r>
      <w:r w:rsidR="00C10075">
        <w:rPr>
          <w:noProof/>
        </w:rPr>
        <w:t>;</w:t>
      </w:r>
      <w:r w:rsidRPr="00DA74FD">
        <w:rPr>
          <w:noProof/>
        </w:rPr>
        <w:t xml:space="preserve"> spracovanie NKÚ SR.</w:t>
      </w:r>
    </w:p>
    <w:p w14:paraId="6C228645" w14:textId="77777777" w:rsidR="004035D7" w:rsidRDefault="004035D7" w:rsidP="004035D7">
      <w:pPr>
        <w:rPr>
          <w:rFonts w:cs="Segoe UI"/>
          <w:noProof/>
          <w:szCs w:val="20"/>
        </w:rPr>
      </w:pPr>
      <w:r w:rsidRPr="00012258">
        <w:rPr>
          <w:rFonts w:cs="Segoe UI"/>
          <w:b/>
          <w:noProof/>
          <w:szCs w:val="20"/>
        </w:rPr>
        <w:lastRenderedPageBreak/>
        <w:t>Vláda SR v roku 2024 schválila zvýšenie celkového počtu vojakov o 266 profesionálnych vojakov oproti roku 2022.</w:t>
      </w:r>
      <w:r w:rsidRPr="00B54BD4">
        <w:rPr>
          <w:rFonts w:cs="Segoe UI"/>
          <w:noProof/>
          <w:szCs w:val="20"/>
        </w:rPr>
        <w:t xml:space="preserve"> Celkový tabuľkový stav vojakov je po zmenách navýšený na 20 982. V</w:t>
      </w:r>
      <w:r>
        <w:rPr>
          <w:rFonts w:cs="Segoe UI"/>
          <w:noProof/>
          <w:szCs w:val="20"/>
        </w:rPr>
        <w:t> </w:t>
      </w:r>
      <w:r w:rsidRPr="00B54BD4">
        <w:rPr>
          <w:rFonts w:cs="Segoe UI"/>
          <w:noProof/>
          <w:szCs w:val="20"/>
        </w:rPr>
        <w:t>O</w:t>
      </w:r>
      <w:r>
        <w:rPr>
          <w:rFonts w:cs="Segoe UI"/>
          <w:noProof/>
          <w:szCs w:val="20"/>
        </w:rPr>
        <w:t>zbrojených silách</w:t>
      </w:r>
      <w:r w:rsidRPr="00B54BD4">
        <w:rPr>
          <w:rFonts w:cs="Segoe UI"/>
          <w:noProof/>
          <w:szCs w:val="20"/>
        </w:rPr>
        <w:t xml:space="preserve"> SR je však dlhodobo vysoký počet neobsadených miest. Podľa G</w:t>
      </w:r>
      <w:r>
        <w:rPr>
          <w:rFonts w:cs="Segoe UI"/>
          <w:noProof/>
          <w:szCs w:val="20"/>
        </w:rPr>
        <w:t>enerálneho štábu Ozbrojených síl</w:t>
      </w:r>
      <w:r w:rsidRPr="00B54BD4">
        <w:rPr>
          <w:rFonts w:cs="Segoe UI"/>
          <w:noProof/>
          <w:szCs w:val="20"/>
        </w:rPr>
        <w:t xml:space="preserve"> SR koncom roka 2024 bolo neobsadených 4</w:t>
      </w:r>
      <w:r>
        <w:rPr>
          <w:rFonts w:cs="Segoe UI"/>
          <w:noProof/>
          <w:szCs w:val="20"/>
        </w:rPr>
        <w:t xml:space="preserve"> </w:t>
      </w:r>
      <w:r w:rsidRPr="00B54BD4">
        <w:rPr>
          <w:rFonts w:cs="Segoe UI"/>
          <w:noProof/>
          <w:szCs w:val="20"/>
        </w:rPr>
        <w:t>907 tabuľkových miest.</w:t>
      </w:r>
    </w:p>
    <w:p w14:paraId="5E68C462" w14:textId="793E35BA" w:rsidR="004035D7" w:rsidRDefault="004035D7" w:rsidP="004035D7">
      <w:pPr>
        <w:rPr>
          <w:rFonts w:cs="Segoe UI"/>
          <w:noProof/>
          <w:szCs w:val="20"/>
        </w:rPr>
      </w:pPr>
      <w:r w:rsidRPr="004035D7">
        <w:rPr>
          <w:rFonts w:cs="Segoe UI"/>
          <w:b/>
          <w:noProof/>
          <w:szCs w:val="20"/>
        </w:rPr>
        <w:t xml:space="preserve">MO SR dosiahlo v rámci kapitálových výdavkov ŠR najväčší podiel na nákupe strojov, prístrojov, zariadení a techniky vo výške 79,5 % </w:t>
      </w:r>
      <w:r w:rsidRPr="004035D7">
        <w:rPr>
          <w:rFonts w:cs="Segoe UI"/>
          <w:noProof/>
          <w:szCs w:val="20"/>
        </w:rPr>
        <w:t>(422 mil. eur)</w:t>
      </w:r>
      <w:r w:rsidRPr="004035D7">
        <w:rPr>
          <w:rFonts w:cs="Segoe UI"/>
          <w:b/>
          <w:noProof/>
          <w:szCs w:val="20"/>
        </w:rPr>
        <w:t xml:space="preserve">. </w:t>
      </w:r>
      <w:r w:rsidRPr="004035D7">
        <w:rPr>
          <w:rFonts w:cs="Segoe UI"/>
          <w:noProof/>
          <w:szCs w:val="20"/>
        </w:rPr>
        <w:t>Potreba modernizácie vybavenia Ozbrojených síl SR vznikla z dôvodu investičného dlhu naakumulovaného v období pred rokom 2019, charakterizovanom nízkymi investíciami do obrany, ako aj darovaním hlavných bojových systémov a munície Ukrajine (box 8). SR odstraňovaním tohto investičného dlhu aj v roku 2024 pokračovala v modernizácii svojich Ozbrojených síl.</w:t>
      </w:r>
    </w:p>
    <w:tbl>
      <w:tblPr>
        <w:tblStyle w:val="Mriekatabuky"/>
        <w:tblW w:w="0" w:type="auto"/>
        <w:tblBorders>
          <w:top w:val="single" w:sz="4" w:space="0" w:color="314364" w:themeColor="text2"/>
          <w:left w:val="single" w:sz="4" w:space="0" w:color="314364" w:themeColor="text2"/>
          <w:bottom w:val="single" w:sz="4" w:space="0" w:color="314364" w:themeColor="text2"/>
          <w:right w:val="single" w:sz="4" w:space="0" w:color="314364" w:themeColor="text2"/>
          <w:insideH w:val="none" w:sz="0" w:space="0" w:color="auto"/>
          <w:insideV w:val="none" w:sz="0" w:space="0" w:color="auto"/>
        </w:tblBorders>
        <w:shd w:val="clear" w:color="auto" w:fill="EBF0FB" w:themeFill="background2" w:themeFillTint="33"/>
        <w:tblLook w:val="04A0" w:firstRow="1" w:lastRow="0" w:firstColumn="1" w:lastColumn="0" w:noHBand="0" w:noVBand="1"/>
      </w:tblPr>
      <w:tblGrid>
        <w:gridCol w:w="9060"/>
      </w:tblGrid>
      <w:tr w:rsidR="00946D6F" w14:paraId="1E929352" w14:textId="77777777" w:rsidTr="00946D6F">
        <w:tc>
          <w:tcPr>
            <w:tcW w:w="9060" w:type="dxa"/>
            <w:shd w:val="clear" w:color="auto" w:fill="EBF0FB" w:themeFill="background2" w:themeFillTint="33"/>
          </w:tcPr>
          <w:p w14:paraId="0DE152ED" w14:textId="77777777" w:rsidR="00946D6F" w:rsidRPr="00DA74FD" w:rsidRDefault="00946D6F" w:rsidP="00946D6F">
            <w:pPr>
              <w:spacing w:before="120"/>
              <w:rPr>
                <w:b/>
                <w:noProof/>
                <w:szCs w:val="18"/>
              </w:rPr>
            </w:pPr>
            <w:r w:rsidRPr="00DA74FD">
              <w:rPr>
                <w:b/>
                <w:noProof/>
                <w:szCs w:val="18"/>
              </w:rPr>
              <w:t xml:space="preserve">BOX </w:t>
            </w:r>
            <w:r>
              <w:rPr>
                <w:b/>
                <w:noProof/>
                <w:szCs w:val="18"/>
              </w:rPr>
              <w:t>8</w:t>
            </w:r>
            <w:r w:rsidRPr="00DA74FD">
              <w:rPr>
                <w:b/>
                <w:noProof/>
                <w:szCs w:val="18"/>
              </w:rPr>
              <w:t>: Netransparentnosť a rozdiely v oceňovaní darovaného majetku</w:t>
            </w:r>
          </w:p>
          <w:p w14:paraId="183715CF" w14:textId="77777777" w:rsidR="00946D6F" w:rsidRPr="00DA74FD" w:rsidRDefault="00946D6F" w:rsidP="00946D6F">
            <w:pPr>
              <w:pStyle w:val="Zkladntext0"/>
              <w:spacing w:after="120"/>
              <w:jc w:val="both"/>
              <w:rPr>
                <w:rFonts w:ascii="Segoe UI" w:eastAsia="Times New Roman" w:hAnsi="Segoe UI" w:cs="Segoe UI"/>
                <w:b/>
                <w:bCs/>
                <w:noProof/>
                <w:sz w:val="18"/>
                <w:szCs w:val="18"/>
              </w:rPr>
            </w:pPr>
            <w:r w:rsidRPr="00DA74FD">
              <w:rPr>
                <w:rFonts w:ascii="Segoe UI" w:eastAsia="Times New Roman" w:hAnsi="Segoe UI" w:cs="Segoe UI"/>
                <w:noProof/>
                <w:sz w:val="18"/>
                <w:szCs w:val="18"/>
              </w:rPr>
              <w:t>NKÚ SR v roku 2024 vykonal kontrolu s názvom Darovanie hnuteľného majetku vojenskej povahy Ukrajine</w:t>
            </w:r>
            <w:r>
              <w:rPr>
                <w:rStyle w:val="Odkaznapoznmkupodiarou"/>
                <w:rFonts w:ascii="Segoe UI" w:eastAsia="Times New Roman" w:hAnsi="Segoe UI" w:cs="Segoe UI"/>
                <w:noProof/>
                <w:sz w:val="18"/>
                <w:szCs w:val="18"/>
              </w:rPr>
              <w:footnoteReference w:id="43"/>
            </w:r>
            <w:r w:rsidRPr="00DA74FD">
              <w:rPr>
                <w:rFonts w:ascii="Segoe UI" w:eastAsia="Times New Roman" w:hAnsi="Segoe UI" w:cs="Segoe UI"/>
                <w:noProof/>
                <w:sz w:val="18"/>
                <w:szCs w:val="18"/>
              </w:rPr>
              <w:t xml:space="preserve"> za obdobie rokov 2022 až 2023. Zistil, že organizačné zložky rezortu MO SR predkladali NKÚ SR nejednotné dokumenty k darovanému materiálu z dôvodu ich vzájomného nespolupracovania, nevedomosti a neinformovanosti o skutočnom plnení. K zmenám </w:t>
            </w:r>
            <w:r>
              <w:rPr>
                <w:rFonts w:ascii="Segoe UI" w:eastAsia="Times New Roman" w:hAnsi="Segoe UI" w:cs="Segoe UI"/>
                <w:noProof/>
                <w:sz w:val="18"/>
                <w:szCs w:val="18"/>
              </w:rPr>
              <w:t xml:space="preserve">údajoch </w:t>
            </w:r>
            <w:r w:rsidRPr="00DA74FD">
              <w:rPr>
                <w:rFonts w:ascii="Segoe UI" w:eastAsia="Times New Roman" w:hAnsi="Segoe UI" w:cs="Segoe UI"/>
                <w:noProof/>
                <w:sz w:val="18"/>
                <w:szCs w:val="18"/>
              </w:rPr>
              <w:t>zo strany MO SR dochádzalo najmä po upozorneniach NKÚ SR, že v daných materiáloch a tabuľkových prehľadoch, predložených ku kontrole, sú logické chyby. Táto skutočnosť vo výsledku jednoznačne demonštruje nedostatočnú spoluprácu jednotlivých aktérov v rámci celého rezortu MO SR, ktorí boli primárne zodpovední za zabezpečenie procesných úkonov na úspešné zvládnutie darovania vojenského materiálu na Ukrajinu a jeho následné preplatenie cez Európsky mierový nástroj (EPF). Vo výsledku NKÚ SR nenadobudol uistenie, že zostava výsledných dát, resp. zoznam schváleného materiálu, ktorý EPF odsúhlasil na preplatenie SR, je správny, korektný a bez výskytu akýchkoľvek ďalších chýb, ktoré by v konečnom dôsledku ovplyvnili výšku výslednej sumy určenej na preplatenie SR za darovaný vojenský materiál Ukrajine v rokoch 2022</w:t>
            </w:r>
            <w:r>
              <w:rPr>
                <w:rFonts w:ascii="Segoe UI" w:eastAsia="Times New Roman" w:hAnsi="Segoe UI" w:cs="Segoe UI"/>
                <w:noProof/>
                <w:sz w:val="18"/>
                <w:szCs w:val="18"/>
              </w:rPr>
              <w:t xml:space="preserve"> a </w:t>
            </w:r>
            <w:r w:rsidRPr="00DA74FD">
              <w:rPr>
                <w:rFonts w:ascii="Segoe UI" w:eastAsia="Times New Roman" w:hAnsi="Segoe UI" w:cs="Segoe UI"/>
                <w:noProof/>
                <w:sz w:val="18"/>
                <w:szCs w:val="18"/>
              </w:rPr>
              <w:t xml:space="preserve">2023. </w:t>
            </w:r>
            <w:r w:rsidRPr="00DA74FD">
              <w:rPr>
                <w:rFonts w:ascii="Segoe UI" w:eastAsia="Times New Roman" w:hAnsi="Segoe UI" w:cs="Segoe UI"/>
                <w:b/>
                <w:bCs/>
                <w:noProof/>
                <w:sz w:val="18"/>
                <w:szCs w:val="18"/>
              </w:rPr>
              <w:t>SR by za darovaný vojenský materiál mohla z EPF získať sumu v celkovej výške 327 mil. eur. Ku dňu ukončenia kontroly SR z EPF získala 82,1 mil. eur.</w:t>
            </w:r>
            <w:r>
              <w:rPr>
                <w:rFonts w:ascii="Segoe UI" w:eastAsia="Times New Roman" w:hAnsi="Segoe UI" w:cs="Segoe UI"/>
                <w:b/>
                <w:bCs/>
                <w:noProof/>
                <w:sz w:val="18"/>
                <w:szCs w:val="18"/>
              </w:rPr>
              <w:t xml:space="preserve"> </w:t>
            </w:r>
          </w:p>
          <w:p w14:paraId="144C5329" w14:textId="77777777" w:rsidR="00946D6F" w:rsidRDefault="00946D6F" w:rsidP="00946D6F">
            <w:pPr>
              <w:pStyle w:val="Zkladntext0"/>
              <w:spacing w:after="120"/>
              <w:jc w:val="both"/>
              <w:rPr>
                <w:rFonts w:ascii="Segoe UI" w:eastAsia="Times New Roman" w:hAnsi="Segoe UI" w:cs="Segoe UI"/>
                <w:noProof/>
                <w:sz w:val="18"/>
                <w:szCs w:val="18"/>
              </w:rPr>
            </w:pPr>
            <w:r w:rsidRPr="00DA74FD">
              <w:rPr>
                <w:rFonts w:ascii="Segoe UI" w:eastAsia="Times New Roman" w:hAnsi="Segoe UI" w:cs="Segoe UI"/>
                <w:noProof/>
                <w:sz w:val="18"/>
                <w:szCs w:val="18"/>
              </w:rPr>
              <w:t xml:space="preserve">ŠÚ SR zorganizoval v septembri 2023 medzinárodné stretnutie k postupu pri nadmernom deficite. Na ňom informoval, že na základe komunikácie s MO SR sa zaoberal odhadom hodnoty štyroch najväčších položiek, ktoré boli predmetom darovania: stíhacie lietadlá MiG-29, protivzdušný systém S-300, bojové vozidlá pechoty BVP-1 a protivzdušný systém KUB. </w:t>
            </w:r>
            <w:r w:rsidRPr="00DA74FD">
              <w:rPr>
                <w:rFonts w:ascii="Segoe UI" w:eastAsia="Times New Roman" w:hAnsi="Segoe UI" w:cs="Segoe UI"/>
                <w:b/>
                <w:bCs/>
                <w:noProof/>
                <w:sz w:val="18"/>
                <w:szCs w:val="18"/>
              </w:rPr>
              <w:t>ŠÚ SR ocenil tento darovaný majetok dvoma spôsobmi: A – 1 827 mil. eur, B – 5 013 mil. eur</w:t>
            </w:r>
            <w:r>
              <w:rPr>
                <w:rFonts w:ascii="Segoe UI" w:eastAsia="Times New Roman" w:hAnsi="Segoe UI" w:cs="Segoe UI"/>
                <w:b/>
                <w:bCs/>
                <w:noProof/>
                <w:sz w:val="18"/>
                <w:szCs w:val="18"/>
              </w:rPr>
              <w:t>, pričom</w:t>
            </w:r>
            <w:r w:rsidRPr="00DA74FD">
              <w:rPr>
                <w:rFonts w:ascii="Segoe UI" w:eastAsia="Times New Roman" w:hAnsi="Segoe UI" w:cs="Segoe UI"/>
                <w:b/>
                <w:bCs/>
                <w:noProof/>
                <w:sz w:val="18"/>
                <w:szCs w:val="18"/>
              </w:rPr>
              <w:t> na zapracovanie do sústavy národných účtov zvolil hodnotu A – 1 827 mil. eur. MO SR tento majetok pri komunikácii z EPF ocenilo priemernou cenou</w:t>
            </w:r>
            <w:r>
              <w:rPr>
                <w:rFonts w:ascii="Segoe UI" w:eastAsia="Times New Roman" w:hAnsi="Segoe UI" w:cs="Segoe UI"/>
                <w:b/>
                <w:bCs/>
                <w:noProof/>
                <w:sz w:val="18"/>
                <w:szCs w:val="18"/>
              </w:rPr>
              <w:t>,</w:t>
            </w:r>
            <w:r w:rsidRPr="00DA74FD">
              <w:rPr>
                <w:rFonts w:ascii="Segoe UI" w:eastAsia="Times New Roman" w:hAnsi="Segoe UI" w:cs="Segoe UI"/>
                <w:b/>
                <w:bCs/>
                <w:noProof/>
                <w:sz w:val="18"/>
                <w:szCs w:val="18"/>
              </w:rPr>
              <w:t xml:space="preserve"> vypočítanou z obstarávacích cien</w:t>
            </w:r>
            <w:r>
              <w:rPr>
                <w:rFonts w:ascii="Segoe UI" w:eastAsia="Times New Roman" w:hAnsi="Segoe UI" w:cs="Segoe UI"/>
                <w:b/>
                <w:bCs/>
                <w:noProof/>
                <w:sz w:val="18"/>
                <w:szCs w:val="18"/>
              </w:rPr>
              <w:t>,</w:t>
            </w:r>
            <w:r w:rsidRPr="00DA74FD">
              <w:rPr>
                <w:rFonts w:ascii="Segoe UI" w:eastAsia="Times New Roman" w:hAnsi="Segoe UI" w:cs="Segoe UI"/>
                <w:b/>
                <w:bCs/>
                <w:noProof/>
                <w:sz w:val="18"/>
                <w:szCs w:val="18"/>
              </w:rPr>
              <w:t xml:space="preserve"> v celkovej sume 575 mil. eur.</w:t>
            </w:r>
          </w:p>
          <w:p w14:paraId="1B72CF97" w14:textId="4F1EFEC5" w:rsidR="00946D6F" w:rsidRDefault="00946D6F" w:rsidP="00946D6F">
            <w:pPr>
              <w:spacing w:before="120"/>
              <w:rPr>
                <w:rFonts w:cs="Segoe UI"/>
                <w:noProof/>
                <w:szCs w:val="20"/>
              </w:rPr>
            </w:pPr>
            <w:r w:rsidRPr="00DA74FD">
              <w:rPr>
                <w:rFonts w:eastAsia="Times New Roman" w:cs="Segoe UI"/>
                <w:noProof/>
                <w:sz w:val="18"/>
                <w:szCs w:val="18"/>
              </w:rPr>
              <w:t>Do EPF bolo možné nahlasovať vojenský materiál a techniku buď v účtovných cenách alebo v trhových cenách. MO SR nahlasovalo celkový materiál po jednotlivých položkách v účtovných cenách. NKÚ SR zistil, že MO SR nevyužilo možnosť ohodnotiť hlavne vojenskú techniku a zbraňové systémy na základe znaleckých posudkov v trhových cenách. Zároveň nebola ani realizovaná analýza posúdenia výhodnosti jednotlivých princípov oceňovania.</w:t>
            </w:r>
            <w:r w:rsidRPr="00DA74FD">
              <w:rPr>
                <w:rFonts w:eastAsia="Times New Roman" w:cs="Segoe UI"/>
                <w:b/>
                <w:bCs/>
                <w:noProof/>
                <w:sz w:val="18"/>
                <w:szCs w:val="18"/>
              </w:rPr>
              <w:t xml:space="preserve"> V rámci uvedených štyroch najvýznamnejších položiek je rozdiel medzi sumou, ktorú si ŠÚ SR zvolil na zapracovanie do sústavy národných účtov a sumou, ktorú MO SR komunikovalo s EPF vo výške 1 252 mil. eur. SR týmto postupom stratila možnosť získania významne vyšších kompenzácií v rámci EPF. Ak by bol použitý rovnaký postup EPF </w:t>
            </w:r>
            <w:r>
              <w:rPr>
                <w:rFonts w:eastAsia="Times New Roman" w:cs="Segoe UI"/>
                <w:b/>
                <w:bCs/>
                <w:noProof/>
                <w:sz w:val="18"/>
                <w:szCs w:val="18"/>
              </w:rPr>
              <w:t xml:space="preserve">ako doteraz </w:t>
            </w:r>
            <w:r w:rsidRPr="001734A5">
              <w:rPr>
                <w:rFonts w:eastAsia="Times New Roman" w:cs="Segoe UI"/>
                <w:bCs/>
                <w:noProof/>
                <w:sz w:val="18"/>
                <w:szCs w:val="18"/>
              </w:rPr>
              <w:t>(podiel 48,64 %)</w:t>
            </w:r>
            <w:r>
              <w:rPr>
                <w:rFonts w:eastAsia="Times New Roman" w:cs="Segoe UI"/>
                <w:b/>
                <w:bCs/>
                <w:noProof/>
                <w:sz w:val="18"/>
                <w:szCs w:val="18"/>
              </w:rPr>
              <w:t>,</w:t>
            </w:r>
            <w:r w:rsidRPr="00DA74FD">
              <w:rPr>
                <w:rFonts w:eastAsia="Times New Roman" w:cs="Segoe UI"/>
                <w:b/>
                <w:bCs/>
                <w:noProof/>
                <w:sz w:val="18"/>
                <w:szCs w:val="18"/>
              </w:rPr>
              <w:t xml:space="preserve"> SR mohla v rámci kompenzácií získať nie 327 mil. eur, ale 889 mil. eur, teda o 562 mil. eur viac.</w:t>
            </w:r>
          </w:p>
        </w:tc>
      </w:tr>
    </w:tbl>
    <w:p w14:paraId="05449456" w14:textId="7CE548B9" w:rsidR="00B92738" w:rsidRPr="00DA74FD" w:rsidRDefault="00B92738" w:rsidP="001734A5">
      <w:pPr>
        <w:spacing w:before="120"/>
        <w:rPr>
          <w:noProof/>
          <w:szCs w:val="20"/>
        </w:rPr>
      </w:pPr>
      <w:r w:rsidRPr="00DA5C78">
        <w:rPr>
          <w:rFonts w:cs="Segoe UI"/>
          <w:b/>
          <w:bCs/>
          <w:noProof/>
          <w:szCs w:val="20"/>
        </w:rPr>
        <w:t xml:space="preserve">Výdavky na nákup výzbroje </w:t>
      </w:r>
      <w:r w:rsidRPr="006776E5">
        <w:rPr>
          <w:rFonts w:cs="Segoe UI"/>
          <w:bCs/>
          <w:noProof/>
          <w:szCs w:val="20"/>
        </w:rPr>
        <w:t>(podľa kritérií NATO)</w:t>
      </w:r>
      <w:r w:rsidRPr="00DA5C78">
        <w:rPr>
          <w:rFonts w:cs="Segoe UI"/>
          <w:b/>
          <w:bCs/>
          <w:noProof/>
          <w:szCs w:val="20"/>
        </w:rPr>
        <w:t xml:space="preserve"> dosiahli 35,35 </w:t>
      </w:r>
      <w:r w:rsidRPr="00EF538E">
        <w:rPr>
          <w:rFonts w:cs="Segoe UI"/>
          <w:b/>
          <w:bCs/>
          <w:noProof/>
          <w:szCs w:val="20"/>
        </w:rPr>
        <w:t>%, čím bol prekročený plán o 29,3 %.</w:t>
      </w:r>
      <w:r w:rsidRPr="00EF538E">
        <w:rPr>
          <w:rFonts w:cs="Segoe UI"/>
          <w:noProof/>
          <w:szCs w:val="20"/>
        </w:rPr>
        <w:t xml:space="preserve"> </w:t>
      </w:r>
      <w:r>
        <w:rPr>
          <w:noProof/>
          <w:szCs w:val="20"/>
        </w:rPr>
        <w:t xml:space="preserve">SR v súčasnosti realizuje obranné nákupy </w:t>
      </w:r>
      <w:r w:rsidR="006776E5">
        <w:rPr>
          <w:noProof/>
          <w:szCs w:val="20"/>
        </w:rPr>
        <w:t>(tabuľka 2</w:t>
      </w:r>
      <w:r w:rsidR="002E1FF0">
        <w:rPr>
          <w:noProof/>
          <w:szCs w:val="20"/>
        </w:rPr>
        <w:t>3</w:t>
      </w:r>
      <w:r w:rsidR="006776E5">
        <w:rPr>
          <w:noProof/>
          <w:szCs w:val="20"/>
        </w:rPr>
        <w:t>)</w:t>
      </w:r>
      <w:r w:rsidR="002E1FF0">
        <w:rPr>
          <w:noProof/>
          <w:szCs w:val="20"/>
        </w:rPr>
        <w:t xml:space="preserve"> </w:t>
      </w:r>
      <w:r>
        <w:rPr>
          <w:noProof/>
          <w:szCs w:val="20"/>
        </w:rPr>
        <w:t>v celkovej hodnote prevyšujúcej 6 mld. eur (</w:t>
      </w:r>
      <w:r w:rsidR="006776E5">
        <w:rPr>
          <w:noProof/>
          <w:szCs w:val="20"/>
        </w:rPr>
        <w:t>z časti už uhradené preddavky).</w:t>
      </w:r>
    </w:p>
    <w:p w14:paraId="32FB52DA" w14:textId="2DA581C3" w:rsidR="00B92738" w:rsidRPr="00DA74FD" w:rsidRDefault="00B92738" w:rsidP="00B92738">
      <w:pPr>
        <w:spacing w:after="0"/>
        <w:rPr>
          <w:rFonts w:eastAsia="Calibri" w:cs="Times New Roman"/>
          <w:b/>
          <w:noProof/>
          <w:color w:val="314364" w:themeColor="text2"/>
          <w:szCs w:val="18"/>
        </w:rPr>
      </w:pPr>
      <w:r w:rsidRPr="002E1FF0">
        <w:rPr>
          <w:rFonts w:eastAsia="Calibri" w:cs="Times New Roman"/>
          <w:b/>
          <w:noProof/>
          <w:color w:val="314364" w:themeColor="text2"/>
          <w:szCs w:val="18"/>
        </w:rPr>
        <w:lastRenderedPageBreak/>
        <w:t>Tabuľka 2</w:t>
      </w:r>
      <w:r w:rsidR="002E1FF0" w:rsidRPr="002E1FF0">
        <w:rPr>
          <w:rFonts w:eastAsia="Calibri" w:cs="Times New Roman"/>
          <w:b/>
          <w:noProof/>
          <w:color w:val="314364" w:themeColor="text2"/>
          <w:szCs w:val="18"/>
        </w:rPr>
        <w:t>3</w:t>
      </w:r>
      <w:r w:rsidRPr="002E1FF0">
        <w:rPr>
          <w:rFonts w:eastAsia="Calibri" w:cs="Times New Roman"/>
          <w:b/>
          <w:noProof/>
          <w:color w:val="314364" w:themeColor="text2"/>
          <w:szCs w:val="18"/>
        </w:rPr>
        <w:t>: Najväčšie prebiehajúce obranné nákupy SR</w:t>
      </w:r>
    </w:p>
    <w:tbl>
      <w:tblPr>
        <w:tblW w:w="5000" w:type="pct"/>
        <w:tblBorders>
          <w:insideH w:val="single" w:sz="4" w:space="0" w:color="314364" w:themeColor="text2"/>
        </w:tblBorders>
        <w:tblCellMar>
          <w:left w:w="70" w:type="dxa"/>
          <w:right w:w="70" w:type="dxa"/>
        </w:tblCellMar>
        <w:tblLook w:val="04A0" w:firstRow="1" w:lastRow="0" w:firstColumn="1" w:lastColumn="0" w:noHBand="0" w:noVBand="1"/>
      </w:tblPr>
      <w:tblGrid>
        <w:gridCol w:w="1985"/>
        <w:gridCol w:w="4459"/>
        <w:gridCol w:w="1168"/>
        <w:gridCol w:w="1458"/>
      </w:tblGrid>
      <w:tr w:rsidR="00B92738" w:rsidRPr="00030BD9" w14:paraId="55CF800B" w14:textId="77777777" w:rsidTr="00BD2C70">
        <w:trPr>
          <w:trHeight w:val="283"/>
        </w:trPr>
        <w:tc>
          <w:tcPr>
            <w:tcW w:w="1094" w:type="pct"/>
            <w:shd w:val="clear" w:color="auto" w:fill="314364" w:themeFill="text2"/>
            <w:vAlign w:val="center"/>
            <w:hideMark/>
          </w:tcPr>
          <w:p w14:paraId="6EA64418" w14:textId="77777777" w:rsidR="00B92738" w:rsidRPr="00030BD9" w:rsidRDefault="00B92738" w:rsidP="003D11A6">
            <w:pPr>
              <w:spacing w:after="0"/>
              <w:jc w:val="left"/>
              <w:rPr>
                <w:rFonts w:eastAsia="Times New Roman" w:cs="Segoe UI"/>
                <w:b/>
                <w:noProof/>
                <w:color w:val="FFFFFF" w:themeColor="background1"/>
                <w:sz w:val="16"/>
                <w:szCs w:val="16"/>
                <w:lang w:eastAsia="sk-SK"/>
              </w:rPr>
            </w:pPr>
            <w:r w:rsidRPr="00030BD9">
              <w:rPr>
                <w:rFonts w:eastAsia="Times New Roman" w:cs="Segoe UI"/>
                <w:b/>
                <w:noProof/>
                <w:color w:val="FFFFFF" w:themeColor="background1"/>
                <w:sz w:val="16"/>
                <w:szCs w:val="16"/>
                <w:lang w:eastAsia="sk-SK"/>
              </w:rPr>
              <w:t>Nákup</w:t>
            </w:r>
          </w:p>
        </w:tc>
        <w:tc>
          <w:tcPr>
            <w:tcW w:w="2458" w:type="pct"/>
            <w:shd w:val="clear" w:color="auto" w:fill="314364" w:themeFill="text2"/>
            <w:vAlign w:val="center"/>
            <w:hideMark/>
          </w:tcPr>
          <w:p w14:paraId="7B8F30D2" w14:textId="77777777" w:rsidR="00B92738" w:rsidRPr="00030BD9" w:rsidRDefault="00B92738" w:rsidP="003D11A6">
            <w:pPr>
              <w:spacing w:after="0"/>
              <w:jc w:val="left"/>
              <w:rPr>
                <w:rFonts w:eastAsia="Times New Roman" w:cs="Segoe UI"/>
                <w:b/>
                <w:noProof/>
                <w:color w:val="FFFFFF" w:themeColor="background1"/>
                <w:sz w:val="16"/>
                <w:szCs w:val="16"/>
                <w:lang w:eastAsia="sk-SK"/>
              </w:rPr>
            </w:pPr>
            <w:r w:rsidRPr="00030BD9">
              <w:rPr>
                <w:rFonts w:eastAsia="Times New Roman" w:cs="Segoe UI"/>
                <w:b/>
                <w:noProof/>
                <w:color w:val="FFFFFF" w:themeColor="background1"/>
                <w:sz w:val="16"/>
                <w:szCs w:val="16"/>
                <w:lang w:eastAsia="sk-SK"/>
              </w:rPr>
              <w:t>Popis</w:t>
            </w:r>
          </w:p>
        </w:tc>
        <w:tc>
          <w:tcPr>
            <w:tcW w:w="644" w:type="pct"/>
            <w:shd w:val="clear" w:color="auto" w:fill="314364" w:themeFill="text2"/>
            <w:vAlign w:val="center"/>
            <w:hideMark/>
          </w:tcPr>
          <w:p w14:paraId="3F50DBE7" w14:textId="77777777" w:rsidR="00B92738" w:rsidRPr="00030BD9" w:rsidRDefault="00B92738" w:rsidP="003D11A6">
            <w:pPr>
              <w:spacing w:after="0"/>
              <w:jc w:val="center"/>
              <w:rPr>
                <w:rFonts w:eastAsia="Times New Roman" w:cs="Segoe UI"/>
                <w:b/>
                <w:noProof/>
                <w:color w:val="FFFFFF" w:themeColor="background1"/>
                <w:sz w:val="16"/>
                <w:szCs w:val="16"/>
                <w:lang w:eastAsia="sk-SK"/>
              </w:rPr>
            </w:pPr>
            <w:r w:rsidRPr="00030BD9">
              <w:rPr>
                <w:rFonts w:eastAsia="Times New Roman" w:cs="Segoe UI"/>
                <w:b/>
                <w:noProof/>
                <w:color w:val="FFFFFF" w:themeColor="background1"/>
                <w:sz w:val="16"/>
                <w:szCs w:val="16"/>
                <w:lang w:eastAsia="sk-SK"/>
              </w:rPr>
              <w:t>Cena vrátane DPH</w:t>
            </w:r>
          </w:p>
        </w:tc>
        <w:tc>
          <w:tcPr>
            <w:tcW w:w="804" w:type="pct"/>
            <w:shd w:val="clear" w:color="auto" w:fill="314364" w:themeFill="text2"/>
            <w:vAlign w:val="center"/>
            <w:hideMark/>
          </w:tcPr>
          <w:p w14:paraId="1C111140" w14:textId="77777777" w:rsidR="00B92738" w:rsidRPr="00030BD9" w:rsidRDefault="00B92738" w:rsidP="003D11A6">
            <w:pPr>
              <w:spacing w:after="0"/>
              <w:jc w:val="center"/>
              <w:rPr>
                <w:rFonts w:eastAsia="Times New Roman" w:cs="Segoe UI"/>
                <w:b/>
                <w:noProof/>
                <w:color w:val="FFFFFF" w:themeColor="background1"/>
                <w:sz w:val="16"/>
                <w:szCs w:val="16"/>
                <w:lang w:eastAsia="sk-SK"/>
              </w:rPr>
            </w:pPr>
            <w:r w:rsidRPr="00030BD9">
              <w:rPr>
                <w:rFonts w:eastAsia="Times New Roman" w:cs="Segoe UI"/>
                <w:b/>
                <w:noProof/>
                <w:color w:val="FFFFFF" w:themeColor="background1"/>
                <w:sz w:val="16"/>
                <w:szCs w:val="16"/>
                <w:lang w:eastAsia="sk-SK"/>
              </w:rPr>
              <w:t>Číslo uznesenia vlády SR</w:t>
            </w:r>
          </w:p>
        </w:tc>
      </w:tr>
      <w:tr w:rsidR="00B92738" w:rsidRPr="00DA74FD" w14:paraId="291D66F7" w14:textId="77777777" w:rsidTr="00BD2C70">
        <w:trPr>
          <w:trHeight w:val="283"/>
        </w:trPr>
        <w:tc>
          <w:tcPr>
            <w:tcW w:w="1094" w:type="pct"/>
            <w:shd w:val="clear" w:color="auto" w:fill="auto"/>
            <w:vAlign w:val="center"/>
          </w:tcPr>
          <w:p w14:paraId="146FFDE4" w14:textId="77777777" w:rsidR="00B92738" w:rsidRPr="00DA74FD" w:rsidRDefault="00B92738" w:rsidP="003D11A6">
            <w:pPr>
              <w:spacing w:after="0"/>
              <w:jc w:val="left"/>
              <w:rPr>
                <w:rFonts w:eastAsia="Times New Roman" w:cs="Segoe UI"/>
                <w:b/>
                <w:noProof/>
                <w:color w:val="000000"/>
                <w:sz w:val="16"/>
                <w:szCs w:val="16"/>
                <w:lang w:eastAsia="sk-SK"/>
              </w:rPr>
            </w:pPr>
            <w:r w:rsidRPr="00DA74FD">
              <w:rPr>
                <w:rFonts w:eastAsia="Times New Roman" w:cs="Segoe UI"/>
                <w:b/>
                <w:noProof/>
                <w:color w:val="000000"/>
                <w:sz w:val="16"/>
                <w:szCs w:val="16"/>
                <w:lang w:eastAsia="sk-SK"/>
              </w:rPr>
              <w:t>Viacúčelové taktické stíhacie lietadlá</w:t>
            </w:r>
          </w:p>
        </w:tc>
        <w:tc>
          <w:tcPr>
            <w:tcW w:w="2458" w:type="pct"/>
            <w:shd w:val="clear" w:color="auto" w:fill="auto"/>
            <w:vAlign w:val="center"/>
          </w:tcPr>
          <w:p w14:paraId="276BC9C7" w14:textId="77777777" w:rsidR="00B92738" w:rsidRPr="00DA74FD" w:rsidRDefault="00B92738" w:rsidP="003D11A6">
            <w:pPr>
              <w:spacing w:after="0"/>
              <w:jc w:val="left"/>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12 ks F-16 C jednomiestne, 2 ks F-16 D dvojmiestne, výcvik pilotov, munícia, logistická podpora za 8 rokov prevádzky, doprava</w:t>
            </w:r>
          </w:p>
        </w:tc>
        <w:tc>
          <w:tcPr>
            <w:tcW w:w="644" w:type="pct"/>
            <w:shd w:val="clear" w:color="auto" w:fill="auto"/>
            <w:noWrap/>
            <w:vAlign w:val="center"/>
          </w:tcPr>
          <w:p w14:paraId="6D28A8BD" w14:textId="77777777" w:rsidR="00B92738" w:rsidRPr="00DA74FD" w:rsidRDefault="00B92738" w:rsidP="003D11A6">
            <w:pPr>
              <w:spacing w:after="0"/>
              <w:jc w:val="center"/>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2,6 mld. eur</w:t>
            </w:r>
          </w:p>
        </w:tc>
        <w:tc>
          <w:tcPr>
            <w:tcW w:w="804" w:type="pct"/>
            <w:shd w:val="clear" w:color="auto" w:fill="auto"/>
            <w:vAlign w:val="center"/>
          </w:tcPr>
          <w:p w14:paraId="4BDE4582" w14:textId="77777777" w:rsidR="00B92738" w:rsidRPr="00DA74FD" w:rsidRDefault="0071033B" w:rsidP="003D11A6">
            <w:pPr>
              <w:spacing w:after="0"/>
              <w:jc w:val="center"/>
              <w:rPr>
                <w:rFonts w:eastAsia="Times New Roman" w:cs="Segoe UI"/>
                <w:noProof/>
                <w:sz w:val="16"/>
                <w:szCs w:val="16"/>
                <w:lang w:eastAsia="sk-SK"/>
              </w:rPr>
            </w:pPr>
            <w:hyperlink r:id="rId70" w:history="1">
              <w:r w:rsidR="00B92738" w:rsidRPr="00DA74FD">
                <w:rPr>
                  <w:rStyle w:val="Hypertextovprepojenie"/>
                  <w:rFonts w:eastAsia="Times New Roman" w:cs="Segoe UI"/>
                  <w:noProof/>
                  <w:sz w:val="16"/>
                  <w:szCs w:val="16"/>
                  <w:lang w:eastAsia="sk-SK"/>
                </w:rPr>
                <w:t>343/2018</w:t>
              </w:r>
            </w:hyperlink>
          </w:p>
        </w:tc>
      </w:tr>
      <w:tr w:rsidR="00B92738" w:rsidRPr="00DA74FD" w14:paraId="19E1119F" w14:textId="77777777" w:rsidTr="00BD2C70">
        <w:trPr>
          <w:trHeight w:val="283"/>
        </w:trPr>
        <w:tc>
          <w:tcPr>
            <w:tcW w:w="1094" w:type="pct"/>
            <w:shd w:val="clear" w:color="auto" w:fill="auto"/>
            <w:vAlign w:val="center"/>
          </w:tcPr>
          <w:p w14:paraId="6803EA4B" w14:textId="77777777" w:rsidR="00B92738" w:rsidRPr="00DA74FD" w:rsidRDefault="00B92738" w:rsidP="003D11A6">
            <w:pPr>
              <w:spacing w:after="0"/>
              <w:jc w:val="left"/>
              <w:rPr>
                <w:rFonts w:eastAsia="Times New Roman" w:cs="Segoe UI"/>
                <w:b/>
                <w:noProof/>
                <w:color w:val="000000"/>
                <w:sz w:val="16"/>
                <w:szCs w:val="16"/>
                <w:lang w:eastAsia="sk-SK"/>
              </w:rPr>
            </w:pPr>
            <w:r w:rsidRPr="00DA74FD">
              <w:rPr>
                <w:rFonts w:eastAsia="Times New Roman" w:cs="Segoe UI"/>
                <w:b/>
                <w:noProof/>
                <w:color w:val="000000"/>
                <w:sz w:val="16"/>
                <w:szCs w:val="16"/>
                <w:lang w:eastAsia="sk-SK"/>
              </w:rPr>
              <w:t>Pásové bojové obrnené vozidlá</w:t>
            </w:r>
          </w:p>
        </w:tc>
        <w:tc>
          <w:tcPr>
            <w:tcW w:w="2458" w:type="pct"/>
            <w:shd w:val="clear" w:color="auto" w:fill="auto"/>
            <w:vAlign w:val="center"/>
          </w:tcPr>
          <w:p w14:paraId="794033E8" w14:textId="77777777" w:rsidR="00B92738" w:rsidRPr="00DA74FD" w:rsidRDefault="00B92738" w:rsidP="003D11A6">
            <w:pPr>
              <w:spacing w:after="0"/>
              <w:jc w:val="left"/>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152 ks CV90 MkIV</w:t>
            </w:r>
          </w:p>
        </w:tc>
        <w:tc>
          <w:tcPr>
            <w:tcW w:w="644" w:type="pct"/>
            <w:shd w:val="clear" w:color="auto" w:fill="auto"/>
            <w:noWrap/>
            <w:vAlign w:val="center"/>
          </w:tcPr>
          <w:p w14:paraId="2F14445E" w14:textId="77777777" w:rsidR="00B92738" w:rsidRPr="00DA74FD" w:rsidRDefault="00B92738" w:rsidP="003D11A6">
            <w:pPr>
              <w:spacing w:after="0"/>
              <w:jc w:val="center"/>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1,7 mld. eur</w:t>
            </w:r>
          </w:p>
        </w:tc>
        <w:tc>
          <w:tcPr>
            <w:tcW w:w="804" w:type="pct"/>
            <w:shd w:val="clear" w:color="auto" w:fill="auto"/>
            <w:vAlign w:val="center"/>
          </w:tcPr>
          <w:p w14:paraId="378F9201" w14:textId="77777777" w:rsidR="00B92738" w:rsidRPr="00DA74FD" w:rsidRDefault="0071033B" w:rsidP="003D11A6">
            <w:pPr>
              <w:spacing w:after="0"/>
              <w:jc w:val="center"/>
              <w:rPr>
                <w:rFonts w:eastAsia="Times New Roman" w:cs="Segoe UI"/>
                <w:noProof/>
                <w:sz w:val="16"/>
                <w:szCs w:val="16"/>
                <w:lang w:eastAsia="sk-SK"/>
              </w:rPr>
            </w:pPr>
            <w:hyperlink r:id="rId71" w:history="1">
              <w:r w:rsidR="00B92738" w:rsidRPr="00DA74FD">
                <w:rPr>
                  <w:rStyle w:val="Hypertextovprepojenie"/>
                  <w:rFonts w:eastAsia="Times New Roman" w:cs="Segoe UI"/>
                  <w:noProof/>
                  <w:sz w:val="16"/>
                  <w:szCs w:val="16"/>
                  <w:lang w:eastAsia="sk-SK"/>
                </w:rPr>
                <w:t>436/2022</w:t>
              </w:r>
            </w:hyperlink>
          </w:p>
        </w:tc>
      </w:tr>
      <w:tr w:rsidR="00B92738" w:rsidRPr="00DA74FD" w14:paraId="391476E2" w14:textId="77777777" w:rsidTr="00BD2C70">
        <w:trPr>
          <w:trHeight w:val="283"/>
        </w:trPr>
        <w:tc>
          <w:tcPr>
            <w:tcW w:w="1094" w:type="pct"/>
            <w:shd w:val="clear" w:color="auto" w:fill="auto"/>
            <w:vAlign w:val="center"/>
          </w:tcPr>
          <w:p w14:paraId="6A6DD1C2" w14:textId="77777777" w:rsidR="00B92738" w:rsidRPr="00DA74FD" w:rsidRDefault="00B92738" w:rsidP="003D11A6">
            <w:pPr>
              <w:spacing w:after="0"/>
              <w:jc w:val="left"/>
              <w:rPr>
                <w:rFonts w:eastAsia="Times New Roman" w:cs="Segoe UI"/>
                <w:b/>
                <w:noProof/>
                <w:color w:val="000000"/>
                <w:sz w:val="16"/>
                <w:szCs w:val="16"/>
                <w:lang w:eastAsia="sk-SK"/>
              </w:rPr>
            </w:pPr>
            <w:r w:rsidRPr="00DA74FD">
              <w:rPr>
                <w:rFonts w:eastAsia="Times New Roman" w:cs="Segoe UI"/>
                <w:b/>
                <w:noProof/>
                <w:color w:val="000000"/>
                <w:sz w:val="16"/>
                <w:szCs w:val="16"/>
                <w:lang w:eastAsia="sk-SK"/>
              </w:rPr>
              <w:t>Nákladné vozidlá</w:t>
            </w:r>
          </w:p>
        </w:tc>
        <w:tc>
          <w:tcPr>
            <w:tcW w:w="2458" w:type="pct"/>
            <w:shd w:val="clear" w:color="auto" w:fill="auto"/>
            <w:vAlign w:val="center"/>
          </w:tcPr>
          <w:p w14:paraId="1214E6E1" w14:textId="77777777" w:rsidR="00B92738" w:rsidRPr="00DA74FD" w:rsidRDefault="00B92738" w:rsidP="003D11A6">
            <w:pPr>
              <w:spacing w:after="0"/>
              <w:jc w:val="left"/>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1307 ks nákladných vozidiel Tatra</w:t>
            </w:r>
          </w:p>
        </w:tc>
        <w:tc>
          <w:tcPr>
            <w:tcW w:w="644" w:type="pct"/>
            <w:shd w:val="clear" w:color="auto" w:fill="auto"/>
            <w:noWrap/>
            <w:vAlign w:val="center"/>
          </w:tcPr>
          <w:p w14:paraId="46EA12B1" w14:textId="77777777" w:rsidR="00B92738" w:rsidRPr="00DA74FD" w:rsidRDefault="00B92738" w:rsidP="003D11A6">
            <w:pPr>
              <w:spacing w:after="0"/>
              <w:jc w:val="center"/>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0,7 mld. eur</w:t>
            </w:r>
          </w:p>
        </w:tc>
        <w:tc>
          <w:tcPr>
            <w:tcW w:w="804" w:type="pct"/>
            <w:shd w:val="clear" w:color="auto" w:fill="auto"/>
            <w:vAlign w:val="center"/>
          </w:tcPr>
          <w:p w14:paraId="1CDBD8AF" w14:textId="77777777" w:rsidR="00B92738" w:rsidRPr="00DA74FD" w:rsidRDefault="0071033B" w:rsidP="003D11A6">
            <w:pPr>
              <w:spacing w:after="0"/>
              <w:jc w:val="center"/>
              <w:rPr>
                <w:rFonts w:cs="Segoe UI"/>
                <w:noProof/>
                <w:sz w:val="16"/>
                <w:szCs w:val="16"/>
              </w:rPr>
            </w:pPr>
            <w:hyperlink r:id="rId72" w:history="1">
              <w:r w:rsidR="00B92738" w:rsidRPr="00736052">
                <w:rPr>
                  <w:rStyle w:val="Hypertextovprepojenie"/>
                  <w:rFonts w:cs="Segoe UI"/>
                  <w:noProof/>
                  <w:sz w:val="16"/>
                  <w:szCs w:val="16"/>
                </w:rPr>
                <w:t>801/2024</w:t>
              </w:r>
            </w:hyperlink>
          </w:p>
        </w:tc>
      </w:tr>
      <w:tr w:rsidR="00B92738" w:rsidRPr="00DA74FD" w14:paraId="7A5B41C5" w14:textId="77777777" w:rsidTr="00BD2C70">
        <w:trPr>
          <w:trHeight w:val="283"/>
        </w:trPr>
        <w:tc>
          <w:tcPr>
            <w:tcW w:w="1094" w:type="pct"/>
            <w:shd w:val="clear" w:color="auto" w:fill="auto"/>
            <w:vAlign w:val="center"/>
          </w:tcPr>
          <w:p w14:paraId="6121969D" w14:textId="77777777" w:rsidR="00B92738" w:rsidRPr="00DA74FD" w:rsidRDefault="00B92738" w:rsidP="003D11A6">
            <w:pPr>
              <w:spacing w:after="0"/>
              <w:jc w:val="left"/>
              <w:rPr>
                <w:rFonts w:eastAsia="Times New Roman" w:cs="Segoe UI"/>
                <w:b/>
                <w:noProof/>
                <w:color w:val="000000"/>
                <w:sz w:val="16"/>
                <w:szCs w:val="16"/>
                <w:lang w:eastAsia="sk-SK"/>
              </w:rPr>
            </w:pPr>
            <w:r w:rsidRPr="00DA74FD">
              <w:rPr>
                <w:rFonts w:eastAsia="Times New Roman" w:cs="Segoe UI"/>
                <w:b/>
                <w:noProof/>
                <w:color w:val="000000"/>
                <w:sz w:val="16"/>
                <w:szCs w:val="16"/>
                <w:lang w:eastAsia="sk-SK"/>
              </w:rPr>
              <w:t>Systémy protivzdušnej obrany</w:t>
            </w:r>
          </w:p>
        </w:tc>
        <w:tc>
          <w:tcPr>
            <w:tcW w:w="2458" w:type="pct"/>
            <w:shd w:val="clear" w:color="auto" w:fill="auto"/>
            <w:vAlign w:val="center"/>
          </w:tcPr>
          <w:p w14:paraId="609BEF0F" w14:textId="77777777" w:rsidR="00B92738" w:rsidRPr="00DA74FD" w:rsidRDefault="00B92738" w:rsidP="003D11A6">
            <w:pPr>
              <w:spacing w:after="0"/>
              <w:jc w:val="left"/>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6 ks Barak MX</w:t>
            </w:r>
          </w:p>
        </w:tc>
        <w:tc>
          <w:tcPr>
            <w:tcW w:w="644" w:type="pct"/>
            <w:shd w:val="clear" w:color="auto" w:fill="auto"/>
            <w:noWrap/>
            <w:vAlign w:val="center"/>
          </w:tcPr>
          <w:p w14:paraId="592EED1C" w14:textId="77777777" w:rsidR="00B92738" w:rsidRPr="00DA74FD" w:rsidRDefault="00B92738" w:rsidP="003D11A6">
            <w:pPr>
              <w:spacing w:after="0"/>
              <w:jc w:val="center"/>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0,6 mld. eur</w:t>
            </w:r>
          </w:p>
        </w:tc>
        <w:tc>
          <w:tcPr>
            <w:tcW w:w="804" w:type="pct"/>
            <w:shd w:val="clear" w:color="auto" w:fill="auto"/>
            <w:vAlign w:val="center"/>
          </w:tcPr>
          <w:p w14:paraId="784B4321" w14:textId="77777777" w:rsidR="00B92738" w:rsidRPr="00DA74FD" w:rsidRDefault="0071033B" w:rsidP="003D11A6">
            <w:pPr>
              <w:spacing w:after="0"/>
              <w:jc w:val="center"/>
              <w:rPr>
                <w:rFonts w:cs="Segoe UI"/>
                <w:noProof/>
                <w:sz w:val="16"/>
                <w:szCs w:val="16"/>
              </w:rPr>
            </w:pPr>
            <w:hyperlink r:id="rId73" w:history="1">
              <w:r w:rsidR="00B92738" w:rsidRPr="00746FE0">
                <w:rPr>
                  <w:rStyle w:val="Hypertextovprepojenie"/>
                  <w:rFonts w:cs="Segoe UI"/>
                  <w:noProof/>
                  <w:sz w:val="16"/>
                  <w:szCs w:val="16"/>
                </w:rPr>
                <w:t>519/2024</w:t>
              </w:r>
            </w:hyperlink>
          </w:p>
        </w:tc>
      </w:tr>
      <w:tr w:rsidR="00B92738" w:rsidRPr="00DA74FD" w14:paraId="61AD23D5" w14:textId="77777777" w:rsidTr="00BD2C70">
        <w:trPr>
          <w:trHeight w:val="283"/>
        </w:trPr>
        <w:tc>
          <w:tcPr>
            <w:tcW w:w="1094" w:type="pct"/>
            <w:tcBorders>
              <w:bottom w:val="single" w:sz="4" w:space="0" w:color="314364" w:themeColor="text2"/>
            </w:tcBorders>
            <w:shd w:val="clear" w:color="auto" w:fill="auto"/>
            <w:vAlign w:val="center"/>
          </w:tcPr>
          <w:p w14:paraId="19F71B47" w14:textId="77777777" w:rsidR="00B92738" w:rsidRPr="00DA74FD" w:rsidRDefault="00B92738" w:rsidP="003D11A6">
            <w:pPr>
              <w:spacing w:after="0"/>
              <w:jc w:val="left"/>
              <w:rPr>
                <w:rFonts w:eastAsia="Times New Roman" w:cs="Segoe UI"/>
                <w:b/>
                <w:noProof/>
                <w:color w:val="000000"/>
                <w:sz w:val="16"/>
                <w:szCs w:val="16"/>
                <w:lang w:eastAsia="sk-SK"/>
              </w:rPr>
            </w:pPr>
            <w:r w:rsidRPr="00DA74FD">
              <w:rPr>
                <w:rFonts w:eastAsia="Times New Roman" w:cs="Segoe UI"/>
                <w:b/>
                <w:noProof/>
                <w:color w:val="000000"/>
                <w:sz w:val="16"/>
                <w:szCs w:val="16"/>
                <w:lang w:eastAsia="sk-SK"/>
              </w:rPr>
              <w:t>Bojové obrnené vozidlá</w:t>
            </w:r>
          </w:p>
        </w:tc>
        <w:tc>
          <w:tcPr>
            <w:tcW w:w="2458" w:type="pct"/>
            <w:tcBorders>
              <w:bottom w:val="single" w:sz="4" w:space="0" w:color="314364" w:themeColor="text2"/>
            </w:tcBorders>
            <w:shd w:val="clear" w:color="auto" w:fill="auto"/>
            <w:vAlign w:val="center"/>
          </w:tcPr>
          <w:p w14:paraId="37DE3E3F" w14:textId="77777777" w:rsidR="00B92738" w:rsidRPr="00DA74FD" w:rsidRDefault="00B92738" w:rsidP="003D11A6">
            <w:pPr>
              <w:spacing w:after="0"/>
              <w:jc w:val="left"/>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76 ks Patria AMV XP 8x8</w:t>
            </w:r>
          </w:p>
        </w:tc>
        <w:tc>
          <w:tcPr>
            <w:tcW w:w="644" w:type="pct"/>
            <w:tcBorders>
              <w:bottom w:val="single" w:sz="4" w:space="0" w:color="314364" w:themeColor="text2"/>
            </w:tcBorders>
            <w:shd w:val="clear" w:color="auto" w:fill="auto"/>
            <w:noWrap/>
            <w:vAlign w:val="center"/>
          </w:tcPr>
          <w:p w14:paraId="6406CD5A" w14:textId="77777777" w:rsidR="00B92738" w:rsidRPr="00DA74FD" w:rsidRDefault="00B92738" w:rsidP="003D11A6">
            <w:pPr>
              <w:spacing w:after="0"/>
              <w:jc w:val="center"/>
              <w:rPr>
                <w:rFonts w:eastAsia="Times New Roman" w:cs="Segoe UI"/>
                <w:noProof/>
                <w:color w:val="000000"/>
                <w:sz w:val="16"/>
                <w:szCs w:val="16"/>
                <w:lang w:eastAsia="sk-SK"/>
              </w:rPr>
            </w:pPr>
            <w:r w:rsidRPr="00DA74FD">
              <w:rPr>
                <w:rFonts w:eastAsia="Times New Roman" w:cs="Segoe UI"/>
                <w:noProof/>
                <w:color w:val="000000"/>
                <w:sz w:val="16"/>
                <w:szCs w:val="16"/>
                <w:lang w:eastAsia="sk-SK"/>
              </w:rPr>
              <w:t>0,5 mld. eur</w:t>
            </w:r>
          </w:p>
        </w:tc>
        <w:tc>
          <w:tcPr>
            <w:tcW w:w="804" w:type="pct"/>
            <w:tcBorders>
              <w:bottom w:val="single" w:sz="4" w:space="0" w:color="314364" w:themeColor="text2"/>
            </w:tcBorders>
            <w:shd w:val="clear" w:color="auto" w:fill="auto"/>
            <w:vAlign w:val="center"/>
          </w:tcPr>
          <w:p w14:paraId="7400E70F" w14:textId="77777777" w:rsidR="00B92738" w:rsidRPr="00DA74FD" w:rsidRDefault="0071033B" w:rsidP="003D11A6">
            <w:pPr>
              <w:spacing w:after="0"/>
              <w:jc w:val="center"/>
              <w:rPr>
                <w:rFonts w:eastAsia="Times New Roman" w:cs="Segoe UI"/>
                <w:noProof/>
                <w:sz w:val="16"/>
                <w:szCs w:val="16"/>
                <w:lang w:eastAsia="sk-SK"/>
              </w:rPr>
            </w:pPr>
            <w:hyperlink r:id="rId74" w:history="1">
              <w:r w:rsidR="00B92738" w:rsidRPr="00DA74FD">
                <w:rPr>
                  <w:rStyle w:val="Hypertextovprepojenie"/>
                  <w:rFonts w:eastAsia="Times New Roman" w:cs="Segoe UI"/>
                  <w:noProof/>
                  <w:sz w:val="16"/>
                  <w:szCs w:val="16"/>
                  <w:lang w:eastAsia="sk-SK"/>
                </w:rPr>
                <w:t>241/2022</w:t>
              </w:r>
            </w:hyperlink>
          </w:p>
        </w:tc>
      </w:tr>
      <w:tr w:rsidR="00B92738" w:rsidRPr="00DA74FD" w14:paraId="1E274D20" w14:textId="77777777" w:rsidTr="00BD2C70">
        <w:trPr>
          <w:trHeight w:val="283"/>
        </w:trPr>
        <w:tc>
          <w:tcPr>
            <w:tcW w:w="1094" w:type="pct"/>
            <w:tcBorders>
              <w:top w:val="single" w:sz="4" w:space="0" w:color="314364" w:themeColor="text2"/>
              <w:bottom w:val="single" w:sz="4" w:space="0" w:color="auto"/>
            </w:tcBorders>
            <w:shd w:val="clear" w:color="auto" w:fill="auto"/>
            <w:vAlign w:val="center"/>
          </w:tcPr>
          <w:p w14:paraId="4A44861C" w14:textId="77777777" w:rsidR="00B92738" w:rsidRPr="00DA74FD" w:rsidRDefault="00B92738" w:rsidP="003D11A6">
            <w:pPr>
              <w:spacing w:after="0"/>
              <w:jc w:val="left"/>
              <w:rPr>
                <w:rFonts w:eastAsia="Times New Roman" w:cs="Segoe UI"/>
                <w:b/>
                <w:noProof/>
                <w:color w:val="000000"/>
                <w:sz w:val="16"/>
                <w:szCs w:val="16"/>
                <w:lang w:eastAsia="sk-SK"/>
              </w:rPr>
            </w:pPr>
            <w:r>
              <w:rPr>
                <w:rFonts w:eastAsia="Times New Roman" w:cs="Segoe UI"/>
                <w:b/>
                <w:noProof/>
                <w:color w:val="000000"/>
                <w:sz w:val="16"/>
                <w:szCs w:val="16"/>
                <w:lang w:eastAsia="sk-SK"/>
              </w:rPr>
              <w:t>Viacúčelové vrtuľníky</w:t>
            </w:r>
          </w:p>
        </w:tc>
        <w:tc>
          <w:tcPr>
            <w:tcW w:w="2458" w:type="pct"/>
            <w:tcBorders>
              <w:top w:val="single" w:sz="4" w:space="0" w:color="314364" w:themeColor="text2"/>
              <w:bottom w:val="single" w:sz="4" w:space="0" w:color="auto"/>
            </w:tcBorders>
            <w:shd w:val="clear" w:color="auto" w:fill="auto"/>
            <w:vAlign w:val="center"/>
          </w:tcPr>
          <w:p w14:paraId="41D9B0F2" w14:textId="77777777" w:rsidR="00B92738" w:rsidRPr="00DA74FD" w:rsidRDefault="00B92738" w:rsidP="003D11A6">
            <w:pPr>
              <w:spacing w:after="0"/>
              <w:jc w:val="left"/>
              <w:rPr>
                <w:rFonts w:eastAsia="Times New Roman" w:cs="Segoe UI"/>
                <w:noProof/>
                <w:color w:val="000000"/>
                <w:sz w:val="16"/>
                <w:szCs w:val="16"/>
                <w:lang w:eastAsia="sk-SK"/>
              </w:rPr>
            </w:pPr>
            <w:r>
              <w:rPr>
                <w:rFonts w:eastAsia="Times New Roman" w:cs="Segoe UI"/>
                <w:noProof/>
                <w:color w:val="000000"/>
                <w:sz w:val="16"/>
                <w:szCs w:val="16"/>
                <w:lang w:eastAsia="sk-SK"/>
              </w:rPr>
              <w:t>13 ks UH-60</w:t>
            </w:r>
          </w:p>
        </w:tc>
        <w:tc>
          <w:tcPr>
            <w:tcW w:w="644" w:type="pct"/>
            <w:tcBorders>
              <w:top w:val="single" w:sz="4" w:space="0" w:color="314364" w:themeColor="text2"/>
              <w:bottom w:val="single" w:sz="4" w:space="0" w:color="auto"/>
            </w:tcBorders>
            <w:shd w:val="clear" w:color="auto" w:fill="auto"/>
            <w:noWrap/>
            <w:vAlign w:val="center"/>
          </w:tcPr>
          <w:p w14:paraId="57660669" w14:textId="77777777" w:rsidR="00B92738" w:rsidRPr="00DA74FD" w:rsidRDefault="00B92738" w:rsidP="003D11A6">
            <w:pPr>
              <w:spacing w:after="0"/>
              <w:jc w:val="center"/>
              <w:rPr>
                <w:rFonts w:eastAsia="Times New Roman" w:cs="Segoe UI"/>
                <w:noProof/>
                <w:color w:val="000000"/>
                <w:sz w:val="16"/>
                <w:szCs w:val="16"/>
                <w:lang w:eastAsia="sk-SK"/>
              </w:rPr>
            </w:pPr>
            <w:r>
              <w:rPr>
                <w:rFonts w:eastAsia="Times New Roman" w:cs="Segoe UI"/>
                <w:noProof/>
                <w:color w:val="000000"/>
                <w:sz w:val="16"/>
                <w:szCs w:val="16"/>
                <w:lang w:eastAsia="sk-SK"/>
              </w:rPr>
              <w:t>0,2 mld. eur</w:t>
            </w:r>
          </w:p>
        </w:tc>
        <w:tc>
          <w:tcPr>
            <w:tcW w:w="804" w:type="pct"/>
            <w:tcBorders>
              <w:top w:val="single" w:sz="4" w:space="0" w:color="314364" w:themeColor="text2"/>
              <w:bottom w:val="single" w:sz="4" w:space="0" w:color="auto"/>
            </w:tcBorders>
            <w:shd w:val="clear" w:color="auto" w:fill="auto"/>
            <w:vAlign w:val="center"/>
          </w:tcPr>
          <w:p w14:paraId="0010C377" w14:textId="77777777" w:rsidR="00B92738" w:rsidRPr="00DA74FD" w:rsidRDefault="0071033B" w:rsidP="003D11A6">
            <w:pPr>
              <w:spacing w:after="0"/>
              <w:jc w:val="center"/>
              <w:rPr>
                <w:rFonts w:eastAsia="Times New Roman" w:cs="Segoe UI"/>
                <w:noProof/>
                <w:sz w:val="16"/>
                <w:szCs w:val="16"/>
                <w:lang w:eastAsia="sk-SK"/>
              </w:rPr>
            </w:pPr>
            <w:hyperlink r:id="rId75" w:history="1">
              <w:r w:rsidR="00B92738" w:rsidRPr="00736052">
                <w:rPr>
                  <w:rStyle w:val="Hypertextovprepojenie"/>
                  <w:rFonts w:eastAsia="Times New Roman" w:cs="Segoe UI"/>
                  <w:noProof/>
                  <w:sz w:val="16"/>
                  <w:szCs w:val="16"/>
                  <w:lang w:eastAsia="sk-SK"/>
                </w:rPr>
                <w:t>802/2024</w:t>
              </w:r>
            </w:hyperlink>
          </w:p>
        </w:tc>
      </w:tr>
    </w:tbl>
    <w:p w14:paraId="64C6947F" w14:textId="6902101E" w:rsidR="00B92738" w:rsidRPr="00EE51A6" w:rsidRDefault="00B92738" w:rsidP="00B92738">
      <w:pPr>
        <w:rPr>
          <w:rFonts w:cs="Segoe UI"/>
          <w:noProof/>
          <w:szCs w:val="20"/>
        </w:rPr>
      </w:pPr>
      <w:r w:rsidRPr="00DA74FD">
        <w:rPr>
          <w:rFonts w:eastAsia="Calibri" w:cs="Segoe UI"/>
          <w:i/>
          <w:iCs/>
          <w:noProof/>
          <w:color w:val="44546A"/>
          <w:sz w:val="16"/>
          <w:szCs w:val="16"/>
        </w:rPr>
        <w:t>Zdroj: ÚV SR</w:t>
      </w:r>
      <w:r w:rsidR="006776E5">
        <w:rPr>
          <w:rFonts w:eastAsia="Calibri" w:cs="Segoe UI"/>
          <w:i/>
          <w:iCs/>
          <w:noProof/>
          <w:color w:val="44546A"/>
          <w:sz w:val="16"/>
          <w:szCs w:val="16"/>
        </w:rPr>
        <w:t>.</w:t>
      </w:r>
    </w:p>
    <w:p w14:paraId="4D416083" w14:textId="0B3138BF" w:rsidR="00946D6F" w:rsidRPr="00BD2C70" w:rsidRDefault="00B92738" w:rsidP="00B92738">
      <w:pPr>
        <w:rPr>
          <w:noProof/>
          <w:szCs w:val="20"/>
        </w:rPr>
      </w:pPr>
      <w:r w:rsidRPr="00D10269">
        <w:rPr>
          <w:rFonts w:cs="Segoe UI"/>
          <w:b/>
          <w:noProof/>
          <w:szCs w:val="20"/>
        </w:rPr>
        <w:t>Investičné plány MO SR na rok 2024 uvádzali realizáciu projektov modernizácie vo výške 707,6 mil. eur.</w:t>
      </w:r>
      <w:r>
        <w:rPr>
          <w:rFonts w:cs="Segoe UI"/>
          <w:noProof/>
          <w:szCs w:val="20"/>
        </w:rPr>
        <w:t xml:space="preserve"> Rozpočet kapitálových výdavkov bol schválený vo výške 919,9 mil. eur a čerpaný v objeme </w:t>
      </w:r>
      <w:r>
        <w:rPr>
          <w:noProof/>
          <w:szCs w:val="20"/>
        </w:rPr>
        <w:t xml:space="preserve">813 mil. eur. Zoznam najväčších investícií je uvedený v </w:t>
      </w:r>
      <w:r w:rsidRPr="00DA74FD">
        <w:rPr>
          <w:noProof/>
          <w:szCs w:val="20"/>
        </w:rPr>
        <w:t>tabuľk</w:t>
      </w:r>
      <w:r>
        <w:rPr>
          <w:noProof/>
          <w:szCs w:val="20"/>
        </w:rPr>
        <w:t>e</w:t>
      </w:r>
      <w:r w:rsidRPr="00DA74FD">
        <w:rPr>
          <w:noProof/>
          <w:szCs w:val="20"/>
        </w:rPr>
        <w:t xml:space="preserve"> </w:t>
      </w:r>
      <w:r w:rsidR="002E1FF0">
        <w:rPr>
          <w:noProof/>
          <w:szCs w:val="20"/>
        </w:rPr>
        <w:t>24</w:t>
      </w:r>
      <w:r w:rsidRPr="00DA74FD">
        <w:rPr>
          <w:noProof/>
          <w:szCs w:val="20"/>
        </w:rPr>
        <w:t>.</w:t>
      </w:r>
    </w:p>
    <w:p w14:paraId="5E03F84F" w14:textId="78B4935C" w:rsidR="00B92738" w:rsidRPr="00DA74FD" w:rsidRDefault="00B92738" w:rsidP="00B92738">
      <w:pPr>
        <w:spacing w:after="0"/>
        <w:rPr>
          <w:rFonts w:eastAsia="Calibri" w:cs="Times New Roman"/>
          <w:b/>
          <w:noProof/>
          <w:color w:val="314364" w:themeColor="text2"/>
          <w:szCs w:val="18"/>
        </w:rPr>
      </w:pPr>
      <w:r w:rsidRPr="00DA74FD">
        <w:rPr>
          <w:rFonts w:eastAsia="Calibri" w:cs="Times New Roman"/>
          <w:b/>
          <w:noProof/>
          <w:color w:val="314364" w:themeColor="text2"/>
          <w:szCs w:val="18"/>
        </w:rPr>
        <w:t xml:space="preserve">Tabuľka </w:t>
      </w:r>
      <w:r w:rsidR="002E1FF0">
        <w:rPr>
          <w:rFonts w:eastAsia="Calibri" w:cs="Times New Roman"/>
          <w:b/>
          <w:noProof/>
          <w:color w:val="314364" w:themeColor="text2"/>
          <w:szCs w:val="18"/>
        </w:rPr>
        <w:t>24</w:t>
      </w:r>
      <w:r w:rsidRPr="00DA74FD">
        <w:rPr>
          <w:rFonts w:eastAsia="Calibri" w:cs="Times New Roman"/>
          <w:b/>
          <w:noProof/>
          <w:color w:val="314364" w:themeColor="text2"/>
          <w:szCs w:val="18"/>
        </w:rPr>
        <w:t xml:space="preserve">: Najväčšie </w:t>
      </w:r>
      <w:r>
        <w:rPr>
          <w:rFonts w:eastAsia="Calibri" w:cs="Times New Roman"/>
          <w:b/>
          <w:noProof/>
          <w:color w:val="314364" w:themeColor="text2"/>
          <w:szCs w:val="18"/>
        </w:rPr>
        <w:t>investície v obrane v roku 2024 (v eurách)</w:t>
      </w:r>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5569"/>
        <w:gridCol w:w="1756"/>
        <w:gridCol w:w="1745"/>
      </w:tblGrid>
      <w:tr w:rsidR="00B92738" w:rsidRPr="008E07FE" w14:paraId="12B7EE4D" w14:textId="77777777" w:rsidTr="00F879B6">
        <w:trPr>
          <w:trHeight w:val="283"/>
        </w:trPr>
        <w:tc>
          <w:tcPr>
            <w:tcW w:w="3070" w:type="pct"/>
            <w:shd w:val="clear" w:color="auto" w:fill="314364" w:themeFill="text2"/>
            <w:noWrap/>
            <w:vAlign w:val="center"/>
            <w:hideMark/>
          </w:tcPr>
          <w:p w14:paraId="5959E90E" w14:textId="77777777" w:rsidR="00B92738" w:rsidRPr="003D11A6" w:rsidRDefault="00B92738" w:rsidP="003D11A6">
            <w:pPr>
              <w:spacing w:after="0"/>
              <w:jc w:val="left"/>
              <w:rPr>
                <w:rFonts w:eastAsia="Times New Roman" w:cs="Segoe UI"/>
                <w:b/>
                <w:noProof/>
                <w:color w:val="FFFFFF" w:themeColor="background1"/>
                <w:sz w:val="18"/>
                <w:szCs w:val="16"/>
                <w:lang w:eastAsia="sk-SK"/>
              </w:rPr>
            </w:pPr>
            <w:r w:rsidRPr="003D11A6">
              <w:rPr>
                <w:rFonts w:eastAsia="Times New Roman" w:cs="Segoe UI"/>
                <w:b/>
                <w:noProof/>
                <w:color w:val="FFFFFF" w:themeColor="background1"/>
                <w:sz w:val="18"/>
                <w:szCs w:val="16"/>
                <w:lang w:eastAsia="sk-SK"/>
              </w:rPr>
              <w:t>Investícia</w:t>
            </w:r>
          </w:p>
        </w:tc>
        <w:tc>
          <w:tcPr>
            <w:tcW w:w="968" w:type="pct"/>
            <w:shd w:val="clear" w:color="auto" w:fill="314364" w:themeFill="text2"/>
            <w:noWrap/>
            <w:vAlign w:val="center"/>
            <w:hideMark/>
          </w:tcPr>
          <w:p w14:paraId="694EAFAD" w14:textId="77777777" w:rsidR="00B92738" w:rsidRPr="003D11A6" w:rsidRDefault="00B92738" w:rsidP="003D11A6">
            <w:pPr>
              <w:spacing w:after="0"/>
              <w:jc w:val="right"/>
              <w:rPr>
                <w:rFonts w:eastAsia="Times New Roman" w:cs="Segoe UI"/>
                <w:b/>
                <w:noProof/>
                <w:color w:val="FFFFFF" w:themeColor="background1"/>
                <w:sz w:val="18"/>
                <w:szCs w:val="16"/>
                <w:lang w:eastAsia="sk-SK"/>
              </w:rPr>
            </w:pPr>
            <w:r w:rsidRPr="003D11A6">
              <w:rPr>
                <w:rFonts w:eastAsia="Times New Roman" w:cs="Segoe UI"/>
                <w:b/>
                <w:noProof/>
                <w:color w:val="FFFFFF" w:themeColor="background1"/>
                <w:sz w:val="18"/>
                <w:szCs w:val="16"/>
                <w:lang w:eastAsia="sk-SK"/>
              </w:rPr>
              <w:t>2024 R</w:t>
            </w:r>
          </w:p>
        </w:tc>
        <w:tc>
          <w:tcPr>
            <w:tcW w:w="962" w:type="pct"/>
            <w:shd w:val="clear" w:color="auto" w:fill="314364" w:themeFill="text2"/>
            <w:vAlign w:val="center"/>
            <w:hideMark/>
          </w:tcPr>
          <w:p w14:paraId="0AB667C7" w14:textId="77777777" w:rsidR="00B92738" w:rsidRPr="003D11A6" w:rsidRDefault="00B92738">
            <w:pPr>
              <w:spacing w:after="0"/>
              <w:jc w:val="right"/>
              <w:rPr>
                <w:rFonts w:eastAsia="Times New Roman" w:cs="Segoe UI"/>
                <w:b/>
                <w:noProof/>
                <w:color w:val="FFFFFF" w:themeColor="background1"/>
                <w:sz w:val="18"/>
                <w:szCs w:val="16"/>
                <w:lang w:eastAsia="sk-SK"/>
              </w:rPr>
            </w:pPr>
            <w:r w:rsidRPr="003D11A6">
              <w:rPr>
                <w:rFonts w:eastAsia="Times New Roman" w:cs="Segoe UI"/>
                <w:b/>
                <w:noProof/>
                <w:color w:val="FFFFFF" w:themeColor="background1"/>
                <w:sz w:val="18"/>
                <w:szCs w:val="16"/>
                <w:lang w:eastAsia="sk-SK"/>
              </w:rPr>
              <w:t>2024 S</w:t>
            </w:r>
          </w:p>
        </w:tc>
      </w:tr>
      <w:tr w:rsidR="00B92738" w:rsidRPr="008E07FE" w14:paraId="02C35F5B" w14:textId="77777777" w:rsidTr="00F879B6">
        <w:trPr>
          <w:trHeight w:val="283"/>
        </w:trPr>
        <w:tc>
          <w:tcPr>
            <w:tcW w:w="3070" w:type="pct"/>
            <w:shd w:val="clear" w:color="auto" w:fill="auto"/>
            <w:vAlign w:val="center"/>
          </w:tcPr>
          <w:p w14:paraId="353DAB82"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Protilietadlové rakety stredného dosahu</w:t>
            </w:r>
          </w:p>
        </w:tc>
        <w:tc>
          <w:tcPr>
            <w:tcW w:w="968" w:type="pct"/>
            <w:shd w:val="clear" w:color="auto" w:fill="auto"/>
            <w:vAlign w:val="center"/>
          </w:tcPr>
          <w:p w14:paraId="19E96229"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274 136 550 </w:t>
            </w:r>
          </w:p>
        </w:tc>
        <w:tc>
          <w:tcPr>
            <w:tcW w:w="962" w:type="pct"/>
            <w:shd w:val="clear" w:color="auto" w:fill="auto"/>
            <w:noWrap/>
            <w:vAlign w:val="center"/>
          </w:tcPr>
          <w:p w14:paraId="296780C2"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274 136 550 </w:t>
            </w:r>
          </w:p>
        </w:tc>
      </w:tr>
      <w:tr w:rsidR="00B92738" w:rsidRPr="008E07FE" w14:paraId="55D54149" w14:textId="77777777" w:rsidTr="00F879B6">
        <w:trPr>
          <w:trHeight w:val="283"/>
        </w:trPr>
        <w:tc>
          <w:tcPr>
            <w:tcW w:w="3070" w:type="pct"/>
            <w:shd w:val="clear" w:color="auto" w:fill="auto"/>
            <w:vAlign w:val="center"/>
          </w:tcPr>
          <w:p w14:paraId="1C2DE779"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Automobil nákladný terénny ťažký - N3G a jeho modifikácie</w:t>
            </w:r>
          </w:p>
        </w:tc>
        <w:tc>
          <w:tcPr>
            <w:tcW w:w="968" w:type="pct"/>
            <w:shd w:val="clear" w:color="auto" w:fill="auto"/>
            <w:vAlign w:val="center"/>
          </w:tcPr>
          <w:p w14:paraId="2815D664"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108 484 590 </w:t>
            </w:r>
          </w:p>
        </w:tc>
        <w:tc>
          <w:tcPr>
            <w:tcW w:w="962" w:type="pct"/>
            <w:shd w:val="clear" w:color="auto" w:fill="auto"/>
            <w:noWrap/>
            <w:vAlign w:val="center"/>
          </w:tcPr>
          <w:p w14:paraId="68CE851B"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108 484 589 </w:t>
            </w:r>
          </w:p>
        </w:tc>
      </w:tr>
      <w:tr w:rsidR="00B92738" w:rsidRPr="008E07FE" w14:paraId="615D0C7D" w14:textId="77777777" w:rsidTr="00F879B6">
        <w:trPr>
          <w:trHeight w:val="283"/>
        </w:trPr>
        <w:tc>
          <w:tcPr>
            <w:tcW w:w="3070" w:type="pct"/>
            <w:shd w:val="clear" w:color="auto" w:fill="auto"/>
            <w:vAlign w:val="center"/>
          </w:tcPr>
          <w:p w14:paraId="71367D9C"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Pásové bojové vozidlá</w:t>
            </w:r>
          </w:p>
        </w:tc>
        <w:tc>
          <w:tcPr>
            <w:tcW w:w="968" w:type="pct"/>
            <w:shd w:val="clear" w:color="auto" w:fill="auto"/>
            <w:vAlign w:val="center"/>
          </w:tcPr>
          <w:p w14:paraId="527DBFAF"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60 000 000 </w:t>
            </w:r>
          </w:p>
        </w:tc>
        <w:tc>
          <w:tcPr>
            <w:tcW w:w="962" w:type="pct"/>
            <w:shd w:val="clear" w:color="auto" w:fill="auto"/>
            <w:noWrap/>
            <w:vAlign w:val="center"/>
          </w:tcPr>
          <w:p w14:paraId="3D2F79B6"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60 000 000 </w:t>
            </w:r>
          </w:p>
        </w:tc>
      </w:tr>
      <w:tr w:rsidR="00B92738" w:rsidRPr="008E07FE" w14:paraId="34E1ED06" w14:textId="77777777" w:rsidTr="00F879B6">
        <w:trPr>
          <w:trHeight w:val="283"/>
        </w:trPr>
        <w:tc>
          <w:tcPr>
            <w:tcW w:w="3070" w:type="pct"/>
            <w:shd w:val="clear" w:color="auto" w:fill="auto"/>
            <w:vAlign w:val="center"/>
          </w:tcPr>
          <w:p w14:paraId="49B4FB4A"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Viacúčelové vrtuľníky UH-60L</w:t>
            </w:r>
          </w:p>
        </w:tc>
        <w:tc>
          <w:tcPr>
            <w:tcW w:w="968" w:type="pct"/>
            <w:shd w:val="clear" w:color="auto" w:fill="auto"/>
            <w:vAlign w:val="center"/>
          </w:tcPr>
          <w:p w14:paraId="3F192498"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49 492 442 </w:t>
            </w:r>
          </w:p>
        </w:tc>
        <w:tc>
          <w:tcPr>
            <w:tcW w:w="962" w:type="pct"/>
            <w:shd w:val="clear" w:color="auto" w:fill="auto"/>
            <w:noWrap/>
            <w:vAlign w:val="center"/>
          </w:tcPr>
          <w:p w14:paraId="429DA579"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49 492 441 </w:t>
            </w:r>
          </w:p>
        </w:tc>
      </w:tr>
      <w:tr w:rsidR="00B92738" w:rsidRPr="008E07FE" w14:paraId="666F3B5A" w14:textId="77777777" w:rsidTr="00F879B6">
        <w:trPr>
          <w:trHeight w:val="283"/>
        </w:trPr>
        <w:tc>
          <w:tcPr>
            <w:tcW w:w="3070" w:type="pct"/>
            <w:shd w:val="clear" w:color="auto" w:fill="auto"/>
            <w:vAlign w:val="center"/>
          </w:tcPr>
          <w:p w14:paraId="5A4EBF64"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Rádiolokátor 3D - stredný dosah</w:t>
            </w:r>
          </w:p>
        </w:tc>
        <w:tc>
          <w:tcPr>
            <w:tcW w:w="968" w:type="pct"/>
            <w:shd w:val="clear" w:color="auto" w:fill="auto"/>
            <w:vAlign w:val="center"/>
          </w:tcPr>
          <w:p w14:paraId="1A1152B8"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47 393 000 </w:t>
            </w:r>
          </w:p>
        </w:tc>
        <w:tc>
          <w:tcPr>
            <w:tcW w:w="962" w:type="pct"/>
            <w:shd w:val="clear" w:color="auto" w:fill="auto"/>
            <w:noWrap/>
            <w:vAlign w:val="center"/>
          </w:tcPr>
          <w:p w14:paraId="259F2C32"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47 393 000 </w:t>
            </w:r>
          </w:p>
        </w:tc>
      </w:tr>
      <w:tr w:rsidR="00B92738" w:rsidRPr="008E07FE" w14:paraId="1FEF8231" w14:textId="77777777" w:rsidTr="00F879B6">
        <w:trPr>
          <w:trHeight w:val="283"/>
        </w:trPr>
        <w:tc>
          <w:tcPr>
            <w:tcW w:w="3070" w:type="pct"/>
            <w:shd w:val="clear" w:color="auto" w:fill="auto"/>
            <w:vAlign w:val="center"/>
          </w:tcPr>
          <w:p w14:paraId="5444C695"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Malé vojenské dopravné lietadlo</w:t>
            </w:r>
          </w:p>
        </w:tc>
        <w:tc>
          <w:tcPr>
            <w:tcW w:w="968" w:type="pct"/>
            <w:shd w:val="clear" w:color="auto" w:fill="auto"/>
            <w:vAlign w:val="center"/>
          </w:tcPr>
          <w:p w14:paraId="6D8328A1"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46 414 926 </w:t>
            </w:r>
          </w:p>
        </w:tc>
        <w:tc>
          <w:tcPr>
            <w:tcW w:w="962" w:type="pct"/>
            <w:shd w:val="clear" w:color="auto" w:fill="auto"/>
            <w:noWrap/>
            <w:vAlign w:val="center"/>
          </w:tcPr>
          <w:p w14:paraId="5BBA94E8"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46 414 926 </w:t>
            </w:r>
          </w:p>
        </w:tc>
      </w:tr>
      <w:tr w:rsidR="00B92738" w:rsidRPr="008E07FE" w14:paraId="5385F4F0" w14:textId="77777777" w:rsidTr="00F879B6">
        <w:trPr>
          <w:trHeight w:val="283"/>
        </w:trPr>
        <w:tc>
          <w:tcPr>
            <w:tcW w:w="3070" w:type="pct"/>
            <w:shd w:val="clear" w:color="auto" w:fill="auto"/>
            <w:vAlign w:val="center"/>
          </w:tcPr>
          <w:p w14:paraId="42625995"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Viacúčelové taktické lietadlá</w:t>
            </w:r>
          </w:p>
        </w:tc>
        <w:tc>
          <w:tcPr>
            <w:tcW w:w="968" w:type="pct"/>
            <w:shd w:val="clear" w:color="auto" w:fill="auto"/>
            <w:vAlign w:val="center"/>
          </w:tcPr>
          <w:p w14:paraId="5213836B"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37 739 734 </w:t>
            </w:r>
          </w:p>
        </w:tc>
        <w:tc>
          <w:tcPr>
            <w:tcW w:w="962" w:type="pct"/>
            <w:shd w:val="clear" w:color="auto" w:fill="auto"/>
            <w:noWrap/>
            <w:vAlign w:val="center"/>
          </w:tcPr>
          <w:p w14:paraId="51A574FD"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37 739 734 </w:t>
            </w:r>
          </w:p>
        </w:tc>
      </w:tr>
      <w:tr w:rsidR="00B92738" w:rsidRPr="008E07FE" w14:paraId="1778D365" w14:textId="77777777" w:rsidTr="00F879B6">
        <w:trPr>
          <w:trHeight w:val="283"/>
        </w:trPr>
        <w:tc>
          <w:tcPr>
            <w:tcW w:w="3070" w:type="pct"/>
            <w:shd w:val="clear" w:color="auto" w:fill="auto"/>
            <w:vAlign w:val="center"/>
          </w:tcPr>
          <w:p w14:paraId="55126BA9"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GZE - nákup osobných automobilov</w:t>
            </w:r>
          </w:p>
        </w:tc>
        <w:tc>
          <w:tcPr>
            <w:tcW w:w="968" w:type="pct"/>
            <w:shd w:val="clear" w:color="auto" w:fill="auto"/>
            <w:vAlign w:val="center"/>
          </w:tcPr>
          <w:p w14:paraId="3EB90F62"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28 456 120 </w:t>
            </w:r>
          </w:p>
        </w:tc>
        <w:tc>
          <w:tcPr>
            <w:tcW w:w="962" w:type="pct"/>
            <w:shd w:val="clear" w:color="auto" w:fill="auto"/>
            <w:noWrap/>
            <w:vAlign w:val="center"/>
          </w:tcPr>
          <w:p w14:paraId="5C8FE609"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28 456 120 </w:t>
            </w:r>
          </w:p>
        </w:tc>
      </w:tr>
      <w:tr w:rsidR="00B92738" w:rsidRPr="008E07FE" w14:paraId="02698099" w14:textId="77777777" w:rsidTr="00F879B6">
        <w:trPr>
          <w:trHeight w:val="283"/>
        </w:trPr>
        <w:tc>
          <w:tcPr>
            <w:tcW w:w="3070" w:type="pct"/>
            <w:tcBorders>
              <w:bottom w:val="nil"/>
            </w:tcBorders>
            <w:shd w:val="clear" w:color="auto" w:fill="auto"/>
            <w:vAlign w:val="center"/>
          </w:tcPr>
          <w:p w14:paraId="1152814B"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 xml:space="preserve">Špeciálna bezpečnostná podpora - </w:t>
            </w:r>
            <w:proofErr w:type="spellStart"/>
            <w:r w:rsidRPr="003D11A6">
              <w:rPr>
                <w:rFonts w:cs="Segoe UI"/>
                <w:sz w:val="18"/>
                <w:szCs w:val="16"/>
              </w:rPr>
              <w:t>infra</w:t>
            </w:r>
            <w:proofErr w:type="spellEnd"/>
            <w:r w:rsidRPr="003D11A6">
              <w:rPr>
                <w:rFonts w:cs="Segoe UI"/>
                <w:sz w:val="18"/>
                <w:szCs w:val="16"/>
              </w:rPr>
              <w:t xml:space="preserve"> 4</w:t>
            </w:r>
          </w:p>
        </w:tc>
        <w:tc>
          <w:tcPr>
            <w:tcW w:w="968" w:type="pct"/>
            <w:tcBorders>
              <w:bottom w:val="nil"/>
            </w:tcBorders>
            <w:shd w:val="clear" w:color="auto" w:fill="auto"/>
            <w:vAlign w:val="center"/>
          </w:tcPr>
          <w:p w14:paraId="2536C52F"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0 </w:t>
            </w:r>
          </w:p>
        </w:tc>
        <w:tc>
          <w:tcPr>
            <w:tcW w:w="962" w:type="pct"/>
            <w:tcBorders>
              <w:bottom w:val="nil"/>
            </w:tcBorders>
            <w:shd w:val="clear" w:color="auto" w:fill="auto"/>
            <w:noWrap/>
            <w:vAlign w:val="center"/>
          </w:tcPr>
          <w:p w14:paraId="4137529F"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21 791 865 </w:t>
            </w:r>
          </w:p>
        </w:tc>
      </w:tr>
      <w:tr w:rsidR="00B92738" w:rsidRPr="008E07FE" w14:paraId="56A55600" w14:textId="77777777" w:rsidTr="00F879B6">
        <w:trPr>
          <w:trHeight w:val="283"/>
        </w:trPr>
        <w:tc>
          <w:tcPr>
            <w:tcW w:w="3070" w:type="pct"/>
            <w:tcBorders>
              <w:bottom w:val="single" w:sz="4" w:space="0" w:color="314364" w:themeColor="text2"/>
            </w:tcBorders>
            <w:shd w:val="clear" w:color="auto" w:fill="auto"/>
            <w:vAlign w:val="center"/>
          </w:tcPr>
          <w:p w14:paraId="2477111A" w14:textId="77777777" w:rsidR="00B92738" w:rsidRPr="003D11A6" w:rsidRDefault="00B92738" w:rsidP="003D11A6">
            <w:pPr>
              <w:spacing w:after="0"/>
              <w:jc w:val="left"/>
              <w:rPr>
                <w:rFonts w:eastAsia="Times New Roman" w:cs="Segoe UI"/>
                <w:b/>
                <w:noProof/>
                <w:color w:val="000000"/>
                <w:sz w:val="18"/>
                <w:szCs w:val="16"/>
                <w:lang w:eastAsia="sk-SK"/>
              </w:rPr>
            </w:pPr>
            <w:r w:rsidRPr="003D11A6">
              <w:rPr>
                <w:rFonts w:cs="Segoe UI"/>
                <w:sz w:val="18"/>
                <w:szCs w:val="16"/>
              </w:rPr>
              <w:t>Simulátor boja</w:t>
            </w:r>
          </w:p>
        </w:tc>
        <w:tc>
          <w:tcPr>
            <w:tcW w:w="968" w:type="pct"/>
            <w:tcBorders>
              <w:bottom w:val="single" w:sz="4" w:space="0" w:color="314364" w:themeColor="text2"/>
            </w:tcBorders>
            <w:shd w:val="clear" w:color="auto" w:fill="auto"/>
            <w:vAlign w:val="center"/>
          </w:tcPr>
          <w:p w14:paraId="06D7C9AC" w14:textId="77777777" w:rsidR="00B92738" w:rsidRPr="003D11A6" w:rsidRDefault="00B92738" w:rsidP="003D11A6">
            <w:pPr>
              <w:spacing w:after="0"/>
              <w:jc w:val="right"/>
              <w:rPr>
                <w:rFonts w:eastAsia="Times New Roman" w:cs="Segoe UI"/>
                <w:noProof/>
                <w:color w:val="000000"/>
                <w:sz w:val="18"/>
                <w:szCs w:val="16"/>
                <w:lang w:eastAsia="sk-SK"/>
              </w:rPr>
            </w:pPr>
            <w:r w:rsidRPr="003D11A6">
              <w:rPr>
                <w:rFonts w:cs="Segoe UI"/>
                <w:sz w:val="18"/>
                <w:szCs w:val="16"/>
              </w:rPr>
              <w:t xml:space="preserve">10 537 654 </w:t>
            </w:r>
          </w:p>
        </w:tc>
        <w:tc>
          <w:tcPr>
            <w:tcW w:w="962" w:type="pct"/>
            <w:tcBorders>
              <w:bottom w:val="single" w:sz="4" w:space="0" w:color="314364" w:themeColor="text2"/>
            </w:tcBorders>
            <w:shd w:val="clear" w:color="auto" w:fill="auto"/>
            <w:noWrap/>
            <w:vAlign w:val="center"/>
          </w:tcPr>
          <w:p w14:paraId="1F6090F2" w14:textId="77777777" w:rsidR="00B92738" w:rsidRPr="003D11A6" w:rsidRDefault="00B92738">
            <w:pPr>
              <w:spacing w:after="0"/>
              <w:jc w:val="right"/>
              <w:rPr>
                <w:rFonts w:eastAsia="Times New Roman" w:cs="Segoe UI"/>
                <w:noProof/>
                <w:color w:val="000000"/>
                <w:sz w:val="18"/>
                <w:szCs w:val="16"/>
                <w:lang w:eastAsia="sk-SK"/>
              </w:rPr>
            </w:pPr>
            <w:r w:rsidRPr="003D11A6">
              <w:rPr>
                <w:rFonts w:cs="Segoe UI"/>
                <w:sz w:val="18"/>
                <w:szCs w:val="16"/>
              </w:rPr>
              <w:t xml:space="preserve">10 537 654 </w:t>
            </w:r>
          </w:p>
        </w:tc>
      </w:tr>
      <w:tr w:rsidR="00B92738" w:rsidRPr="008E07FE" w14:paraId="6800E04A" w14:textId="77777777" w:rsidTr="00F879B6">
        <w:trPr>
          <w:trHeight w:val="283"/>
        </w:trPr>
        <w:tc>
          <w:tcPr>
            <w:tcW w:w="3070" w:type="pct"/>
            <w:tcBorders>
              <w:top w:val="single" w:sz="4" w:space="0" w:color="314364" w:themeColor="text2"/>
            </w:tcBorders>
            <w:shd w:val="clear" w:color="auto" w:fill="auto"/>
            <w:vAlign w:val="center"/>
          </w:tcPr>
          <w:p w14:paraId="1FE11FC9" w14:textId="77777777" w:rsidR="00B92738" w:rsidRPr="003D11A6" w:rsidRDefault="00B92738" w:rsidP="003D11A6">
            <w:pPr>
              <w:spacing w:after="0"/>
              <w:jc w:val="left"/>
              <w:rPr>
                <w:rFonts w:cs="Segoe UI"/>
                <w:b/>
                <w:bCs/>
                <w:sz w:val="18"/>
                <w:szCs w:val="16"/>
              </w:rPr>
            </w:pPr>
            <w:r w:rsidRPr="003D11A6">
              <w:rPr>
                <w:rFonts w:cs="Segoe UI"/>
                <w:b/>
                <w:bCs/>
                <w:sz w:val="18"/>
                <w:szCs w:val="16"/>
              </w:rPr>
              <w:t>SPOLU</w:t>
            </w:r>
          </w:p>
        </w:tc>
        <w:tc>
          <w:tcPr>
            <w:tcW w:w="968" w:type="pct"/>
            <w:tcBorders>
              <w:top w:val="single" w:sz="4" w:space="0" w:color="314364" w:themeColor="text2"/>
            </w:tcBorders>
            <w:shd w:val="clear" w:color="auto" w:fill="auto"/>
            <w:vAlign w:val="center"/>
          </w:tcPr>
          <w:p w14:paraId="1A8D1712" w14:textId="77777777" w:rsidR="00B92738" w:rsidRPr="003D11A6" w:rsidRDefault="00B92738" w:rsidP="003D11A6">
            <w:pPr>
              <w:spacing w:after="0"/>
              <w:jc w:val="right"/>
              <w:rPr>
                <w:rFonts w:cs="Segoe UI"/>
                <w:b/>
                <w:bCs/>
                <w:sz w:val="18"/>
                <w:szCs w:val="16"/>
              </w:rPr>
            </w:pPr>
            <w:r w:rsidRPr="003D11A6">
              <w:rPr>
                <w:rFonts w:cs="Segoe UI"/>
                <w:b/>
                <w:bCs/>
                <w:sz w:val="18"/>
                <w:szCs w:val="16"/>
              </w:rPr>
              <w:t>662 655 017</w:t>
            </w:r>
          </w:p>
        </w:tc>
        <w:tc>
          <w:tcPr>
            <w:tcW w:w="962" w:type="pct"/>
            <w:tcBorders>
              <w:top w:val="single" w:sz="4" w:space="0" w:color="314364" w:themeColor="text2"/>
            </w:tcBorders>
            <w:shd w:val="clear" w:color="auto" w:fill="auto"/>
            <w:noWrap/>
            <w:vAlign w:val="center"/>
          </w:tcPr>
          <w:p w14:paraId="31BAD818" w14:textId="77777777" w:rsidR="00B92738" w:rsidRPr="003D11A6" w:rsidRDefault="00B92738">
            <w:pPr>
              <w:spacing w:after="0"/>
              <w:jc w:val="right"/>
              <w:rPr>
                <w:rFonts w:cs="Segoe UI"/>
                <w:b/>
                <w:bCs/>
                <w:sz w:val="18"/>
                <w:szCs w:val="16"/>
              </w:rPr>
            </w:pPr>
            <w:r w:rsidRPr="003D11A6">
              <w:rPr>
                <w:rFonts w:cs="Segoe UI"/>
                <w:b/>
                <w:bCs/>
                <w:sz w:val="18"/>
                <w:szCs w:val="16"/>
              </w:rPr>
              <w:t>684 446 880</w:t>
            </w:r>
          </w:p>
        </w:tc>
      </w:tr>
    </w:tbl>
    <w:p w14:paraId="04A97358" w14:textId="43F30531" w:rsidR="00B92738" w:rsidRDefault="00B92738" w:rsidP="00B92738">
      <w:pPr>
        <w:rPr>
          <w:rFonts w:eastAsia="Calibri" w:cs="Segoe UI"/>
          <w:i/>
          <w:iCs/>
          <w:noProof/>
          <w:color w:val="44546A"/>
          <w:sz w:val="16"/>
          <w:szCs w:val="16"/>
        </w:rPr>
      </w:pPr>
      <w:r w:rsidRPr="00DA74FD">
        <w:rPr>
          <w:rFonts w:eastAsia="Calibri" w:cs="Segoe UI"/>
          <w:i/>
          <w:iCs/>
          <w:noProof/>
          <w:color w:val="44546A"/>
          <w:sz w:val="16"/>
          <w:szCs w:val="16"/>
        </w:rPr>
        <w:t xml:space="preserve">Zdroj: </w:t>
      </w:r>
      <w:r>
        <w:rPr>
          <w:rFonts w:eastAsia="Calibri" w:cs="Segoe UI"/>
          <w:i/>
          <w:iCs/>
          <w:noProof/>
          <w:color w:val="44546A"/>
          <w:sz w:val="16"/>
          <w:szCs w:val="16"/>
        </w:rPr>
        <w:t>RIS</w:t>
      </w:r>
    </w:p>
    <w:p w14:paraId="5958C628" w14:textId="3A07A951" w:rsidR="000E3AFB" w:rsidRDefault="000E3AFB" w:rsidP="000E3AFB">
      <w:pPr>
        <w:rPr>
          <w:rFonts w:cs="Segoe UI"/>
          <w:noProof/>
          <w:szCs w:val="18"/>
        </w:rPr>
      </w:pPr>
      <w:r w:rsidRPr="00DA74FD">
        <w:rPr>
          <w:rFonts w:cs="Segoe UI"/>
          <w:b/>
          <w:bCs/>
          <w:noProof/>
          <w:szCs w:val="18"/>
        </w:rPr>
        <w:t xml:space="preserve">V roku 2024 dosiahli investície do obrany v EÚ 102 mld. eur, čo predstavuje viac ako 30 % ich celkových výdavkov na obranu </w:t>
      </w:r>
      <w:r w:rsidRPr="00DA74FD">
        <w:rPr>
          <w:rFonts w:cs="Segoe UI"/>
          <w:noProof/>
          <w:szCs w:val="18"/>
        </w:rPr>
        <w:t xml:space="preserve">(graf </w:t>
      </w:r>
      <w:r w:rsidR="00315037">
        <w:rPr>
          <w:rFonts w:cs="Segoe UI"/>
          <w:noProof/>
          <w:szCs w:val="18"/>
        </w:rPr>
        <w:t>53</w:t>
      </w:r>
      <w:r w:rsidRPr="00DA74FD">
        <w:rPr>
          <w:rFonts w:cs="Segoe UI"/>
          <w:noProof/>
          <w:szCs w:val="18"/>
        </w:rPr>
        <w:t>)</w:t>
      </w:r>
      <w:r w:rsidRPr="00F50722">
        <w:rPr>
          <w:rFonts w:cs="Segoe UI"/>
          <w:b/>
          <w:bCs/>
          <w:noProof/>
          <w:szCs w:val="18"/>
        </w:rPr>
        <w:t>.</w:t>
      </w:r>
      <w:r w:rsidRPr="00DA74FD">
        <w:rPr>
          <w:rFonts w:cs="Segoe UI"/>
          <w:noProof/>
          <w:szCs w:val="18"/>
        </w:rPr>
        <w:t xml:space="preserve"> Členské štáty sú preto v tejto oblasti výrazne nad dohodnutou kolektívnou referenčnou hodnotou 20 %. V roku 2024 presiahli výdavky na obstarávanie obranného vybavenia 90 mld. eur. To zodpovedá 88,2 % investícií do obrany a medziročnému nárastu o viac ako 50</w:t>
      </w:r>
      <w:r>
        <w:rPr>
          <w:rFonts w:cs="Segoe UI"/>
          <w:noProof/>
          <w:szCs w:val="18"/>
        </w:rPr>
        <w:t> </w:t>
      </w:r>
      <w:r w:rsidRPr="00DA74FD">
        <w:rPr>
          <w:rFonts w:cs="Segoe UI"/>
          <w:noProof/>
          <w:szCs w:val="18"/>
        </w:rPr>
        <w:t xml:space="preserve">%. Celkové výdavky na výskum a vývoj v oblasti obrany </w:t>
      </w:r>
      <w:r w:rsidR="001734A5">
        <w:rPr>
          <w:rFonts w:cs="Segoe UI"/>
          <w:noProof/>
          <w:szCs w:val="18"/>
        </w:rPr>
        <w:t>v roku 2024 boli o 18 % vyššie ako v roku 2023</w:t>
      </w:r>
      <w:r w:rsidRPr="00DA74FD">
        <w:rPr>
          <w:rFonts w:cs="Segoe UI"/>
          <w:noProof/>
          <w:szCs w:val="18"/>
        </w:rPr>
        <w:t xml:space="preserve"> a</w:t>
      </w:r>
      <w:r w:rsidR="001734A5">
        <w:rPr>
          <w:rFonts w:cs="Segoe UI"/>
          <w:noProof/>
          <w:szCs w:val="18"/>
        </w:rPr>
        <w:t xml:space="preserve"> dosiahli výšku </w:t>
      </w:r>
      <w:r w:rsidRPr="00DA74FD">
        <w:rPr>
          <w:rFonts w:cs="Segoe UI"/>
          <w:noProof/>
          <w:szCs w:val="18"/>
        </w:rPr>
        <w:t>13 mld. eur.</w:t>
      </w:r>
    </w:p>
    <w:p w14:paraId="4D826A93" w14:textId="2DC09D23" w:rsidR="004D538B" w:rsidRPr="00DA74FD" w:rsidRDefault="004D538B" w:rsidP="004D538B">
      <w:pPr>
        <w:pStyle w:val="Popis"/>
        <w:keepNext/>
        <w:rPr>
          <w:noProof/>
          <w:color w:val="314364"/>
        </w:rPr>
      </w:pPr>
      <w:r w:rsidRPr="00DA74FD">
        <w:rPr>
          <w:noProof/>
          <w:color w:val="314364"/>
        </w:rPr>
        <w:t xml:space="preserve">Graf </w:t>
      </w:r>
      <w:r w:rsidR="00315037">
        <w:rPr>
          <w:noProof/>
          <w:color w:val="314364"/>
        </w:rPr>
        <w:t>53</w:t>
      </w:r>
      <w:r w:rsidRPr="00DA74FD">
        <w:rPr>
          <w:noProof/>
          <w:color w:val="314364"/>
        </w:rPr>
        <w:t xml:space="preserve">: </w:t>
      </w:r>
      <w:r w:rsidRPr="0098060A">
        <w:rPr>
          <w:noProof/>
          <w:color w:val="314364"/>
        </w:rPr>
        <w:t>Vývoj výdavkov na obranu v členských štátoch EÚ (v mld. eur)</w:t>
      </w:r>
    </w:p>
    <w:tbl>
      <w:tblPr>
        <w:tblStyle w:val="Mriekatabuky"/>
        <w:tblW w:w="4907" w:type="pct"/>
        <w:tblBorders>
          <w:top w:val="single" w:sz="4" w:space="0" w:color="314364"/>
          <w:left w:val="none" w:sz="0" w:space="0" w:color="auto"/>
          <w:bottom w:val="single" w:sz="4" w:space="0" w:color="314364"/>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8990"/>
      </w:tblGrid>
      <w:tr w:rsidR="004D538B" w:rsidRPr="00DA74FD" w14:paraId="613BCBC0" w14:textId="77777777" w:rsidTr="00F77FDB">
        <w:trPr>
          <w:trHeight w:val="2430"/>
        </w:trPr>
        <w:tc>
          <w:tcPr>
            <w:tcW w:w="8902" w:type="dxa"/>
            <w:vAlign w:val="center"/>
            <w:hideMark/>
          </w:tcPr>
          <w:p w14:paraId="1F3F7A19" w14:textId="77777777" w:rsidR="004D538B" w:rsidRPr="00DA74FD" w:rsidRDefault="004D538B" w:rsidP="003D11A6">
            <w:pPr>
              <w:spacing w:after="0"/>
              <w:jc w:val="center"/>
              <w:rPr>
                <w:b/>
                <w:noProof/>
                <w:color w:val="576431"/>
              </w:rPr>
            </w:pPr>
            <w:r w:rsidRPr="00DA74FD">
              <w:rPr>
                <w:noProof/>
                <w:lang w:eastAsia="sk-SK"/>
              </w:rPr>
              <w:drawing>
                <wp:inline distT="0" distB="0" distL="0" distR="0" wp14:anchorId="6062DDDB" wp14:editId="73E50A5E">
                  <wp:extent cx="5614670" cy="1514475"/>
                  <wp:effectExtent l="0" t="0" r="5080" b="0"/>
                  <wp:docPr id="1203243173" name="Graf 1">
                    <a:extLst xmlns:a="http://schemas.openxmlformats.org/drawingml/2006/main">
                      <a:ext uri="{FF2B5EF4-FFF2-40B4-BE49-F238E27FC236}">
                        <a16:creationId xmlns:a16="http://schemas.microsoft.com/office/drawing/2014/main" id="{6E190B7F-40E2-4D33-8327-86A4C0712D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bl>
    <w:p w14:paraId="4E046735" w14:textId="107F4BF4" w:rsidR="004D538B" w:rsidRPr="00DA74FD" w:rsidRDefault="004D538B" w:rsidP="004D538B">
      <w:pPr>
        <w:pStyle w:val="Zdroj"/>
        <w:spacing w:after="0"/>
        <w:rPr>
          <w:noProof/>
        </w:rPr>
      </w:pPr>
      <w:r w:rsidRPr="00DA74FD">
        <w:rPr>
          <w:noProof/>
        </w:rPr>
        <w:t>Zdroj: Európska rada</w:t>
      </w:r>
      <w:r w:rsidR="00C10075">
        <w:rPr>
          <w:noProof/>
        </w:rPr>
        <w:t>;</w:t>
      </w:r>
      <w:r w:rsidRPr="00DA74FD">
        <w:rPr>
          <w:noProof/>
        </w:rPr>
        <w:t xml:space="preserve"> spracovanie</w:t>
      </w:r>
      <w:r>
        <w:rPr>
          <w:noProof/>
        </w:rPr>
        <w:t xml:space="preserve"> NKÚ SR.</w:t>
      </w:r>
    </w:p>
    <w:p w14:paraId="19F829A8" w14:textId="7E917AF2" w:rsidR="004D538B" w:rsidRDefault="004D538B" w:rsidP="004D538B">
      <w:pPr>
        <w:pStyle w:val="Zdroj"/>
        <w:rPr>
          <w:noProof/>
        </w:rPr>
      </w:pPr>
      <w:r w:rsidRPr="00DA74FD">
        <w:rPr>
          <w:noProof/>
        </w:rPr>
        <w:t xml:space="preserve">* </w:t>
      </w:r>
      <w:r w:rsidR="00C10075">
        <w:rPr>
          <w:noProof/>
        </w:rPr>
        <w:t>V</w:t>
      </w:r>
      <w:r w:rsidRPr="00DA74FD">
        <w:rPr>
          <w:noProof/>
        </w:rPr>
        <w:t>ýdavky na obstarávanie obranného vybavenia vrátane výdavkov na výskum a</w:t>
      </w:r>
      <w:r>
        <w:rPr>
          <w:noProof/>
        </w:rPr>
        <w:t> </w:t>
      </w:r>
      <w:r w:rsidRPr="00DA74FD">
        <w:rPr>
          <w:noProof/>
        </w:rPr>
        <w:t>vývoj</w:t>
      </w:r>
      <w:r>
        <w:rPr>
          <w:noProof/>
        </w:rPr>
        <w:t>.</w:t>
      </w:r>
    </w:p>
    <w:p w14:paraId="70EEE8FD" w14:textId="40142983" w:rsidR="00F3605E" w:rsidRDefault="00F3605E" w:rsidP="00F3605E">
      <w:pPr>
        <w:pStyle w:val="Nadpis2"/>
        <w:rPr>
          <w:color w:val="314364" w:themeColor="text2"/>
        </w:rPr>
      </w:pPr>
      <w:bookmarkStart w:id="64" w:name="_Toc197091813"/>
      <w:bookmarkStart w:id="65" w:name="_Toc198637742"/>
      <w:r>
        <w:rPr>
          <w:color w:val="314364" w:themeColor="text2"/>
        </w:rPr>
        <w:lastRenderedPageBreak/>
        <w:t xml:space="preserve">5.5 </w:t>
      </w:r>
      <w:r w:rsidRPr="00523D20">
        <w:rPr>
          <w:color w:val="314364" w:themeColor="text2"/>
        </w:rPr>
        <w:t xml:space="preserve"> </w:t>
      </w:r>
      <w:r>
        <w:rPr>
          <w:color w:val="314364" w:themeColor="text2"/>
        </w:rPr>
        <w:t>Životné prostredie</w:t>
      </w:r>
      <w:bookmarkEnd w:id="64"/>
      <w:bookmarkEnd w:id="65"/>
    </w:p>
    <w:p w14:paraId="186D1378" w14:textId="73743128" w:rsidR="00F3605E" w:rsidRPr="00CB5B58" w:rsidRDefault="00F3605E" w:rsidP="00F3605E">
      <w:pPr>
        <w:rPr>
          <w:b/>
        </w:rPr>
      </w:pPr>
      <w:r w:rsidRPr="003E5062">
        <w:t xml:space="preserve">Verejné zdroje do </w:t>
      </w:r>
      <w:r>
        <w:t>oblasti</w:t>
      </w:r>
      <w:r w:rsidRPr="003E5062">
        <w:t xml:space="preserve"> životného prostredia plynú predovšetkým cez rozpočet kapitoly MŽP SR a sú tvorené rozpočtovými prostriedkami kapitoly, ako aj prostriedkami z EÚ.</w:t>
      </w:r>
      <w:r>
        <w:t xml:space="preserve"> </w:t>
      </w:r>
      <w:r w:rsidR="003E47B2">
        <w:t>V roku 2024 sa n</w:t>
      </w:r>
      <w:r w:rsidRPr="00A871C1">
        <w:t xml:space="preserve">a celkových výdavkoch kapitoly v čiastke 297 mil. eur </w:t>
      </w:r>
      <w:r w:rsidR="003E47B2">
        <w:t>p</w:t>
      </w:r>
      <w:r w:rsidRPr="00A871C1">
        <w:t xml:space="preserve">odieľal program </w:t>
      </w:r>
      <w:r w:rsidRPr="00165D87">
        <w:rPr>
          <w:i/>
        </w:rPr>
        <w:t>Starostlivosť o životné prostredie</w:t>
      </w:r>
      <w:r w:rsidRPr="00A871C1">
        <w:t xml:space="preserve"> 75,3 % (223 mil. eur), </w:t>
      </w:r>
      <w:r w:rsidRPr="00165D87">
        <w:rPr>
          <w:i/>
        </w:rPr>
        <w:t>Tvorba a implementácia politík</w:t>
      </w:r>
      <w:r w:rsidRPr="00A871C1">
        <w:t xml:space="preserve"> 22,5 % (67 mil. eur) a medzirezortné podprogramy 2,2 % (7 mil. eur). </w:t>
      </w:r>
      <w:r w:rsidR="00CB5B58" w:rsidRPr="00CB5B58">
        <w:rPr>
          <w:b/>
        </w:rPr>
        <w:t>NKÚ SR upozorňuje, že mnohé ciele stanovené v tejto oblasti sa nedarí plniť.</w:t>
      </w:r>
    </w:p>
    <w:p w14:paraId="2B90A941" w14:textId="68D3B34B" w:rsidR="00F3605E" w:rsidRPr="003E5062" w:rsidRDefault="00F3605E" w:rsidP="00F3605E">
      <w:pPr>
        <w:rPr>
          <w:szCs w:val="20"/>
        </w:rPr>
      </w:pPr>
      <w:r>
        <w:rPr>
          <w:rFonts w:cs="Segoe UI"/>
          <w:b/>
          <w:szCs w:val="20"/>
        </w:rPr>
        <w:t xml:space="preserve">Slovensko je spomedzi krajín V4 na poslednom mieste </w:t>
      </w:r>
      <w:r w:rsidRPr="00C029B0">
        <w:rPr>
          <w:b/>
          <w:szCs w:val="20"/>
        </w:rPr>
        <w:t xml:space="preserve">rozšírenia pripojenia obyvateľstva na </w:t>
      </w:r>
      <w:r w:rsidRPr="00C029B0">
        <w:rPr>
          <w:rFonts w:cs="Segoe UI"/>
          <w:b/>
          <w:szCs w:val="20"/>
        </w:rPr>
        <w:t>systém verejnej kanalizácie.</w:t>
      </w:r>
      <w:r w:rsidRPr="00C029B0">
        <w:rPr>
          <w:rFonts w:cs="Segoe UI"/>
          <w:szCs w:val="20"/>
        </w:rPr>
        <w:t xml:space="preserve"> V súčasnosti nie je na systém verejnej kanalizácie v SR pripojených približne 1,5 mil. obyvateľov, pričom pripojenie má 71 % populácie, čo je pod priemerom EÚ (graf</w:t>
      </w:r>
      <w:r>
        <w:rPr>
          <w:rFonts w:cs="Segoe UI"/>
          <w:szCs w:val="20"/>
        </w:rPr>
        <w:t xml:space="preserve"> </w:t>
      </w:r>
      <w:r w:rsidR="00315037">
        <w:rPr>
          <w:rFonts w:cs="Segoe UI"/>
          <w:szCs w:val="20"/>
        </w:rPr>
        <w:t>54</w:t>
      </w:r>
      <w:r w:rsidRPr="00C029B0">
        <w:rPr>
          <w:rFonts w:cs="Segoe UI"/>
          <w:szCs w:val="20"/>
        </w:rPr>
        <w:t>).</w:t>
      </w:r>
      <w:r w:rsidRPr="003E5062">
        <w:rPr>
          <w:rFonts w:cs="Segoe UI"/>
          <w:szCs w:val="20"/>
        </w:rPr>
        <w:t xml:space="preserve"> Od roku 2002 bolo pripojených 900-tis</w:t>
      </w:r>
      <w:r w:rsidR="006140E9">
        <w:rPr>
          <w:rFonts w:cs="Segoe UI"/>
          <w:szCs w:val="20"/>
        </w:rPr>
        <w:t>íc</w:t>
      </w:r>
      <w:r w:rsidRPr="003E5062">
        <w:rPr>
          <w:rFonts w:cs="Segoe UI"/>
          <w:szCs w:val="20"/>
        </w:rPr>
        <w:t xml:space="preserve"> obyvateľov a postavilo sa 9 000 km potrubí, no pri tomto tempe by mohla byť SR úplne odkanalizovaná až v období rokov 2050 – 2060</w:t>
      </w:r>
      <w:r w:rsidRPr="003E5062">
        <w:rPr>
          <w:rStyle w:val="Odkaznapoznmkupodiarou"/>
          <w:rFonts w:cs="Segoe UI"/>
          <w:szCs w:val="20"/>
        </w:rPr>
        <w:footnoteReference w:id="44"/>
      </w:r>
      <w:r w:rsidRPr="003E5062">
        <w:rPr>
          <w:rFonts w:cs="Segoe UI"/>
          <w:szCs w:val="20"/>
        </w:rPr>
        <w:t xml:space="preserve">. </w:t>
      </w:r>
    </w:p>
    <w:p w14:paraId="67B9E11A" w14:textId="0DCB81EB" w:rsidR="00F3605E" w:rsidRPr="00CD048D" w:rsidRDefault="00F3605E" w:rsidP="00F3605E">
      <w:pPr>
        <w:pStyle w:val="Popis"/>
        <w:keepNext/>
        <w:rPr>
          <w:rFonts w:cs="Segoe UI"/>
          <w:color w:val="314364"/>
          <w:szCs w:val="20"/>
        </w:rPr>
      </w:pPr>
      <w:r w:rsidRPr="00CD048D">
        <w:rPr>
          <w:rFonts w:cs="Segoe UI"/>
          <w:color w:val="314364"/>
          <w:szCs w:val="20"/>
        </w:rPr>
        <w:t>Graf</w:t>
      </w:r>
      <w:r>
        <w:rPr>
          <w:rFonts w:cs="Segoe UI"/>
          <w:color w:val="314364"/>
          <w:szCs w:val="20"/>
        </w:rPr>
        <w:t xml:space="preserve"> </w:t>
      </w:r>
      <w:r w:rsidR="00315037">
        <w:rPr>
          <w:rFonts w:cs="Segoe UI"/>
          <w:color w:val="314364"/>
          <w:szCs w:val="20"/>
        </w:rPr>
        <w:t>54</w:t>
      </w:r>
      <w:r w:rsidRPr="00CD048D">
        <w:rPr>
          <w:rFonts w:cs="Segoe UI"/>
          <w:color w:val="314364"/>
          <w:szCs w:val="20"/>
        </w:rPr>
        <w:t>: Miera pripojenia obyvateľov na kanalizáciu v krajinách EÚ v roku 2022 (v %)</w:t>
      </w:r>
    </w:p>
    <w:tbl>
      <w:tblPr>
        <w:tblStyle w:val="Mriekatabuky"/>
        <w:tblW w:w="8947" w:type="dxa"/>
        <w:tblLook w:val="04A0" w:firstRow="1" w:lastRow="0" w:firstColumn="1" w:lastColumn="0" w:noHBand="0" w:noVBand="1"/>
      </w:tblPr>
      <w:tblGrid>
        <w:gridCol w:w="9069"/>
      </w:tblGrid>
      <w:tr w:rsidR="00F3605E" w:rsidRPr="00CA5BC3" w14:paraId="7A646DDB" w14:textId="77777777" w:rsidTr="00165D87">
        <w:trPr>
          <w:trHeight w:val="2759"/>
        </w:trPr>
        <w:tc>
          <w:tcPr>
            <w:tcW w:w="8947" w:type="dxa"/>
            <w:tcBorders>
              <w:top w:val="single" w:sz="4" w:space="0" w:color="314364" w:themeColor="text2"/>
              <w:left w:val="nil"/>
              <w:bottom w:val="single" w:sz="4" w:space="0" w:color="314364" w:themeColor="text2"/>
              <w:right w:val="nil"/>
            </w:tcBorders>
          </w:tcPr>
          <w:p w14:paraId="60FD8F04" w14:textId="77777777" w:rsidR="00F3605E" w:rsidRPr="00CA5BC3" w:rsidRDefault="00F3605E" w:rsidP="003D11A6">
            <w:pPr>
              <w:spacing w:after="0"/>
              <w:ind w:right="3"/>
              <w:rPr>
                <w:rFonts w:cs="Segoe UI"/>
                <w:sz w:val="18"/>
                <w:szCs w:val="18"/>
              </w:rPr>
            </w:pPr>
            <w:r w:rsidRPr="00CA5BC3">
              <w:rPr>
                <w:rFonts w:cs="Segoe UI"/>
                <w:noProof/>
                <w:sz w:val="18"/>
                <w:szCs w:val="18"/>
                <w:lang w:eastAsia="sk-SK"/>
              </w:rPr>
              <w:drawing>
                <wp:inline distT="0" distB="0" distL="0" distR="0" wp14:anchorId="09F6A55A" wp14:editId="34CBC0AB">
                  <wp:extent cx="5619750" cy="1751798"/>
                  <wp:effectExtent l="0" t="0" r="0" b="1270"/>
                  <wp:docPr id="490184456" name="Graf 490184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bl>
    <w:p w14:paraId="79D76FDA" w14:textId="4241BD64" w:rsidR="00F3605E" w:rsidRPr="00CA5BC3" w:rsidRDefault="00F3605E" w:rsidP="00BD2C70">
      <w:pPr>
        <w:pStyle w:val="Zdroj"/>
      </w:pPr>
      <w:r w:rsidRPr="00CA5BC3">
        <w:t>Zdroj: Eurostat.  *</w:t>
      </w:r>
      <w:r w:rsidR="00C10075">
        <w:t>P</w:t>
      </w:r>
      <w:r w:rsidRPr="00CA5BC3">
        <w:t>osledné dostupné údaje.</w:t>
      </w:r>
    </w:p>
    <w:p w14:paraId="58EB03CB" w14:textId="29874A5C" w:rsidR="00F3605E" w:rsidRPr="003E5062" w:rsidRDefault="00F3605E" w:rsidP="00F3605E">
      <w:pPr>
        <w:spacing w:before="97"/>
        <w:ind w:right="3"/>
        <w:rPr>
          <w:rFonts w:cs="Segoe UI"/>
          <w:szCs w:val="20"/>
        </w:rPr>
      </w:pPr>
      <w:r>
        <w:rPr>
          <w:rFonts w:cs="Segoe UI"/>
          <w:b/>
          <w:szCs w:val="20"/>
        </w:rPr>
        <w:t>S</w:t>
      </w:r>
      <w:r w:rsidRPr="00D6548A">
        <w:rPr>
          <w:rFonts w:cs="Segoe UI"/>
          <w:b/>
          <w:szCs w:val="20"/>
        </w:rPr>
        <w:t>tav vodárenskej infraštruktúry je v nevyhovujúcom, miestami až kritickom stave</w:t>
      </w:r>
      <w:r w:rsidR="00D31D5C">
        <w:rPr>
          <w:rFonts w:cs="Segoe UI"/>
          <w:b/>
          <w:szCs w:val="20"/>
        </w:rPr>
        <w:t>, pritom</w:t>
      </w:r>
      <w:r w:rsidRPr="007D3345">
        <w:rPr>
          <w:rFonts w:cs="Segoe UI"/>
          <w:b/>
          <w:szCs w:val="20"/>
        </w:rPr>
        <w:t> narastá investičný dlh, pri ktorom je tempo starnutia infraštruktúry vyššie ako tempo jej obnovy</w:t>
      </w:r>
      <w:r w:rsidRPr="00D6548A">
        <w:rPr>
          <w:rFonts w:cs="Segoe UI"/>
          <w:b/>
          <w:szCs w:val="20"/>
        </w:rPr>
        <w:t>.</w:t>
      </w:r>
      <w:r w:rsidRPr="003E5062">
        <w:rPr>
          <w:rFonts w:cs="Segoe UI"/>
          <w:szCs w:val="20"/>
        </w:rPr>
        <w:t xml:space="preserve"> Podľa Strategického plánu rozvoja verejných vodovodov a kanalizácií na roky 2021 až 2027 sa má vynaložiť na obnovu a rozvoj tejto infraštruktúry približne 5,7 mld. eur (na samotnú obnovu by malo ísť približne 3,4 mld. eur), avšak na tieto ciele boli z toho vynaložené za posledné tri roky len 3 %</w:t>
      </w:r>
      <w:r w:rsidRPr="003E5062">
        <w:rPr>
          <w:rStyle w:val="Odkaznapoznmkupodiarou"/>
          <w:rFonts w:cs="Segoe UI"/>
          <w:szCs w:val="20"/>
        </w:rPr>
        <w:footnoteReference w:id="45"/>
      </w:r>
      <w:r w:rsidRPr="003E5062">
        <w:rPr>
          <w:rFonts w:cs="Segoe UI"/>
          <w:szCs w:val="20"/>
        </w:rPr>
        <w:t xml:space="preserve">. </w:t>
      </w:r>
    </w:p>
    <w:p w14:paraId="4AFD577D" w14:textId="14BFF841" w:rsidR="00F3605E" w:rsidRDefault="00F3605E" w:rsidP="00F3605E">
      <w:r>
        <w:rPr>
          <w:b/>
        </w:rPr>
        <w:t>D</w:t>
      </w:r>
      <w:r w:rsidRPr="00077A6F">
        <w:rPr>
          <w:b/>
        </w:rPr>
        <w:t>lhodob</w:t>
      </w:r>
      <w:r>
        <w:rPr>
          <w:b/>
        </w:rPr>
        <w:t>ý</w:t>
      </w:r>
      <w:r w:rsidRPr="00077A6F">
        <w:rPr>
          <w:b/>
        </w:rPr>
        <w:t xml:space="preserve"> nedosta</w:t>
      </w:r>
      <w:r>
        <w:rPr>
          <w:b/>
        </w:rPr>
        <w:t>tok</w:t>
      </w:r>
      <w:r w:rsidRPr="00077A6F">
        <w:rPr>
          <w:b/>
        </w:rPr>
        <w:t xml:space="preserve"> finančných prostriedkov </w:t>
      </w:r>
      <w:r>
        <w:rPr>
          <w:b/>
        </w:rPr>
        <w:t>S</w:t>
      </w:r>
      <w:r w:rsidR="0060258A">
        <w:rPr>
          <w:b/>
        </w:rPr>
        <w:t xml:space="preserve">lovenského vodohospodárskeho podniku </w:t>
      </w:r>
      <w:r w:rsidR="0060258A">
        <w:t>(SVP)</w:t>
      </w:r>
      <w:r>
        <w:rPr>
          <w:b/>
        </w:rPr>
        <w:t>, š. p.</w:t>
      </w:r>
      <w:r w:rsidR="00D31D5C">
        <w:rPr>
          <w:b/>
        </w:rPr>
        <w:t>,</w:t>
      </w:r>
      <w:r>
        <w:rPr>
          <w:b/>
        </w:rPr>
        <w:t xml:space="preserve"> je </w:t>
      </w:r>
      <w:r w:rsidRPr="00077A6F">
        <w:rPr>
          <w:b/>
        </w:rPr>
        <w:t>vážnym problémom a</w:t>
      </w:r>
      <w:r>
        <w:rPr>
          <w:b/>
        </w:rPr>
        <w:t> </w:t>
      </w:r>
      <w:r w:rsidRPr="00077A6F">
        <w:rPr>
          <w:b/>
        </w:rPr>
        <w:t>bezpečnost</w:t>
      </w:r>
      <w:r>
        <w:rPr>
          <w:b/>
        </w:rPr>
        <w:t>n</w:t>
      </w:r>
      <w:r w:rsidRPr="00077A6F">
        <w:rPr>
          <w:b/>
        </w:rPr>
        <w:t>ou hrozbou pre spoločnosť.</w:t>
      </w:r>
      <w:r w:rsidRPr="00FD0408">
        <w:t xml:space="preserve"> </w:t>
      </w:r>
      <w:r>
        <w:t>P</w:t>
      </w:r>
      <w:r w:rsidRPr="00B74BAD">
        <w:t xml:space="preserve">oskytovanie ochrany pred povodňami je </w:t>
      </w:r>
      <w:r w:rsidRPr="003B7D78">
        <w:t>výhradne nákladovou položkou a adekvátna</w:t>
      </w:r>
      <w:r w:rsidRPr="007D3345">
        <w:t xml:space="preserve"> </w:t>
      </w:r>
      <w:r w:rsidRPr="003B7D78">
        <w:t>alokácia</w:t>
      </w:r>
      <w:r w:rsidRPr="007D3345">
        <w:t xml:space="preserve"> </w:t>
      </w:r>
      <w:r w:rsidRPr="003B7D78">
        <w:t>zdrojov</w:t>
      </w:r>
      <w:r w:rsidRPr="007D3345">
        <w:t xml:space="preserve"> na neregulované</w:t>
      </w:r>
      <w:r w:rsidRPr="007D3345">
        <w:rPr>
          <w:rStyle w:val="Odkaznapoznmkupodiarou"/>
        </w:rPr>
        <w:footnoteReference w:id="46"/>
      </w:r>
      <w:r w:rsidRPr="007D3345">
        <w:t xml:space="preserve"> vodohospodárske služby</w:t>
      </w:r>
      <w:r w:rsidRPr="003B7D78">
        <w:t xml:space="preserve"> </w:t>
      </w:r>
      <w:r w:rsidRPr="007D3345">
        <w:t>je základnou podmienkou činností podniku, čo reflektuje nákladovosť opráv a kompenzuje predpokladané znižovanie hodnoty štátneho majetku</w:t>
      </w:r>
      <w:r w:rsidRPr="003B7D78">
        <w:t>. Zabezpečovanie starostlivosti o vodohospodársky majetok</w:t>
      </w:r>
      <w:r>
        <w:t xml:space="preserve"> štátu bolo </w:t>
      </w:r>
      <w:r w:rsidRPr="00B74BAD">
        <w:t>vykonávané len v obmedzenom, resp. nevyhnutnom rozsahu, ktorý minimalizoval riziko vzniku havárií a</w:t>
      </w:r>
      <w:r>
        <w:t> </w:t>
      </w:r>
      <w:r w:rsidRPr="00B74BAD">
        <w:t>ich následkov.</w:t>
      </w:r>
      <w:r>
        <w:t xml:space="preserve"> </w:t>
      </w:r>
      <w:r w:rsidRPr="00FD0408">
        <w:t xml:space="preserve"> </w:t>
      </w:r>
    </w:p>
    <w:p w14:paraId="040A5C25" w14:textId="77777777" w:rsidR="009D7F54" w:rsidRDefault="009D7F54" w:rsidP="00F3605E">
      <w:pPr>
        <w:pStyle w:val="Default"/>
        <w:jc w:val="both"/>
        <w:rPr>
          <w:rFonts w:ascii="Segoe UI" w:hAnsi="Segoe UI" w:cs="Segoe UI"/>
          <w:b/>
          <w:color w:val="314364" w:themeColor="text2"/>
          <w:sz w:val="20"/>
          <w:szCs w:val="20"/>
        </w:rPr>
      </w:pPr>
      <w:r>
        <w:rPr>
          <w:rFonts w:ascii="Segoe UI" w:hAnsi="Segoe UI" w:cs="Segoe UI"/>
          <w:b/>
          <w:color w:val="314364" w:themeColor="text2"/>
          <w:sz w:val="20"/>
          <w:szCs w:val="20"/>
        </w:rPr>
        <w:br w:type="page"/>
      </w:r>
    </w:p>
    <w:p w14:paraId="7B52DC14" w14:textId="7534C22E" w:rsidR="00F3605E" w:rsidRDefault="00F3605E" w:rsidP="00F3605E">
      <w:pPr>
        <w:pStyle w:val="Default"/>
        <w:jc w:val="both"/>
        <w:rPr>
          <w:rFonts w:ascii="Segoe UI" w:hAnsi="Segoe UI" w:cs="Segoe UI"/>
          <w:b/>
          <w:color w:val="314364" w:themeColor="text2"/>
          <w:sz w:val="20"/>
          <w:szCs w:val="20"/>
        </w:rPr>
      </w:pPr>
      <w:r w:rsidRPr="001619FE">
        <w:rPr>
          <w:rFonts w:ascii="Segoe UI" w:hAnsi="Segoe UI" w:cs="Segoe UI"/>
          <w:b/>
          <w:color w:val="314364" w:themeColor="text2"/>
          <w:sz w:val="20"/>
          <w:szCs w:val="20"/>
        </w:rPr>
        <w:lastRenderedPageBreak/>
        <w:t>Graf</w:t>
      </w:r>
      <w:r>
        <w:rPr>
          <w:rFonts w:ascii="Segoe UI" w:hAnsi="Segoe UI" w:cs="Segoe UI"/>
          <w:b/>
          <w:color w:val="314364" w:themeColor="text2"/>
          <w:sz w:val="20"/>
          <w:szCs w:val="20"/>
        </w:rPr>
        <w:t xml:space="preserve"> </w:t>
      </w:r>
      <w:r w:rsidR="00315037">
        <w:rPr>
          <w:rFonts w:ascii="Segoe UI" w:hAnsi="Segoe UI" w:cs="Segoe UI"/>
          <w:b/>
          <w:color w:val="314364" w:themeColor="text2"/>
          <w:sz w:val="20"/>
          <w:szCs w:val="20"/>
        </w:rPr>
        <w:t>55</w:t>
      </w:r>
      <w:r w:rsidRPr="001619FE">
        <w:rPr>
          <w:rFonts w:ascii="Segoe UI" w:hAnsi="Segoe UI" w:cs="Segoe UI"/>
          <w:b/>
          <w:color w:val="314364" w:themeColor="text2"/>
          <w:sz w:val="20"/>
          <w:szCs w:val="20"/>
        </w:rPr>
        <w:t>:</w:t>
      </w:r>
      <w:r>
        <w:rPr>
          <w:rFonts w:ascii="Segoe UI" w:hAnsi="Segoe UI" w:cs="Segoe UI"/>
          <w:b/>
          <w:color w:val="314364" w:themeColor="text2"/>
          <w:sz w:val="20"/>
          <w:szCs w:val="20"/>
        </w:rPr>
        <w:t xml:space="preserve"> </w:t>
      </w:r>
      <w:r w:rsidRPr="00AA6C94">
        <w:rPr>
          <w:rFonts w:ascii="Segoe UI" w:hAnsi="Segoe UI" w:cs="Segoe UI"/>
          <w:b/>
          <w:color w:val="314364" w:themeColor="text2"/>
          <w:sz w:val="20"/>
          <w:szCs w:val="20"/>
        </w:rPr>
        <w:t xml:space="preserve">Požadované a skutočne pridelené finančné prostriedky zo ŠR na neregulované platby </w:t>
      </w:r>
      <w:r>
        <w:rPr>
          <w:rFonts w:ascii="Segoe UI" w:hAnsi="Segoe UI" w:cs="Segoe UI"/>
          <w:b/>
          <w:color w:val="314364" w:themeColor="text2"/>
          <w:sz w:val="20"/>
          <w:szCs w:val="20"/>
        </w:rPr>
        <w:t>v rokoch 2018 až 2024</w:t>
      </w:r>
      <w:r w:rsidRPr="00AA6C94">
        <w:rPr>
          <w:rFonts w:ascii="Segoe UI" w:hAnsi="Segoe UI" w:cs="Segoe UI"/>
          <w:b/>
          <w:color w:val="314364" w:themeColor="text2"/>
          <w:sz w:val="20"/>
          <w:szCs w:val="20"/>
        </w:rPr>
        <w:t xml:space="preserve"> prostredníctvom kapitoly MŽP SR</w:t>
      </w:r>
      <w:r>
        <w:rPr>
          <w:rFonts w:ascii="Segoe UI" w:hAnsi="Segoe UI" w:cs="Segoe UI"/>
          <w:b/>
          <w:color w:val="314364" w:themeColor="text2"/>
          <w:sz w:val="20"/>
          <w:szCs w:val="20"/>
        </w:rPr>
        <w:t xml:space="preserve"> </w:t>
      </w:r>
      <w:r w:rsidRPr="00AA6C94">
        <w:rPr>
          <w:rFonts w:ascii="Segoe UI" w:hAnsi="Segoe UI" w:cs="Segoe UI"/>
          <w:b/>
          <w:color w:val="314364" w:themeColor="text2"/>
          <w:sz w:val="20"/>
          <w:szCs w:val="20"/>
        </w:rPr>
        <w:t>(v mil. eur)</w:t>
      </w:r>
    </w:p>
    <w:tbl>
      <w:tblPr>
        <w:tblStyle w:val="Mriekatabuky"/>
        <w:tblW w:w="0" w:type="auto"/>
        <w:tblLook w:val="04A0" w:firstRow="1" w:lastRow="0" w:firstColumn="1" w:lastColumn="0" w:noHBand="0" w:noVBand="1"/>
      </w:tblPr>
      <w:tblGrid>
        <w:gridCol w:w="9070"/>
      </w:tblGrid>
      <w:tr w:rsidR="00DD71E4" w14:paraId="48AECE04" w14:textId="77777777" w:rsidTr="00F879B6">
        <w:trPr>
          <w:trHeight w:val="2835"/>
        </w:trPr>
        <w:tc>
          <w:tcPr>
            <w:tcW w:w="9039" w:type="dxa"/>
            <w:tcBorders>
              <w:top w:val="single" w:sz="4" w:space="0" w:color="314364" w:themeColor="text2"/>
              <w:left w:val="nil"/>
              <w:bottom w:val="single" w:sz="4" w:space="0" w:color="314364" w:themeColor="text2"/>
              <w:right w:val="nil"/>
            </w:tcBorders>
          </w:tcPr>
          <w:p w14:paraId="67D3F019" w14:textId="7545A06A" w:rsidR="00DD71E4" w:rsidRDefault="00DD71E4" w:rsidP="00F3605E">
            <w:pPr>
              <w:pStyle w:val="Default"/>
              <w:jc w:val="both"/>
              <w:rPr>
                <w:rFonts w:ascii="Segoe UI" w:hAnsi="Segoe UI" w:cs="Segoe UI"/>
                <w:b/>
                <w:color w:val="314364" w:themeColor="text2"/>
                <w:sz w:val="20"/>
                <w:szCs w:val="20"/>
              </w:rPr>
            </w:pPr>
            <w:r>
              <w:rPr>
                <w:noProof/>
                <w:lang w:eastAsia="sk-SK"/>
              </w:rPr>
              <w:drawing>
                <wp:inline distT="0" distB="0" distL="0" distR="0" wp14:anchorId="0B27FFB7" wp14:editId="07AB382A">
                  <wp:extent cx="5705475" cy="1771650"/>
                  <wp:effectExtent l="0" t="0" r="0" b="0"/>
                  <wp:docPr id="141712263" name="Graf 1417122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bl>
    <w:p w14:paraId="379683AD" w14:textId="77777777" w:rsidR="00F879B6" w:rsidRDefault="00BB25C4" w:rsidP="00F879B6">
      <w:pPr>
        <w:pStyle w:val="Zdroj"/>
        <w:rPr>
          <w:noProof/>
        </w:rPr>
      </w:pPr>
      <w:r w:rsidRPr="000B5DF0">
        <w:rPr>
          <w:noProof/>
        </w:rPr>
        <w:t>Zdroj: SVP, š. p., IEP.</w:t>
      </w:r>
      <w:r w:rsidR="00F3605E" w:rsidRPr="000B5DF0">
        <w:rPr>
          <w:noProof/>
        </w:rPr>
        <w:t xml:space="preserve"> *</w:t>
      </w:r>
      <w:r w:rsidR="00C10075" w:rsidRPr="000B5DF0">
        <w:rPr>
          <w:noProof/>
        </w:rPr>
        <w:t>T</w:t>
      </w:r>
      <w:r w:rsidR="00F3605E" w:rsidRPr="000B5DF0">
        <w:rPr>
          <w:noProof/>
        </w:rPr>
        <w:t>ransfer zatiaľ neznámy</w:t>
      </w:r>
      <w:r w:rsidR="00C10075" w:rsidRPr="000B5DF0">
        <w:rPr>
          <w:noProof/>
        </w:rPr>
        <w:t>.</w:t>
      </w:r>
    </w:p>
    <w:p w14:paraId="249AA13B" w14:textId="21864875" w:rsidR="000B5DF0" w:rsidRDefault="000B5DF0" w:rsidP="000B5DF0">
      <w:r w:rsidRPr="00077A6F">
        <w:rPr>
          <w:b/>
        </w:rPr>
        <w:t>Od roku 2010 štát nepreplatil SVP, š. p.</w:t>
      </w:r>
      <w:r>
        <w:rPr>
          <w:b/>
        </w:rPr>
        <w:t>,</w:t>
      </w:r>
      <w:r w:rsidRPr="00077A6F">
        <w:rPr>
          <w:b/>
        </w:rPr>
        <w:t xml:space="preserve"> približne 390 mil. eur preukázaných nákladov na neregulované služby a každoročne sa tento schodok zvyšuje.</w:t>
      </w:r>
      <w:r w:rsidRPr="00077A6F">
        <w:t xml:space="preserve"> V rámci plnenia programu protipovodňovej ochrany boli pre SVP, š. p.</w:t>
      </w:r>
      <w:r>
        <w:t>,</w:t>
      </w:r>
      <w:r w:rsidRPr="00077A6F">
        <w:t xml:space="preserve"> vyčlenené na rok 2024 výdavky v sume 2,5 mil. eur</w:t>
      </w:r>
      <w:r w:rsidRPr="00952F9B">
        <w:t xml:space="preserve"> </w:t>
      </w:r>
      <w:r w:rsidRPr="004B0CDD">
        <w:t xml:space="preserve">napriek požiadavke, ktorá bola na rok 2024 vo výške približne </w:t>
      </w:r>
      <w:r>
        <w:t xml:space="preserve">58 mil. eur </w:t>
      </w:r>
      <w:r w:rsidRPr="00077A6F">
        <w:t>(graf</w:t>
      </w:r>
      <w:r>
        <w:t xml:space="preserve"> 55</w:t>
      </w:r>
      <w:r w:rsidRPr="00077A6F">
        <w:t xml:space="preserve">). </w:t>
      </w:r>
      <w:r>
        <w:t>R</w:t>
      </w:r>
      <w:r w:rsidRPr="00077A6F">
        <w:t xml:space="preserve">ozpočet </w:t>
      </w:r>
      <w:r>
        <w:t xml:space="preserve">však </w:t>
      </w:r>
      <w:r w:rsidRPr="00077A6F">
        <w:t xml:space="preserve">nezahŕňa </w:t>
      </w:r>
      <w:r w:rsidRPr="00077A6F">
        <w:rPr>
          <w:rFonts w:cs="Segoe UI"/>
          <w:szCs w:val="20"/>
        </w:rPr>
        <w:t xml:space="preserve">výdavky na havarijné stavy vodných stavieb. </w:t>
      </w:r>
      <w:r w:rsidRPr="00FD0408">
        <w:t>Nízka podpora od štátu má za následok nízke náklady do prevádzky, do opráv a</w:t>
      </w:r>
      <w:r>
        <w:t> </w:t>
      </w:r>
      <w:r w:rsidRPr="00FD0408">
        <w:t>údržby</w:t>
      </w:r>
      <w:r>
        <w:t>,</w:t>
      </w:r>
      <w:r w:rsidRPr="00FD0408">
        <w:t xml:space="preserve"> a tieto nízke ekonomicky oprávnené náklady podniku znižujú ceny za regulované služby a výšku dotácie od štátu na neregulované služby.</w:t>
      </w:r>
    </w:p>
    <w:p w14:paraId="4951323C" w14:textId="77777777" w:rsidR="00F77FDB" w:rsidRPr="00DA3EBE" w:rsidRDefault="00F77FDB" w:rsidP="00315037">
      <w:pPr>
        <w:rPr>
          <w:rFonts w:cs="Segoe UI"/>
          <w:szCs w:val="20"/>
        </w:rPr>
      </w:pPr>
      <w:r>
        <w:rPr>
          <w:b/>
        </w:rPr>
        <w:t>C</w:t>
      </w:r>
      <w:r w:rsidRPr="00D6548A">
        <w:rPr>
          <w:b/>
        </w:rPr>
        <w:t>ie</w:t>
      </w:r>
      <w:r>
        <w:rPr>
          <w:b/>
        </w:rPr>
        <w:t>le</w:t>
      </w:r>
      <w:r w:rsidRPr="00D6548A">
        <w:rPr>
          <w:b/>
        </w:rPr>
        <w:t xml:space="preserve"> zameran</w:t>
      </w:r>
      <w:r>
        <w:rPr>
          <w:b/>
        </w:rPr>
        <w:t>é</w:t>
      </w:r>
      <w:r w:rsidRPr="00D6548A">
        <w:rPr>
          <w:b/>
        </w:rPr>
        <w:t xml:space="preserve"> na zlepšenie kvality</w:t>
      </w:r>
      <w:r>
        <w:rPr>
          <w:b/>
        </w:rPr>
        <w:t xml:space="preserve"> ovzdušia sa plnia iba čiastočne. </w:t>
      </w:r>
      <w:r>
        <w:t xml:space="preserve">SR je </w:t>
      </w:r>
      <w:r w:rsidRPr="003E5062">
        <w:t>jednou z krajín s najvyššou koncentráciou jemných prachových častíc (PM2,5) v</w:t>
      </w:r>
      <w:r>
        <w:t> </w:t>
      </w:r>
      <w:r w:rsidRPr="003E5062">
        <w:t>ovzduší v rámci krajín OECD v Európe</w:t>
      </w:r>
      <w:r w:rsidRPr="003E5062">
        <w:rPr>
          <w:rStyle w:val="Odkaznapoznmkupodiarou"/>
        </w:rPr>
        <w:footnoteReference w:id="47"/>
      </w:r>
      <w:r w:rsidRPr="003E5062">
        <w:t>. S</w:t>
      </w:r>
      <w:r>
        <w:t>R</w:t>
      </w:r>
      <w:r w:rsidRPr="003E5062">
        <w:t xml:space="preserve"> čelí opakovaným konaniam EÚ kvôli nedodržiavaniu limitných hodnôt pre častice PM10, pričom hlavnými zdrojmi znečistenia sú spaľovanie tuhých palív na vykurovanie domácností, cestná doprava a výroba kovov.</w:t>
      </w:r>
      <w:r>
        <w:t xml:space="preserve"> Z toho dôvodu sa NKÚ SR venoval tejto téme aj v medzinárodnej kontrole (box 9).</w:t>
      </w:r>
    </w:p>
    <w:tbl>
      <w:tblPr>
        <w:tblStyle w:val="Mriekatabuky"/>
        <w:tblW w:w="5000" w:type="pct"/>
        <w:tblBorders>
          <w:top w:val="single" w:sz="4" w:space="0" w:color="314364" w:themeColor="text2"/>
          <w:left w:val="single" w:sz="4" w:space="0" w:color="314364" w:themeColor="text2"/>
          <w:bottom w:val="single" w:sz="4" w:space="0" w:color="314364" w:themeColor="text2"/>
          <w:right w:val="single" w:sz="4" w:space="0" w:color="314364" w:themeColor="text2"/>
          <w:insideH w:val="none" w:sz="0" w:space="0" w:color="auto"/>
          <w:insideV w:val="none" w:sz="0" w:space="0" w:color="auto"/>
        </w:tblBorders>
        <w:shd w:val="clear" w:color="auto" w:fill="EBF0FB" w:themeFill="background2" w:themeFillTint="33"/>
        <w:tblLook w:val="04A0" w:firstRow="1" w:lastRow="0" w:firstColumn="1" w:lastColumn="0" w:noHBand="0" w:noVBand="1"/>
      </w:tblPr>
      <w:tblGrid>
        <w:gridCol w:w="9060"/>
      </w:tblGrid>
      <w:tr w:rsidR="00CB5B58" w:rsidRPr="00AC3675" w14:paraId="52BF2A19" w14:textId="77777777" w:rsidTr="00F879B6">
        <w:trPr>
          <w:trHeight w:val="521"/>
        </w:trPr>
        <w:tc>
          <w:tcPr>
            <w:tcW w:w="5000" w:type="pct"/>
            <w:shd w:val="clear" w:color="auto" w:fill="EBF0FB" w:themeFill="background2" w:themeFillTint="33"/>
          </w:tcPr>
          <w:p w14:paraId="78E013B1" w14:textId="0B6A0490" w:rsidR="00CB5B58" w:rsidRPr="00C029B0" w:rsidRDefault="00CB5B58" w:rsidP="00F879B6">
            <w:pPr>
              <w:spacing w:before="120"/>
              <w:rPr>
                <w:b/>
                <w:szCs w:val="20"/>
              </w:rPr>
            </w:pPr>
            <w:r w:rsidRPr="00C029B0">
              <w:rPr>
                <w:b/>
                <w:szCs w:val="20"/>
              </w:rPr>
              <w:t xml:space="preserve">BOX </w:t>
            </w:r>
            <w:r w:rsidR="005E3D40">
              <w:rPr>
                <w:b/>
                <w:szCs w:val="20"/>
              </w:rPr>
              <w:t>9</w:t>
            </w:r>
            <w:r w:rsidRPr="00C029B0">
              <w:rPr>
                <w:b/>
                <w:szCs w:val="20"/>
              </w:rPr>
              <w:t>: Kontrola ochrany klímy s použitím metodiky „</w:t>
            </w:r>
            <w:proofErr w:type="spellStart"/>
            <w:r w:rsidRPr="00C029B0">
              <w:rPr>
                <w:b/>
                <w:szCs w:val="20"/>
              </w:rPr>
              <w:t>Climate</w:t>
            </w:r>
            <w:proofErr w:type="spellEnd"/>
            <w:r w:rsidRPr="00C029B0">
              <w:rPr>
                <w:b/>
                <w:szCs w:val="20"/>
              </w:rPr>
              <w:t xml:space="preserve"> </w:t>
            </w:r>
            <w:proofErr w:type="spellStart"/>
            <w:r w:rsidRPr="00C029B0">
              <w:rPr>
                <w:b/>
                <w:szCs w:val="20"/>
              </w:rPr>
              <w:t>Scanner</w:t>
            </w:r>
            <w:proofErr w:type="spellEnd"/>
            <w:r w:rsidRPr="00C029B0">
              <w:rPr>
                <w:b/>
                <w:szCs w:val="20"/>
              </w:rPr>
              <w:t xml:space="preserve">“ </w:t>
            </w:r>
          </w:p>
          <w:p w14:paraId="47606AE1" w14:textId="264A5F73" w:rsidR="00CB5B58" w:rsidRPr="00A871C1" w:rsidRDefault="00CB5B58" w:rsidP="00A47E29">
            <w:pPr>
              <w:rPr>
                <w:rFonts w:eastAsia="Arial Unicode MS" w:cs="Arial Unicode MS"/>
                <w:color w:val="000000"/>
                <w:sz w:val="18"/>
                <w:szCs w:val="18"/>
                <w:bdr w:val="nil"/>
              </w:rPr>
            </w:pPr>
            <w:r w:rsidRPr="007D3345">
              <w:rPr>
                <w:b/>
                <w:sz w:val="18"/>
                <w:szCs w:val="18"/>
              </w:rPr>
              <w:t>NKÚ SR v roku 2024 vykonal kontrolu zameranú na vybrané úlohy MŽP SR</w:t>
            </w:r>
            <w:r w:rsidR="00D31D5C">
              <w:rPr>
                <w:b/>
                <w:sz w:val="18"/>
                <w:szCs w:val="18"/>
              </w:rPr>
              <w:t>,</w:t>
            </w:r>
            <w:r w:rsidRPr="007D3345">
              <w:rPr>
                <w:b/>
                <w:sz w:val="18"/>
                <w:szCs w:val="18"/>
              </w:rPr>
              <w:t xml:space="preserve"> súvisiace s jeho kompetenciami v</w:t>
            </w:r>
            <w:r>
              <w:rPr>
                <w:b/>
                <w:sz w:val="18"/>
                <w:szCs w:val="18"/>
              </w:rPr>
              <w:t> </w:t>
            </w:r>
            <w:r w:rsidRPr="007D3345">
              <w:rPr>
                <w:b/>
                <w:sz w:val="18"/>
                <w:szCs w:val="18"/>
              </w:rPr>
              <w:t>oblasti politík ochrany klímy.</w:t>
            </w:r>
            <w:r w:rsidRPr="00A871C1">
              <w:rPr>
                <w:sz w:val="18"/>
                <w:szCs w:val="18"/>
              </w:rPr>
              <w:t xml:space="preserve"> </w:t>
            </w:r>
            <w:r w:rsidRPr="00A871C1">
              <w:rPr>
                <w:rFonts w:eastAsia="Arial Unicode MS" w:cs="Arial Unicode MS"/>
                <w:color w:val="000000"/>
                <w:sz w:val="18"/>
                <w:szCs w:val="18"/>
                <w:bdr w:val="nil"/>
              </w:rPr>
              <w:t>Špecifikom v tejto kontrole bolo aplikovanie vybraných kritérií metodiky „</w:t>
            </w:r>
            <w:proofErr w:type="spellStart"/>
            <w:r w:rsidRPr="00A871C1">
              <w:rPr>
                <w:rFonts w:eastAsia="Arial Unicode MS" w:cs="Arial Unicode MS"/>
                <w:color w:val="000000"/>
                <w:sz w:val="18"/>
                <w:szCs w:val="18"/>
                <w:bdr w:val="nil"/>
              </w:rPr>
              <w:t>Climate</w:t>
            </w:r>
            <w:proofErr w:type="spellEnd"/>
            <w:r w:rsidRPr="00A871C1">
              <w:rPr>
                <w:rFonts w:eastAsia="Arial Unicode MS" w:cs="Arial Unicode MS"/>
                <w:color w:val="000000"/>
                <w:sz w:val="18"/>
                <w:szCs w:val="18"/>
                <w:bdr w:val="nil"/>
              </w:rPr>
              <w:t xml:space="preserve"> </w:t>
            </w:r>
            <w:proofErr w:type="spellStart"/>
            <w:r w:rsidRPr="00A871C1">
              <w:rPr>
                <w:rFonts w:eastAsia="Arial Unicode MS" w:cs="Arial Unicode MS"/>
                <w:color w:val="000000"/>
                <w:sz w:val="18"/>
                <w:szCs w:val="18"/>
                <w:bdr w:val="nil"/>
              </w:rPr>
              <w:t>Scanner</w:t>
            </w:r>
            <w:proofErr w:type="spellEnd"/>
            <w:r w:rsidRPr="00A871C1">
              <w:rPr>
                <w:rFonts w:eastAsia="Arial Unicode MS" w:cs="Arial Unicode MS"/>
                <w:color w:val="000000"/>
                <w:sz w:val="18"/>
                <w:szCs w:val="18"/>
                <w:bdr w:val="nil"/>
              </w:rPr>
              <w:t>“. Metodiku vyvinula v rokoch 2023</w:t>
            </w:r>
            <w:r w:rsidR="00165D87">
              <w:rPr>
                <w:rFonts w:eastAsia="Arial Unicode MS" w:cs="Arial Unicode MS"/>
                <w:color w:val="000000"/>
                <w:sz w:val="18"/>
                <w:szCs w:val="18"/>
                <w:bdr w:val="nil"/>
              </w:rPr>
              <w:t xml:space="preserve"> – </w:t>
            </w:r>
            <w:r w:rsidRPr="00A871C1">
              <w:rPr>
                <w:rFonts w:eastAsia="Arial Unicode MS" w:cs="Arial Unicode MS"/>
                <w:color w:val="000000"/>
                <w:sz w:val="18"/>
                <w:szCs w:val="18"/>
                <w:bdr w:val="nil"/>
              </w:rPr>
              <w:t>2024 organizácia INTOSAI (Medzinárodná organizácia najvyšších kontrolných inštitúcií). Metodika obsahuje viac ako 200 podrobných kontrolných otázok a kritérií v troch kategóriách: „</w:t>
            </w:r>
            <w:proofErr w:type="spellStart"/>
            <w:r w:rsidRPr="00A871C1">
              <w:rPr>
                <w:rFonts w:eastAsia="Arial Unicode MS" w:cs="Arial Unicode MS"/>
                <w:color w:val="000000"/>
                <w:sz w:val="18"/>
                <w:szCs w:val="18"/>
                <w:bdr w:val="nil"/>
              </w:rPr>
              <w:t>policy</w:t>
            </w:r>
            <w:proofErr w:type="spellEnd"/>
            <w:r w:rsidRPr="00A871C1">
              <w:rPr>
                <w:rFonts w:eastAsia="Arial Unicode MS" w:cs="Arial Unicode MS"/>
                <w:color w:val="000000"/>
                <w:sz w:val="18"/>
                <w:szCs w:val="18"/>
                <w:bdr w:val="nil"/>
              </w:rPr>
              <w:t>/verejné politiky“, „</w:t>
            </w:r>
            <w:proofErr w:type="spellStart"/>
            <w:r w:rsidRPr="00A871C1">
              <w:rPr>
                <w:rFonts w:eastAsia="Arial Unicode MS" w:cs="Arial Unicode MS"/>
                <w:color w:val="000000"/>
                <w:sz w:val="18"/>
                <w:szCs w:val="18"/>
                <w:bdr w:val="nil"/>
              </w:rPr>
              <w:t>governance</w:t>
            </w:r>
            <w:proofErr w:type="spellEnd"/>
            <w:r w:rsidRPr="00A871C1">
              <w:rPr>
                <w:rFonts w:eastAsia="Arial Unicode MS" w:cs="Arial Unicode MS"/>
                <w:color w:val="000000"/>
                <w:sz w:val="18"/>
                <w:szCs w:val="18"/>
                <w:bdr w:val="nil"/>
              </w:rPr>
              <w:t>/správa a riadenie“ a „</w:t>
            </w:r>
            <w:proofErr w:type="spellStart"/>
            <w:r w:rsidRPr="00A871C1">
              <w:rPr>
                <w:rFonts w:eastAsia="Arial Unicode MS" w:cs="Arial Unicode MS"/>
                <w:color w:val="000000"/>
                <w:sz w:val="18"/>
                <w:szCs w:val="18"/>
                <w:bdr w:val="nil"/>
              </w:rPr>
              <w:t>finance</w:t>
            </w:r>
            <w:proofErr w:type="spellEnd"/>
            <w:r w:rsidRPr="00A871C1">
              <w:rPr>
                <w:rFonts w:eastAsia="Arial Unicode MS" w:cs="Arial Unicode MS"/>
                <w:color w:val="000000"/>
                <w:sz w:val="18"/>
                <w:szCs w:val="18"/>
                <w:bdr w:val="nil"/>
              </w:rPr>
              <w:t>/financovanie“. Cieľom bolo vyvinúť a poskytnúť univerzálnu metódu rýchleho preskúmania a nástroj na hodnotenie vládnych opatrení v oblasti zmeny klímy.</w:t>
            </w:r>
            <w:r>
              <w:rPr>
                <w:rFonts w:eastAsia="Arial Unicode MS" w:cs="Arial Unicode MS"/>
                <w:color w:val="000000"/>
                <w:sz w:val="18"/>
                <w:szCs w:val="18"/>
                <w:bdr w:val="nil"/>
              </w:rPr>
              <w:t xml:space="preserve"> </w:t>
            </w:r>
          </w:p>
          <w:p w14:paraId="58F1240F" w14:textId="2B804CD5" w:rsidR="00CB5B58" w:rsidRPr="00A871C1" w:rsidRDefault="00CB5B58" w:rsidP="00044B87">
            <w:pPr>
              <w:rPr>
                <w:sz w:val="18"/>
                <w:szCs w:val="18"/>
              </w:rPr>
            </w:pPr>
            <w:r w:rsidRPr="007D3345">
              <w:rPr>
                <w:rFonts w:eastAsia="Arial Unicode MS" w:cs="Arial Unicode MS"/>
                <w:color w:val="000000"/>
                <w:sz w:val="18"/>
                <w:szCs w:val="18"/>
                <w:bdr w:val="nil"/>
              </w:rPr>
              <w:t>V súčasnosti v SR absentuje zákon o zmene klímy,</w:t>
            </w:r>
            <w:r w:rsidRPr="00D324F6">
              <w:rPr>
                <w:rFonts w:eastAsia="Arial Unicode MS" w:cs="Arial Unicode MS"/>
                <w:color w:val="000000"/>
                <w:sz w:val="18"/>
                <w:szCs w:val="18"/>
                <w:bdr w:val="nil"/>
              </w:rPr>
              <w:t xml:space="preserve"> ktorý</w:t>
            </w:r>
            <w:r w:rsidRPr="0000675C">
              <w:rPr>
                <w:rFonts w:eastAsia="Arial Unicode MS" w:cs="Arial Unicode MS"/>
                <w:color w:val="000000"/>
                <w:sz w:val="18"/>
                <w:szCs w:val="18"/>
                <w:bdr w:val="nil"/>
              </w:rPr>
              <w:t xml:space="preserve"> zásadným spôsobom </w:t>
            </w:r>
            <w:r w:rsidRPr="0000675C">
              <w:rPr>
                <w:sz w:val="18"/>
                <w:szCs w:val="18"/>
              </w:rPr>
              <w:t>stanovuje záväzné povinnosti v sektorových cieľoch znižovania emisií skleníkových plynov, finančné záväzky, adaptačné povinnosti, úlohu klimatickej rady a náležitosti klimatickej žaloby.</w:t>
            </w:r>
            <w:r w:rsidRPr="00A871C1">
              <w:rPr>
                <w:b/>
                <w:sz w:val="18"/>
                <w:szCs w:val="18"/>
              </w:rPr>
              <w:t xml:space="preserve"> </w:t>
            </w:r>
            <w:r w:rsidRPr="00A871C1">
              <w:rPr>
                <w:sz w:val="18"/>
                <w:szCs w:val="18"/>
              </w:rPr>
              <w:t xml:space="preserve">Táto skutočnosť má za následok pretrvávanie istého stupňa právneho vákua a neistoty tým, že sektorové ciele pre oblasť znižovania emisií skleníkových plynov mimo ETS </w:t>
            </w:r>
            <w:r w:rsidR="00044B87">
              <w:rPr>
                <w:sz w:val="18"/>
                <w:szCs w:val="18"/>
              </w:rPr>
              <w:t>(</w:t>
            </w:r>
            <w:r w:rsidR="00044B87" w:rsidRPr="00044B87">
              <w:rPr>
                <w:sz w:val="18"/>
                <w:szCs w:val="18"/>
              </w:rPr>
              <w:t xml:space="preserve">EU </w:t>
            </w:r>
            <w:proofErr w:type="spellStart"/>
            <w:r w:rsidR="00044B87" w:rsidRPr="00044B87">
              <w:rPr>
                <w:sz w:val="18"/>
                <w:szCs w:val="18"/>
              </w:rPr>
              <w:t>Emissions</w:t>
            </w:r>
            <w:proofErr w:type="spellEnd"/>
            <w:r w:rsidR="00044B87" w:rsidRPr="00044B87">
              <w:rPr>
                <w:sz w:val="18"/>
                <w:szCs w:val="18"/>
              </w:rPr>
              <w:t xml:space="preserve"> </w:t>
            </w:r>
            <w:proofErr w:type="spellStart"/>
            <w:r w:rsidR="00044B87" w:rsidRPr="00044B87">
              <w:rPr>
                <w:sz w:val="18"/>
                <w:szCs w:val="18"/>
              </w:rPr>
              <w:t>Trading</w:t>
            </w:r>
            <w:proofErr w:type="spellEnd"/>
            <w:r w:rsidR="00044B87" w:rsidRPr="00044B87">
              <w:rPr>
                <w:sz w:val="18"/>
                <w:szCs w:val="18"/>
              </w:rPr>
              <w:t xml:space="preserve"> </w:t>
            </w:r>
            <w:proofErr w:type="spellStart"/>
            <w:r w:rsidR="00044B87" w:rsidRPr="00044B87">
              <w:rPr>
                <w:sz w:val="18"/>
                <w:szCs w:val="18"/>
              </w:rPr>
              <w:t>System</w:t>
            </w:r>
            <w:proofErr w:type="spellEnd"/>
            <w:r w:rsidR="00044B87">
              <w:rPr>
                <w:sz w:val="18"/>
                <w:szCs w:val="18"/>
              </w:rPr>
              <w:t xml:space="preserve"> – </w:t>
            </w:r>
            <w:r w:rsidR="00044B87" w:rsidRPr="00044B87">
              <w:rPr>
                <w:sz w:val="18"/>
                <w:szCs w:val="18"/>
              </w:rPr>
              <w:t>Eur</w:t>
            </w:r>
            <w:r w:rsidR="00044B87">
              <w:rPr>
                <w:sz w:val="18"/>
                <w:szCs w:val="18"/>
              </w:rPr>
              <w:t>óp</w:t>
            </w:r>
            <w:r w:rsidR="00044B87" w:rsidRPr="00044B87">
              <w:rPr>
                <w:sz w:val="18"/>
                <w:szCs w:val="18"/>
              </w:rPr>
              <w:t>sky syst</w:t>
            </w:r>
            <w:r w:rsidR="00044B87">
              <w:rPr>
                <w:sz w:val="18"/>
                <w:szCs w:val="18"/>
              </w:rPr>
              <w:t>é</w:t>
            </w:r>
            <w:r w:rsidR="00044B87" w:rsidRPr="00044B87">
              <w:rPr>
                <w:sz w:val="18"/>
                <w:szCs w:val="18"/>
              </w:rPr>
              <w:t>m pre obchodovanie s</w:t>
            </w:r>
            <w:r w:rsidR="00044B87">
              <w:rPr>
                <w:sz w:val="18"/>
                <w:szCs w:val="18"/>
              </w:rPr>
              <w:t> </w:t>
            </w:r>
            <w:r w:rsidR="00044B87" w:rsidRPr="00044B87">
              <w:rPr>
                <w:sz w:val="18"/>
                <w:szCs w:val="18"/>
              </w:rPr>
              <w:t>emisiami</w:t>
            </w:r>
            <w:r w:rsidR="00044B87">
              <w:rPr>
                <w:sz w:val="18"/>
                <w:szCs w:val="18"/>
              </w:rPr>
              <w:t>)</w:t>
            </w:r>
            <w:r w:rsidRPr="00A871C1">
              <w:rPr>
                <w:sz w:val="18"/>
                <w:szCs w:val="18"/>
              </w:rPr>
              <w:t xml:space="preserve"> sú právne jednoznačne vymáhateľné. Neprijatím zákona zároveň neprišlo k posilneniu sankčného systému pre nedodržiavanie vybraných cieľov v oblasti klimatických politík. Ďalším následkom neprijatia zákona zostáva nejednoznačnosť povinností v oblasti prijímania adaptačných opatrení a opatrení na znižovanie emisií skleníkových plynov pre mestá a obce. Neexistencia zákona môže tvoriť aj prekážku pri dosahovaní cieľov SR pri znižovaní emisií CO</w:t>
            </w:r>
            <w:r w:rsidRPr="00A871C1">
              <w:rPr>
                <w:sz w:val="18"/>
                <w:szCs w:val="18"/>
                <w:vertAlign w:val="subscript"/>
              </w:rPr>
              <w:t>2</w:t>
            </w:r>
            <w:r w:rsidRPr="00A871C1">
              <w:rPr>
                <w:sz w:val="18"/>
                <w:szCs w:val="18"/>
              </w:rPr>
              <w:t xml:space="preserve">. </w:t>
            </w:r>
          </w:p>
          <w:p w14:paraId="360149FD" w14:textId="77777777" w:rsidR="00CB5B58" w:rsidRPr="007D3345" w:rsidRDefault="00CB5B58" w:rsidP="00A47E29">
            <w:pPr>
              <w:rPr>
                <w:sz w:val="18"/>
                <w:szCs w:val="18"/>
              </w:rPr>
            </w:pPr>
            <w:r w:rsidRPr="00D324F6">
              <w:rPr>
                <w:sz w:val="18"/>
                <w:szCs w:val="18"/>
              </w:rPr>
              <w:lastRenderedPageBreak/>
              <w:t xml:space="preserve">MŽP SR netransponovalo v plnom rozsahu do zákona č. 236/2024 Z. z. o obchodovaní s emisnými kvótami Smernicu parlamentu a Rady (EÚ) 2023/959 o vytvorení systému obchodovania s emisnými kvótami skleníkových plynov. Neúplná transformácia môže spôsobiť </w:t>
            </w:r>
            <w:proofErr w:type="spellStart"/>
            <w:r w:rsidRPr="007D3345">
              <w:rPr>
                <w:sz w:val="18"/>
                <w:szCs w:val="18"/>
              </w:rPr>
              <w:t>infringement</w:t>
            </w:r>
            <w:proofErr w:type="spellEnd"/>
            <w:r w:rsidRPr="007D3345">
              <w:rPr>
                <w:sz w:val="18"/>
                <w:szCs w:val="18"/>
              </w:rPr>
              <w:t xml:space="preserve"> zo strany EK voči SR.</w:t>
            </w:r>
          </w:p>
          <w:p w14:paraId="6A803005" w14:textId="23F038A4" w:rsidR="00CB5B58" w:rsidRPr="00A871C1" w:rsidRDefault="00CB5B58" w:rsidP="00F50722">
            <w:pPr>
              <w:ind w:right="142"/>
              <w:rPr>
                <w:sz w:val="18"/>
                <w:szCs w:val="18"/>
              </w:rPr>
            </w:pPr>
            <w:proofErr w:type="spellStart"/>
            <w:r w:rsidRPr="00A871C1">
              <w:rPr>
                <w:sz w:val="18"/>
                <w:szCs w:val="18"/>
              </w:rPr>
              <w:t>Nízkouhlíková</w:t>
            </w:r>
            <w:proofErr w:type="spellEnd"/>
            <w:r w:rsidRPr="00A871C1">
              <w:rPr>
                <w:sz w:val="18"/>
                <w:szCs w:val="18"/>
              </w:rPr>
              <w:t xml:space="preserve"> stratégia rozvoja SR do roku 2030 s výhľadom do roku 2050, ktorou sa okrem iných definuje rámec národných cieľov znižovania celkových emisií CO</w:t>
            </w:r>
            <w:r w:rsidRPr="00A871C1">
              <w:rPr>
                <w:sz w:val="18"/>
                <w:szCs w:val="18"/>
                <w:vertAlign w:val="subscript"/>
              </w:rPr>
              <w:t>2</w:t>
            </w:r>
            <w:r w:rsidRPr="00A871C1">
              <w:rPr>
                <w:sz w:val="18"/>
                <w:szCs w:val="18"/>
              </w:rPr>
              <w:t xml:space="preserve"> a určujú sektory znižovania emisií CO</w:t>
            </w:r>
            <w:r w:rsidRPr="00A871C1">
              <w:rPr>
                <w:sz w:val="18"/>
                <w:szCs w:val="18"/>
                <w:vertAlign w:val="subscript"/>
              </w:rPr>
              <w:t>2</w:t>
            </w:r>
            <w:r w:rsidR="00D31D5C">
              <w:rPr>
                <w:sz w:val="18"/>
                <w:szCs w:val="18"/>
                <w:vertAlign w:val="subscript"/>
              </w:rPr>
              <w:t>,</w:t>
            </w:r>
            <w:r w:rsidRPr="00A871C1">
              <w:rPr>
                <w:sz w:val="18"/>
                <w:szCs w:val="18"/>
              </w:rPr>
              <w:t xml:space="preserve"> nebola spracovaná vzhľadom na ciele zníženia emisií v zmysle legislatívy EU „Fit for 55“ </w:t>
            </w:r>
            <w:r w:rsidR="00165D87">
              <w:rPr>
                <w:sz w:val="18"/>
                <w:szCs w:val="18"/>
              </w:rPr>
              <w:t xml:space="preserve">– </w:t>
            </w:r>
            <w:r w:rsidRPr="00A871C1">
              <w:rPr>
                <w:sz w:val="18"/>
                <w:szCs w:val="18"/>
              </w:rPr>
              <w:t>prispôsobenie sa cieľu znížiť pre celú EÚ celkové emisie CO</w:t>
            </w:r>
            <w:r w:rsidRPr="00A871C1">
              <w:rPr>
                <w:sz w:val="18"/>
                <w:szCs w:val="18"/>
                <w:vertAlign w:val="subscript"/>
              </w:rPr>
              <w:t>2</w:t>
            </w:r>
            <w:r w:rsidRPr="00A871C1">
              <w:rPr>
                <w:sz w:val="18"/>
                <w:szCs w:val="18"/>
              </w:rPr>
              <w:t xml:space="preserve"> do 2030 o 55 % oproti úrovni z 1990. </w:t>
            </w:r>
            <w:r>
              <w:rPr>
                <w:sz w:val="18"/>
                <w:szCs w:val="18"/>
              </w:rPr>
              <w:t>Stratégia tiež</w:t>
            </w:r>
            <w:r w:rsidRPr="007D3345">
              <w:rPr>
                <w:sz w:val="18"/>
                <w:szCs w:val="18"/>
              </w:rPr>
              <w:t xml:space="preserve"> neobsahovala namodelovanie dodatočných opatrení v</w:t>
            </w:r>
            <w:r>
              <w:rPr>
                <w:sz w:val="18"/>
                <w:szCs w:val="18"/>
              </w:rPr>
              <w:t> </w:t>
            </w:r>
            <w:r w:rsidRPr="007D3345">
              <w:rPr>
                <w:sz w:val="18"/>
                <w:szCs w:val="18"/>
              </w:rPr>
              <w:t>zmysle aktuálnej legislatívy EÚ na dosiahnutie uhlíkovej neutrality do 2050.</w:t>
            </w:r>
            <w:r w:rsidRPr="00A871C1">
              <w:rPr>
                <w:sz w:val="18"/>
                <w:szCs w:val="18"/>
              </w:rPr>
              <w:t xml:space="preserve"> </w:t>
            </w:r>
            <w:r w:rsidRPr="00F50722">
              <w:rPr>
                <w:sz w:val="18"/>
                <w:szCs w:val="18"/>
              </w:rPr>
              <w:t>Absentovala aj identifikácia rizík, ktoré by mohli ohrozovať dosahovanie jej cieľov a a</w:t>
            </w:r>
            <w:r w:rsidR="00F50722" w:rsidRPr="00F50722">
              <w:rPr>
                <w:sz w:val="18"/>
                <w:szCs w:val="18"/>
              </w:rPr>
              <w:t>j</w:t>
            </w:r>
            <w:r w:rsidRPr="00F50722">
              <w:rPr>
                <w:sz w:val="18"/>
                <w:szCs w:val="18"/>
              </w:rPr>
              <w:t xml:space="preserve"> riadenie týchto rizík.</w:t>
            </w:r>
            <w:r w:rsidRPr="00A871C1">
              <w:rPr>
                <w:sz w:val="18"/>
                <w:szCs w:val="18"/>
              </w:rPr>
              <w:t xml:space="preserve"> Taktiež chýbalo stanovenie systému monitorovania napĺňania cieľov stratégie a systému hodnotenia stratégie. </w:t>
            </w:r>
          </w:p>
        </w:tc>
      </w:tr>
    </w:tbl>
    <w:p w14:paraId="3BC8A27C" w14:textId="012631EF" w:rsidR="00F3605E" w:rsidRPr="003E5062" w:rsidRDefault="00F3605E" w:rsidP="00CB5B58">
      <w:pPr>
        <w:spacing w:before="120"/>
      </w:pPr>
      <w:r w:rsidRPr="003109E2">
        <w:rPr>
          <w:b/>
        </w:rPr>
        <w:lastRenderedPageBreak/>
        <w:t>SR zaostáva v oblasti odpadového hospodárstva</w:t>
      </w:r>
      <w:r w:rsidRPr="003E5062">
        <w:t xml:space="preserve"> aj napriek tomu, že produkcia komunálneho odpadu na obyvateľa je o niečo nižšia, ako je európsky priemer OECD</w:t>
      </w:r>
      <w:r w:rsidRPr="003E5062">
        <w:rPr>
          <w:rStyle w:val="Odkaznapoznmkupodiarou"/>
        </w:rPr>
        <w:footnoteReference w:id="48"/>
      </w:r>
      <w:r w:rsidRPr="003E5062">
        <w:t>. Hoci sa separácia odpadov zlepšila, produkcia komunálneho odpadu rástla v poslednom desaťročí rýchlejšie ako HDP a 41 % tohto odpadu stále končí na skládkach. Napriek pomerne dobre vypracovanej politike riadenia odpadového hospodárstva</w:t>
      </w:r>
      <w:r w:rsidR="00455604">
        <w:t>,</w:t>
      </w:r>
      <w:r w:rsidRPr="003E5062">
        <w:t xml:space="preserve"> SR</w:t>
      </w:r>
      <w:r>
        <w:t xml:space="preserve"> nesplnila</w:t>
      </w:r>
      <w:r w:rsidRPr="003E5062">
        <w:t xml:space="preserve"> väčšinu svojich cieľov v oblasti odpadov do roku 2020 a jeho zjavný pokrok v</w:t>
      </w:r>
      <w:r>
        <w:t> </w:t>
      </w:r>
      <w:r w:rsidRPr="003E5062">
        <w:t xml:space="preserve">oblasti recyklácie je otázny. Predpokladá sa, že cieľ miery skládkovania komunálnych odpadov na úrovni 43 % bude splnený (odhad 38 %). Taktiež hodnota miery recyklácie komunálnych odpadov bude k dispozícii neskôr, pri tej sa </w:t>
      </w:r>
      <w:r w:rsidR="00455604">
        <w:t>však</w:t>
      </w:r>
      <w:r w:rsidRPr="003E5062">
        <w:t xml:space="preserve"> nepredpokladá jej splnenie na úrovni 54 % (odhad </w:t>
      </w:r>
      <w:r w:rsidR="00BB25C4">
        <w:t xml:space="preserve">je </w:t>
      </w:r>
      <w:r w:rsidRPr="003E5062">
        <w:t>50,76 %)</w:t>
      </w:r>
      <w:r>
        <w:rPr>
          <w:rStyle w:val="Odkaznapoznmkupodiarou"/>
        </w:rPr>
        <w:footnoteReference w:id="49"/>
      </w:r>
      <w:r w:rsidRPr="003E5062">
        <w:t>.</w:t>
      </w:r>
    </w:p>
    <w:p w14:paraId="1B0E4884" w14:textId="0D242DC5" w:rsidR="00F3605E" w:rsidRPr="004604CE" w:rsidRDefault="00F3605E" w:rsidP="00F3605E">
      <w:pPr>
        <w:spacing w:after="160" w:line="259" w:lineRule="auto"/>
      </w:pPr>
      <w:r w:rsidRPr="00D86FC7">
        <w:rPr>
          <w:b/>
        </w:rPr>
        <w:t xml:space="preserve">Pokrok v tempe sanácií a </w:t>
      </w:r>
      <w:r w:rsidRPr="00D86FC7">
        <w:rPr>
          <w:rFonts w:cs="Segoe UI"/>
          <w:b/>
          <w:szCs w:val="20"/>
        </w:rPr>
        <w:t xml:space="preserve">odstraňovania </w:t>
      </w:r>
      <w:r w:rsidRPr="00D86FC7">
        <w:rPr>
          <w:b/>
        </w:rPr>
        <w:t xml:space="preserve">kontaminovaných lokalít </w:t>
      </w:r>
      <w:r w:rsidRPr="00D86FC7">
        <w:rPr>
          <w:rFonts w:cs="Segoe UI"/>
          <w:b/>
          <w:szCs w:val="20"/>
        </w:rPr>
        <w:t>environmentálnych záťaží</w:t>
      </w:r>
      <w:r w:rsidRPr="00D86FC7">
        <w:rPr>
          <w:b/>
        </w:rPr>
        <w:t xml:space="preserve"> je pomalý</w:t>
      </w:r>
      <w:r w:rsidRPr="00506896">
        <w:rPr>
          <w:rStyle w:val="Odkaznapoznmkupodiarou"/>
          <w:rFonts w:cs="Segoe UI"/>
          <w:szCs w:val="20"/>
        </w:rPr>
        <w:footnoteReference w:id="50"/>
      </w:r>
      <w:r>
        <w:rPr>
          <w:b/>
        </w:rPr>
        <w:t xml:space="preserve">. </w:t>
      </w:r>
      <w:r>
        <w:t>V</w:t>
      </w:r>
      <w:r w:rsidRPr="00B6720B">
        <w:t xml:space="preserve"> SR je vyše 300 lokalít s potvrdenou environmentálnou záťažou a približne 900 s</w:t>
      </w:r>
      <w:r>
        <w:t> </w:t>
      </w:r>
      <w:r w:rsidRPr="00B6720B">
        <w:t xml:space="preserve">pravdepodobnou </w:t>
      </w:r>
      <w:proofErr w:type="spellStart"/>
      <w:r w:rsidRPr="00B6720B">
        <w:t>envirozáťažou</w:t>
      </w:r>
      <w:proofErr w:type="spellEnd"/>
      <w:r w:rsidR="00455604">
        <w:t>,</w:t>
      </w:r>
      <w:r>
        <w:t xml:space="preserve"> </w:t>
      </w:r>
      <w:r w:rsidR="00455604">
        <w:t>no</w:t>
      </w:r>
      <w:r>
        <w:t> na ich odstránenie</w:t>
      </w:r>
      <w:r w:rsidR="00BB25C4">
        <w:t>,</w:t>
      </w:r>
      <w:r>
        <w:t xml:space="preserve"> rekultiváciu alebo sanáciu je potrebných niekoľko miliárd eur, ktoré v rozpočte každoročne absentujú. </w:t>
      </w:r>
    </w:p>
    <w:p w14:paraId="0E009EC9" w14:textId="3FFC9F4C" w:rsidR="00F3605E" w:rsidRDefault="00F3605E" w:rsidP="00F3605E">
      <w:r w:rsidRPr="004A4FB0">
        <w:rPr>
          <w:b/>
        </w:rPr>
        <w:t>Približne 75 % druhov a 60 % biotopov je v </w:t>
      </w:r>
      <w:r w:rsidR="00455604">
        <w:rPr>
          <w:b/>
        </w:rPr>
        <w:t>ch</w:t>
      </w:r>
      <w:r w:rsidR="00455604" w:rsidRPr="004A4FB0">
        <w:rPr>
          <w:b/>
        </w:rPr>
        <w:t xml:space="preserve">abom </w:t>
      </w:r>
      <w:r w:rsidRPr="004A4FB0">
        <w:rPr>
          <w:b/>
        </w:rPr>
        <w:t>alebo nepriaznivom stave</w:t>
      </w:r>
      <w:r w:rsidRPr="004A4FB0">
        <w:rPr>
          <w:rStyle w:val="Odkaznapoznmkupodiarou"/>
        </w:rPr>
        <w:footnoteReference w:id="51"/>
      </w:r>
      <w:r w:rsidRPr="00F50722">
        <w:rPr>
          <w:b/>
          <w:bCs/>
        </w:rPr>
        <w:t>.</w:t>
      </w:r>
      <w:r w:rsidRPr="00F17A5D">
        <w:t xml:space="preserve"> Tento stav je spôsobený rozširovaním poľnohospodárstva (pestovanie monokultúr, eliminácia krajinných prvkov) a lesného hospodárstva, inváziou nepôvodných druhov rastlín aj živočíchov, ako aj rozvojom infraštruktúry. Očakáva sa, že biodiverzita na Slovensku bude čeliť rastúcemu tlaku aj v dôsledku zmeny klímy. </w:t>
      </w:r>
      <w:r>
        <w:t>Prijatie</w:t>
      </w:r>
      <w:r w:rsidRPr="00F17A5D">
        <w:t xml:space="preserve"> Národnej stratégie a akčného plánu pre biodiverzitu</w:t>
      </w:r>
      <w:r>
        <w:t xml:space="preserve"> </w:t>
      </w:r>
      <w:r w:rsidRPr="00F17A5D">
        <w:t xml:space="preserve">do roku 2030 </w:t>
      </w:r>
      <w:r>
        <w:t>by poskytlo rámec na posilnenie ambície krajiny v súlade s medzinárodnými plánmi a stratégiami</w:t>
      </w:r>
      <w:r w:rsidRPr="00324C81">
        <w:rPr>
          <w:rStyle w:val="Odkaznapoznmkupodiarou"/>
        </w:rPr>
        <w:footnoteReference w:id="52"/>
      </w:r>
      <w:r>
        <w:rPr>
          <w:rStyle w:val="Odkaznapoznmkupodiarou"/>
          <w:vertAlign w:val="baseline"/>
        </w:rPr>
        <w:t xml:space="preserve">. </w:t>
      </w:r>
      <w:r>
        <w:t xml:space="preserve">V rámci SR </w:t>
      </w:r>
      <w:r w:rsidRPr="00F17A5D">
        <w:t>bude kľúčové</w:t>
      </w:r>
      <w:r>
        <w:t xml:space="preserve"> riešiť existujúce prekážky jej </w:t>
      </w:r>
      <w:r w:rsidRPr="00F17A5D">
        <w:t>implementácie vrátane nedostatočného financovania a</w:t>
      </w:r>
      <w:r>
        <w:t> </w:t>
      </w:r>
      <w:r w:rsidRPr="00F17A5D">
        <w:t>nízkej inštituci</w:t>
      </w:r>
      <w:r>
        <w:t>onálnej kapacity a koordinácie.</w:t>
      </w:r>
    </w:p>
    <w:p w14:paraId="48D84CA7" w14:textId="4D941F89" w:rsidR="00F3605E" w:rsidRPr="007D3345" w:rsidRDefault="00F3605E" w:rsidP="00F3605E">
      <w:r w:rsidRPr="00EF503C">
        <w:rPr>
          <w:b/>
        </w:rPr>
        <w:t>Environmentálny fond</w:t>
      </w:r>
      <w:r>
        <w:rPr>
          <w:b/>
        </w:rPr>
        <w:t xml:space="preserve"> </w:t>
      </w:r>
      <w:r w:rsidRPr="00CB5B58">
        <w:t>(EF)</w:t>
      </w:r>
      <w:r w:rsidRPr="007D3345">
        <w:rPr>
          <w:b/>
        </w:rPr>
        <w:t xml:space="preserve"> </w:t>
      </w:r>
      <w:r w:rsidRPr="00EF503C">
        <w:rPr>
          <w:b/>
        </w:rPr>
        <w:t xml:space="preserve">by mal plniť úlohu dôležitého nástroja politiky ochrany </w:t>
      </w:r>
      <w:r w:rsidR="00CB5B58">
        <w:rPr>
          <w:b/>
        </w:rPr>
        <w:t>životného prostredia</w:t>
      </w:r>
      <w:r w:rsidRPr="00EF503C">
        <w:rPr>
          <w:b/>
        </w:rPr>
        <w:t xml:space="preserve">, avšak doposiaľ sa </w:t>
      </w:r>
      <w:r w:rsidRPr="007D3345">
        <w:rPr>
          <w:b/>
        </w:rPr>
        <w:t>finančné prostriedky získané z predaja emisných kvót čerpali len veľmi pomaly.</w:t>
      </w:r>
      <w:r w:rsidRPr="007D3345">
        <w:t xml:space="preserve"> </w:t>
      </w:r>
      <w:r w:rsidR="008427B9">
        <w:t>E</w:t>
      </w:r>
      <w:r w:rsidRPr="007D3345">
        <w:t>F aj z dôvodu príjmov z obchodovania</w:t>
      </w:r>
      <w:r w:rsidRPr="00EF503C">
        <w:rPr>
          <w:rStyle w:val="Odkaznapoznmkupodiarou"/>
        </w:rPr>
        <w:footnoteReference w:id="53"/>
      </w:r>
      <w:r w:rsidRPr="00EF503C">
        <w:t xml:space="preserve"> s emisnými kvótami hospodári s prebytko</w:t>
      </w:r>
      <w:r w:rsidR="00CB5B58">
        <w:t>m</w:t>
      </w:r>
      <w:r w:rsidRPr="00EF503C">
        <w:t xml:space="preserve">, </w:t>
      </w:r>
      <w:r w:rsidR="00CB5B58">
        <w:t>ktorý</w:t>
      </w:r>
      <w:r w:rsidRPr="00EF503C">
        <w:t xml:space="preserve"> predstavuje zostatok z </w:t>
      </w:r>
      <w:r w:rsidR="008427B9">
        <w:t>minulých</w:t>
      </w:r>
      <w:r w:rsidRPr="00EF503C">
        <w:t xml:space="preserve"> rokov a o jeho ďalšom použití môže v súlade so zákonom o EF rozhodnúť iba </w:t>
      </w:r>
      <w:r w:rsidR="00CB5B58">
        <w:t>v</w:t>
      </w:r>
      <w:r w:rsidRPr="00EF503C">
        <w:t>láda SR po súhlase MF SR.</w:t>
      </w:r>
      <w:r>
        <w:t xml:space="preserve"> </w:t>
      </w:r>
      <w:r w:rsidRPr="00EF503C">
        <w:t xml:space="preserve">Za 2024 skutočné príjmy z predaja emisných kvót dosiahli 64,6 % rozpočtovaných príjmov (451 mil. eur). </w:t>
      </w:r>
      <w:r w:rsidR="008427B9">
        <w:t>P</w:t>
      </w:r>
      <w:r w:rsidRPr="007D3345">
        <w:t xml:space="preserve">rebytok hospodárenia </w:t>
      </w:r>
      <w:r w:rsidR="008427B9">
        <w:t>EF</w:t>
      </w:r>
      <w:r w:rsidRPr="007D3345">
        <w:t xml:space="preserve"> za 2024 po vylúčení finančných operácií bol vo výške 159 mil. eur</w:t>
      </w:r>
      <w:r>
        <w:t xml:space="preserve"> a t</w:t>
      </w:r>
      <w:r w:rsidRPr="00EF503C">
        <w:t xml:space="preserve">áto časť zostatkových príjmov sa vykazuje ako </w:t>
      </w:r>
      <w:r w:rsidRPr="007D3345">
        <w:t>rezerva</w:t>
      </w:r>
      <w:r w:rsidRPr="00EF503C">
        <w:rPr>
          <w:rStyle w:val="Odkaznapoznmkupodiarou"/>
        </w:rPr>
        <w:footnoteReference w:id="54"/>
      </w:r>
      <w:r>
        <w:t xml:space="preserve"> </w:t>
      </w:r>
      <w:r w:rsidRPr="00EF503C">
        <w:t>(graf</w:t>
      </w:r>
      <w:r w:rsidR="00CB5B58">
        <w:t xml:space="preserve"> </w:t>
      </w:r>
      <w:r w:rsidR="00315037">
        <w:t>5</w:t>
      </w:r>
      <w:r w:rsidR="00CB5B58">
        <w:t>6</w:t>
      </w:r>
      <w:r w:rsidRPr="00EF503C">
        <w:t>).</w:t>
      </w:r>
    </w:p>
    <w:p w14:paraId="52E99AE2" w14:textId="474AF4FF" w:rsidR="00DD71E4" w:rsidRPr="003D11A6" w:rsidRDefault="00F3605E" w:rsidP="00F3605E">
      <w:pPr>
        <w:spacing w:after="0"/>
        <w:jc w:val="left"/>
        <w:rPr>
          <w:rFonts w:cs="Segoe UI"/>
          <w:b/>
          <w:color w:val="314364" w:themeColor="text2"/>
          <w:szCs w:val="20"/>
        </w:rPr>
      </w:pPr>
      <w:r w:rsidRPr="00307F07">
        <w:rPr>
          <w:rFonts w:cs="Segoe UI"/>
          <w:b/>
          <w:color w:val="314364" w:themeColor="text2"/>
          <w:szCs w:val="20"/>
        </w:rPr>
        <w:lastRenderedPageBreak/>
        <w:t>Graf</w:t>
      </w:r>
      <w:r>
        <w:rPr>
          <w:rFonts w:cs="Segoe UI"/>
          <w:b/>
          <w:color w:val="314364" w:themeColor="text2"/>
          <w:szCs w:val="20"/>
        </w:rPr>
        <w:t xml:space="preserve"> </w:t>
      </w:r>
      <w:r w:rsidR="00315037">
        <w:rPr>
          <w:rFonts w:cs="Segoe UI"/>
          <w:b/>
          <w:color w:val="314364" w:themeColor="text2"/>
          <w:szCs w:val="20"/>
        </w:rPr>
        <w:t>5</w:t>
      </w:r>
      <w:r>
        <w:rPr>
          <w:rFonts w:cs="Segoe UI"/>
          <w:b/>
          <w:color w:val="314364" w:themeColor="text2"/>
          <w:szCs w:val="20"/>
        </w:rPr>
        <w:t>6:</w:t>
      </w:r>
      <w:r w:rsidRPr="00307F07">
        <w:rPr>
          <w:rFonts w:cs="Segoe UI"/>
          <w:b/>
          <w:color w:val="314364" w:themeColor="text2"/>
          <w:szCs w:val="20"/>
        </w:rPr>
        <w:t xml:space="preserve"> Príjmy* a výdavky Environ</w:t>
      </w:r>
      <w:r w:rsidR="006564D3">
        <w:rPr>
          <w:rFonts w:cs="Segoe UI"/>
          <w:b/>
          <w:color w:val="314364" w:themeColor="text2"/>
          <w:szCs w:val="20"/>
        </w:rPr>
        <w:t>mentálneho fondu v období 2007 až</w:t>
      </w:r>
      <w:r w:rsidRPr="00307F07">
        <w:rPr>
          <w:rFonts w:cs="Segoe UI"/>
          <w:b/>
          <w:color w:val="314364" w:themeColor="text2"/>
          <w:szCs w:val="20"/>
        </w:rPr>
        <w:t xml:space="preserve"> 2024 (v </w:t>
      </w:r>
      <w:r w:rsidR="00474DB5">
        <w:rPr>
          <w:rFonts w:cs="Segoe UI"/>
          <w:b/>
          <w:color w:val="314364" w:themeColor="text2"/>
          <w:szCs w:val="20"/>
        </w:rPr>
        <w:t>mil</w:t>
      </w:r>
      <w:r w:rsidRPr="00307F07">
        <w:rPr>
          <w:rFonts w:cs="Segoe UI"/>
          <w:b/>
          <w:color w:val="314364" w:themeColor="text2"/>
          <w:szCs w:val="20"/>
        </w:rPr>
        <w:t>. eur)</w:t>
      </w:r>
    </w:p>
    <w:tbl>
      <w:tblPr>
        <w:tblStyle w:val="Mriekatabuky"/>
        <w:tblW w:w="5000" w:type="pct"/>
        <w:tblLook w:val="04A0" w:firstRow="1" w:lastRow="0" w:firstColumn="1" w:lastColumn="0" w:noHBand="0" w:noVBand="1"/>
      </w:tblPr>
      <w:tblGrid>
        <w:gridCol w:w="9070"/>
      </w:tblGrid>
      <w:tr w:rsidR="00DD71E4" w14:paraId="6EFE5C78" w14:textId="77777777" w:rsidTr="00BD2C70">
        <w:trPr>
          <w:trHeight w:val="2835"/>
        </w:trPr>
        <w:tc>
          <w:tcPr>
            <w:tcW w:w="5000" w:type="pct"/>
            <w:tcBorders>
              <w:top w:val="single" w:sz="4" w:space="0" w:color="314364" w:themeColor="text2"/>
              <w:left w:val="nil"/>
              <w:bottom w:val="single" w:sz="4" w:space="0" w:color="314364" w:themeColor="text2"/>
              <w:right w:val="nil"/>
            </w:tcBorders>
          </w:tcPr>
          <w:p w14:paraId="5FFC5965" w14:textId="5B525588" w:rsidR="00DD71E4" w:rsidRDefault="00DD71E4" w:rsidP="00F3605E">
            <w:pPr>
              <w:spacing w:after="0"/>
              <w:jc w:val="left"/>
              <w:rPr>
                <w:rFonts w:cs="Segoe UI"/>
                <w:bCs/>
                <w:szCs w:val="20"/>
              </w:rPr>
            </w:pPr>
            <w:r>
              <w:rPr>
                <w:noProof/>
                <w:lang w:eastAsia="sk-SK"/>
              </w:rPr>
              <w:drawing>
                <wp:inline distT="0" distB="0" distL="0" distR="0" wp14:anchorId="4ECDB0D2" wp14:editId="4E966724">
                  <wp:extent cx="5648325" cy="1771650"/>
                  <wp:effectExtent l="0" t="0" r="0" b="0"/>
                  <wp:docPr id="490184458" name="Graf 490184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bl>
    <w:p w14:paraId="072A8C2D" w14:textId="33182738" w:rsidR="00F3605E" w:rsidRDefault="00F3605E" w:rsidP="003D11A6">
      <w:pPr>
        <w:pStyle w:val="Zdroj"/>
      </w:pPr>
      <w:r w:rsidRPr="007D3345">
        <w:t>Zdroj: MF SR, RIS, EF</w:t>
      </w:r>
      <w:r w:rsidRPr="00CD2094">
        <w:t>; spracovanie NKÚ SR</w:t>
      </w:r>
      <w:r>
        <w:t>.</w:t>
      </w:r>
      <w:r>
        <w:br/>
      </w:r>
      <w:r w:rsidRPr="007D3345">
        <w:t>*</w:t>
      </w:r>
      <w:r>
        <w:t>S</w:t>
      </w:r>
      <w:r w:rsidRPr="007D3345">
        <w:t>kutočný príjem sa skladá zo zostatkov z predchádzajúcich rokov a aktuálnych ročných príjmov</w:t>
      </w:r>
      <w:r>
        <w:t>.</w:t>
      </w:r>
    </w:p>
    <w:p w14:paraId="1F8C1CA3" w14:textId="5E431DE0" w:rsidR="008427B9" w:rsidRPr="00EF503C" w:rsidRDefault="008427B9" w:rsidP="00BD2C70">
      <w:r w:rsidRPr="007D3345">
        <w:t>Výnos z dražieb kvót je príjmom EF, ktorý tieto finančné prostriedky použ</w:t>
      </w:r>
      <w:r w:rsidR="00CD1418">
        <w:t>íva</w:t>
      </w:r>
      <w:r w:rsidRPr="007D3345">
        <w:t xml:space="preserve"> v zmysle zákona</w:t>
      </w:r>
      <w:r w:rsidRPr="00EF503C">
        <w:rPr>
          <w:rStyle w:val="Odkaznapoznmkupodiarou"/>
        </w:rPr>
        <w:footnoteReference w:id="55"/>
      </w:r>
      <w:r>
        <w:t>.</w:t>
      </w:r>
      <w:r w:rsidRPr="00EF503C">
        <w:t xml:space="preserve"> Rozhodujúce sú aj </w:t>
      </w:r>
      <w:r>
        <w:t>LVV</w:t>
      </w:r>
      <w:r w:rsidRPr="00EF503C">
        <w:rPr>
          <w:rStyle w:val="Odkaznapoznmkupodiarou"/>
        </w:rPr>
        <w:footnoteReference w:id="56"/>
      </w:r>
      <w:r w:rsidRPr="007D3345">
        <w:rPr>
          <w:rStyle w:val="Odkaznapoznmkupodiarou"/>
        </w:rPr>
        <w:t xml:space="preserve"> </w:t>
      </w:r>
      <w:r>
        <w:t>stanovené</w:t>
      </w:r>
      <w:r w:rsidRPr="00EF503C">
        <w:t xml:space="preserve"> v rozpočte fondu na príslušný rozpočtový rok pre jednotlivé oblasti podpory. Novela</w:t>
      </w:r>
      <w:r w:rsidRPr="007D3345">
        <w:t xml:space="preserve"> zákona</w:t>
      </w:r>
      <w:r>
        <w:t xml:space="preserve"> o obchodovaní s emisnými kvótami </w:t>
      </w:r>
      <w:r w:rsidRPr="00EF503C">
        <w:t>z roku 2024 zaviedla od roku 2025 nový systém prerozdelenia</w:t>
      </w:r>
      <w:r w:rsidRPr="00EF503C">
        <w:rPr>
          <w:rStyle w:val="Odkaznapoznmkupodiarou"/>
        </w:rPr>
        <w:footnoteReference w:id="57"/>
      </w:r>
      <w:r w:rsidRPr="00EF503C">
        <w:t xml:space="preserve"> výnosov z dražieb emisných kvót. Podľa nových pravidiel platí, že 50 % výnosov by malo zostávať v EF</w:t>
      </w:r>
      <w:r w:rsidRPr="007D3345">
        <w:t xml:space="preserve"> ako príjem fondu a môžu sa použiť ako výdavok aj v ďalších rokoch, čím sa zvýši objem výdavkov. Zvyšných 50 % si rozdelia MH SR, MPRV SR a MD SR na základe pripraveného investičného plánu na nasledujúce tri roky pre projekty na klimatické účely.</w:t>
      </w:r>
      <w:r>
        <w:t xml:space="preserve"> </w:t>
      </w:r>
    </w:p>
    <w:p w14:paraId="40A56476" w14:textId="77777777" w:rsidR="008427B9" w:rsidRPr="00CB5B58" w:rsidRDefault="008427B9" w:rsidP="003D11A6">
      <w:pPr>
        <w:pStyle w:val="Zdroj"/>
      </w:pPr>
    </w:p>
    <w:p w14:paraId="508F01DF" w14:textId="77777777" w:rsidR="008A4BCF" w:rsidRPr="000D6897" w:rsidRDefault="008A4BCF" w:rsidP="008A4BCF">
      <w:pPr>
        <w:pStyle w:val="Nadpis1"/>
      </w:pPr>
      <w:bookmarkStart w:id="66" w:name="_Toc198637743"/>
      <w:r w:rsidRPr="000D6897">
        <w:lastRenderedPageBreak/>
        <w:t>Hospodárenie územnej samosprávy</w:t>
      </w:r>
      <w:bookmarkEnd w:id="66"/>
    </w:p>
    <w:p w14:paraId="23A9D204" w14:textId="63F11DE5" w:rsidR="00A15A15" w:rsidRPr="004970A8" w:rsidRDefault="00A15A15" w:rsidP="00A15A15">
      <w:pPr>
        <w:rPr>
          <w:rFonts w:cs="Segoe UI"/>
          <w:bCs/>
          <w:color w:val="000000" w:themeColor="text1"/>
          <w:szCs w:val="20"/>
        </w:rPr>
      </w:pPr>
      <w:bookmarkStart w:id="67" w:name="_Toc197091817"/>
      <w:r w:rsidRPr="00DE2132">
        <w:rPr>
          <w:rFonts w:cs="Segoe UI"/>
          <w:b/>
          <w:szCs w:val="20"/>
        </w:rPr>
        <w:t xml:space="preserve">Územná </w:t>
      </w:r>
      <w:r w:rsidRPr="00D22181">
        <w:rPr>
          <w:rFonts w:cs="Segoe UI"/>
          <w:b/>
          <w:szCs w:val="20"/>
        </w:rPr>
        <w:t xml:space="preserve">samospráva dosiahla </w:t>
      </w:r>
      <w:r>
        <w:rPr>
          <w:rFonts w:cs="Segoe UI"/>
          <w:b/>
          <w:szCs w:val="20"/>
        </w:rPr>
        <w:t>v roku 2024 v metodike ESA2010</w:t>
      </w:r>
      <w:r w:rsidRPr="00D22181">
        <w:rPr>
          <w:rFonts w:cs="Segoe UI"/>
          <w:b/>
          <w:szCs w:val="20"/>
        </w:rPr>
        <w:t xml:space="preserve"> </w:t>
      </w:r>
      <w:r>
        <w:rPr>
          <w:rFonts w:cs="Segoe UI"/>
          <w:b/>
          <w:szCs w:val="20"/>
        </w:rPr>
        <w:t xml:space="preserve">nižší než rozpočtovaný </w:t>
      </w:r>
      <w:r w:rsidRPr="00904BA2">
        <w:rPr>
          <w:rFonts w:cs="Segoe UI"/>
          <w:b/>
          <w:szCs w:val="20"/>
        </w:rPr>
        <w:t xml:space="preserve">schodok </w:t>
      </w:r>
      <w:r>
        <w:rPr>
          <w:rFonts w:cs="Segoe UI"/>
          <w:b/>
          <w:szCs w:val="20"/>
        </w:rPr>
        <w:t xml:space="preserve">vo výške </w:t>
      </w:r>
      <w:r w:rsidRPr="00904BA2">
        <w:rPr>
          <w:rFonts w:cs="Segoe UI"/>
          <w:b/>
          <w:szCs w:val="20"/>
        </w:rPr>
        <w:t>129 585 tis. eur</w:t>
      </w:r>
      <w:r w:rsidRPr="004C2AE8">
        <w:rPr>
          <w:rFonts w:cs="Segoe UI"/>
          <w:b/>
          <w:bCs/>
          <w:szCs w:val="20"/>
        </w:rPr>
        <w:t>,</w:t>
      </w:r>
      <w:r w:rsidRPr="003B2DE3">
        <w:rPr>
          <w:rFonts w:cs="Segoe UI"/>
          <w:bCs/>
          <w:szCs w:val="20"/>
        </w:rPr>
        <w:t xml:space="preserve"> </w:t>
      </w:r>
      <w:r w:rsidRPr="00621516">
        <w:rPr>
          <w:rFonts w:cs="Segoe UI"/>
          <w:b/>
          <w:bCs/>
          <w:szCs w:val="20"/>
        </w:rPr>
        <w:t xml:space="preserve">čím prispela </w:t>
      </w:r>
      <w:r>
        <w:rPr>
          <w:rFonts w:cs="Segoe UI"/>
          <w:b/>
          <w:bCs/>
          <w:szCs w:val="20"/>
        </w:rPr>
        <w:t>k</w:t>
      </w:r>
      <w:r w:rsidRPr="00621516">
        <w:rPr>
          <w:rFonts w:cs="Segoe UI"/>
          <w:b/>
          <w:bCs/>
          <w:szCs w:val="20"/>
        </w:rPr>
        <w:t xml:space="preserve"> celkovému zníženiu deficitu hospodárenia </w:t>
      </w:r>
      <w:r>
        <w:rPr>
          <w:rFonts w:cs="Segoe UI"/>
          <w:b/>
          <w:bCs/>
          <w:szCs w:val="20"/>
        </w:rPr>
        <w:t xml:space="preserve">VS. </w:t>
      </w:r>
      <w:r>
        <w:rPr>
          <w:rFonts w:cs="Segoe UI"/>
          <w:bCs/>
          <w:szCs w:val="20"/>
        </w:rPr>
        <w:t>O</w:t>
      </w:r>
      <w:r w:rsidRPr="003B2DE3">
        <w:rPr>
          <w:rFonts w:cs="Segoe UI"/>
          <w:bCs/>
          <w:szCs w:val="20"/>
        </w:rPr>
        <w:t xml:space="preserve">proti </w:t>
      </w:r>
      <w:r>
        <w:rPr>
          <w:rFonts w:cs="Segoe UI"/>
          <w:bCs/>
          <w:szCs w:val="20"/>
        </w:rPr>
        <w:t xml:space="preserve">schválenému </w:t>
      </w:r>
      <w:r w:rsidRPr="003B2DE3">
        <w:rPr>
          <w:rFonts w:cs="Segoe UI"/>
          <w:bCs/>
          <w:szCs w:val="20"/>
        </w:rPr>
        <w:t xml:space="preserve">rozpočtu </w:t>
      </w:r>
      <w:r>
        <w:rPr>
          <w:rFonts w:cs="Segoe UI"/>
          <w:bCs/>
          <w:szCs w:val="20"/>
        </w:rPr>
        <w:t xml:space="preserve">bol dosiahnutý schodok nižší o </w:t>
      </w:r>
      <w:r w:rsidRPr="003B2DE3">
        <w:rPr>
          <w:rFonts w:cs="Segoe UI"/>
          <w:bCs/>
          <w:szCs w:val="20"/>
        </w:rPr>
        <w:t>284 933 tis. eur (p</w:t>
      </w:r>
      <w:r>
        <w:rPr>
          <w:rFonts w:cs="Segoe UI"/>
          <w:bCs/>
          <w:szCs w:val="20"/>
        </w:rPr>
        <w:t>ôvodne</w:t>
      </w:r>
      <w:r w:rsidRPr="003B2DE3">
        <w:rPr>
          <w:rFonts w:cs="Segoe UI"/>
          <w:bCs/>
          <w:szCs w:val="20"/>
        </w:rPr>
        <w:t xml:space="preserve"> 414 518 tis. eur)</w:t>
      </w:r>
      <w:r>
        <w:rPr>
          <w:rFonts w:cs="Segoe UI"/>
          <w:bCs/>
          <w:szCs w:val="20"/>
        </w:rPr>
        <w:t xml:space="preserve">. </w:t>
      </w:r>
      <w:r w:rsidRPr="003B2DE3">
        <w:rPr>
          <w:rFonts w:cs="Segoe UI"/>
          <w:bCs/>
          <w:szCs w:val="20"/>
        </w:rPr>
        <w:t xml:space="preserve">Pozitívny vplyv </w:t>
      </w:r>
      <w:r>
        <w:rPr>
          <w:rFonts w:cs="Segoe UI"/>
          <w:bCs/>
          <w:szCs w:val="20"/>
        </w:rPr>
        <w:t xml:space="preserve">na hospodárenie samosprávy v roku 2024 </w:t>
      </w:r>
      <w:r w:rsidRPr="003B2DE3">
        <w:rPr>
          <w:rFonts w:cs="Segoe UI"/>
          <w:bCs/>
          <w:szCs w:val="20"/>
        </w:rPr>
        <w:t xml:space="preserve">mali zvýšené daňové príjmy </w:t>
      </w:r>
      <w:r>
        <w:rPr>
          <w:rFonts w:cs="Segoe UI"/>
          <w:bCs/>
          <w:szCs w:val="20"/>
        </w:rPr>
        <w:t>(</w:t>
      </w:r>
      <w:r w:rsidRPr="003B2DE3">
        <w:rPr>
          <w:rFonts w:cs="Segoe UI"/>
          <w:bCs/>
          <w:szCs w:val="20"/>
        </w:rPr>
        <w:t>o 84 412 tis. eu</w:t>
      </w:r>
      <w:r>
        <w:rPr>
          <w:rFonts w:cs="Segoe UI"/>
          <w:bCs/>
          <w:szCs w:val="20"/>
        </w:rPr>
        <w:t>r)</w:t>
      </w:r>
      <w:r w:rsidRPr="003B2DE3">
        <w:rPr>
          <w:rFonts w:cs="Segoe UI"/>
          <w:bCs/>
          <w:szCs w:val="20"/>
        </w:rPr>
        <w:t>, najmä príjmy z podielových daní</w:t>
      </w:r>
      <w:r>
        <w:rPr>
          <w:rFonts w:cs="Segoe UI"/>
          <w:bCs/>
          <w:szCs w:val="20"/>
        </w:rPr>
        <w:t xml:space="preserve"> a </w:t>
      </w:r>
      <w:r w:rsidRPr="003B2DE3">
        <w:rPr>
          <w:rFonts w:cs="Segoe UI"/>
          <w:bCs/>
          <w:szCs w:val="20"/>
        </w:rPr>
        <w:t xml:space="preserve">vyplatený príjem DPPO, ktorý samosprávy dostali ako kompenzáciu za výpadok ich príjmov z </w:t>
      </w:r>
      <w:r>
        <w:rPr>
          <w:rFonts w:cs="Segoe UI"/>
          <w:bCs/>
          <w:szCs w:val="20"/>
        </w:rPr>
        <w:t>dôvodu</w:t>
      </w:r>
      <w:r w:rsidRPr="003B2DE3">
        <w:rPr>
          <w:rFonts w:cs="Segoe UI"/>
          <w:bCs/>
          <w:szCs w:val="20"/>
        </w:rPr>
        <w:t xml:space="preserve"> zaved</w:t>
      </w:r>
      <w:r w:rsidR="004D086C">
        <w:rPr>
          <w:rFonts w:cs="Segoe UI"/>
          <w:bCs/>
          <w:szCs w:val="20"/>
        </w:rPr>
        <w:t>enia zvýšeného daňového bonusu.</w:t>
      </w:r>
    </w:p>
    <w:p w14:paraId="44EABA12" w14:textId="71317D0A" w:rsidR="00A15A15" w:rsidRPr="006877FD" w:rsidRDefault="00A15A15" w:rsidP="00A15A15">
      <w:pPr>
        <w:rPr>
          <w:rFonts w:cs="Segoe UI"/>
          <w:bCs/>
          <w:szCs w:val="20"/>
        </w:rPr>
      </w:pPr>
      <w:r w:rsidRPr="00777027">
        <w:rPr>
          <w:rFonts w:cs="Segoe UI"/>
          <w:b/>
          <w:szCs w:val="20"/>
        </w:rPr>
        <w:t>Podiel dlhu samosprávy</w:t>
      </w:r>
      <w:r w:rsidRPr="00777027">
        <w:rPr>
          <w:rFonts w:cs="Segoe UI"/>
          <w:b/>
          <w:bCs/>
          <w:szCs w:val="20"/>
        </w:rPr>
        <w:t xml:space="preserve"> na nekonsolidovanom dlhu VS dosiahol 3,4 %, nominálne </w:t>
      </w:r>
      <w:r w:rsidRPr="007D3345">
        <w:rPr>
          <w:rFonts w:cs="Segoe UI"/>
          <w:b/>
          <w:bCs/>
          <w:szCs w:val="20"/>
        </w:rPr>
        <w:t xml:space="preserve">2,6 mld. eur. </w:t>
      </w:r>
      <w:r>
        <w:rPr>
          <w:rFonts w:cs="Segoe UI"/>
          <w:b/>
          <w:szCs w:val="20"/>
        </w:rPr>
        <w:t>L</w:t>
      </w:r>
      <w:r w:rsidRPr="00BA7D94">
        <w:rPr>
          <w:rFonts w:cs="Segoe UI"/>
          <w:b/>
          <w:szCs w:val="20"/>
        </w:rPr>
        <w:t xml:space="preserve">imit verejných výdavkov </w:t>
      </w:r>
      <w:r>
        <w:rPr>
          <w:rFonts w:cs="Segoe UI"/>
          <w:b/>
          <w:szCs w:val="20"/>
        </w:rPr>
        <w:t>územná samospráva prekročila</w:t>
      </w:r>
      <w:r w:rsidRPr="00BA7D94">
        <w:rPr>
          <w:rFonts w:cs="Segoe UI"/>
          <w:b/>
          <w:szCs w:val="20"/>
        </w:rPr>
        <w:t xml:space="preserve"> spolu </w:t>
      </w:r>
      <w:r w:rsidRPr="004C2AE8">
        <w:rPr>
          <w:rFonts w:cs="Segoe UI"/>
          <w:b/>
          <w:bCs/>
          <w:szCs w:val="20"/>
        </w:rPr>
        <w:t>o 263 715 tis. eur</w:t>
      </w:r>
      <w:r w:rsidRPr="00F50722">
        <w:rPr>
          <w:rFonts w:cs="Segoe UI"/>
          <w:b/>
          <w:szCs w:val="20"/>
        </w:rPr>
        <w:t>.</w:t>
      </w:r>
      <w:r w:rsidRPr="00020AA5">
        <w:rPr>
          <w:rFonts w:cs="Segoe UI"/>
          <w:bCs/>
          <w:szCs w:val="20"/>
        </w:rPr>
        <w:t xml:space="preserve"> </w:t>
      </w:r>
      <w:r>
        <w:rPr>
          <w:rFonts w:cs="Segoe UI"/>
          <w:bCs/>
          <w:szCs w:val="20"/>
        </w:rPr>
        <w:t>Ob</w:t>
      </w:r>
      <w:r w:rsidRPr="00020AA5">
        <w:rPr>
          <w:rFonts w:cs="Segoe UI"/>
          <w:bCs/>
          <w:szCs w:val="20"/>
        </w:rPr>
        <w:t xml:space="preserve">ce prekročili </w:t>
      </w:r>
      <w:r>
        <w:rPr>
          <w:rFonts w:cs="Segoe UI"/>
          <w:bCs/>
          <w:szCs w:val="20"/>
        </w:rPr>
        <w:t>LVV</w:t>
      </w:r>
      <w:r w:rsidRPr="00020AA5">
        <w:rPr>
          <w:rFonts w:cs="Segoe UI"/>
          <w:bCs/>
          <w:szCs w:val="20"/>
        </w:rPr>
        <w:t xml:space="preserve"> o</w:t>
      </w:r>
      <w:r>
        <w:rPr>
          <w:rFonts w:cs="Segoe UI"/>
          <w:bCs/>
          <w:szCs w:val="20"/>
        </w:rPr>
        <w:t> </w:t>
      </w:r>
      <w:r w:rsidRPr="00020AA5">
        <w:rPr>
          <w:rFonts w:cs="Segoe UI"/>
          <w:bCs/>
          <w:szCs w:val="20"/>
        </w:rPr>
        <w:t>311</w:t>
      </w:r>
      <w:r>
        <w:rPr>
          <w:rFonts w:cs="Segoe UI"/>
          <w:bCs/>
          <w:szCs w:val="20"/>
        </w:rPr>
        <w:t> </w:t>
      </w:r>
      <w:r w:rsidRPr="00020AA5">
        <w:rPr>
          <w:rFonts w:cs="Segoe UI"/>
          <w:bCs/>
          <w:szCs w:val="20"/>
        </w:rPr>
        <w:t>653 tis. eur a</w:t>
      </w:r>
      <w:r>
        <w:rPr>
          <w:rFonts w:cs="Segoe UI"/>
          <w:bCs/>
          <w:szCs w:val="20"/>
        </w:rPr>
        <w:t> </w:t>
      </w:r>
      <w:r w:rsidRPr="00020AA5">
        <w:rPr>
          <w:rFonts w:cs="Segoe UI"/>
          <w:bCs/>
          <w:szCs w:val="20"/>
        </w:rPr>
        <w:t>výdavky V</w:t>
      </w:r>
      <w:r>
        <w:rPr>
          <w:rFonts w:cs="Segoe UI"/>
          <w:bCs/>
          <w:szCs w:val="20"/>
        </w:rPr>
        <w:t>Ú</w:t>
      </w:r>
      <w:r w:rsidRPr="00020AA5">
        <w:rPr>
          <w:rFonts w:cs="Segoe UI"/>
          <w:bCs/>
          <w:szCs w:val="20"/>
        </w:rPr>
        <w:t xml:space="preserve">C </w:t>
      </w:r>
      <w:r>
        <w:rPr>
          <w:rFonts w:cs="Segoe UI"/>
          <w:bCs/>
          <w:szCs w:val="20"/>
        </w:rPr>
        <w:t>boli</w:t>
      </w:r>
      <w:r w:rsidRPr="00020AA5">
        <w:rPr>
          <w:rFonts w:cs="Segoe UI"/>
          <w:bCs/>
          <w:szCs w:val="20"/>
        </w:rPr>
        <w:t xml:space="preserve"> pod stanovený</w:t>
      </w:r>
      <w:r>
        <w:rPr>
          <w:rFonts w:cs="Segoe UI"/>
          <w:bCs/>
          <w:szCs w:val="20"/>
        </w:rPr>
        <w:t>m</w:t>
      </w:r>
      <w:r w:rsidRPr="00020AA5">
        <w:rPr>
          <w:rFonts w:cs="Segoe UI"/>
          <w:bCs/>
          <w:szCs w:val="20"/>
        </w:rPr>
        <w:t xml:space="preserve"> </w:t>
      </w:r>
      <w:r>
        <w:rPr>
          <w:rFonts w:cs="Segoe UI"/>
          <w:bCs/>
          <w:szCs w:val="20"/>
        </w:rPr>
        <w:t>LVV</w:t>
      </w:r>
      <w:r w:rsidRPr="00020AA5">
        <w:rPr>
          <w:rFonts w:cs="Segoe UI"/>
          <w:bCs/>
          <w:szCs w:val="20"/>
        </w:rPr>
        <w:t xml:space="preserve"> </w:t>
      </w:r>
      <w:r>
        <w:rPr>
          <w:rFonts w:cs="Segoe UI"/>
          <w:bCs/>
          <w:szCs w:val="20"/>
        </w:rPr>
        <w:t xml:space="preserve">nižšie </w:t>
      </w:r>
      <w:r w:rsidRPr="00020AA5">
        <w:rPr>
          <w:rFonts w:cs="Segoe UI"/>
          <w:bCs/>
          <w:szCs w:val="20"/>
        </w:rPr>
        <w:t>o</w:t>
      </w:r>
      <w:r>
        <w:rPr>
          <w:rFonts w:cs="Segoe UI"/>
          <w:bCs/>
          <w:szCs w:val="20"/>
        </w:rPr>
        <w:t> </w:t>
      </w:r>
      <w:r w:rsidRPr="00020AA5">
        <w:rPr>
          <w:rFonts w:cs="Segoe UI"/>
          <w:bCs/>
          <w:szCs w:val="20"/>
        </w:rPr>
        <w:t>47</w:t>
      </w:r>
      <w:r>
        <w:rPr>
          <w:rFonts w:cs="Segoe UI"/>
          <w:bCs/>
          <w:szCs w:val="20"/>
        </w:rPr>
        <w:t> </w:t>
      </w:r>
      <w:r w:rsidRPr="00020AA5">
        <w:rPr>
          <w:rFonts w:cs="Segoe UI"/>
          <w:bCs/>
          <w:szCs w:val="20"/>
        </w:rPr>
        <w:t xml:space="preserve">938 tis. eur. </w:t>
      </w:r>
      <w:r>
        <w:rPr>
          <w:rFonts w:cs="Segoe UI"/>
          <w:bCs/>
          <w:szCs w:val="20"/>
        </w:rPr>
        <w:t>Dôvodom</w:t>
      </w:r>
      <w:r w:rsidRPr="00020AA5">
        <w:rPr>
          <w:rFonts w:cs="Segoe UI"/>
          <w:bCs/>
          <w:szCs w:val="20"/>
        </w:rPr>
        <w:t xml:space="preserve"> nárast</w:t>
      </w:r>
      <w:r>
        <w:rPr>
          <w:rFonts w:cs="Segoe UI"/>
          <w:bCs/>
          <w:szCs w:val="20"/>
        </w:rPr>
        <w:t>u</w:t>
      </w:r>
      <w:r w:rsidRPr="00020AA5">
        <w:rPr>
          <w:rFonts w:cs="Segoe UI"/>
          <w:bCs/>
          <w:szCs w:val="20"/>
        </w:rPr>
        <w:t xml:space="preserve"> výdavkov sú najmä vyššie mzdy, výdavky na tovary</w:t>
      </w:r>
      <w:r>
        <w:rPr>
          <w:rFonts w:cs="Segoe UI"/>
          <w:bCs/>
          <w:szCs w:val="20"/>
        </w:rPr>
        <w:t xml:space="preserve"> a </w:t>
      </w:r>
      <w:r w:rsidRPr="00020AA5">
        <w:rPr>
          <w:rFonts w:cs="Segoe UI"/>
          <w:bCs/>
          <w:szCs w:val="20"/>
        </w:rPr>
        <w:t>služby a</w:t>
      </w:r>
      <w:r>
        <w:rPr>
          <w:rFonts w:cs="Segoe UI"/>
          <w:bCs/>
          <w:szCs w:val="20"/>
        </w:rPr>
        <w:t> </w:t>
      </w:r>
      <w:r w:rsidRPr="00020AA5">
        <w:rPr>
          <w:rFonts w:cs="Segoe UI"/>
          <w:bCs/>
          <w:szCs w:val="20"/>
        </w:rPr>
        <w:t>kapitálové výdavky kryté aj z kapitálových transferov štátneho rozpočtu</w:t>
      </w:r>
      <w:r w:rsidR="000D6897">
        <w:rPr>
          <w:rFonts w:cs="Segoe UI"/>
          <w:bCs/>
          <w:szCs w:val="20"/>
        </w:rPr>
        <w:t>,</w:t>
      </w:r>
      <w:r w:rsidRPr="00020AA5">
        <w:rPr>
          <w:rFonts w:cs="Segoe UI"/>
          <w:bCs/>
          <w:szCs w:val="20"/>
        </w:rPr>
        <w:t xml:space="preserve"> poskytnutých samosprávam počas roka</w:t>
      </w:r>
      <w:r>
        <w:rPr>
          <w:rFonts w:cs="Segoe UI"/>
          <w:bCs/>
          <w:szCs w:val="20"/>
        </w:rPr>
        <w:t xml:space="preserve"> 2024</w:t>
      </w:r>
      <w:r w:rsidRPr="00020AA5">
        <w:rPr>
          <w:rFonts w:cs="Segoe UI"/>
          <w:bCs/>
          <w:szCs w:val="20"/>
        </w:rPr>
        <w:t>.</w:t>
      </w:r>
    </w:p>
    <w:p w14:paraId="7BF11D7A" w14:textId="74E07766" w:rsidR="00A15A15" w:rsidRPr="004922FA" w:rsidRDefault="00A15A15" w:rsidP="00A15A15">
      <w:pPr>
        <w:rPr>
          <w:rFonts w:cs="Segoe UI"/>
          <w:bCs/>
          <w:szCs w:val="20"/>
        </w:rPr>
      </w:pPr>
      <w:r w:rsidRPr="004C2AE8">
        <w:rPr>
          <w:rFonts w:cs="Segoe UI"/>
          <w:b/>
          <w:bCs/>
          <w:szCs w:val="20"/>
        </w:rPr>
        <w:t>NKÚ SR realizoval v roku 2024 štyri kontroly zamerané na územnú samosprávu.</w:t>
      </w:r>
      <w:r w:rsidRPr="00B3595C">
        <w:rPr>
          <w:rFonts w:cs="Segoe UI"/>
          <w:bCs/>
          <w:szCs w:val="20"/>
        </w:rPr>
        <w:t xml:space="preserve"> Kontroly boli vykonané v rámci celého Slovenska v 47 obciach a mestách, siedmich krajoch a jednom ústrednom orgáne štátnej správy.</w:t>
      </w:r>
      <w:r>
        <w:rPr>
          <w:rFonts w:cs="Segoe UI"/>
          <w:bCs/>
          <w:szCs w:val="20"/>
        </w:rPr>
        <w:t xml:space="preserve"> </w:t>
      </w:r>
      <w:r w:rsidRPr="007D3345">
        <w:rPr>
          <w:rFonts w:cs="Segoe UI"/>
          <w:bCs/>
          <w:szCs w:val="20"/>
        </w:rPr>
        <w:t>Kontrola systému programového rozpočtovania v</w:t>
      </w:r>
      <w:r>
        <w:rPr>
          <w:rFonts w:cs="Segoe UI"/>
          <w:bCs/>
          <w:szCs w:val="20"/>
        </w:rPr>
        <w:t> </w:t>
      </w:r>
      <w:r w:rsidRPr="007D3345">
        <w:rPr>
          <w:rFonts w:cs="Segoe UI"/>
          <w:bCs/>
          <w:szCs w:val="20"/>
        </w:rPr>
        <w:t>územnej samospráve potvrdila, že</w:t>
      </w:r>
      <w:r w:rsidRPr="00777027">
        <w:rPr>
          <w:rFonts w:cs="Segoe UI"/>
          <w:bCs/>
          <w:szCs w:val="20"/>
        </w:rPr>
        <w:t xml:space="preserve"> </w:t>
      </w:r>
      <w:r>
        <w:rPr>
          <w:rFonts w:cs="Segoe UI"/>
          <w:bCs/>
          <w:szCs w:val="20"/>
        </w:rPr>
        <w:t>d</w:t>
      </w:r>
      <w:r w:rsidRPr="00926ED6">
        <w:rPr>
          <w:rFonts w:cs="Segoe UI"/>
          <w:bCs/>
          <w:szCs w:val="20"/>
        </w:rPr>
        <w:t>ôraz sa kladie na vstupy, zdroje a</w:t>
      </w:r>
      <w:r>
        <w:rPr>
          <w:rFonts w:cs="Segoe UI"/>
          <w:bCs/>
          <w:szCs w:val="20"/>
        </w:rPr>
        <w:t> </w:t>
      </w:r>
      <w:r w:rsidRPr="00926ED6">
        <w:rPr>
          <w:rFonts w:cs="Segoe UI"/>
          <w:bCs/>
          <w:szCs w:val="20"/>
        </w:rPr>
        <w:t xml:space="preserve">nie na </w:t>
      </w:r>
      <w:r>
        <w:rPr>
          <w:rFonts w:cs="Segoe UI"/>
          <w:bCs/>
          <w:szCs w:val="20"/>
        </w:rPr>
        <w:t xml:space="preserve">dosahované </w:t>
      </w:r>
      <w:r w:rsidRPr="00926ED6">
        <w:rPr>
          <w:rFonts w:cs="Segoe UI"/>
          <w:bCs/>
          <w:szCs w:val="20"/>
        </w:rPr>
        <w:t xml:space="preserve">výsledky </w:t>
      </w:r>
      <w:r w:rsidRPr="00777027">
        <w:rPr>
          <w:rFonts w:cs="Segoe UI"/>
          <w:szCs w:val="20"/>
        </w:rPr>
        <w:t xml:space="preserve">(box </w:t>
      </w:r>
      <w:r w:rsidR="005E3D40">
        <w:rPr>
          <w:rFonts w:cs="Segoe UI"/>
          <w:szCs w:val="20"/>
        </w:rPr>
        <w:t>10</w:t>
      </w:r>
      <w:r w:rsidRPr="00777027">
        <w:rPr>
          <w:rFonts w:cs="Segoe UI"/>
          <w:szCs w:val="20"/>
        </w:rPr>
        <w:t>)</w:t>
      </w:r>
      <w:r w:rsidRPr="007D3345">
        <w:rPr>
          <w:rFonts w:cs="Segoe UI"/>
          <w:szCs w:val="20"/>
        </w:rPr>
        <w:t xml:space="preserve">. </w:t>
      </w:r>
      <w:r w:rsidR="004B552F">
        <w:rPr>
          <w:rFonts w:cs="Segoe UI"/>
          <w:szCs w:val="20"/>
        </w:rPr>
        <w:t>Box</w:t>
      </w:r>
      <w:r>
        <w:rPr>
          <w:rFonts w:cs="Segoe UI"/>
          <w:szCs w:val="20"/>
        </w:rPr>
        <w:t xml:space="preserve"> 1 v prílohe</w:t>
      </w:r>
      <w:r w:rsidRPr="007D3345">
        <w:rPr>
          <w:rFonts w:cs="Segoe UI"/>
          <w:szCs w:val="20"/>
        </w:rPr>
        <w:t xml:space="preserve"> uvádza prehľad závažných porušení identifikovaných NKÚ SR v relevantných kontrolách.</w:t>
      </w:r>
    </w:p>
    <w:tbl>
      <w:tblPr>
        <w:tblStyle w:val="Mriekatabuky"/>
        <w:tblW w:w="0" w:type="auto"/>
        <w:tblBorders>
          <w:top w:val="single" w:sz="4" w:space="0" w:color="314364" w:themeColor="text2"/>
          <w:left w:val="single" w:sz="4" w:space="0" w:color="314364" w:themeColor="text2"/>
          <w:bottom w:val="single" w:sz="4" w:space="0" w:color="314364" w:themeColor="text2"/>
          <w:right w:val="single" w:sz="4" w:space="0" w:color="314364" w:themeColor="text2"/>
          <w:insideH w:val="none" w:sz="0" w:space="0" w:color="auto"/>
          <w:insideV w:val="none" w:sz="0" w:space="0" w:color="auto"/>
        </w:tblBorders>
        <w:shd w:val="clear" w:color="auto" w:fill="EBF0FB" w:themeFill="background2" w:themeFillTint="33"/>
        <w:tblLook w:val="04A0" w:firstRow="1" w:lastRow="0" w:firstColumn="1" w:lastColumn="0" w:noHBand="0" w:noVBand="1"/>
      </w:tblPr>
      <w:tblGrid>
        <w:gridCol w:w="9060"/>
      </w:tblGrid>
      <w:tr w:rsidR="00A15A15" w:rsidRPr="00AC3675" w14:paraId="10089282" w14:textId="77777777" w:rsidTr="007D38E1">
        <w:tc>
          <w:tcPr>
            <w:tcW w:w="9060" w:type="dxa"/>
            <w:shd w:val="clear" w:color="auto" w:fill="EBF0FB" w:themeFill="background2" w:themeFillTint="33"/>
          </w:tcPr>
          <w:p w14:paraId="6C04C276" w14:textId="26C5E2D5" w:rsidR="00A15A15" w:rsidRDefault="00A15A15" w:rsidP="007D38E1">
            <w:pPr>
              <w:spacing w:before="120" w:line="240" w:lineRule="auto"/>
              <w:rPr>
                <w:b/>
                <w:szCs w:val="18"/>
              </w:rPr>
            </w:pPr>
            <w:r w:rsidRPr="00767017">
              <w:rPr>
                <w:b/>
                <w:szCs w:val="18"/>
              </w:rPr>
              <w:t>BOX</w:t>
            </w:r>
            <w:r>
              <w:rPr>
                <w:b/>
                <w:szCs w:val="18"/>
              </w:rPr>
              <w:t xml:space="preserve"> </w:t>
            </w:r>
            <w:r w:rsidR="005E3D40">
              <w:rPr>
                <w:b/>
                <w:szCs w:val="18"/>
              </w:rPr>
              <w:t>10</w:t>
            </w:r>
            <w:r>
              <w:rPr>
                <w:b/>
                <w:szCs w:val="18"/>
              </w:rPr>
              <w:t xml:space="preserve">: </w:t>
            </w:r>
            <w:r w:rsidRPr="008B11DA">
              <w:rPr>
                <w:b/>
                <w:szCs w:val="18"/>
              </w:rPr>
              <w:t xml:space="preserve">Systém programového rozpočtovania v územnej samospráve </w:t>
            </w:r>
          </w:p>
          <w:p w14:paraId="0DA50D80" w14:textId="77777777" w:rsidR="00A15A15" w:rsidRPr="00324B2F" w:rsidRDefault="00A15A15" w:rsidP="007D38E1">
            <w:pPr>
              <w:spacing w:before="120" w:line="240" w:lineRule="auto"/>
              <w:rPr>
                <w:bCs/>
                <w:sz w:val="18"/>
                <w:szCs w:val="18"/>
              </w:rPr>
            </w:pPr>
            <w:r w:rsidRPr="007D3345">
              <w:rPr>
                <w:b/>
                <w:bCs/>
                <w:sz w:val="18"/>
                <w:szCs w:val="18"/>
              </w:rPr>
              <w:t xml:space="preserve">NKÚ SR </w:t>
            </w:r>
            <w:r>
              <w:rPr>
                <w:b/>
                <w:bCs/>
                <w:sz w:val="18"/>
                <w:szCs w:val="18"/>
              </w:rPr>
              <w:t>vykonal</w:t>
            </w:r>
            <w:r w:rsidRPr="008518D5">
              <w:rPr>
                <w:b/>
                <w:bCs/>
                <w:sz w:val="18"/>
                <w:szCs w:val="18"/>
              </w:rPr>
              <w:t xml:space="preserve"> </w:t>
            </w:r>
            <w:r w:rsidRPr="007D3345">
              <w:rPr>
                <w:b/>
                <w:bCs/>
                <w:sz w:val="18"/>
                <w:szCs w:val="18"/>
              </w:rPr>
              <w:t>v rolu 2024 kontrolu systému programového rozpočtovania v územnej samospráve.</w:t>
            </w:r>
            <w:r w:rsidRPr="00324B2F">
              <w:rPr>
                <w:bCs/>
                <w:sz w:val="18"/>
                <w:szCs w:val="18"/>
              </w:rPr>
              <w:t xml:space="preserve"> Hlavným zmyslom programového rozpočtovania je </w:t>
            </w:r>
            <w:r>
              <w:rPr>
                <w:bCs/>
                <w:sz w:val="18"/>
                <w:szCs w:val="18"/>
              </w:rPr>
              <w:t>sledovanie</w:t>
            </w:r>
            <w:r w:rsidRPr="00324B2F">
              <w:rPr>
                <w:bCs/>
                <w:sz w:val="18"/>
                <w:szCs w:val="18"/>
              </w:rPr>
              <w:t xml:space="preserve"> plnenia zámerov a cieľov, ktoré obec realizovala z</w:t>
            </w:r>
            <w:r>
              <w:rPr>
                <w:bCs/>
                <w:sz w:val="18"/>
                <w:szCs w:val="18"/>
              </w:rPr>
              <w:t> </w:t>
            </w:r>
            <w:r w:rsidRPr="00324B2F">
              <w:rPr>
                <w:bCs/>
                <w:sz w:val="18"/>
                <w:szCs w:val="18"/>
              </w:rPr>
              <w:t>výdavkov svojho rozpočtu. Poskytovanie verejných služieb pre občanov obce sa v programovom rozpočtovaní nehodnotí len prostredníctvom čerpania finančných prostriedkov, ale najmä prostredníctvom ukazovateľov hospodárneho, efektívneho, účinného a účelného vynakladania verejných finančných zdrojov na verejné služby. Takéto finančné, ale aj výkonové hodnotenie zámerov, cieľov a následne programov obce by malo byť zhrnuté v</w:t>
            </w:r>
            <w:r>
              <w:rPr>
                <w:bCs/>
                <w:sz w:val="18"/>
                <w:szCs w:val="18"/>
              </w:rPr>
              <w:t> </w:t>
            </w:r>
            <w:r w:rsidRPr="00324B2F">
              <w:rPr>
                <w:bCs/>
                <w:sz w:val="18"/>
                <w:szCs w:val="18"/>
              </w:rPr>
              <w:t>rozpočte obce a následne aj v jej záverečnom účte.</w:t>
            </w:r>
            <w:r>
              <w:rPr>
                <w:bCs/>
                <w:sz w:val="18"/>
                <w:szCs w:val="18"/>
              </w:rPr>
              <w:t xml:space="preserve"> </w:t>
            </w:r>
          </w:p>
          <w:p w14:paraId="100398E2" w14:textId="4B289069" w:rsidR="00A15A15" w:rsidRPr="00617CA4" w:rsidRDefault="00A15A15" w:rsidP="007D38E1">
            <w:pPr>
              <w:spacing w:before="120" w:line="240" w:lineRule="auto"/>
              <w:rPr>
                <w:bCs/>
                <w:sz w:val="18"/>
                <w:szCs w:val="18"/>
              </w:rPr>
            </w:pPr>
            <w:r w:rsidRPr="00FD2661">
              <w:rPr>
                <w:b/>
                <w:bCs/>
                <w:sz w:val="18"/>
                <w:szCs w:val="18"/>
              </w:rPr>
              <w:t>Kontrol</w:t>
            </w:r>
            <w:r w:rsidR="0056729C" w:rsidRPr="00FD2661">
              <w:rPr>
                <w:b/>
                <w:bCs/>
                <w:sz w:val="18"/>
                <w:szCs w:val="18"/>
              </w:rPr>
              <w:t>a</w:t>
            </w:r>
            <w:r w:rsidRPr="00FD2661">
              <w:rPr>
                <w:b/>
                <w:bCs/>
                <w:sz w:val="18"/>
                <w:szCs w:val="18"/>
              </w:rPr>
              <w:t xml:space="preserve"> NKÚ </w:t>
            </w:r>
            <w:r w:rsidR="0056729C" w:rsidRPr="00FD2661">
              <w:rPr>
                <w:b/>
                <w:bCs/>
                <w:sz w:val="18"/>
                <w:szCs w:val="18"/>
              </w:rPr>
              <w:t xml:space="preserve">SR </w:t>
            </w:r>
            <w:r w:rsidRPr="00FD2661">
              <w:rPr>
                <w:b/>
                <w:bCs/>
                <w:sz w:val="18"/>
                <w:szCs w:val="18"/>
              </w:rPr>
              <w:t>zist</w:t>
            </w:r>
            <w:r w:rsidR="0056729C" w:rsidRPr="00FD2661">
              <w:rPr>
                <w:b/>
                <w:bCs/>
                <w:sz w:val="18"/>
                <w:szCs w:val="18"/>
              </w:rPr>
              <w:t>ila</w:t>
            </w:r>
            <w:r w:rsidRPr="00FD2661">
              <w:rPr>
                <w:b/>
                <w:bCs/>
                <w:sz w:val="18"/>
                <w:szCs w:val="18"/>
              </w:rPr>
              <w:t xml:space="preserve"> zlyhávanie procesu tvorby programového rozpočtu a jeho hodnotenia v </w:t>
            </w:r>
            <w:r w:rsidR="0056729C" w:rsidRPr="00FD2661">
              <w:rPr>
                <w:b/>
                <w:bCs/>
                <w:sz w:val="18"/>
                <w:szCs w:val="18"/>
              </w:rPr>
              <w:t>ZÚ</w:t>
            </w:r>
            <w:r w:rsidRPr="00FD2661">
              <w:rPr>
                <w:rFonts w:cs="Segoe UI"/>
                <w:b/>
                <w:bCs/>
                <w:sz w:val="18"/>
                <w:szCs w:val="18"/>
              </w:rPr>
              <w:t xml:space="preserve">, pričom </w:t>
            </w:r>
            <w:r w:rsidRPr="00FD2661">
              <w:rPr>
                <w:b/>
                <w:bCs/>
                <w:sz w:val="18"/>
                <w:szCs w:val="18"/>
              </w:rPr>
              <w:t>bez</w:t>
            </w:r>
            <w:r w:rsidRPr="004922FA">
              <w:rPr>
                <w:b/>
                <w:bCs/>
                <w:sz w:val="18"/>
                <w:szCs w:val="18"/>
              </w:rPr>
              <w:t xml:space="preserve"> dôsledného a</w:t>
            </w:r>
            <w:r>
              <w:rPr>
                <w:b/>
                <w:bCs/>
                <w:sz w:val="18"/>
                <w:szCs w:val="18"/>
              </w:rPr>
              <w:t> </w:t>
            </w:r>
            <w:r w:rsidRPr="004922FA">
              <w:rPr>
                <w:b/>
                <w:bCs/>
                <w:sz w:val="18"/>
                <w:szCs w:val="18"/>
              </w:rPr>
              <w:t xml:space="preserve">správneho uplatňovania programového rozpočtovania </w:t>
            </w:r>
            <w:r>
              <w:rPr>
                <w:b/>
                <w:bCs/>
                <w:sz w:val="18"/>
                <w:szCs w:val="18"/>
              </w:rPr>
              <w:t xml:space="preserve">nie </w:t>
            </w:r>
            <w:r w:rsidRPr="004922FA">
              <w:rPr>
                <w:b/>
                <w:bCs/>
                <w:sz w:val="18"/>
                <w:szCs w:val="18"/>
              </w:rPr>
              <w:t>je hodnotenie účinnosti použitia verejných zdrojov možné</w:t>
            </w:r>
            <w:r w:rsidRPr="007D3345">
              <w:rPr>
                <w:b/>
                <w:bCs/>
                <w:sz w:val="18"/>
                <w:szCs w:val="18"/>
              </w:rPr>
              <w:t>.</w:t>
            </w:r>
            <w:r w:rsidRPr="00617CA4">
              <w:rPr>
                <w:bCs/>
                <w:sz w:val="18"/>
                <w:szCs w:val="18"/>
              </w:rPr>
              <w:t xml:space="preserve"> Systémy programového rozpočtovania v 16 kontrolovaných mestách boli neúčinné alebo len čiastočne účinné. Potvrdili sa riziká neoptimálneho riadenia rozpočtového procesu, formalizmu zostavovania, monitorovania a hodnotenia programového rozpočtu</w:t>
            </w:r>
            <w:r w:rsidR="000D6897">
              <w:rPr>
                <w:bCs/>
                <w:sz w:val="18"/>
                <w:szCs w:val="18"/>
              </w:rPr>
              <w:t>,</w:t>
            </w:r>
            <w:r w:rsidRPr="00617CA4">
              <w:rPr>
                <w:bCs/>
                <w:sz w:val="18"/>
                <w:szCs w:val="18"/>
              </w:rPr>
              <w:t xml:space="preserve"> a</w:t>
            </w:r>
            <w:r w:rsidR="000D6897">
              <w:rPr>
                <w:bCs/>
                <w:sz w:val="18"/>
                <w:szCs w:val="18"/>
              </w:rPr>
              <w:t>ko aj</w:t>
            </w:r>
            <w:r>
              <w:rPr>
                <w:bCs/>
                <w:sz w:val="18"/>
                <w:szCs w:val="18"/>
              </w:rPr>
              <w:t> </w:t>
            </w:r>
            <w:r w:rsidRPr="00617CA4">
              <w:rPr>
                <w:bCs/>
                <w:sz w:val="18"/>
                <w:szCs w:val="18"/>
              </w:rPr>
              <w:t>nedostatočnej informačnej hodnoty programových rozpočtov, monitorovacích a hodnotiacich správ o ich plnení. Programové rozpočtovanie ako manažérsky nástroj riadenia verejných financií sa nevyužíva v plnej miere a</w:t>
            </w:r>
            <w:r>
              <w:rPr>
                <w:bCs/>
                <w:sz w:val="18"/>
                <w:szCs w:val="18"/>
              </w:rPr>
              <w:t> </w:t>
            </w:r>
            <w:r w:rsidRPr="00617CA4">
              <w:rPr>
                <w:bCs/>
                <w:sz w:val="18"/>
                <w:szCs w:val="18"/>
              </w:rPr>
              <w:t xml:space="preserve">neprináša očakávané benefity. Zavedené procesy neumožňujú, aby programové rozpočtovanie plnilo svoje funkcie, </w:t>
            </w:r>
            <w:r>
              <w:rPr>
                <w:bCs/>
                <w:sz w:val="18"/>
                <w:szCs w:val="18"/>
              </w:rPr>
              <w:t xml:space="preserve">a to </w:t>
            </w:r>
            <w:r w:rsidRPr="00617CA4">
              <w:rPr>
                <w:bCs/>
                <w:sz w:val="18"/>
                <w:szCs w:val="18"/>
              </w:rPr>
              <w:t>najmä:</w:t>
            </w:r>
          </w:p>
          <w:p w14:paraId="750CBE1C" w14:textId="77777777" w:rsidR="00A15A15" w:rsidRPr="007D3345" w:rsidRDefault="00A15A15" w:rsidP="001D69DD">
            <w:pPr>
              <w:pStyle w:val="Odsekzoznamu"/>
              <w:numPr>
                <w:ilvl w:val="0"/>
                <w:numId w:val="27"/>
              </w:numPr>
              <w:spacing w:after="0" w:line="240" w:lineRule="auto"/>
              <w:rPr>
                <w:bCs/>
                <w:sz w:val="18"/>
                <w:szCs w:val="18"/>
              </w:rPr>
            </w:pPr>
            <w:r w:rsidRPr="007D3345">
              <w:rPr>
                <w:b/>
                <w:bCs/>
                <w:sz w:val="18"/>
                <w:szCs w:val="18"/>
              </w:rPr>
              <w:t>strategickú</w:t>
            </w:r>
            <w:r w:rsidRPr="007D3345">
              <w:rPr>
                <w:bCs/>
                <w:sz w:val="18"/>
                <w:szCs w:val="18"/>
              </w:rPr>
              <w:t xml:space="preserve"> – slabá prepojenosť strategických dokumentov samosprávy s jej rozpočtom, rozdielne ciele a</w:t>
            </w:r>
            <w:r>
              <w:rPr>
                <w:bCs/>
                <w:sz w:val="18"/>
                <w:szCs w:val="18"/>
              </w:rPr>
              <w:t> </w:t>
            </w:r>
            <w:r w:rsidRPr="007D3345">
              <w:rPr>
                <w:bCs/>
                <w:sz w:val="18"/>
                <w:szCs w:val="18"/>
              </w:rPr>
              <w:t>merateľné ukazovatele, chýbajúce strednodobé ciele,</w:t>
            </w:r>
          </w:p>
          <w:p w14:paraId="04E6383A" w14:textId="1DEFED68" w:rsidR="00A15A15" w:rsidRPr="007D3345" w:rsidRDefault="00A15A15" w:rsidP="001D69DD">
            <w:pPr>
              <w:pStyle w:val="Odsekzoznamu"/>
              <w:numPr>
                <w:ilvl w:val="0"/>
                <w:numId w:val="27"/>
              </w:numPr>
              <w:spacing w:after="0" w:line="240" w:lineRule="auto"/>
              <w:rPr>
                <w:bCs/>
                <w:sz w:val="18"/>
                <w:szCs w:val="18"/>
              </w:rPr>
            </w:pPr>
            <w:r w:rsidRPr="007D3345">
              <w:rPr>
                <w:b/>
                <w:bCs/>
                <w:sz w:val="18"/>
                <w:szCs w:val="18"/>
              </w:rPr>
              <w:t>informačnú</w:t>
            </w:r>
            <w:r w:rsidRPr="007D3345">
              <w:rPr>
                <w:bCs/>
                <w:sz w:val="18"/>
                <w:szCs w:val="18"/>
              </w:rPr>
              <w:t xml:space="preserve"> – neprehľadná programová štruktúra, chýba</w:t>
            </w:r>
            <w:r>
              <w:rPr>
                <w:bCs/>
                <w:sz w:val="18"/>
                <w:szCs w:val="18"/>
              </w:rPr>
              <w:t>júce</w:t>
            </w:r>
            <w:r w:rsidRPr="007D3345">
              <w:rPr>
                <w:bCs/>
                <w:sz w:val="18"/>
                <w:szCs w:val="18"/>
              </w:rPr>
              <w:t xml:space="preserve"> </w:t>
            </w:r>
            <w:r>
              <w:rPr>
                <w:bCs/>
                <w:sz w:val="18"/>
                <w:szCs w:val="18"/>
              </w:rPr>
              <w:t>z</w:t>
            </w:r>
            <w:r w:rsidRPr="007D3345">
              <w:rPr>
                <w:bCs/>
                <w:sz w:val="18"/>
                <w:szCs w:val="18"/>
              </w:rPr>
              <w:t xml:space="preserve">hodnotenie </w:t>
            </w:r>
            <w:r>
              <w:rPr>
                <w:bCs/>
                <w:sz w:val="18"/>
                <w:szCs w:val="18"/>
              </w:rPr>
              <w:t>neplnenia ukazovateľov,</w:t>
            </w:r>
            <w:r w:rsidRPr="007D3345">
              <w:rPr>
                <w:bCs/>
                <w:sz w:val="18"/>
                <w:szCs w:val="18"/>
              </w:rPr>
              <w:t xml:space="preserve"> </w:t>
            </w:r>
            <w:r w:rsidRPr="009315D0">
              <w:rPr>
                <w:bCs/>
                <w:sz w:val="18"/>
                <w:szCs w:val="18"/>
              </w:rPr>
              <w:t>zámerov</w:t>
            </w:r>
            <w:r w:rsidRPr="00777027">
              <w:rPr>
                <w:bCs/>
                <w:sz w:val="18"/>
                <w:szCs w:val="18"/>
              </w:rPr>
              <w:t xml:space="preserve"> </w:t>
            </w:r>
            <w:r w:rsidRPr="007D3345">
              <w:rPr>
                <w:bCs/>
                <w:sz w:val="18"/>
                <w:szCs w:val="18"/>
              </w:rPr>
              <w:t>a</w:t>
            </w:r>
            <w:r w:rsidRPr="00871ED3">
              <w:rPr>
                <w:bCs/>
                <w:sz w:val="18"/>
                <w:szCs w:val="18"/>
              </w:rPr>
              <w:t xml:space="preserve"> cieľov</w:t>
            </w:r>
            <w:r w:rsidRPr="007D3345">
              <w:rPr>
                <w:bCs/>
                <w:sz w:val="18"/>
                <w:szCs w:val="18"/>
              </w:rPr>
              <w:t>, rozdiely medzi schváleným rozpočtom a</w:t>
            </w:r>
            <w:r>
              <w:rPr>
                <w:bCs/>
                <w:sz w:val="18"/>
                <w:szCs w:val="18"/>
              </w:rPr>
              <w:t> </w:t>
            </w:r>
            <w:r w:rsidRPr="007D3345">
              <w:rPr>
                <w:bCs/>
                <w:sz w:val="18"/>
                <w:szCs w:val="18"/>
              </w:rPr>
              <w:t>jeho hodnotením</w:t>
            </w:r>
            <w:r w:rsidR="000D6897">
              <w:rPr>
                <w:bCs/>
                <w:sz w:val="18"/>
                <w:szCs w:val="18"/>
              </w:rPr>
              <w:t>,</w:t>
            </w:r>
            <w:r w:rsidRPr="007D3345">
              <w:rPr>
                <w:bCs/>
                <w:sz w:val="18"/>
                <w:szCs w:val="18"/>
              </w:rPr>
              <w:t xml:space="preserve"> </w:t>
            </w:r>
          </w:p>
          <w:p w14:paraId="0F07CCE2" w14:textId="23BE3358" w:rsidR="00A15A15" w:rsidRPr="007D3345" w:rsidRDefault="00A15A15" w:rsidP="001D69DD">
            <w:pPr>
              <w:pStyle w:val="Odsekzoznamu"/>
              <w:numPr>
                <w:ilvl w:val="0"/>
                <w:numId w:val="27"/>
              </w:numPr>
              <w:spacing w:after="0" w:line="240" w:lineRule="auto"/>
              <w:rPr>
                <w:bCs/>
                <w:sz w:val="18"/>
                <w:szCs w:val="18"/>
              </w:rPr>
            </w:pPr>
            <w:r w:rsidRPr="007D3345">
              <w:rPr>
                <w:b/>
                <w:bCs/>
                <w:sz w:val="18"/>
                <w:szCs w:val="18"/>
              </w:rPr>
              <w:t>kontrolnú</w:t>
            </w:r>
            <w:r>
              <w:rPr>
                <w:bCs/>
                <w:sz w:val="18"/>
                <w:szCs w:val="18"/>
              </w:rPr>
              <w:t xml:space="preserve"> – tvorba a hodnotenie programového rozpočtu v jednej osobe, chýbajúca vecná kontrola</w:t>
            </w:r>
            <w:r w:rsidRPr="007D3345">
              <w:rPr>
                <w:bCs/>
                <w:sz w:val="18"/>
                <w:szCs w:val="18"/>
              </w:rPr>
              <w:t xml:space="preserve">. </w:t>
            </w:r>
          </w:p>
          <w:p w14:paraId="394BBC57" w14:textId="28CC811B" w:rsidR="00A15A15" w:rsidRDefault="00A15A15" w:rsidP="007D38E1">
            <w:pPr>
              <w:spacing w:before="120" w:line="240" w:lineRule="auto"/>
              <w:rPr>
                <w:bCs/>
                <w:sz w:val="18"/>
                <w:szCs w:val="18"/>
              </w:rPr>
            </w:pPr>
            <w:r w:rsidRPr="00617CA4">
              <w:rPr>
                <w:bCs/>
                <w:sz w:val="18"/>
                <w:szCs w:val="18"/>
              </w:rPr>
              <w:t xml:space="preserve">Programovému rozpočtovaniu </w:t>
            </w:r>
            <w:r>
              <w:rPr>
                <w:bCs/>
                <w:sz w:val="18"/>
                <w:szCs w:val="18"/>
              </w:rPr>
              <w:t>absentovalo</w:t>
            </w:r>
            <w:r w:rsidRPr="00617CA4">
              <w:rPr>
                <w:bCs/>
                <w:sz w:val="18"/>
                <w:szCs w:val="18"/>
              </w:rPr>
              <w:t xml:space="preserve"> viacero nevyhnutných prvkov – </w:t>
            </w:r>
            <w:r>
              <w:rPr>
                <w:bCs/>
                <w:sz w:val="18"/>
                <w:szCs w:val="18"/>
              </w:rPr>
              <w:t>adekvátne</w:t>
            </w:r>
            <w:r w:rsidRPr="00617CA4">
              <w:rPr>
                <w:bCs/>
                <w:sz w:val="18"/>
                <w:szCs w:val="18"/>
              </w:rPr>
              <w:t xml:space="preserve"> riadenie a</w:t>
            </w:r>
            <w:r>
              <w:rPr>
                <w:bCs/>
                <w:sz w:val="18"/>
                <w:szCs w:val="18"/>
              </w:rPr>
              <w:t> </w:t>
            </w:r>
            <w:r w:rsidRPr="00617CA4">
              <w:rPr>
                <w:bCs/>
                <w:sz w:val="18"/>
                <w:szCs w:val="18"/>
              </w:rPr>
              <w:t>podpora zo strany vedenia miest, štandardizované procesy (jasné pravidlá zostavenia, monitorovania</w:t>
            </w:r>
            <w:r>
              <w:rPr>
                <w:bCs/>
                <w:sz w:val="18"/>
                <w:szCs w:val="18"/>
              </w:rPr>
              <w:t xml:space="preserve"> </w:t>
            </w:r>
            <w:r w:rsidRPr="00617CA4">
              <w:rPr>
                <w:bCs/>
                <w:sz w:val="18"/>
                <w:szCs w:val="18"/>
              </w:rPr>
              <w:t>a</w:t>
            </w:r>
            <w:r>
              <w:rPr>
                <w:bCs/>
                <w:sz w:val="18"/>
                <w:szCs w:val="18"/>
              </w:rPr>
              <w:t> </w:t>
            </w:r>
            <w:r w:rsidRPr="00617CA4">
              <w:rPr>
                <w:bCs/>
                <w:sz w:val="18"/>
                <w:szCs w:val="18"/>
              </w:rPr>
              <w:t>hodnotenia programového rozpočtu)</w:t>
            </w:r>
            <w:r w:rsidR="000D6897">
              <w:rPr>
                <w:bCs/>
                <w:sz w:val="18"/>
                <w:szCs w:val="18"/>
              </w:rPr>
              <w:t>,</w:t>
            </w:r>
            <w:r>
              <w:rPr>
                <w:bCs/>
                <w:sz w:val="18"/>
                <w:szCs w:val="18"/>
              </w:rPr>
              <w:t xml:space="preserve"> a</w:t>
            </w:r>
            <w:r w:rsidR="000D6897">
              <w:rPr>
                <w:bCs/>
                <w:sz w:val="18"/>
                <w:szCs w:val="18"/>
              </w:rPr>
              <w:t>ko aj</w:t>
            </w:r>
            <w:r>
              <w:rPr>
                <w:bCs/>
                <w:sz w:val="18"/>
                <w:szCs w:val="18"/>
              </w:rPr>
              <w:t> </w:t>
            </w:r>
            <w:r w:rsidRPr="00617CA4">
              <w:rPr>
                <w:bCs/>
                <w:sz w:val="18"/>
                <w:szCs w:val="18"/>
              </w:rPr>
              <w:t>systematické vzdelávanie územnej samosprávy v</w:t>
            </w:r>
            <w:r>
              <w:rPr>
                <w:bCs/>
                <w:sz w:val="18"/>
                <w:szCs w:val="18"/>
              </w:rPr>
              <w:t> </w:t>
            </w:r>
            <w:r w:rsidRPr="00617CA4">
              <w:rPr>
                <w:bCs/>
                <w:sz w:val="18"/>
                <w:szCs w:val="18"/>
              </w:rPr>
              <w:t>tejto oblasti. Kvalitu programového rozpočtovania a</w:t>
            </w:r>
            <w:r>
              <w:rPr>
                <w:bCs/>
                <w:sz w:val="18"/>
                <w:szCs w:val="18"/>
              </w:rPr>
              <w:t> </w:t>
            </w:r>
            <w:r w:rsidRPr="00617CA4">
              <w:rPr>
                <w:bCs/>
                <w:sz w:val="18"/>
                <w:szCs w:val="18"/>
              </w:rPr>
              <w:t>vecné plnenie programov rozpočtov územnej samosprávy nikto nekontroloval, ani hlavní kontrolóri. MF SR, ako gestor rozpočtovej politiky, sa aktívne neangažovalo pri vyžadovaní dôsledného uplatňovania programového rozpočtovania v</w:t>
            </w:r>
            <w:r>
              <w:rPr>
                <w:bCs/>
                <w:sz w:val="18"/>
                <w:szCs w:val="18"/>
              </w:rPr>
              <w:t> </w:t>
            </w:r>
            <w:r w:rsidRPr="00617CA4">
              <w:rPr>
                <w:bCs/>
                <w:sz w:val="18"/>
                <w:szCs w:val="18"/>
              </w:rPr>
              <w:t>územnej samospráve. To viedlo k</w:t>
            </w:r>
            <w:r>
              <w:rPr>
                <w:bCs/>
                <w:sz w:val="18"/>
                <w:szCs w:val="18"/>
              </w:rPr>
              <w:t> </w:t>
            </w:r>
            <w:r w:rsidRPr="00617CA4">
              <w:rPr>
                <w:bCs/>
                <w:sz w:val="18"/>
                <w:szCs w:val="18"/>
              </w:rPr>
              <w:t>jeho formalizmu a</w:t>
            </w:r>
            <w:r>
              <w:rPr>
                <w:bCs/>
                <w:sz w:val="18"/>
                <w:szCs w:val="18"/>
              </w:rPr>
              <w:t> </w:t>
            </w:r>
            <w:r w:rsidRPr="00617CA4">
              <w:rPr>
                <w:bCs/>
                <w:sz w:val="18"/>
                <w:szCs w:val="18"/>
              </w:rPr>
              <w:t>nepoužívaniu ako manažérskeho nástroja pri riadení verejných zdrojov.</w:t>
            </w:r>
            <w:r w:rsidR="00FD2661">
              <w:rPr>
                <w:bCs/>
                <w:sz w:val="18"/>
                <w:szCs w:val="18"/>
              </w:rPr>
              <w:t xml:space="preserve"> Kontrolou bolo zistené, že:</w:t>
            </w:r>
          </w:p>
          <w:p w14:paraId="4881AECB" w14:textId="77777777" w:rsidR="00FD2661" w:rsidRPr="00617CA4" w:rsidRDefault="00FD2661" w:rsidP="007D38E1">
            <w:pPr>
              <w:spacing w:before="120" w:line="240" w:lineRule="auto"/>
              <w:rPr>
                <w:bCs/>
                <w:sz w:val="18"/>
                <w:szCs w:val="18"/>
              </w:rPr>
            </w:pPr>
          </w:p>
          <w:p w14:paraId="29851EF6" w14:textId="77777777" w:rsidR="00A15A15" w:rsidRPr="007D3345" w:rsidRDefault="00A15A15" w:rsidP="00A15A15">
            <w:pPr>
              <w:pStyle w:val="Odsekzoznamu"/>
              <w:numPr>
                <w:ilvl w:val="0"/>
                <w:numId w:val="24"/>
              </w:numPr>
              <w:spacing w:before="120" w:line="240" w:lineRule="auto"/>
              <w:rPr>
                <w:bCs/>
                <w:sz w:val="18"/>
                <w:szCs w:val="18"/>
              </w:rPr>
            </w:pPr>
            <w:r w:rsidRPr="007D3345">
              <w:rPr>
                <w:bCs/>
                <w:sz w:val="18"/>
                <w:szCs w:val="18"/>
              </w:rPr>
              <w:lastRenderedPageBreak/>
              <w:t>systém programového rozpočtovania neprináša očakávané výhody,</w:t>
            </w:r>
          </w:p>
          <w:p w14:paraId="73019689" w14:textId="77777777" w:rsidR="00A15A15" w:rsidRPr="007D3345" w:rsidRDefault="00A15A15" w:rsidP="00A15A15">
            <w:pPr>
              <w:pStyle w:val="Odsekzoznamu"/>
              <w:numPr>
                <w:ilvl w:val="0"/>
                <w:numId w:val="24"/>
              </w:numPr>
              <w:spacing w:before="120" w:line="240" w:lineRule="auto"/>
              <w:rPr>
                <w:bCs/>
                <w:sz w:val="18"/>
                <w:szCs w:val="18"/>
              </w:rPr>
            </w:pPr>
            <w:r w:rsidRPr="007D3345">
              <w:rPr>
                <w:bCs/>
                <w:sz w:val="18"/>
                <w:szCs w:val="18"/>
              </w:rPr>
              <w:t>pasívny prístup bráni využívaniu programového rozpočtovania ako manažérskeho nástroja na efektívnejšie, účinnejšie a adresnejšie využívanie verejných zdrojov územnou samosprávou,</w:t>
            </w:r>
          </w:p>
          <w:p w14:paraId="1EF8F770" w14:textId="77777777" w:rsidR="00A15A15" w:rsidRPr="007D3345" w:rsidRDefault="00A15A15" w:rsidP="00A15A15">
            <w:pPr>
              <w:pStyle w:val="Odsekzoznamu"/>
              <w:numPr>
                <w:ilvl w:val="0"/>
                <w:numId w:val="24"/>
              </w:numPr>
              <w:spacing w:before="120" w:line="240" w:lineRule="auto"/>
              <w:rPr>
                <w:bCs/>
                <w:sz w:val="18"/>
                <w:szCs w:val="18"/>
              </w:rPr>
            </w:pPr>
            <w:r w:rsidRPr="007D3345">
              <w:rPr>
                <w:bCs/>
                <w:sz w:val="18"/>
                <w:szCs w:val="18"/>
              </w:rPr>
              <w:t>programové rozpočtovanie vyžaduje zmenu prístupu k riadeniu verejných zdrojov – presmerovať pozornosť zo vstupov na výsledky ich použitia,</w:t>
            </w:r>
          </w:p>
          <w:p w14:paraId="50394C4B" w14:textId="77777777" w:rsidR="00A15A15" w:rsidRDefault="00A15A15" w:rsidP="00A15A15">
            <w:pPr>
              <w:pStyle w:val="Odsekzoznamu"/>
              <w:numPr>
                <w:ilvl w:val="0"/>
                <w:numId w:val="24"/>
              </w:numPr>
              <w:spacing w:before="120" w:line="240" w:lineRule="auto"/>
              <w:rPr>
                <w:bCs/>
                <w:sz w:val="18"/>
                <w:szCs w:val="18"/>
              </w:rPr>
            </w:pPr>
            <w:r w:rsidRPr="007D3345">
              <w:rPr>
                <w:bCs/>
                <w:sz w:val="18"/>
                <w:szCs w:val="18"/>
              </w:rPr>
              <w:t xml:space="preserve">nedôsledné a nesprávne uplatňovanie programového rozpočtovania znemožňuje hodnotenie účinnosti použitia verejných zdrojov a výkonnosť územnej samosprávy.   </w:t>
            </w:r>
          </w:p>
          <w:p w14:paraId="4130B376" w14:textId="767EF366" w:rsidR="00A15A15" w:rsidRDefault="00A15A15" w:rsidP="007D38E1">
            <w:pPr>
              <w:pStyle w:val="Popis"/>
              <w:keepNext/>
              <w:rPr>
                <w:color w:val="314364"/>
                <w:sz w:val="18"/>
              </w:rPr>
            </w:pPr>
            <w:r w:rsidRPr="007D3345">
              <w:rPr>
                <w:color w:val="314364"/>
                <w:sz w:val="18"/>
              </w:rPr>
              <w:t xml:space="preserve">Graf </w:t>
            </w:r>
            <w:r w:rsidR="00315037">
              <w:rPr>
                <w:color w:val="314364"/>
                <w:sz w:val="18"/>
              </w:rPr>
              <w:t>57</w:t>
            </w:r>
            <w:r w:rsidRPr="007D3345">
              <w:rPr>
                <w:color w:val="314364"/>
                <w:sz w:val="18"/>
              </w:rPr>
              <w:t xml:space="preserve">: Riziká ovplyvňujúce efektívnu implementáciu programového rozpočtovania </w:t>
            </w:r>
          </w:p>
          <w:tbl>
            <w:tblPr>
              <w:tblStyle w:val="Mriekatabuky"/>
              <w:tblW w:w="0" w:type="auto"/>
              <w:tblLook w:val="04A0" w:firstRow="1" w:lastRow="0" w:firstColumn="1" w:lastColumn="0" w:noHBand="0" w:noVBand="1"/>
            </w:tblPr>
            <w:tblGrid>
              <w:gridCol w:w="8834"/>
            </w:tblGrid>
            <w:tr w:rsidR="00987095" w14:paraId="448E5EF1" w14:textId="77777777" w:rsidTr="003D11A6">
              <w:tc>
                <w:tcPr>
                  <w:tcW w:w="8834" w:type="dxa"/>
                  <w:tcBorders>
                    <w:top w:val="single" w:sz="4" w:space="0" w:color="314364" w:themeColor="text2"/>
                    <w:left w:val="nil"/>
                    <w:bottom w:val="single" w:sz="4" w:space="0" w:color="314364" w:themeColor="text2"/>
                    <w:right w:val="nil"/>
                  </w:tcBorders>
                </w:tcPr>
                <w:p w14:paraId="19D96898" w14:textId="21567426" w:rsidR="00987095" w:rsidRDefault="00987095" w:rsidP="003D11A6">
                  <w:pPr>
                    <w:spacing w:after="0"/>
                    <w:jc w:val="center"/>
                  </w:pPr>
                  <w:r>
                    <w:rPr>
                      <w:noProof/>
                      <w:lang w:eastAsia="sk-SK"/>
                    </w:rPr>
                    <w:drawing>
                      <wp:inline distT="0" distB="0" distL="0" distR="0" wp14:anchorId="0CB29280" wp14:editId="39AAF0EC">
                        <wp:extent cx="3131753" cy="2895600"/>
                        <wp:effectExtent l="0" t="0" r="0" b="0"/>
                        <wp:docPr id="141712264" name="Obrázok 14171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rogramové rozpočtovanie v územnej samospráve.png"/>
                                <pic:cNvPicPr/>
                              </pic:nvPicPr>
                              <pic:blipFill rotWithShape="1">
                                <a:blip r:embed="rId80" cstate="print">
                                  <a:extLst>
                                    <a:ext uri="{28A0092B-C50C-407E-A947-70E740481C1C}">
                                      <a14:useLocalDpi xmlns:a14="http://schemas.microsoft.com/office/drawing/2010/main" val="0"/>
                                    </a:ext>
                                  </a:extLst>
                                </a:blip>
                                <a:srcRect l="21717" t="6147" r="24556" b="8897"/>
                                <a:stretch/>
                              </pic:blipFill>
                              <pic:spPr bwMode="auto">
                                <a:xfrm>
                                  <a:off x="0" y="0"/>
                                  <a:ext cx="3140568" cy="29037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12789A" w14:textId="6C3C81DC" w:rsidR="00A15A15" w:rsidRPr="007D3345" w:rsidRDefault="00A15A15" w:rsidP="003D11A6">
            <w:pPr>
              <w:pStyle w:val="Zdroj"/>
              <w:rPr>
                <w:lang w:eastAsia="sk-SK"/>
              </w:rPr>
            </w:pPr>
            <w:r w:rsidRPr="007D3345">
              <w:rPr>
                <w:lang w:eastAsia="sk-SK"/>
              </w:rPr>
              <w:t>Zdroj: Správa o výsledku kontroly</w:t>
            </w:r>
            <w:r w:rsidR="001D69DD">
              <w:rPr>
                <w:lang w:eastAsia="sk-SK"/>
              </w:rPr>
              <w:t>.</w:t>
            </w:r>
            <w:r w:rsidRPr="007D3345">
              <w:rPr>
                <w:lang w:eastAsia="sk-SK"/>
              </w:rPr>
              <w:t xml:space="preserve"> [</w:t>
            </w:r>
            <w:hyperlink r:id="rId81" w:history="1">
              <w:r w:rsidRPr="007D3345">
                <w:rPr>
                  <w:u w:val="single"/>
                  <w:lang w:eastAsia="sk-SK"/>
                </w:rPr>
                <w:t>online</w:t>
              </w:r>
            </w:hyperlink>
            <w:r w:rsidR="001D69DD">
              <w:rPr>
                <w:lang w:eastAsia="sk-SK"/>
              </w:rPr>
              <w:t>].</w:t>
            </w:r>
          </w:p>
          <w:p w14:paraId="5BA97C0B" w14:textId="77777777" w:rsidR="00A15A15" w:rsidRPr="007D3345" w:rsidRDefault="00A15A15" w:rsidP="007D38E1">
            <w:pPr>
              <w:spacing w:before="120" w:line="240" w:lineRule="auto"/>
              <w:rPr>
                <w:rFonts w:eastAsia="Times New Roman" w:cs="Segoe UI"/>
                <w:b/>
                <w:sz w:val="18"/>
                <w:szCs w:val="18"/>
              </w:rPr>
            </w:pPr>
            <w:r w:rsidRPr="007D3345">
              <w:rPr>
                <w:b/>
                <w:bCs/>
                <w:sz w:val="18"/>
                <w:szCs w:val="18"/>
              </w:rPr>
              <w:t>Z dôvodu posilnenia významu programového rozpočtovania v územnej samospráve NKÚ SR odporučil výboru NR SR pre verejnú správu a regionálny rozvoj, aby zaviazal MF SR predložiť informáciu, akým spôsobom MF SR plánuje zabezpečiť účinné uplatňovanie programového rozpočtovania v územnej samospráve.</w:t>
            </w:r>
          </w:p>
        </w:tc>
      </w:tr>
    </w:tbl>
    <w:p w14:paraId="5783CACC" w14:textId="77777777" w:rsidR="003D4869" w:rsidRDefault="003D4869" w:rsidP="003D4869">
      <w:pPr>
        <w:pStyle w:val="Nadpis2"/>
        <w:rPr>
          <w:rFonts w:eastAsia="Times New Roman"/>
          <w:lang w:eastAsia="sk-SK"/>
        </w:rPr>
      </w:pPr>
      <w:bookmarkStart w:id="68" w:name="_Toc198637744"/>
      <w:r w:rsidRPr="003A70D3">
        <w:rPr>
          <w:rFonts w:eastAsia="Times New Roman"/>
          <w:lang w:eastAsia="sk-SK"/>
        </w:rPr>
        <w:lastRenderedPageBreak/>
        <w:t xml:space="preserve">6.1 </w:t>
      </w:r>
      <w:r>
        <w:rPr>
          <w:rFonts w:eastAsia="Times New Roman"/>
          <w:lang w:eastAsia="sk-SK"/>
        </w:rPr>
        <w:t xml:space="preserve"> </w:t>
      </w:r>
      <w:r w:rsidRPr="003308BB">
        <w:t>Hospodárenie</w:t>
      </w:r>
      <w:r w:rsidRPr="003A70D3">
        <w:rPr>
          <w:rFonts w:eastAsia="Times New Roman"/>
          <w:lang w:eastAsia="sk-SK"/>
        </w:rPr>
        <w:t xml:space="preserve"> obcí</w:t>
      </w:r>
      <w:bookmarkEnd w:id="67"/>
      <w:bookmarkEnd w:id="68"/>
    </w:p>
    <w:p w14:paraId="5A8A4B93" w14:textId="07EB4FF1" w:rsidR="00631AB9" w:rsidRPr="00903F3D" w:rsidRDefault="00631AB9" w:rsidP="00631AB9">
      <w:pPr>
        <w:rPr>
          <w:szCs w:val="20"/>
        </w:rPr>
      </w:pPr>
      <w:bookmarkStart w:id="69" w:name="_Toc197091818"/>
      <w:r w:rsidRPr="007B20C3">
        <w:rPr>
          <w:b/>
          <w:bCs/>
          <w:szCs w:val="20"/>
        </w:rPr>
        <w:t xml:space="preserve">Príjmy </w:t>
      </w:r>
      <w:r>
        <w:rPr>
          <w:b/>
          <w:bCs/>
          <w:szCs w:val="20"/>
        </w:rPr>
        <w:t xml:space="preserve">obcí rástli </w:t>
      </w:r>
      <w:r w:rsidRPr="00E324F3">
        <w:rPr>
          <w:b/>
          <w:szCs w:val="20"/>
        </w:rPr>
        <w:t>v roku 2024</w:t>
      </w:r>
      <w:r w:rsidRPr="007B20C3">
        <w:rPr>
          <w:b/>
          <w:bCs/>
          <w:szCs w:val="20"/>
        </w:rPr>
        <w:t xml:space="preserve"> </w:t>
      </w:r>
      <w:r>
        <w:rPr>
          <w:b/>
          <w:bCs/>
          <w:szCs w:val="20"/>
        </w:rPr>
        <w:t xml:space="preserve">medziročne rýchlejšie ako </w:t>
      </w:r>
      <w:r>
        <w:rPr>
          <w:b/>
          <w:szCs w:val="20"/>
        </w:rPr>
        <w:t xml:space="preserve">výdavky </w:t>
      </w:r>
      <w:r>
        <w:rPr>
          <w:szCs w:val="20"/>
        </w:rPr>
        <w:t xml:space="preserve">(tabuľka </w:t>
      </w:r>
      <w:r w:rsidR="00CB5B58">
        <w:rPr>
          <w:szCs w:val="20"/>
        </w:rPr>
        <w:t>25</w:t>
      </w:r>
      <w:r>
        <w:rPr>
          <w:szCs w:val="20"/>
        </w:rPr>
        <w:t>)</w:t>
      </w:r>
      <w:r w:rsidRPr="00B628DC">
        <w:rPr>
          <w:b/>
          <w:szCs w:val="20"/>
        </w:rPr>
        <w:t>.</w:t>
      </w:r>
      <w:r>
        <w:rPr>
          <w:szCs w:val="20"/>
        </w:rPr>
        <w:t xml:space="preserve"> Ku koncu roka mali obce príjmy medziročne vyššie o 0,8 %. </w:t>
      </w:r>
      <w:r w:rsidRPr="00B628DC">
        <w:rPr>
          <w:bCs/>
          <w:szCs w:val="20"/>
        </w:rPr>
        <w:t>Z</w:t>
      </w:r>
      <w:r>
        <w:rPr>
          <w:bCs/>
          <w:szCs w:val="20"/>
        </w:rPr>
        <w:t> </w:t>
      </w:r>
      <w:r w:rsidRPr="00B628DC">
        <w:rPr>
          <w:bCs/>
          <w:szCs w:val="20"/>
        </w:rPr>
        <w:t xml:space="preserve">hľadiska </w:t>
      </w:r>
      <w:r>
        <w:rPr>
          <w:bCs/>
          <w:szCs w:val="20"/>
        </w:rPr>
        <w:t xml:space="preserve">bežných </w:t>
      </w:r>
      <w:r w:rsidRPr="00B628DC">
        <w:rPr>
          <w:bCs/>
          <w:szCs w:val="20"/>
        </w:rPr>
        <w:t>výdavkov najviac rástli výdavky</w:t>
      </w:r>
      <w:r w:rsidRPr="00735104">
        <w:rPr>
          <w:szCs w:val="20"/>
        </w:rPr>
        <w:t xml:space="preserve"> na mzdy a odvody (medziročn</w:t>
      </w:r>
      <w:r w:rsidRPr="00903F3D">
        <w:rPr>
          <w:szCs w:val="20"/>
        </w:rPr>
        <w:t>e o 12,3 %).</w:t>
      </w:r>
    </w:p>
    <w:p w14:paraId="4B4C42FA" w14:textId="17C80BCA" w:rsidR="00631AB9" w:rsidRPr="007C1F09" w:rsidRDefault="00631AB9" w:rsidP="00631AB9">
      <w:pPr>
        <w:pStyle w:val="Popis"/>
        <w:keepNext/>
        <w:rPr>
          <w:color w:val="314364"/>
        </w:rPr>
      </w:pPr>
      <w:r w:rsidRPr="007C1F09">
        <w:rPr>
          <w:color w:val="314364"/>
        </w:rPr>
        <w:t xml:space="preserve">Tabuľka </w:t>
      </w:r>
      <w:r w:rsidR="00CB5B58">
        <w:rPr>
          <w:color w:val="314364"/>
        </w:rPr>
        <w:t>25</w:t>
      </w:r>
      <w:r w:rsidRPr="007C1F09">
        <w:rPr>
          <w:color w:val="314364"/>
        </w:rPr>
        <w:t>: Vybrané finanč</w:t>
      </w:r>
      <w:r>
        <w:rPr>
          <w:color w:val="314364"/>
        </w:rPr>
        <w:t>né ukazovatele obcí za roky 2022</w:t>
      </w:r>
      <w:r w:rsidRPr="007C1F09">
        <w:rPr>
          <w:color w:val="314364"/>
        </w:rPr>
        <w:t xml:space="preserve"> až 202</w:t>
      </w:r>
      <w:r>
        <w:rPr>
          <w:color w:val="314364"/>
        </w:rPr>
        <w:t>4</w:t>
      </w:r>
      <w:r w:rsidRPr="007C1F09">
        <w:rPr>
          <w:color w:val="314364"/>
        </w:rPr>
        <w:t xml:space="preserve"> (v tis. eur)</w:t>
      </w:r>
    </w:p>
    <w:tbl>
      <w:tblPr>
        <w:tblW w:w="5079" w:type="pct"/>
        <w:tblBorders>
          <w:bottom w:val="single" w:sz="4" w:space="0" w:color="auto"/>
        </w:tblBorders>
        <w:tblLook w:val="01E0" w:firstRow="1" w:lastRow="1" w:firstColumn="1" w:lastColumn="1" w:noHBand="0" w:noVBand="0"/>
      </w:tblPr>
      <w:tblGrid>
        <w:gridCol w:w="2744"/>
        <w:gridCol w:w="1286"/>
        <w:gridCol w:w="1286"/>
        <w:gridCol w:w="1286"/>
        <w:gridCol w:w="1448"/>
        <w:gridCol w:w="1163"/>
      </w:tblGrid>
      <w:tr w:rsidR="00631AB9" w:rsidRPr="00987095" w14:paraId="17666612" w14:textId="77777777" w:rsidTr="003D11A6">
        <w:trPr>
          <w:trHeight w:val="283"/>
          <w:tblHeader/>
        </w:trPr>
        <w:tc>
          <w:tcPr>
            <w:tcW w:w="1489" w:type="pct"/>
            <w:shd w:val="clear" w:color="auto" w:fill="314364" w:themeFill="text2"/>
            <w:vAlign w:val="center"/>
            <w:hideMark/>
          </w:tcPr>
          <w:p w14:paraId="47B24C3C" w14:textId="77777777" w:rsidR="00631AB9" w:rsidRPr="00987095" w:rsidRDefault="00631AB9">
            <w:pPr>
              <w:spacing w:after="0" w:line="240" w:lineRule="auto"/>
              <w:jc w:val="left"/>
              <w:rPr>
                <w:rFonts w:eastAsia="Times New Roman" w:cs="Segoe UI"/>
                <w:b/>
                <w:color w:val="FFFFFF" w:themeColor="background1"/>
                <w:sz w:val="18"/>
                <w:szCs w:val="18"/>
                <w:lang w:eastAsia="sk-SK"/>
              </w:rPr>
            </w:pPr>
            <w:r w:rsidRPr="00987095">
              <w:rPr>
                <w:rFonts w:eastAsia="Times New Roman" w:cs="Segoe UI"/>
                <w:b/>
                <w:color w:val="FFFFFF" w:themeColor="background1"/>
                <w:sz w:val="18"/>
                <w:szCs w:val="18"/>
                <w:lang w:eastAsia="sk-SK"/>
              </w:rPr>
              <w:t>Názov ukazovateľa</w:t>
            </w:r>
          </w:p>
        </w:tc>
        <w:tc>
          <w:tcPr>
            <w:tcW w:w="698" w:type="pct"/>
            <w:shd w:val="clear" w:color="auto" w:fill="314364" w:themeFill="text2"/>
            <w:vAlign w:val="center"/>
          </w:tcPr>
          <w:p w14:paraId="1E23645A" w14:textId="77777777" w:rsidR="00631AB9" w:rsidRPr="00987095" w:rsidRDefault="00631AB9">
            <w:pPr>
              <w:spacing w:after="0" w:line="240" w:lineRule="auto"/>
              <w:jc w:val="right"/>
              <w:rPr>
                <w:rFonts w:eastAsia="Times New Roman" w:cs="Segoe UI"/>
                <w:b/>
                <w:color w:val="FFFFFF" w:themeColor="background1"/>
                <w:sz w:val="18"/>
                <w:szCs w:val="18"/>
                <w:lang w:eastAsia="sk-SK"/>
              </w:rPr>
            </w:pPr>
            <w:r w:rsidRPr="00987095">
              <w:rPr>
                <w:rFonts w:eastAsia="Times New Roman" w:cs="Segoe UI"/>
                <w:b/>
                <w:color w:val="FFFFFF" w:themeColor="background1"/>
                <w:sz w:val="18"/>
                <w:szCs w:val="18"/>
                <w:lang w:eastAsia="sk-SK"/>
              </w:rPr>
              <w:t>2022</w:t>
            </w:r>
          </w:p>
        </w:tc>
        <w:tc>
          <w:tcPr>
            <w:tcW w:w="698" w:type="pct"/>
            <w:shd w:val="clear" w:color="auto" w:fill="314364" w:themeFill="text2"/>
            <w:vAlign w:val="center"/>
          </w:tcPr>
          <w:p w14:paraId="4ECDA045" w14:textId="77777777" w:rsidR="00631AB9" w:rsidRPr="00987095" w:rsidRDefault="00631AB9">
            <w:pPr>
              <w:spacing w:after="0" w:line="240" w:lineRule="auto"/>
              <w:jc w:val="right"/>
              <w:rPr>
                <w:rFonts w:eastAsia="Times New Roman" w:cs="Segoe UI"/>
                <w:b/>
                <w:color w:val="FFFFFF" w:themeColor="background1"/>
                <w:sz w:val="18"/>
                <w:szCs w:val="18"/>
                <w:lang w:eastAsia="sk-SK"/>
              </w:rPr>
            </w:pPr>
            <w:r w:rsidRPr="00987095">
              <w:rPr>
                <w:rFonts w:eastAsia="Times New Roman" w:cs="Segoe UI"/>
                <w:b/>
                <w:color w:val="FFFFFF" w:themeColor="background1"/>
                <w:sz w:val="18"/>
                <w:szCs w:val="18"/>
                <w:lang w:eastAsia="sk-SK"/>
              </w:rPr>
              <w:t xml:space="preserve">2023 </w:t>
            </w:r>
          </w:p>
        </w:tc>
        <w:tc>
          <w:tcPr>
            <w:tcW w:w="698" w:type="pct"/>
            <w:shd w:val="clear" w:color="auto" w:fill="314364" w:themeFill="text2"/>
            <w:vAlign w:val="center"/>
          </w:tcPr>
          <w:p w14:paraId="418A4D29" w14:textId="77777777" w:rsidR="00631AB9" w:rsidRPr="00987095" w:rsidRDefault="00631AB9">
            <w:pPr>
              <w:spacing w:after="0" w:line="240" w:lineRule="auto"/>
              <w:jc w:val="right"/>
              <w:rPr>
                <w:rFonts w:eastAsia="Times New Roman" w:cs="Segoe UI"/>
                <w:b/>
                <w:color w:val="FFFFFF" w:themeColor="background1"/>
                <w:sz w:val="18"/>
                <w:szCs w:val="18"/>
                <w:lang w:eastAsia="sk-SK"/>
              </w:rPr>
            </w:pPr>
            <w:r w:rsidRPr="00987095">
              <w:rPr>
                <w:rFonts w:eastAsia="Times New Roman" w:cs="Segoe UI"/>
                <w:b/>
                <w:color w:val="FFFFFF" w:themeColor="background1"/>
                <w:sz w:val="18"/>
                <w:szCs w:val="18"/>
                <w:lang w:eastAsia="sk-SK"/>
              </w:rPr>
              <w:t>2024</w:t>
            </w:r>
          </w:p>
        </w:tc>
        <w:tc>
          <w:tcPr>
            <w:tcW w:w="786" w:type="pct"/>
            <w:shd w:val="clear" w:color="auto" w:fill="314364" w:themeFill="text2"/>
            <w:vAlign w:val="center"/>
          </w:tcPr>
          <w:p w14:paraId="71BEEC6B" w14:textId="77777777" w:rsidR="00631AB9" w:rsidRPr="00987095" w:rsidRDefault="00631AB9">
            <w:pPr>
              <w:widowControl w:val="0"/>
              <w:spacing w:after="0" w:line="240" w:lineRule="auto"/>
              <w:jc w:val="right"/>
              <w:rPr>
                <w:rFonts w:eastAsia="Times New Roman" w:cs="Segoe UI"/>
                <w:b/>
                <w:color w:val="FFFFFF" w:themeColor="background1"/>
                <w:sz w:val="18"/>
                <w:szCs w:val="18"/>
                <w:lang w:eastAsia="sk-SK"/>
              </w:rPr>
            </w:pPr>
            <w:r w:rsidRPr="00987095">
              <w:rPr>
                <w:rFonts w:eastAsia="Times New Roman" w:cs="Segoe UI"/>
                <w:b/>
                <w:color w:val="FFFFFF" w:themeColor="background1"/>
                <w:sz w:val="18"/>
                <w:szCs w:val="18"/>
                <w:lang w:eastAsia="sk-SK"/>
              </w:rPr>
              <w:t>2024 - 2023</w:t>
            </w:r>
          </w:p>
        </w:tc>
        <w:tc>
          <w:tcPr>
            <w:tcW w:w="631" w:type="pct"/>
            <w:shd w:val="clear" w:color="auto" w:fill="314364" w:themeFill="text2"/>
            <w:vAlign w:val="center"/>
          </w:tcPr>
          <w:p w14:paraId="4480AC7F" w14:textId="77777777" w:rsidR="00631AB9" w:rsidRPr="00987095" w:rsidRDefault="00631AB9">
            <w:pPr>
              <w:widowControl w:val="0"/>
              <w:spacing w:after="0" w:line="240" w:lineRule="auto"/>
              <w:jc w:val="right"/>
              <w:rPr>
                <w:rFonts w:eastAsia="Times New Roman" w:cs="Segoe UI"/>
                <w:b/>
                <w:color w:val="FFFFFF" w:themeColor="background1"/>
                <w:sz w:val="18"/>
                <w:szCs w:val="18"/>
                <w:lang w:eastAsia="sk-SK"/>
              </w:rPr>
            </w:pPr>
            <w:proofErr w:type="spellStart"/>
            <w:r w:rsidRPr="00987095">
              <w:rPr>
                <w:rFonts w:eastAsia="Times New Roman" w:cs="Segoe UI"/>
                <w:b/>
                <w:color w:val="FFFFFF" w:themeColor="background1"/>
                <w:sz w:val="18"/>
                <w:szCs w:val="18"/>
                <w:lang w:eastAsia="sk-SK"/>
              </w:rPr>
              <w:t>YoY</w:t>
            </w:r>
            <w:proofErr w:type="spellEnd"/>
            <w:r w:rsidRPr="00987095">
              <w:rPr>
                <w:rFonts w:eastAsia="Times New Roman" w:cs="Segoe UI"/>
                <w:b/>
                <w:color w:val="FFFFFF" w:themeColor="background1"/>
                <w:sz w:val="18"/>
                <w:szCs w:val="18"/>
                <w:lang w:eastAsia="sk-SK"/>
              </w:rPr>
              <w:t>/%</w:t>
            </w:r>
          </w:p>
        </w:tc>
      </w:tr>
      <w:tr w:rsidR="00631AB9" w:rsidRPr="00987095" w14:paraId="0DF2FC9D" w14:textId="77777777" w:rsidTr="003D11A6">
        <w:trPr>
          <w:trHeight w:val="283"/>
        </w:trPr>
        <w:tc>
          <w:tcPr>
            <w:tcW w:w="1489" w:type="pct"/>
            <w:vAlign w:val="center"/>
          </w:tcPr>
          <w:p w14:paraId="4E668386" w14:textId="77777777" w:rsidR="00631AB9" w:rsidRPr="00987095" w:rsidRDefault="00631AB9">
            <w:pPr>
              <w:spacing w:after="0" w:line="240" w:lineRule="auto"/>
              <w:contextualSpacing/>
              <w:jc w:val="left"/>
              <w:rPr>
                <w:rFonts w:eastAsia="Times New Roman" w:cs="Segoe UI"/>
                <w:b/>
                <w:bCs/>
                <w:sz w:val="18"/>
                <w:szCs w:val="18"/>
                <w:lang w:eastAsia="sk-SK"/>
              </w:rPr>
            </w:pPr>
            <w:r w:rsidRPr="00987095">
              <w:rPr>
                <w:rFonts w:eastAsia="Times New Roman" w:cs="Segoe UI"/>
                <w:b/>
                <w:bCs/>
                <w:sz w:val="18"/>
                <w:szCs w:val="18"/>
                <w:lang w:eastAsia="sk-SK"/>
              </w:rPr>
              <w:t>Príjmy celkom*</w:t>
            </w:r>
          </w:p>
        </w:tc>
        <w:tc>
          <w:tcPr>
            <w:tcW w:w="698" w:type="pct"/>
            <w:vAlign w:val="center"/>
          </w:tcPr>
          <w:p w14:paraId="4DD0945B" w14:textId="77777777" w:rsidR="00631AB9" w:rsidRPr="00987095" w:rsidRDefault="00631AB9">
            <w:pPr>
              <w:spacing w:after="0" w:line="240" w:lineRule="auto"/>
              <w:contextualSpacing/>
              <w:jc w:val="right"/>
              <w:rPr>
                <w:rFonts w:eastAsia="Times New Roman" w:cs="Segoe UI"/>
                <w:b/>
                <w:bCs/>
                <w:sz w:val="18"/>
                <w:szCs w:val="18"/>
                <w:lang w:eastAsia="sk-SK"/>
              </w:rPr>
            </w:pPr>
            <w:r w:rsidRPr="003D11A6">
              <w:rPr>
                <w:b/>
                <w:bCs/>
                <w:sz w:val="18"/>
                <w:szCs w:val="18"/>
              </w:rPr>
              <w:t xml:space="preserve"> 6 827 865 </w:t>
            </w:r>
          </w:p>
        </w:tc>
        <w:tc>
          <w:tcPr>
            <w:tcW w:w="698" w:type="pct"/>
            <w:vAlign w:val="center"/>
          </w:tcPr>
          <w:p w14:paraId="55D83761" w14:textId="77777777" w:rsidR="00631AB9" w:rsidRPr="00987095" w:rsidRDefault="00631AB9">
            <w:pPr>
              <w:spacing w:after="0" w:line="240" w:lineRule="auto"/>
              <w:contextualSpacing/>
              <w:jc w:val="right"/>
              <w:rPr>
                <w:rFonts w:eastAsia="Times New Roman" w:cs="Segoe UI"/>
                <w:b/>
                <w:bCs/>
                <w:sz w:val="18"/>
                <w:szCs w:val="18"/>
                <w:lang w:eastAsia="sk-SK"/>
              </w:rPr>
            </w:pPr>
            <w:r w:rsidRPr="003D11A6">
              <w:rPr>
                <w:b/>
                <w:bCs/>
                <w:sz w:val="18"/>
                <w:szCs w:val="18"/>
              </w:rPr>
              <w:t xml:space="preserve"> 8 206 526 </w:t>
            </w:r>
          </w:p>
        </w:tc>
        <w:tc>
          <w:tcPr>
            <w:tcW w:w="698" w:type="pct"/>
            <w:vAlign w:val="center"/>
          </w:tcPr>
          <w:p w14:paraId="62D179A6" w14:textId="77777777" w:rsidR="00631AB9" w:rsidRPr="00987095" w:rsidRDefault="00631AB9">
            <w:pPr>
              <w:spacing w:after="0" w:line="240" w:lineRule="auto"/>
              <w:contextualSpacing/>
              <w:jc w:val="right"/>
              <w:rPr>
                <w:rFonts w:eastAsia="Times New Roman" w:cs="Segoe UI"/>
                <w:b/>
                <w:bCs/>
                <w:sz w:val="18"/>
                <w:szCs w:val="18"/>
                <w:lang w:eastAsia="sk-SK"/>
              </w:rPr>
            </w:pPr>
            <w:r w:rsidRPr="003D11A6">
              <w:rPr>
                <w:b/>
                <w:bCs/>
                <w:sz w:val="18"/>
                <w:szCs w:val="18"/>
              </w:rPr>
              <w:t>8 271 893</w:t>
            </w:r>
          </w:p>
        </w:tc>
        <w:tc>
          <w:tcPr>
            <w:tcW w:w="786" w:type="pct"/>
            <w:vAlign w:val="center"/>
          </w:tcPr>
          <w:p w14:paraId="1934C759" w14:textId="77777777" w:rsidR="00631AB9" w:rsidRPr="00987095" w:rsidRDefault="00631AB9">
            <w:pPr>
              <w:spacing w:after="0" w:line="240" w:lineRule="auto"/>
              <w:contextualSpacing/>
              <w:jc w:val="right"/>
              <w:rPr>
                <w:rFonts w:eastAsia="Times New Roman" w:cs="Segoe UI"/>
                <w:b/>
                <w:bCs/>
                <w:sz w:val="18"/>
                <w:szCs w:val="18"/>
                <w:lang w:eastAsia="sk-SK"/>
              </w:rPr>
            </w:pPr>
            <w:r w:rsidRPr="003D11A6">
              <w:rPr>
                <w:b/>
                <w:bCs/>
                <w:sz w:val="18"/>
                <w:szCs w:val="18"/>
              </w:rPr>
              <w:t xml:space="preserve"> 65 367 </w:t>
            </w:r>
          </w:p>
        </w:tc>
        <w:tc>
          <w:tcPr>
            <w:tcW w:w="631" w:type="pct"/>
            <w:shd w:val="clear" w:color="auto" w:fill="auto"/>
            <w:vAlign w:val="center"/>
          </w:tcPr>
          <w:p w14:paraId="18D06658" w14:textId="77777777" w:rsidR="00631AB9" w:rsidRPr="003D11A6" w:rsidRDefault="00631AB9">
            <w:pPr>
              <w:spacing w:after="0" w:line="240" w:lineRule="auto"/>
              <w:contextualSpacing/>
              <w:jc w:val="right"/>
              <w:rPr>
                <w:rFonts w:eastAsia="Times New Roman" w:cs="Segoe UI"/>
                <w:b/>
                <w:bCs/>
                <w:sz w:val="18"/>
                <w:szCs w:val="18"/>
                <w:lang w:eastAsia="sk-SK"/>
              </w:rPr>
            </w:pPr>
            <w:r w:rsidRPr="003D11A6">
              <w:rPr>
                <w:rFonts w:cs="Segoe UI"/>
                <w:b/>
                <w:bCs/>
                <w:color w:val="000000"/>
                <w:sz w:val="18"/>
                <w:szCs w:val="18"/>
              </w:rPr>
              <w:t>100,80%</w:t>
            </w:r>
          </w:p>
        </w:tc>
      </w:tr>
      <w:tr w:rsidR="00631AB9" w:rsidRPr="00987095" w14:paraId="227FCF4D" w14:textId="77777777" w:rsidTr="003D11A6">
        <w:trPr>
          <w:trHeight w:val="283"/>
        </w:trPr>
        <w:tc>
          <w:tcPr>
            <w:tcW w:w="1489" w:type="pct"/>
            <w:vAlign w:val="center"/>
          </w:tcPr>
          <w:p w14:paraId="3DD1C0D1" w14:textId="77777777" w:rsidR="00631AB9" w:rsidRPr="00987095" w:rsidRDefault="00631AB9">
            <w:pPr>
              <w:pStyle w:val="Odsekzoznamu"/>
              <w:numPr>
                <w:ilvl w:val="0"/>
                <w:numId w:val="18"/>
              </w:numPr>
              <w:spacing w:after="0" w:line="240" w:lineRule="auto"/>
              <w:jc w:val="left"/>
              <w:rPr>
                <w:rFonts w:eastAsia="Times New Roman" w:cs="Segoe UI"/>
                <w:bCs/>
                <w:sz w:val="18"/>
                <w:szCs w:val="18"/>
                <w:lang w:eastAsia="sk-SK"/>
              </w:rPr>
            </w:pPr>
            <w:r w:rsidRPr="00987095">
              <w:rPr>
                <w:rFonts w:eastAsia="Times New Roman" w:cs="Segoe UI"/>
                <w:bCs/>
                <w:sz w:val="18"/>
                <w:szCs w:val="18"/>
                <w:lang w:eastAsia="sk-SK"/>
              </w:rPr>
              <w:t xml:space="preserve">z toho transfery </w:t>
            </w:r>
          </w:p>
        </w:tc>
        <w:tc>
          <w:tcPr>
            <w:tcW w:w="698" w:type="pct"/>
            <w:vAlign w:val="center"/>
          </w:tcPr>
          <w:p w14:paraId="32DEEB17"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1 701 892</w:t>
            </w:r>
          </w:p>
        </w:tc>
        <w:tc>
          <w:tcPr>
            <w:tcW w:w="698" w:type="pct"/>
            <w:vAlign w:val="center"/>
          </w:tcPr>
          <w:p w14:paraId="2CEDB10A"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2 619 868 </w:t>
            </w:r>
          </w:p>
        </w:tc>
        <w:tc>
          <w:tcPr>
            <w:tcW w:w="698" w:type="pct"/>
            <w:vAlign w:val="center"/>
          </w:tcPr>
          <w:p w14:paraId="35ADA4C0"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2 492 298 </w:t>
            </w:r>
          </w:p>
        </w:tc>
        <w:tc>
          <w:tcPr>
            <w:tcW w:w="786" w:type="pct"/>
            <w:vAlign w:val="center"/>
          </w:tcPr>
          <w:p w14:paraId="6196249A"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-127 570 </w:t>
            </w:r>
          </w:p>
        </w:tc>
        <w:tc>
          <w:tcPr>
            <w:tcW w:w="631" w:type="pct"/>
            <w:shd w:val="clear" w:color="auto" w:fill="auto"/>
            <w:vAlign w:val="center"/>
          </w:tcPr>
          <w:p w14:paraId="58071364" w14:textId="77777777" w:rsidR="00631AB9" w:rsidRPr="003D11A6" w:rsidRDefault="00631AB9">
            <w:pPr>
              <w:spacing w:after="0" w:line="240" w:lineRule="auto"/>
              <w:jc w:val="right"/>
              <w:rPr>
                <w:rFonts w:eastAsia="Times New Roman" w:cs="Segoe UI"/>
                <w:bCs/>
                <w:sz w:val="18"/>
                <w:szCs w:val="18"/>
                <w:lang w:eastAsia="sk-SK"/>
              </w:rPr>
            </w:pPr>
            <w:r w:rsidRPr="003D11A6">
              <w:rPr>
                <w:rFonts w:cs="Segoe UI"/>
                <w:color w:val="000000"/>
                <w:sz w:val="18"/>
                <w:szCs w:val="18"/>
              </w:rPr>
              <w:t>95,13%</w:t>
            </w:r>
          </w:p>
        </w:tc>
      </w:tr>
      <w:tr w:rsidR="00631AB9" w:rsidRPr="00987095" w14:paraId="0DB50EBC" w14:textId="77777777" w:rsidTr="003D11A6">
        <w:trPr>
          <w:trHeight w:val="283"/>
        </w:trPr>
        <w:tc>
          <w:tcPr>
            <w:tcW w:w="1489" w:type="pct"/>
            <w:vAlign w:val="center"/>
          </w:tcPr>
          <w:p w14:paraId="1C408D00" w14:textId="77777777" w:rsidR="00631AB9" w:rsidRPr="00987095" w:rsidRDefault="00631AB9">
            <w:pPr>
              <w:spacing w:after="0" w:line="240" w:lineRule="auto"/>
              <w:contextualSpacing/>
              <w:jc w:val="left"/>
              <w:rPr>
                <w:rFonts w:eastAsia="Times New Roman" w:cs="Segoe UI"/>
                <w:b/>
                <w:bCs/>
                <w:sz w:val="18"/>
                <w:szCs w:val="18"/>
                <w:lang w:eastAsia="sk-SK"/>
              </w:rPr>
            </w:pPr>
            <w:r w:rsidRPr="00987095">
              <w:rPr>
                <w:rFonts w:eastAsia="Times New Roman" w:cs="Segoe UI"/>
                <w:b/>
                <w:bCs/>
                <w:sz w:val="18"/>
                <w:szCs w:val="18"/>
                <w:lang w:eastAsia="sk-SK"/>
              </w:rPr>
              <w:t>Výdavky celkom</w:t>
            </w:r>
          </w:p>
        </w:tc>
        <w:tc>
          <w:tcPr>
            <w:tcW w:w="698" w:type="pct"/>
            <w:vAlign w:val="center"/>
          </w:tcPr>
          <w:p w14:paraId="736DEC2C" w14:textId="77777777" w:rsidR="00631AB9" w:rsidRPr="00987095" w:rsidRDefault="00631AB9">
            <w:pPr>
              <w:spacing w:after="0" w:line="240" w:lineRule="auto"/>
              <w:jc w:val="right"/>
              <w:rPr>
                <w:rFonts w:eastAsia="Times New Roman" w:cs="Segoe UI"/>
                <w:b/>
                <w:bCs/>
                <w:sz w:val="18"/>
                <w:szCs w:val="18"/>
                <w:lang w:eastAsia="sk-SK"/>
              </w:rPr>
            </w:pPr>
            <w:r w:rsidRPr="003D11A6">
              <w:rPr>
                <w:b/>
                <w:bCs/>
                <w:sz w:val="18"/>
                <w:szCs w:val="18"/>
              </w:rPr>
              <w:t xml:space="preserve"> 6 368 734 </w:t>
            </w:r>
          </w:p>
        </w:tc>
        <w:tc>
          <w:tcPr>
            <w:tcW w:w="698" w:type="pct"/>
            <w:vAlign w:val="center"/>
          </w:tcPr>
          <w:p w14:paraId="5B0A5682" w14:textId="77777777" w:rsidR="00631AB9" w:rsidRPr="00987095" w:rsidRDefault="00631AB9">
            <w:pPr>
              <w:spacing w:after="0" w:line="240" w:lineRule="auto"/>
              <w:jc w:val="right"/>
              <w:rPr>
                <w:rFonts w:eastAsia="Times New Roman" w:cs="Segoe UI"/>
                <w:b/>
                <w:bCs/>
                <w:sz w:val="18"/>
                <w:szCs w:val="18"/>
                <w:lang w:eastAsia="sk-SK"/>
              </w:rPr>
            </w:pPr>
            <w:r w:rsidRPr="003D11A6">
              <w:rPr>
                <w:b/>
                <w:bCs/>
                <w:sz w:val="18"/>
                <w:szCs w:val="18"/>
              </w:rPr>
              <w:t xml:space="preserve"> 7 580 396 </w:t>
            </w:r>
          </w:p>
        </w:tc>
        <w:tc>
          <w:tcPr>
            <w:tcW w:w="698" w:type="pct"/>
            <w:vAlign w:val="center"/>
          </w:tcPr>
          <w:p w14:paraId="36A5A340" w14:textId="77777777" w:rsidR="00631AB9" w:rsidRPr="00987095" w:rsidRDefault="00631AB9">
            <w:pPr>
              <w:spacing w:after="0" w:line="240" w:lineRule="auto"/>
              <w:jc w:val="right"/>
              <w:rPr>
                <w:rFonts w:eastAsia="Times New Roman" w:cs="Segoe UI"/>
                <w:b/>
                <w:bCs/>
                <w:sz w:val="18"/>
                <w:szCs w:val="18"/>
                <w:lang w:eastAsia="sk-SK"/>
              </w:rPr>
            </w:pPr>
            <w:r w:rsidRPr="003D11A6">
              <w:rPr>
                <w:b/>
                <w:bCs/>
                <w:sz w:val="18"/>
                <w:szCs w:val="18"/>
              </w:rPr>
              <w:t xml:space="preserve"> 7 593 634 </w:t>
            </w:r>
          </w:p>
        </w:tc>
        <w:tc>
          <w:tcPr>
            <w:tcW w:w="786" w:type="pct"/>
            <w:vAlign w:val="center"/>
          </w:tcPr>
          <w:p w14:paraId="0B74A8EB" w14:textId="77777777" w:rsidR="00631AB9" w:rsidRPr="00987095" w:rsidRDefault="00631AB9">
            <w:pPr>
              <w:spacing w:after="0" w:line="240" w:lineRule="auto"/>
              <w:jc w:val="right"/>
              <w:rPr>
                <w:rFonts w:eastAsia="Times New Roman" w:cs="Segoe UI"/>
                <w:b/>
                <w:bCs/>
                <w:sz w:val="18"/>
                <w:szCs w:val="18"/>
                <w:lang w:eastAsia="sk-SK"/>
              </w:rPr>
            </w:pPr>
            <w:r w:rsidRPr="003D11A6">
              <w:rPr>
                <w:b/>
                <w:bCs/>
                <w:sz w:val="18"/>
                <w:szCs w:val="18"/>
              </w:rPr>
              <w:t xml:space="preserve"> 13 238 </w:t>
            </w:r>
          </w:p>
        </w:tc>
        <w:tc>
          <w:tcPr>
            <w:tcW w:w="631" w:type="pct"/>
            <w:shd w:val="clear" w:color="auto" w:fill="auto"/>
            <w:vAlign w:val="center"/>
          </w:tcPr>
          <w:p w14:paraId="1580EA9C" w14:textId="77777777" w:rsidR="00631AB9" w:rsidRPr="003D11A6" w:rsidRDefault="00631AB9">
            <w:pPr>
              <w:spacing w:after="0" w:line="240" w:lineRule="auto"/>
              <w:jc w:val="right"/>
              <w:rPr>
                <w:rFonts w:eastAsia="Times New Roman" w:cs="Segoe UI"/>
                <w:b/>
                <w:bCs/>
                <w:sz w:val="18"/>
                <w:szCs w:val="18"/>
                <w:lang w:eastAsia="sk-SK"/>
              </w:rPr>
            </w:pPr>
            <w:r w:rsidRPr="003D11A6">
              <w:rPr>
                <w:rFonts w:cs="Segoe UI"/>
                <w:b/>
                <w:bCs/>
                <w:color w:val="000000"/>
                <w:sz w:val="18"/>
                <w:szCs w:val="18"/>
              </w:rPr>
              <w:t>100,17%</w:t>
            </w:r>
          </w:p>
        </w:tc>
      </w:tr>
      <w:tr w:rsidR="00631AB9" w:rsidRPr="00987095" w14:paraId="0AD287E1" w14:textId="77777777" w:rsidTr="003D11A6">
        <w:trPr>
          <w:trHeight w:val="283"/>
        </w:trPr>
        <w:tc>
          <w:tcPr>
            <w:tcW w:w="1489" w:type="pct"/>
            <w:vAlign w:val="center"/>
          </w:tcPr>
          <w:p w14:paraId="7602EE47" w14:textId="77777777" w:rsidR="00631AB9" w:rsidRPr="00987095" w:rsidRDefault="00631AB9">
            <w:pPr>
              <w:pStyle w:val="Odsekzoznamu"/>
              <w:numPr>
                <w:ilvl w:val="0"/>
                <w:numId w:val="18"/>
              </w:numPr>
              <w:spacing w:after="0" w:line="240" w:lineRule="auto"/>
              <w:jc w:val="left"/>
              <w:rPr>
                <w:rFonts w:eastAsia="Times New Roman" w:cs="Segoe UI"/>
                <w:bCs/>
                <w:sz w:val="18"/>
                <w:szCs w:val="18"/>
                <w:lang w:eastAsia="sk-SK"/>
              </w:rPr>
            </w:pPr>
            <w:r w:rsidRPr="00987095">
              <w:rPr>
                <w:rFonts w:eastAsia="Times New Roman" w:cs="Segoe UI"/>
                <w:bCs/>
                <w:sz w:val="18"/>
                <w:szCs w:val="18"/>
                <w:lang w:eastAsia="sk-SK"/>
              </w:rPr>
              <w:t>z toho mzdy a odvody</w:t>
            </w:r>
          </w:p>
        </w:tc>
        <w:tc>
          <w:tcPr>
            <w:tcW w:w="698" w:type="pct"/>
            <w:vAlign w:val="center"/>
          </w:tcPr>
          <w:p w14:paraId="697C0B88"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2 783 354</w:t>
            </w:r>
          </w:p>
        </w:tc>
        <w:tc>
          <w:tcPr>
            <w:tcW w:w="698" w:type="pct"/>
            <w:vAlign w:val="center"/>
          </w:tcPr>
          <w:p w14:paraId="56D3566B"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3 081 717 </w:t>
            </w:r>
          </w:p>
        </w:tc>
        <w:tc>
          <w:tcPr>
            <w:tcW w:w="698" w:type="pct"/>
            <w:vAlign w:val="center"/>
          </w:tcPr>
          <w:p w14:paraId="04A723F0"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3 461 723 </w:t>
            </w:r>
          </w:p>
        </w:tc>
        <w:tc>
          <w:tcPr>
            <w:tcW w:w="786" w:type="pct"/>
            <w:vAlign w:val="center"/>
          </w:tcPr>
          <w:p w14:paraId="1B1A523B"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380 006 </w:t>
            </w:r>
          </w:p>
        </w:tc>
        <w:tc>
          <w:tcPr>
            <w:tcW w:w="631" w:type="pct"/>
            <w:shd w:val="clear" w:color="auto" w:fill="auto"/>
            <w:vAlign w:val="center"/>
          </w:tcPr>
          <w:p w14:paraId="5BD16312" w14:textId="77777777" w:rsidR="00631AB9" w:rsidRPr="003D11A6" w:rsidRDefault="00631AB9">
            <w:pPr>
              <w:spacing w:after="0" w:line="240" w:lineRule="auto"/>
              <w:jc w:val="right"/>
              <w:rPr>
                <w:rFonts w:eastAsia="Times New Roman" w:cs="Segoe UI"/>
                <w:bCs/>
                <w:sz w:val="18"/>
                <w:szCs w:val="18"/>
                <w:lang w:eastAsia="sk-SK"/>
              </w:rPr>
            </w:pPr>
            <w:r w:rsidRPr="003D11A6">
              <w:rPr>
                <w:rFonts w:cs="Segoe UI"/>
                <w:color w:val="000000"/>
                <w:sz w:val="18"/>
                <w:szCs w:val="18"/>
              </w:rPr>
              <w:t>112,33%</w:t>
            </w:r>
          </w:p>
        </w:tc>
      </w:tr>
      <w:tr w:rsidR="00631AB9" w:rsidRPr="00987095" w14:paraId="4360470E" w14:textId="77777777" w:rsidTr="003D11A6">
        <w:trPr>
          <w:trHeight w:val="283"/>
        </w:trPr>
        <w:tc>
          <w:tcPr>
            <w:tcW w:w="1489" w:type="pct"/>
            <w:vAlign w:val="center"/>
          </w:tcPr>
          <w:p w14:paraId="49B36A26" w14:textId="77777777" w:rsidR="00631AB9" w:rsidRPr="00987095" w:rsidRDefault="00631AB9">
            <w:pPr>
              <w:pStyle w:val="Odsekzoznamu"/>
              <w:numPr>
                <w:ilvl w:val="0"/>
                <w:numId w:val="18"/>
              </w:numPr>
              <w:spacing w:after="0" w:line="240" w:lineRule="auto"/>
              <w:jc w:val="left"/>
              <w:rPr>
                <w:rFonts w:eastAsia="Times New Roman" w:cs="Segoe UI"/>
                <w:bCs/>
                <w:sz w:val="18"/>
                <w:szCs w:val="18"/>
                <w:lang w:eastAsia="sk-SK"/>
              </w:rPr>
            </w:pPr>
            <w:r w:rsidRPr="00987095">
              <w:rPr>
                <w:rFonts w:eastAsia="Times New Roman" w:cs="Segoe UI"/>
                <w:bCs/>
                <w:sz w:val="18"/>
                <w:szCs w:val="18"/>
                <w:lang w:eastAsia="sk-SK"/>
              </w:rPr>
              <w:t>tovar a služby</w:t>
            </w:r>
          </w:p>
        </w:tc>
        <w:tc>
          <w:tcPr>
            <w:tcW w:w="698" w:type="pct"/>
            <w:vAlign w:val="center"/>
          </w:tcPr>
          <w:p w14:paraId="02FC227A"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1 590 710</w:t>
            </w:r>
          </w:p>
        </w:tc>
        <w:tc>
          <w:tcPr>
            <w:tcW w:w="698" w:type="pct"/>
            <w:vAlign w:val="center"/>
          </w:tcPr>
          <w:p w14:paraId="1DC360AA"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1 849 482 </w:t>
            </w:r>
          </w:p>
        </w:tc>
        <w:tc>
          <w:tcPr>
            <w:tcW w:w="698" w:type="pct"/>
            <w:vAlign w:val="center"/>
          </w:tcPr>
          <w:p w14:paraId="6B601207"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1 917 970 </w:t>
            </w:r>
          </w:p>
        </w:tc>
        <w:tc>
          <w:tcPr>
            <w:tcW w:w="786" w:type="pct"/>
            <w:vAlign w:val="center"/>
          </w:tcPr>
          <w:p w14:paraId="5FA09731"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68 488 </w:t>
            </w:r>
          </w:p>
        </w:tc>
        <w:tc>
          <w:tcPr>
            <w:tcW w:w="631" w:type="pct"/>
            <w:shd w:val="clear" w:color="auto" w:fill="auto"/>
            <w:vAlign w:val="center"/>
          </w:tcPr>
          <w:p w14:paraId="2ED52E5C" w14:textId="77777777" w:rsidR="00631AB9" w:rsidRPr="003D11A6" w:rsidRDefault="00631AB9">
            <w:pPr>
              <w:spacing w:after="0" w:line="240" w:lineRule="auto"/>
              <w:jc w:val="right"/>
              <w:rPr>
                <w:rFonts w:eastAsia="Times New Roman" w:cs="Segoe UI"/>
                <w:bCs/>
                <w:sz w:val="18"/>
                <w:szCs w:val="18"/>
                <w:lang w:eastAsia="sk-SK"/>
              </w:rPr>
            </w:pPr>
            <w:r w:rsidRPr="003D11A6">
              <w:rPr>
                <w:rFonts w:cs="Segoe UI"/>
                <w:color w:val="000000"/>
                <w:sz w:val="18"/>
                <w:szCs w:val="18"/>
              </w:rPr>
              <w:t>103,70%</w:t>
            </w:r>
          </w:p>
        </w:tc>
      </w:tr>
      <w:tr w:rsidR="00631AB9" w:rsidRPr="00987095" w14:paraId="3ABB44C6" w14:textId="77777777" w:rsidTr="003D11A6">
        <w:trPr>
          <w:trHeight w:val="283"/>
        </w:trPr>
        <w:tc>
          <w:tcPr>
            <w:tcW w:w="1489" w:type="pct"/>
            <w:vAlign w:val="center"/>
          </w:tcPr>
          <w:p w14:paraId="5F92B070" w14:textId="77777777" w:rsidR="00631AB9" w:rsidRPr="00987095" w:rsidRDefault="00631AB9">
            <w:pPr>
              <w:spacing w:after="0" w:line="240" w:lineRule="auto"/>
              <w:contextualSpacing/>
              <w:jc w:val="left"/>
              <w:rPr>
                <w:rFonts w:eastAsia="Times New Roman" w:cs="Segoe UI"/>
                <w:bCs/>
                <w:sz w:val="18"/>
                <w:szCs w:val="18"/>
                <w:lang w:eastAsia="sk-SK"/>
              </w:rPr>
            </w:pPr>
            <w:r w:rsidRPr="00987095">
              <w:rPr>
                <w:rFonts w:eastAsia="Times New Roman" w:cs="Segoe UI"/>
                <w:bCs/>
                <w:sz w:val="18"/>
                <w:szCs w:val="18"/>
                <w:lang w:eastAsia="sk-SK"/>
              </w:rPr>
              <w:t>Hotovostné saldo</w:t>
            </w:r>
          </w:p>
        </w:tc>
        <w:tc>
          <w:tcPr>
            <w:tcW w:w="698" w:type="pct"/>
            <w:vAlign w:val="center"/>
          </w:tcPr>
          <w:p w14:paraId="1987960D"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459 131</w:t>
            </w:r>
          </w:p>
        </w:tc>
        <w:tc>
          <w:tcPr>
            <w:tcW w:w="698" w:type="pct"/>
            <w:vAlign w:val="center"/>
          </w:tcPr>
          <w:p w14:paraId="019430A4"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626 130 </w:t>
            </w:r>
          </w:p>
        </w:tc>
        <w:tc>
          <w:tcPr>
            <w:tcW w:w="698" w:type="pct"/>
            <w:vAlign w:val="center"/>
          </w:tcPr>
          <w:p w14:paraId="2D1AB4BC"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678 259 </w:t>
            </w:r>
          </w:p>
        </w:tc>
        <w:tc>
          <w:tcPr>
            <w:tcW w:w="786" w:type="pct"/>
            <w:vAlign w:val="center"/>
          </w:tcPr>
          <w:p w14:paraId="749449C4"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52 129 </w:t>
            </w:r>
          </w:p>
        </w:tc>
        <w:tc>
          <w:tcPr>
            <w:tcW w:w="631" w:type="pct"/>
            <w:shd w:val="clear" w:color="auto" w:fill="auto"/>
            <w:vAlign w:val="center"/>
          </w:tcPr>
          <w:p w14:paraId="77DED5C1" w14:textId="77777777" w:rsidR="00631AB9" w:rsidRPr="003D11A6" w:rsidRDefault="00631AB9">
            <w:pPr>
              <w:spacing w:after="0" w:line="240" w:lineRule="auto"/>
              <w:jc w:val="right"/>
              <w:rPr>
                <w:rFonts w:eastAsia="Times New Roman" w:cs="Segoe UI"/>
                <w:bCs/>
                <w:sz w:val="18"/>
                <w:szCs w:val="18"/>
                <w:lang w:eastAsia="sk-SK"/>
              </w:rPr>
            </w:pPr>
            <w:r w:rsidRPr="003D11A6">
              <w:rPr>
                <w:rFonts w:cs="Segoe UI"/>
                <w:color w:val="000000"/>
                <w:sz w:val="18"/>
                <w:szCs w:val="18"/>
              </w:rPr>
              <w:t>108,33%</w:t>
            </w:r>
          </w:p>
        </w:tc>
      </w:tr>
      <w:tr w:rsidR="00631AB9" w:rsidRPr="00987095" w14:paraId="27C342F9" w14:textId="77777777" w:rsidTr="003D11A6">
        <w:trPr>
          <w:trHeight w:val="283"/>
        </w:trPr>
        <w:tc>
          <w:tcPr>
            <w:tcW w:w="1489" w:type="pct"/>
            <w:vAlign w:val="center"/>
          </w:tcPr>
          <w:p w14:paraId="3D4A3CEB" w14:textId="77777777" w:rsidR="00631AB9" w:rsidRPr="00987095" w:rsidRDefault="00631AB9">
            <w:pPr>
              <w:spacing w:after="0" w:line="240" w:lineRule="auto"/>
              <w:contextualSpacing/>
              <w:jc w:val="left"/>
              <w:rPr>
                <w:rFonts w:eastAsia="Times New Roman" w:cs="Segoe UI"/>
                <w:b/>
                <w:bCs/>
                <w:sz w:val="18"/>
                <w:szCs w:val="18"/>
                <w:lang w:eastAsia="sk-SK"/>
              </w:rPr>
            </w:pPr>
            <w:r w:rsidRPr="00987095">
              <w:rPr>
                <w:rFonts w:eastAsia="Times New Roman" w:cs="Segoe UI"/>
                <w:b/>
                <w:bCs/>
                <w:sz w:val="18"/>
                <w:szCs w:val="18"/>
                <w:lang w:eastAsia="sk-SK"/>
              </w:rPr>
              <w:t xml:space="preserve">Nekonsolidovaný dlh </w:t>
            </w:r>
          </w:p>
        </w:tc>
        <w:tc>
          <w:tcPr>
            <w:tcW w:w="698" w:type="pct"/>
            <w:vAlign w:val="center"/>
          </w:tcPr>
          <w:p w14:paraId="640FC6CE" w14:textId="77777777" w:rsidR="00631AB9" w:rsidRPr="00987095" w:rsidRDefault="00631AB9">
            <w:pPr>
              <w:spacing w:after="0" w:line="240" w:lineRule="auto"/>
              <w:jc w:val="right"/>
              <w:rPr>
                <w:rFonts w:eastAsia="Times New Roman" w:cs="Segoe UI"/>
                <w:b/>
                <w:bCs/>
                <w:sz w:val="18"/>
                <w:szCs w:val="18"/>
                <w:lang w:eastAsia="sk-SK"/>
              </w:rPr>
            </w:pPr>
            <w:r w:rsidRPr="003D11A6">
              <w:rPr>
                <w:b/>
                <w:bCs/>
                <w:sz w:val="18"/>
                <w:szCs w:val="18"/>
              </w:rPr>
              <w:t>1 751 497</w:t>
            </w:r>
          </w:p>
        </w:tc>
        <w:tc>
          <w:tcPr>
            <w:tcW w:w="698" w:type="pct"/>
            <w:vAlign w:val="center"/>
          </w:tcPr>
          <w:p w14:paraId="4C4AB8F5" w14:textId="77777777" w:rsidR="00631AB9" w:rsidRPr="00987095" w:rsidRDefault="00631AB9">
            <w:pPr>
              <w:spacing w:after="0" w:line="240" w:lineRule="auto"/>
              <w:jc w:val="right"/>
              <w:rPr>
                <w:rFonts w:eastAsia="Times New Roman" w:cs="Segoe UI"/>
                <w:b/>
                <w:bCs/>
                <w:sz w:val="18"/>
                <w:szCs w:val="18"/>
                <w:lang w:eastAsia="sk-SK"/>
              </w:rPr>
            </w:pPr>
            <w:r w:rsidRPr="003D11A6">
              <w:rPr>
                <w:b/>
                <w:bCs/>
                <w:sz w:val="18"/>
                <w:szCs w:val="18"/>
              </w:rPr>
              <w:t xml:space="preserve"> 1 833 794 </w:t>
            </w:r>
          </w:p>
        </w:tc>
        <w:tc>
          <w:tcPr>
            <w:tcW w:w="698" w:type="pct"/>
            <w:vAlign w:val="center"/>
          </w:tcPr>
          <w:p w14:paraId="69A66CF6" w14:textId="77777777" w:rsidR="00631AB9" w:rsidRPr="00987095" w:rsidRDefault="00631AB9">
            <w:pPr>
              <w:spacing w:after="0" w:line="240" w:lineRule="auto"/>
              <w:jc w:val="right"/>
              <w:rPr>
                <w:rFonts w:eastAsia="Times New Roman" w:cs="Segoe UI"/>
                <w:b/>
                <w:bCs/>
                <w:sz w:val="18"/>
                <w:szCs w:val="18"/>
                <w:lang w:eastAsia="sk-SK"/>
              </w:rPr>
            </w:pPr>
            <w:r w:rsidRPr="003D11A6">
              <w:rPr>
                <w:b/>
                <w:bCs/>
                <w:sz w:val="18"/>
                <w:szCs w:val="18"/>
              </w:rPr>
              <w:t xml:space="preserve"> 1 855 142 </w:t>
            </w:r>
          </w:p>
        </w:tc>
        <w:tc>
          <w:tcPr>
            <w:tcW w:w="786" w:type="pct"/>
            <w:vAlign w:val="center"/>
          </w:tcPr>
          <w:p w14:paraId="30AF1107" w14:textId="77777777" w:rsidR="00631AB9" w:rsidRPr="00987095" w:rsidRDefault="00631AB9">
            <w:pPr>
              <w:spacing w:after="0" w:line="240" w:lineRule="auto"/>
              <w:jc w:val="right"/>
              <w:rPr>
                <w:rFonts w:eastAsia="Times New Roman" w:cs="Segoe UI"/>
                <w:b/>
                <w:bCs/>
                <w:sz w:val="18"/>
                <w:szCs w:val="18"/>
                <w:lang w:eastAsia="sk-SK"/>
              </w:rPr>
            </w:pPr>
            <w:r w:rsidRPr="003D11A6">
              <w:rPr>
                <w:b/>
                <w:bCs/>
                <w:sz w:val="18"/>
                <w:szCs w:val="18"/>
              </w:rPr>
              <w:t xml:space="preserve"> 21 348 </w:t>
            </w:r>
          </w:p>
        </w:tc>
        <w:tc>
          <w:tcPr>
            <w:tcW w:w="631" w:type="pct"/>
            <w:shd w:val="clear" w:color="auto" w:fill="auto"/>
            <w:vAlign w:val="center"/>
          </w:tcPr>
          <w:p w14:paraId="472D1674" w14:textId="77777777" w:rsidR="00631AB9" w:rsidRPr="003D11A6" w:rsidRDefault="00631AB9">
            <w:pPr>
              <w:spacing w:after="0" w:line="240" w:lineRule="auto"/>
              <w:jc w:val="right"/>
              <w:rPr>
                <w:rFonts w:eastAsia="Times New Roman" w:cs="Segoe UI"/>
                <w:b/>
                <w:bCs/>
                <w:sz w:val="18"/>
                <w:szCs w:val="18"/>
                <w:lang w:eastAsia="sk-SK"/>
              </w:rPr>
            </w:pPr>
            <w:r w:rsidRPr="003D11A6">
              <w:rPr>
                <w:rFonts w:cs="Segoe UI"/>
                <w:b/>
                <w:bCs/>
                <w:color w:val="000000"/>
                <w:sz w:val="18"/>
                <w:szCs w:val="18"/>
              </w:rPr>
              <w:t>101,16%</w:t>
            </w:r>
          </w:p>
        </w:tc>
      </w:tr>
      <w:tr w:rsidR="00631AB9" w:rsidRPr="00987095" w14:paraId="3BB189C6" w14:textId="77777777" w:rsidTr="003D11A6">
        <w:trPr>
          <w:trHeight w:val="283"/>
        </w:trPr>
        <w:tc>
          <w:tcPr>
            <w:tcW w:w="1489" w:type="pct"/>
            <w:vAlign w:val="center"/>
          </w:tcPr>
          <w:p w14:paraId="08ED1457" w14:textId="77777777" w:rsidR="00631AB9" w:rsidRPr="00987095" w:rsidRDefault="00631AB9">
            <w:pPr>
              <w:spacing w:after="0" w:line="240" w:lineRule="auto"/>
              <w:contextualSpacing/>
              <w:jc w:val="left"/>
              <w:rPr>
                <w:rFonts w:eastAsia="Times New Roman" w:cs="Segoe UI"/>
                <w:bCs/>
                <w:sz w:val="18"/>
                <w:szCs w:val="18"/>
                <w:lang w:eastAsia="sk-SK"/>
              </w:rPr>
            </w:pPr>
            <w:r w:rsidRPr="00987095">
              <w:rPr>
                <w:rFonts w:eastAsia="Times New Roman" w:cs="Segoe UI"/>
                <w:bCs/>
                <w:sz w:val="18"/>
                <w:szCs w:val="18"/>
                <w:lang w:eastAsia="sk-SK"/>
              </w:rPr>
              <w:t>Kapitálové výdavky</w:t>
            </w:r>
          </w:p>
        </w:tc>
        <w:tc>
          <w:tcPr>
            <w:tcW w:w="698" w:type="pct"/>
            <w:vAlign w:val="center"/>
          </w:tcPr>
          <w:p w14:paraId="0A3204D5"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974 795</w:t>
            </w:r>
          </w:p>
        </w:tc>
        <w:tc>
          <w:tcPr>
            <w:tcW w:w="698" w:type="pct"/>
            <w:vAlign w:val="center"/>
          </w:tcPr>
          <w:p w14:paraId="3BF00DD6"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1 372 586 </w:t>
            </w:r>
          </w:p>
        </w:tc>
        <w:tc>
          <w:tcPr>
            <w:tcW w:w="698" w:type="pct"/>
            <w:vAlign w:val="center"/>
          </w:tcPr>
          <w:p w14:paraId="034F95E6"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876 253 </w:t>
            </w:r>
          </w:p>
        </w:tc>
        <w:tc>
          <w:tcPr>
            <w:tcW w:w="786" w:type="pct"/>
            <w:vAlign w:val="center"/>
          </w:tcPr>
          <w:p w14:paraId="1F365327"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-496 333 </w:t>
            </w:r>
          </w:p>
        </w:tc>
        <w:tc>
          <w:tcPr>
            <w:tcW w:w="631" w:type="pct"/>
            <w:shd w:val="clear" w:color="auto" w:fill="auto"/>
            <w:vAlign w:val="center"/>
          </w:tcPr>
          <w:p w14:paraId="0220B44C" w14:textId="77777777" w:rsidR="00631AB9" w:rsidRPr="003D11A6" w:rsidRDefault="00631AB9">
            <w:pPr>
              <w:spacing w:after="0" w:line="240" w:lineRule="auto"/>
              <w:jc w:val="right"/>
              <w:rPr>
                <w:rFonts w:eastAsia="Times New Roman" w:cs="Segoe UI"/>
                <w:bCs/>
                <w:sz w:val="18"/>
                <w:szCs w:val="18"/>
                <w:lang w:eastAsia="sk-SK"/>
              </w:rPr>
            </w:pPr>
            <w:r w:rsidRPr="003D11A6">
              <w:rPr>
                <w:rFonts w:cs="Segoe UI"/>
                <w:color w:val="000000"/>
                <w:sz w:val="18"/>
                <w:szCs w:val="18"/>
              </w:rPr>
              <w:t>63,84%</w:t>
            </w:r>
          </w:p>
        </w:tc>
      </w:tr>
      <w:tr w:rsidR="00631AB9" w:rsidRPr="00987095" w14:paraId="636A019E" w14:textId="77777777" w:rsidTr="003D11A6">
        <w:trPr>
          <w:trHeight w:val="283"/>
        </w:trPr>
        <w:tc>
          <w:tcPr>
            <w:tcW w:w="1489" w:type="pct"/>
            <w:vAlign w:val="center"/>
          </w:tcPr>
          <w:p w14:paraId="24FF3352" w14:textId="77777777" w:rsidR="00631AB9" w:rsidRPr="00987095" w:rsidRDefault="00631AB9">
            <w:pPr>
              <w:spacing w:after="0" w:line="240" w:lineRule="auto"/>
              <w:contextualSpacing/>
              <w:jc w:val="left"/>
              <w:rPr>
                <w:rFonts w:eastAsia="Times New Roman" w:cs="Segoe UI"/>
                <w:bCs/>
                <w:sz w:val="18"/>
                <w:szCs w:val="18"/>
                <w:lang w:eastAsia="sk-SK"/>
              </w:rPr>
            </w:pPr>
            <w:r w:rsidRPr="00987095">
              <w:rPr>
                <w:rFonts w:eastAsia="Times New Roman" w:cs="Segoe UI"/>
                <w:bCs/>
                <w:sz w:val="18"/>
                <w:szCs w:val="18"/>
                <w:lang w:eastAsia="sk-SK"/>
              </w:rPr>
              <w:t>Príjmové finančné operácie</w:t>
            </w:r>
          </w:p>
        </w:tc>
        <w:tc>
          <w:tcPr>
            <w:tcW w:w="698" w:type="pct"/>
            <w:vAlign w:val="center"/>
          </w:tcPr>
          <w:p w14:paraId="6D6098B8"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912 375</w:t>
            </w:r>
          </w:p>
        </w:tc>
        <w:tc>
          <w:tcPr>
            <w:tcW w:w="698" w:type="pct"/>
            <w:vAlign w:val="center"/>
          </w:tcPr>
          <w:p w14:paraId="2DCFB312"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877 211 </w:t>
            </w:r>
          </w:p>
        </w:tc>
        <w:tc>
          <w:tcPr>
            <w:tcW w:w="698" w:type="pct"/>
            <w:vAlign w:val="center"/>
          </w:tcPr>
          <w:p w14:paraId="1415867E"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849 059 </w:t>
            </w:r>
          </w:p>
        </w:tc>
        <w:tc>
          <w:tcPr>
            <w:tcW w:w="786" w:type="pct"/>
            <w:vAlign w:val="center"/>
          </w:tcPr>
          <w:p w14:paraId="18D55828"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-28 152 </w:t>
            </w:r>
          </w:p>
        </w:tc>
        <w:tc>
          <w:tcPr>
            <w:tcW w:w="631" w:type="pct"/>
            <w:shd w:val="clear" w:color="auto" w:fill="auto"/>
            <w:vAlign w:val="center"/>
          </w:tcPr>
          <w:p w14:paraId="4BA3BBD7" w14:textId="77777777" w:rsidR="00631AB9" w:rsidRPr="003D11A6" w:rsidRDefault="00631AB9">
            <w:pPr>
              <w:spacing w:after="0" w:line="240" w:lineRule="auto"/>
              <w:jc w:val="right"/>
              <w:rPr>
                <w:rFonts w:eastAsia="Times New Roman" w:cs="Segoe UI"/>
                <w:bCs/>
                <w:sz w:val="18"/>
                <w:szCs w:val="18"/>
                <w:lang w:eastAsia="sk-SK"/>
              </w:rPr>
            </w:pPr>
            <w:r w:rsidRPr="003D11A6">
              <w:rPr>
                <w:rFonts w:cs="Segoe UI"/>
                <w:color w:val="000000"/>
                <w:sz w:val="18"/>
                <w:szCs w:val="18"/>
              </w:rPr>
              <w:t>96,79%</w:t>
            </w:r>
          </w:p>
        </w:tc>
      </w:tr>
      <w:tr w:rsidR="00631AB9" w:rsidRPr="00987095" w14:paraId="270DC240" w14:textId="77777777" w:rsidTr="003D11A6">
        <w:trPr>
          <w:trHeight w:val="283"/>
        </w:trPr>
        <w:tc>
          <w:tcPr>
            <w:tcW w:w="1489" w:type="pct"/>
            <w:vAlign w:val="center"/>
          </w:tcPr>
          <w:p w14:paraId="74CCF46B" w14:textId="77777777" w:rsidR="00631AB9" w:rsidRPr="00987095" w:rsidRDefault="00631AB9">
            <w:pPr>
              <w:spacing w:after="0" w:line="240" w:lineRule="auto"/>
              <w:contextualSpacing/>
              <w:jc w:val="left"/>
              <w:rPr>
                <w:rFonts w:eastAsia="Times New Roman" w:cs="Segoe UI"/>
                <w:bCs/>
                <w:sz w:val="18"/>
                <w:szCs w:val="18"/>
                <w:lang w:eastAsia="sk-SK"/>
              </w:rPr>
            </w:pPr>
            <w:r w:rsidRPr="00987095">
              <w:rPr>
                <w:rFonts w:eastAsia="Times New Roman" w:cs="Segoe UI"/>
                <w:bCs/>
                <w:sz w:val="18"/>
                <w:szCs w:val="18"/>
                <w:lang w:eastAsia="sk-SK"/>
              </w:rPr>
              <w:t>Výdavkové finančné operácie</w:t>
            </w:r>
          </w:p>
        </w:tc>
        <w:tc>
          <w:tcPr>
            <w:tcW w:w="698" w:type="pct"/>
            <w:vAlign w:val="center"/>
          </w:tcPr>
          <w:p w14:paraId="75C9ADE5"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204 035</w:t>
            </w:r>
          </w:p>
        </w:tc>
        <w:tc>
          <w:tcPr>
            <w:tcW w:w="698" w:type="pct"/>
            <w:vAlign w:val="center"/>
          </w:tcPr>
          <w:p w14:paraId="5521224D"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262 789 </w:t>
            </w:r>
          </w:p>
        </w:tc>
        <w:tc>
          <w:tcPr>
            <w:tcW w:w="698" w:type="pct"/>
            <w:vAlign w:val="center"/>
          </w:tcPr>
          <w:p w14:paraId="732DC467"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317 002 </w:t>
            </w:r>
          </w:p>
        </w:tc>
        <w:tc>
          <w:tcPr>
            <w:tcW w:w="786" w:type="pct"/>
            <w:vAlign w:val="center"/>
          </w:tcPr>
          <w:p w14:paraId="3DD49ADB" w14:textId="77777777" w:rsidR="00631AB9" w:rsidRPr="00987095" w:rsidRDefault="00631AB9">
            <w:pPr>
              <w:spacing w:after="0" w:line="240" w:lineRule="auto"/>
              <w:jc w:val="right"/>
              <w:rPr>
                <w:rFonts w:eastAsia="Times New Roman" w:cs="Segoe UI"/>
                <w:bCs/>
                <w:sz w:val="18"/>
                <w:szCs w:val="18"/>
                <w:lang w:eastAsia="sk-SK"/>
              </w:rPr>
            </w:pPr>
            <w:r w:rsidRPr="003D11A6">
              <w:rPr>
                <w:sz w:val="18"/>
                <w:szCs w:val="18"/>
              </w:rPr>
              <w:t xml:space="preserve"> 54 213 </w:t>
            </w:r>
          </w:p>
        </w:tc>
        <w:tc>
          <w:tcPr>
            <w:tcW w:w="631" w:type="pct"/>
            <w:shd w:val="clear" w:color="auto" w:fill="auto"/>
            <w:vAlign w:val="center"/>
          </w:tcPr>
          <w:p w14:paraId="20458BB8" w14:textId="77777777" w:rsidR="00631AB9" w:rsidRPr="003D11A6" w:rsidRDefault="00631AB9">
            <w:pPr>
              <w:spacing w:after="0" w:line="240" w:lineRule="auto"/>
              <w:jc w:val="right"/>
              <w:rPr>
                <w:rFonts w:eastAsia="Times New Roman" w:cs="Segoe UI"/>
                <w:bCs/>
                <w:sz w:val="18"/>
                <w:szCs w:val="18"/>
                <w:lang w:eastAsia="sk-SK"/>
              </w:rPr>
            </w:pPr>
            <w:r w:rsidRPr="003D11A6">
              <w:rPr>
                <w:rFonts w:cs="Segoe UI"/>
                <w:color w:val="000000"/>
                <w:sz w:val="18"/>
                <w:szCs w:val="18"/>
              </w:rPr>
              <w:t>120,63%</w:t>
            </w:r>
          </w:p>
        </w:tc>
      </w:tr>
    </w:tbl>
    <w:p w14:paraId="55E1D1C3" w14:textId="456B9593" w:rsidR="00631AB9" w:rsidRPr="000F0FA5" w:rsidRDefault="00631AB9" w:rsidP="00631AB9">
      <w:pPr>
        <w:pStyle w:val="Zdroj"/>
        <w:rPr>
          <w:lang w:eastAsia="sk-SK"/>
        </w:rPr>
      </w:pPr>
      <w:r w:rsidRPr="000F0FA5">
        <w:rPr>
          <w:lang w:eastAsia="sk-SK"/>
        </w:rPr>
        <w:t xml:space="preserve">Zdroj: </w:t>
      </w:r>
      <w:r>
        <w:rPr>
          <w:lang w:eastAsia="sk-SK"/>
        </w:rPr>
        <w:t>MF SR, Návrh</w:t>
      </w:r>
      <w:r w:rsidRPr="000F0FA5">
        <w:rPr>
          <w:lang w:eastAsia="sk-SK"/>
        </w:rPr>
        <w:t xml:space="preserve"> ŠZÚ 202</w:t>
      </w:r>
      <w:r w:rsidR="00CB5B58">
        <w:rPr>
          <w:lang w:eastAsia="sk-SK"/>
        </w:rPr>
        <w:t>4.</w:t>
      </w:r>
      <w:r>
        <w:rPr>
          <w:lang w:eastAsia="sk-SK"/>
        </w:rPr>
        <w:t xml:space="preserve"> *</w:t>
      </w:r>
      <w:r w:rsidR="00C10075">
        <w:rPr>
          <w:lang w:eastAsia="sk-SK"/>
        </w:rPr>
        <w:t>V</w:t>
      </w:r>
      <w:r>
        <w:rPr>
          <w:lang w:eastAsia="sk-SK"/>
        </w:rPr>
        <w:t>rátane príjmových finančných operácií</w:t>
      </w:r>
      <w:r w:rsidR="00C10075">
        <w:rPr>
          <w:lang w:eastAsia="sk-SK"/>
        </w:rPr>
        <w:t>.</w:t>
      </w:r>
    </w:p>
    <w:p w14:paraId="4CBE8C54" w14:textId="77777777" w:rsidR="00CB5B58" w:rsidRPr="005C177F" w:rsidRDefault="00CB5B58" w:rsidP="00CB5B58">
      <w:pPr>
        <w:rPr>
          <w:szCs w:val="20"/>
        </w:rPr>
      </w:pPr>
      <w:r>
        <w:rPr>
          <w:b/>
          <w:bCs/>
          <w:szCs w:val="20"/>
        </w:rPr>
        <w:lastRenderedPageBreak/>
        <w:t>Nekonsolidovaný d</w:t>
      </w:r>
      <w:r w:rsidRPr="00735104">
        <w:rPr>
          <w:b/>
          <w:bCs/>
          <w:szCs w:val="20"/>
        </w:rPr>
        <w:t>lh obcí</w:t>
      </w:r>
      <w:r w:rsidRPr="00B628DC">
        <w:rPr>
          <w:b/>
          <w:szCs w:val="20"/>
        </w:rPr>
        <w:t xml:space="preserve"> na úrovni celej VS, vrátane ich rozpočtových organizácií </w:t>
      </w:r>
      <w:r>
        <w:rPr>
          <w:b/>
          <w:szCs w:val="20"/>
        </w:rPr>
        <w:t xml:space="preserve">bol v roku </w:t>
      </w:r>
      <w:r w:rsidRPr="00B628DC">
        <w:rPr>
          <w:b/>
          <w:szCs w:val="20"/>
        </w:rPr>
        <w:t xml:space="preserve">2024 </w:t>
      </w:r>
      <w:r>
        <w:rPr>
          <w:b/>
          <w:szCs w:val="20"/>
        </w:rPr>
        <w:t xml:space="preserve">vyšší o 1,16 %, nominálne </w:t>
      </w:r>
      <w:r w:rsidRPr="007D3345">
        <w:rPr>
          <w:b/>
          <w:szCs w:val="20"/>
        </w:rPr>
        <w:t>1 855 142 tis. eur.</w:t>
      </w:r>
      <w:r w:rsidRPr="005C177F">
        <w:rPr>
          <w:szCs w:val="20"/>
        </w:rPr>
        <w:t xml:space="preserve"> Rozhodujúcu časť dlhu obcí tvori</w:t>
      </w:r>
      <w:r>
        <w:rPr>
          <w:szCs w:val="20"/>
        </w:rPr>
        <w:t>li</w:t>
      </w:r>
      <w:r w:rsidRPr="005C177F">
        <w:rPr>
          <w:szCs w:val="20"/>
        </w:rPr>
        <w:t xml:space="preserve"> bankové úvery </w:t>
      </w:r>
      <w:r>
        <w:rPr>
          <w:szCs w:val="20"/>
        </w:rPr>
        <w:t>(</w:t>
      </w:r>
      <w:r w:rsidRPr="005C177F">
        <w:rPr>
          <w:szCs w:val="20"/>
        </w:rPr>
        <w:t>938 985 tis. eur</w:t>
      </w:r>
      <w:r>
        <w:rPr>
          <w:szCs w:val="20"/>
        </w:rPr>
        <w:t>)</w:t>
      </w:r>
      <w:r w:rsidRPr="005C177F">
        <w:rPr>
          <w:szCs w:val="20"/>
        </w:rPr>
        <w:t xml:space="preserve"> a pôžičky od ŠFRB </w:t>
      </w:r>
      <w:r>
        <w:rPr>
          <w:szCs w:val="20"/>
        </w:rPr>
        <w:t>(</w:t>
      </w:r>
      <w:r w:rsidRPr="005C177F">
        <w:rPr>
          <w:szCs w:val="20"/>
        </w:rPr>
        <w:t>748 309 tis. eur</w:t>
      </w:r>
      <w:r>
        <w:rPr>
          <w:szCs w:val="20"/>
        </w:rPr>
        <w:t>)</w:t>
      </w:r>
      <w:r w:rsidRPr="005C177F">
        <w:rPr>
          <w:szCs w:val="20"/>
        </w:rPr>
        <w:t xml:space="preserve">. Treťou významnou položkou dlhu obcí </w:t>
      </w:r>
      <w:r>
        <w:rPr>
          <w:szCs w:val="20"/>
        </w:rPr>
        <w:t>boli</w:t>
      </w:r>
      <w:r w:rsidRPr="005C177F">
        <w:rPr>
          <w:szCs w:val="20"/>
        </w:rPr>
        <w:t xml:space="preserve"> prijaté </w:t>
      </w:r>
      <w:r>
        <w:rPr>
          <w:szCs w:val="20"/>
        </w:rPr>
        <w:t>NFV</w:t>
      </w:r>
      <w:r w:rsidRPr="005C177F">
        <w:rPr>
          <w:szCs w:val="20"/>
        </w:rPr>
        <w:t xml:space="preserve"> zo </w:t>
      </w:r>
      <w:r>
        <w:rPr>
          <w:szCs w:val="20"/>
        </w:rPr>
        <w:t>ŠFA (</w:t>
      </w:r>
      <w:r w:rsidRPr="005C177F">
        <w:rPr>
          <w:szCs w:val="20"/>
        </w:rPr>
        <w:t>zostat</w:t>
      </w:r>
      <w:r>
        <w:rPr>
          <w:szCs w:val="20"/>
        </w:rPr>
        <w:t>o</w:t>
      </w:r>
      <w:r w:rsidRPr="005C177F">
        <w:rPr>
          <w:szCs w:val="20"/>
        </w:rPr>
        <w:t>k 26 918 tis. eur</w:t>
      </w:r>
      <w:r>
        <w:rPr>
          <w:szCs w:val="20"/>
        </w:rPr>
        <w:t>)</w:t>
      </w:r>
      <w:r w:rsidRPr="005C177F">
        <w:rPr>
          <w:szCs w:val="20"/>
        </w:rPr>
        <w:t xml:space="preserve">. Z hľadiska pôvodnej splatnosti má dlh obcí </w:t>
      </w:r>
      <w:r>
        <w:rPr>
          <w:szCs w:val="20"/>
        </w:rPr>
        <w:t xml:space="preserve">ku koncu roka 2024 </w:t>
      </w:r>
      <w:r w:rsidRPr="005C177F">
        <w:rPr>
          <w:szCs w:val="20"/>
        </w:rPr>
        <w:t>dlhodobý charakter (98,2 %) a prevažná časť dlhu obcí je v rukách domácich veriteľov (97,2 %).</w:t>
      </w:r>
    </w:p>
    <w:p w14:paraId="53390EBD" w14:textId="77777777" w:rsidR="00631AB9" w:rsidRPr="005C177F" w:rsidRDefault="00631AB9" w:rsidP="00631AB9">
      <w:pPr>
        <w:rPr>
          <w:szCs w:val="20"/>
        </w:rPr>
      </w:pPr>
      <w:r w:rsidRPr="00617CA4">
        <w:rPr>
          <w:b/>
          <w:szCs w:val="20"/>
        </w:rPr>
        <w:t xml:space="preserve">V priebehu roka 2024 neboli zo </w:t>
      </w:r>
      <w:r>
        <w:rPr>
          <w:b/>
          <w:szCs w:val="20"/>
        </w:rPr>
        <w:t>ŠFA</w:t>
      </w:r>
      <w:r w:rsidRPr="00617CA4">
        <w:rPr>
          <w:b/>
          <w:szCs w:val="20"/>
        </w:rPr>
        <w:t xml:space="preserve"> poskytnuté nové </w:t>
      </w:r>
      <w:r>
        <w:rPr>
          <w:b/>
          <w:szCs w:val="20"/>
        </w:rPr>
        <w:t>NFV</w:t>
      </w:r>
      <w:r w:rsidRPr="00617CA4">
        <w:rPr>
          <w:b/>
          <w:szCs w:val="20"/>
        </w:rPr>
        <w:t xml:space="preserve"> mestám, avšak boli splatené výpomoci poskytnuté v predchádzajúcich rokoch v súhrnnej výške 4 735 tis. eur</w:t>
      </w:r>
      <w:r w:rsidRPr="00F50722">
        <w:rPr>
          <w:b/>
          <w:bCs/>
          <w:szCs w:val="20"/>
        </w:rPr>
        <w:t>.</w:t>
      </w:r>
      <w:r w:rsidRPr="005C177F">
        <w:rPr>
          <w:szCs w:val="20"/>
        </w:rPr>
        <w:t xml:space="preserve"> Zostatok nesplatených NFV k 31.</w:t>
      </w:r>
      <w:r>
        <w:rPr>
          <w:szCs w:val="20"/>
        </w:rPr>
        <w:t xml:space="preserve"> </w:t>
      </w:r>
      <w:r w:rsidRPr="005C177F">
        <w:rPr>
          <w:szCs w:val="20"/>
        </w:rPr>
        <w:t>12.</w:t>
      </w:r>
      <w:r>
        <w:rPr>
          <w:szCs w:val="20"/>
        </w:rPr>
        <w:t xml:space="preserve"> </w:t>
      </w:r>
      <w:r w:rsidRPr="005C177F">
        <w:rPr>
          <w:szCs w:val="20"/>
        </w:rPr>
        <w:t>2024 predstavuje hodnotu 26 918 tis. eur, z toho Mesto Košice (19 237 tis. eur), Martin (500 tis. eur), Bardejov (500 tis. eur), Prešov (3 981 tis. eur) a Kežmarok (2 700 tis. eur).</w:t>
      </w:r>
    </w:p>
    <w:p w14:paraId="4EF74DE3" w14:textId="50FB164E" w:rsidR="00631AB9" w:rsidRDefault="00631AB9" w:rsidP="00631AB9">
      <w:pPr>
        <w:rPr>
          <w:rFonts w:cs="Segoe UI"/>
          <w:bCs/>
          <w:szCs w:val="20"/>
        </w:rPr>
      </w:pPr>
      <w:r w:rsidRPr="00B628DC">
        <w:rPr>
          <w:rFonts w:cs="Segoe UI"/>
          <w:b/>
          <w:bCs/>
          <w:szCs w:val="20"/>
        </w:rPr>
        <w:t>V roku 2024 bol podiel na výnose dane z príjmov fyzických osôb poukazovaný obciam zvýšený o</w:t>
      </w:r>
      <w:r>
        <w:rPr>
          <w:rFonts w:cs="Segoe UI"/>
          <w:b/>
          <w:bCs/>
          <w:szCs w:val="20"/>
        </w:rPr>
        <w:t> </w:t>
      </w:r>
      <w:r w:rsidRPr="00B628DC">
        <w:rPr>
          <w:rFonts w:cs="Segoe UI"/>
          <w:b/>
          <w:bCs/>
          <w:szCs w:val="20"/>
        </w:rPr>
        <w:t>236 546 tis. eur zo zdrojov z DPPO.</w:t>
      </w:r>
      <w:r w:rsidRPr="003B2DE3">
        <w:rPr>
          <w:rFonts w:cs="Segoe UI"/>
          <w:bCs/>
          <w:szCs w:val="20"/>
        </w:rPr>
        <w:t xml:space="preserve"> Skutočný hotovostný prevod dane z príjmov fyzických osôb do rozpočtov obcí (vrátane DPPO) bol vo výške 2 655 412 tis. eur</w:t>
      </w:r>
      <w:r>
        <w:rPr>
          <w:rFonts w:cs="Segoe UI"/>
          <w:bCs/>
          <w:szCs w:val="20"/>
        </w:rPr>
        <w:t>,</w:t>
      </w:r>
      <w:r w:rsidRPr="003B2DE3">
        <w:rPr>
          <w:rFonts w:cs="Segoe UI"/>
          <w:bCs/>
          <w:szCs w:val="20"/>
        </w:rPr>
        <w:t xml:space="preserve"> vrátane zúčtovania za predchádzajúci rok (zúčtovanie za rok 2023: 16 379 tis. eur). </w:t>
      </w:r>
      <w:r w:rsidRPr="007D3345">
        <w:rPr>
          <w:rFonts w:cs="Segoe UI"/>
          <w:bCs/>
          <w:szCs w:val="20"/>
        </w:rPr>
        <w:t>Lepší výber zaznamenali príjmy dane z nehnuteľnosti, najmä  daň zo stavieb, bytov a nebytových priestorov, dane za špecifické služby.</w:t>
      </w:r>
    </w:p>
    <w:p w14:paraId="0073E685" w14:textId="77777777" w:rsidR="00631AB9" w:rsidRDefault="00631AB9" w:rsidP="00631AB9">
      <w:pPr>
        <w:rPr>
          <w:rFonts w:cs="Segoe UI"/>
          <w:bCs/>
          <w:szCs w:val="20"/>
        </w:rPr>
      </w:pPr>
      <w:r w:rsidRPr="00B628DC">
        <w:rPr>
          <w:rFonts w:cs="Segoe UI"/>
          <w:b/>
          <w:bCs/>
          <w:szCs w:val="20"/>
        </w:rPr>
        <w:t>Rozpočtové kapitoly na rok 2024 predbežne nerozpočtovali transfery na financovanie projektov EÚ a SR, čo viedlo k ďalš</w:t>
      </w:r>
      <w:r>
        <w:rPr>
          <w:rFonts w:cs="Segoe UI"/>
          <w:b/>
          <w:bCs/>
          <w:szCs w:val="20"/>
        </w:rPr>
        <w:t>iemu</w:t>
      </w:r>
      <w:r w:rsidRPr="00B628DC">
        <w:rPr>
          <w:rFonts w:cs="Segoe UI"/>
          <w:b/>
          <w:bCs/>
          <w:szCs w:val="20"/>
        </w:rPr>
        <w:t xml:space="preserve"> nárast</w:t>
      </w:r>
      <w:r>
        <w:rPr>
          <w:rFonts w:cs="Segoe UI"/>
          <w:b/>
          <w:bCs/>
          <w:szCs w:val="20"/>
        </w:rPr>
        <w:t>u</w:t>
      </w:r>
      <w:r w:rsidRPr="00B628DC">
        <w:rPr>
          <w:rFonts w:cs="Segoe UI"/>
          <w:b/>
          <w:bCs/>
          <w:szCs w:val="20"/>
        </w:rPr>
        <w:t xml:space="preserve"> prijatých grantov a transferov o 906 054 tis. eur.</w:t>
      </w:r>
      <w:r w:rsidRPr="003B2DE3">
        <w:rPr>
          <w:rFonts w:cs="Segoe UI"/>
          <w:bCs/>
          <w:szCs w:val="20"/>
        </w:rPr>
        <w:t xml:space="preserve"> Tieto boli použité na úhradu nákladov na prenesený výkon štátnej správy, na úhradu nákladov súvisiacich s</w:t>
      </w:r>
      <w:r>
        <w:rPr>
          <w:rFonts w:cs="Segoe UI"/>
          <w:bCs/>
          <w:szCs w:val="20"/>
        </w:rPr>
        <w:t> </w:t>
      </w:r>
      <w:r w:rsidRPr="003B2DE3">
        <w:rPr>
          <w:rFonts w:cs="Segoe UI"/>
          <w:bCs/>
          <w:szCs w:val="20"/>
        </w:rPr>
        <w:t>ozbrojeným konfliktom na Ukrajine (na ubytovanie odídencov), na ochranu životného prostredia, na sociálne služby, na rozvojové aktivity v obciach a mestách a na realizáciu prebiehajúcich a</w:t>
      </w:r>
      <w:r>
        <w:rPr>
          <w:rFonts w:cs="Segoe UI"/>
          <w:bCs/>
          <w:szCs w:val="20"/>
        </w:rPr>
        <w:t> </w:t>
      </w:r>
      <w:r w:rsidRPr="003B2DE3">
        <w:rPr>
          <w:rFonts w:cs="Segoe UI"/>
          <w:bCs/>
          <w:szCs w:val="20"/>
        </w:rPr>
        <w:t>plánovaných investičných akcií v</w:t>
      </w:r>
      <w:r>
        <w:rPr>
          <w:rFonts w:cs="Segoe UI"/>
          <w:bCs/>
          <w:szCs w:val="20"/>
        </w:rPr>
        <w:t> </w:t>
      </w:r>
      <w:r w:rsidRPr="003B2DE3">
        <w:rPr>
          <w:rFonts w:cs="Segoe UI"/>
          <w:bCs/>
          <w:szCs w:val="20"/>
        </w:rPr>
        <w:t>rámci projektov odpadového hospodárstva, kvality zelene, sociálnych služieb, školstva a dopravy.</w:t>
      </w:r>
    </w:p>
    <w:p w14:paraId="795F22C0" w14:textId="65616CB0" w:rsidR="00631AB9" w:rsidRDefault="00631AB9" w:rsidP="00631AB9">
      <w:pPr>
        <w:rPr>
          <w:rFonts w:cs="Segoe UI"/>
          <w:bCs/>
          <w:szCs w:val="20"/>
        </w:rPr>
      </w:pPr>
      <w:r>
        <w:rPr>
          <w:rFonts w:cs="Segoe UI"/>
          <w:b/>
          <w:szCs w:val="20"/>
        </w:rPr>
        <w:t>T</w:t>
      </w:r>
      <w:r w:rsidRPr="00B04365">
        <w:rPr>
          <w:rFonts w:cs="Segoe UI"/>
          <w:b/>
          <w:szCs w:val="20"/>
        </w:rPr>
        <w:t>ransfery z</w:t>
      </w:r>
      <w:r>
        <w:rPr>
          <w:rFonts w:cs="Segoe UI"/>
          <w:b/>
          <w:szCs w:val="20"/>
        </w:rPr>
        <w:t xml:space="preserve">o ŠR </w:t>
      </w:r>
      <w:r w:rsidRPr="00B628DC">
        <w:rPr>
          <w:rFonts w:cs="Segoe UI"/>
          <w:szCs w:val="20"/>
        </w:rPr>
        <w:t xml:space="preserve">(tabuľka </w:t>
      </w:r>
      <w:r w:rsidR="00123066">
        <w:rPr>
          <w:rFonts w:cs="Segoe UI"/>
          <w:szCs w:val="20"/>
        </w:rPr>
        <w:t>26</w:t>
      </w:r>
      <w:r w:rsidRPr="00B628DC">
        <w:rPr>
          <w:rFonts w:cs="Segoe UI"/>
          <w:szCs w:val="20"/>
        </w:rPr>
        <w:t>)</w:t>
      </w:r>
      <w:r>
        <w:rPr>
          <w:rFonts w:cs="Segoe UI"/>
          <w:b/>
          <w:szCs w:val="20"/>
        </w:rPr>
        <w:t xml:space="preserve"> </w:t>
      </w:r>
      <w:r w:rsidRPr="00B628DC">
        <w:rPr>
          <w:rFonts w:cs="Segoe UI"/>
          <w:b/>
          <w:bCs/>
          <w:szCs w:val="20"/>
        </w:rPr>
        <w:t xml:space="preserve">v roku 2024 tvorili 17,6 % </w:t>
      </w:r>
      <w:r>
        <w:rPr>
          <w:rFonts w:cs="Segoe UI"/>
          <w:b/>
          <w:bCs/>
          <w:szCs w:val="20"/>
        </w:rPr>
        <w:t xml:space="preserve">z </w:t>
      </w:r>
      <w:r w:rsidRPr="00B628DC">
        <w:rPr>
          <w:rFonts w:cs="Segoe UI"/>
          <w:b/>
          <w:bCs/>
          <w:szCs w:val="20"/>
        </w:rPr>
        <w:t>celkových príjmov obcí</w:t>
      </w:r>
      <w:r>
        <w:rPr>
          <w:rFonts w:cs="Segoe UI"/>
          <w:b/>
          <w:bCs/>
          <w:szCs w:val="20"/>
        </w:rPr>
        <w:t xml:space="preserve"> a medziročne sa znížili o</w:t>
      </w:r>
      <w:r w:rsidR="001D69DD">
        <w:rPr>
          <w:rFonts w:cs="Segoe UI"/>
          <w:b/>
          <w:bCs/>
          <w:szCs w:val="20"/>
        </w:rPr>
        <w:t> </w:t>
      </w:r>
      <w:r>
        <w:rPr>
          <w:rFonts w:cs="Segoe UI"/>
          <w:b/>
          <w:bCs/>
          <w:szCs w:val="20"/>
        </w:rPr>
        <w:t>127</w:t>
      </w:r>
      <w:r w:rsidR="001D69DD">
        <w:rPr>
          <w:rFonts w:cs="Segoe UI"/>
          <w:b/>
          <w:bCs/>
          <w:szCs w:val="20"/>
        </w:rPr>
        <w:t> 570 tis.</w:t>
      </w:r>
      <w:r>
        <w:rPr>
          <w:rFonts w:cs="Segoe UI"/>
          <w:b/>
          <w:bCs/>
          <w:szCs w:val="20"/>
        </w:rPr>
        <w:t xml:space="preserve"> eur</w:t>
      </w:r>
      <w:r w:rsidRPr="00B628DC">
        <w:rPr>
          <w:rFonts w:cs="Segoe UI"/>
          <w:b/>
          <w:bCs/>
          <w:szCs w:val="20"/>
        </w:rPr>
        <w:t>.</w:t>
      </w:r>
      <w:r>
        <w:rPr>
          <w:rFonts w:cs="Segoe UI"/>
          <w:bCs/>
          <w:szCs w:val="20"/>
        </w:rPr>
        <w:t xml:space="preserve"> Najväčšia časť týchto transferov (64,7 %) </w:t>
      </w:r>
      <w:r w:rsidR="00123066">
        <w:rPr>
          <w:rFonts w:cs="Segoe UI"/>
          <w:bCs/>
          <w:szCs w:val="20"/>
        </w:rPr>
        <w:t>bola určená</w:t>
      </w:r>
      <w:r w:rsidRPr="00B04365">
        <w:rPr>
          <w:rFonts w:cs="Segoe UI"/>
          <w:bCs/>
          <w:szCs w:val="20"/>
        </w:rPr>
        <w:t xml:space="preserve"> na financovanie preneseného výkonu štátnej správy</w:t>
      </w:r>
      <w:r>
        <w:rPr>
          <w:rFonts w:cs="Segoe UI"/>
          <w:bCs/>
          <w:szCs w:val="20"/>
        </w:rPr>
        <w:t xml:space="preserve"> – v roku 2024 boli tieto transfery vo výške </w:t>
      </w:r>
      <w:r w:rsidR="001D69DD">
        <w:rPr>
          <w:rFonts w:cs="Segoe UI"/>
          <w:bCs/>
          <w:szCs w:val="20"/>
        </w:rPr>
        <w:t xml:space="preserve">1 612 589 tis. eur </w:t>
      </w:r>
      <w:r>
        <w:rPr>
          <w:rFonts w:cs="Segoe UI"/>
          <w:bCs/>
          <w:szCs w:val="20"/>
        </w:rPr>
        <w:t>a medziročne vzrástli o 162 418 tis. eur. Týmito transfermi boli uhradené najmä:</w:t>
      </w:r>
    </w:p>
    <w:p w14:paraId="51C526EC" w14:textId="77777777" w:rsidR="00631AB9" w:rsidRPr="00903940" w:rsidRDefault="00631AB9" w:rsidP="00631AB9">
      <w:pPr>
        <w:pStyle w:val="Odsekzoznamu"/>
        <w:numPr>
          <w:ilvl w:val="0"/>
          <w:numId w:val="18"/>
        </w:numPr>
        <w:rPr>
          <w:rFonts w:cs="Segoe UI"/>
          <w:bCs/>
          <w:szCs w:val="20"/>
        </w:rPr>
      </w:pPr>
      <w:r>
        <w:rPr>
          <w:rFonts w:cs="Segoe UI"/>
          <w:bCs/>
          <w:szCs w:val="20"/>
        </w:rPr>
        <w:t xml:space="preserve">výdavky na </w:t>
      </w:r>
      <w:r w:rsidRPr="00903940">
        <w:rPr>
          <w:rFonts w:cs="Segoe UI"/>
          <w:bCs/>
          <w:szCs w:val="20"/>
        </w:rPr>
        <w:t>regionálne školstvo z kapitoly MŠVV</w:t>
      </w:r>
      <w:r>
        <w:rPr>
          <w:rFonts w:cs="Segoe UI"/>
          <w:bCs/>
          <w:szCs w:val="20"/>
        </w:rPr>
        <w:t>M</w:t>
      </w:r>
      <w:r w:rsidRPr="00903940">
        <w:rPr>
          <w:rFonts w:cs="Segoe UI"/>
          <w:bCs/>
          <w:szCs w:val="20"/>
        </w:rPr>
        <w:t xml:space="preserve"> SR vo výške </w:t>
      </w:r>
      <w:r>
        <w:rPr>
          <w:rFonts w:cs="Segoe UI"/>
          <w:bCs/>
          <w:szCs w:val="20"/>
        </w:rPr>
        <w:t>1 537 228 tis</w:t>
      </w:r>
      <w:r w:rsidRPr="00903940">
        <w:rPr>
          <w:rFonts w:cs="Segoe UI"/>
          <w:bCs/>
          <w:szCs w:val="20"/>
        </w:rPr>
        <w:t>. eur</w:t>
      </w:r>
      <w:r>
        <w:rPr>
          <w:rFonts w:cs="Segoe UI"/>
          <w:bCs/>
          <w:szCs w:val="20"/>
        </w:rPr>
        <w:t>,</w:t>
      </w:r>
    </w:p>
    <w:p w14:paraId="137304D4" w14:textId="6DCD212F" w:rsidR="00631AB9" w:rsidRPr="00903940" w:rsidRDefault="00631AB9" w:rsidP="00631AB9">
      <w:pPr>
        <w:pStyle w:val="Odsekzoznamu"/>
        <w:numPr>
          <w:ilvl w:val="0"/>
          <w:numId w:val="18"/>
        </w:numPr>
        <w:rPr>
          <w:rFonts w:cs="Segoe UI"/>
          <w:bCs/>
          <w:szCs w:val="20"/>
        </w:rPr>
      </w:pPr>
      <w:r>
        <w:rPr>
          <w:rFonts w:cs="Segoe UI"/>
          <w:bCs/>
          <w:szCs w:val="20"/>
        </w:rPr>
        <w:t xml:space="preserve">výdavky na voľby, matričnú činnosť a ostatné kompetencie MV SR vo výške 33 126 tis. </w:t>
      </w:r>
      <w:r w:rsidR="00F50722">
        <w:rPr>
          <w:rFonts w:cs="Segoe UI"/>
          <w:bCs/>
          <w:szCs w:val="20"/>
        </w:rPr>
        <w:t>e</w:t>
      </w:r>
      <w:r>
        <w:rPr>
          <w:rFonts w:cs="Segoe UI"/>
          <w:bCs/>
          <w:szCs w:val="20"/>
        </w:rPr>
        <w:t>ur</w:t>
      </w:r>
      <w:r w:rsidR="00E373C4">
        <w:rPr>
          <w:rFonts w:cs="Segoe UI"/>
          <w:bCs/>
          <w:szCs w:val="20"/>
        </w:rPr>
        <w:t>,</w:t>
      </w:r>
    </w:p>
    <w:p w14:paraId="3E8CEB5E" w14:textId="3208968F" w:rsidR="00631AB9" w:rsidRDefault="00631AB9" w:rsidP="00631AB9">
      <w:pPr>
        <w:pStyle w:val="Odsekzoznamu"/>
        <w:numPr>
          <w:ilvl w:val="0"/>
          <w:numId w:val="18"/>
        </w:numPr>
        <w:rPr>
          <w:rFonts w:cs="Segoe UI"/>
          <w:bCs/>
          <w:szCs w:val="20"/>
        </w:rPr>
      </w:pPr>
      <w:r>
        <w:rPr>
          <w:rFonts w:cs="Segoe UI"/>
          <w:bCs/>
          <w:szCs w:val="20"/>
        </w:rPr>
        <w:t xml:space="preserve">výdavky na úsek stavebného poriadku z kapitoly Úradu pre územné plánovanie a výstavbu SR vo výške 8 854 tis. </w:t>
      </w:r>
      <w:r w:rsidR="00F50722">
        <w:rPr>
          <w:rFonts w:cs="Segoe UI"/>
          <w:bCs/>
          <w:szCs w:val="20"/>
        </w:rPr>
        <w:t>e</w:t>
      </w:r>
      <w:r>
        <w:rPr>
          <w:rFonts w:cs="Segoe UI"/>
          <w:bCs/>
          <w:szCs w:val="20"/>
        </w:rPr>
        <w:t>ur</w:t>
      </w:r>
      <w:r w:rsidR="00E373C4">
        <w:rPr>
          <w:rFonts w:cs="Segoe UI"/>
          <w:bCs/>
          <w:szCs w:val="20"/>
        </w:rPr>
        <w:t>.</w:t>
      </w:r>
    </w:p>
    <w:p w14:paraId="3F2E5163" w14:textId="77777777" w:rsidR="00631AB9" w:rsidRDefault="00631AB9" w:rsidP="00631AB9">
      <w:pPr>
        <w:rPr>
          <w:rFonts w:cs="Segoe UI"/>
          <w:bCs/>
          <w:szCs w:val="20"/>
        </w:rPr>
      </w:pPr>
      <w:r w:rsidRPr="00B628DC">
        <w:rPr>
          <w:rFonts w:cs="Segoe UI"/>
          <w:b/>
          <w:bCs/>
          <w:szCs w:val="20"/>
        </w:rPr>
        <w:t>Kapitálové transfery tvorili v porovnaní s bežnými transfermi malú časť transferov obciam.</w:t>
      </w:r>
      <w:r>
        <w:rPr>
          <w:rFonts w:cs="Segoe UI"/>
          <w:bCs/>
          <w:szCs w:val="20"/>
        </w:rPr>
        <w:t xml:space="preserve"> </w:t>
      </w:r>
    </w:p>
    <w:p w14:paraId="6AD1D5D6" w14:textId="6F6E8C54" w:rsidR="001D69DD" w:rsidRPr="008660BB" w:rsidRDefault="001D69DD" w:rsidP="001D69DD">
      <w:pPr>
        <w:spacing w:after="0"/>
        <w:jc w:val="left"/>
        <w:rPr>
          <w:i/>
          <w:color w:val="314364" w:themeColor="text2"/>
          <w:sz w:val="16"/>
          <w:lang w:eastAsia="sk-SK"/>
        </w:rPr>
      </w:pPr>
      <w:r w:rsidRPr="00F86186">
        <w:rPr>
          <w:b/>
          <w:iCs/>
          <w:color w:val="314364"/>
          <w:szCs w:val="18"/>
        </w:rPr>
        <w:t xml:space="preserve">Tabuľka </w:t>
      </w:r>
      <w:r w:rsidR="00CB5B58">
        <w:rPr>
          <w:b/>
          <w:iCs/>
          <w:color w:val="314364"/>
          <w:szCs w:val="18"/>
        </w:rPr>
        <w:t>26</w:t>
      </w:r>
      <w:r w:rsidRPr="00F86186">
        <w:rPr>
          <w:b/>
          <w:iCs/>
          <w:color w:val="314364"/>
          <w:szCs w:val="18"/>
        </w:rPr>
        <w:t xml:space="preserve">: </w:t>
      </w:r>
      <w:r w:rsidRPr="000D23A3">
        <w:rPr>
          <w:b/>
          <w:iCs/>
          <w:color w:val="314364"/>
          <w:szCs w:val="18"/>
        </w:rPr>
        <w:t>Transfery štátneho rozpočtu obc</w:t>
      </w:r>
      <w:r>
        <w:rPr>
          <w:b/>
          <w:iCs/>
          <w:color w:val="314364"/>
          <w:szCs w:val="18"/>
        </w:rPr>
        <w:t>iam</w:t>
      </w:r>
      <w:r w:rsidRPr="000D23A3">
        <w:rPr>
          <w:b/>
          <w:iCs/>
          <w:color w:val="314364"/>
          <w:szCs w:val="18"/>
        </w:rPr>
        <w:t xml:space="preserve"> v rokoch 2022 </w:t>
      </w:r>
      <w:r>
        <w:rPr>
          <w:b/>
          <w:iCs/>
          <w:color w:val="314364"/>
          <w:szCs w:val="18"/>
        </w:rPr>
        <w:t xml:space="preserve">až </w:t>
      </w:r>
      <w:r w:rsidRPr="000D23A3">
        <w:rPr>
          <w:b/>
          <w:iCs/>
          <w:color w:val="314364"/>
          <w:szCs w:val="18"/>
        </w:rPr>
        <w:t>2024 (v tis. eur)</w:t>
      </w:r>
    </w:p>
    <w:tbl>
      <w:tblPr>
        <w:tblW w:w="5027" w:type="pct"/>
        <w:tblBorders>
          <w:bottom w:val="single" w:sz="4" w:space="0" w:color="314364" w:themeColor="text2"/>
        </w:tblBorders>
        <w:tblLook w:val="01E0" w:firstRow="1" w:lastRow="1" w:firstColumn="1" w:lastColumn="1" w:noHBand="0" w:noVBand="0"/>
      </w:tblPr>
      <w:tblGrid>
        <w:gridCol w:w="4536"/>
        <w:gridCol w:w="1134"/>
        <w:gridCol w:w="1134"/>
        <w:gridCol w:w="1133"/>
        <w:gridCol w:w="1182"/>
      </w:tblGrid>
      <w:tr w:rsidR="001D69DD" w:rsidRPr="000E3B98" w14:paraId="057E7CD5" w14:textId="77777777" w:rsidTr="003D11A6">
        <w:trPr>
          <w:trHeight w:val="283"/>
          <w:tblHeader/>
        </w:trPr>
        <w:tc>
          <w:tcPr>
            <w:tcW w:w="2487" w:type="pct"/>
            <w:tcBorders>
              <w:bottom w:val="nil"/>
            </w:tcBorders>
            <w:shd w:val="clear" w:color="auto" w:fill="314364" w:themeFill="text2"/>
            <w:vAlign w:val="center"/>
            <w:hideMark/>
          </w:tcPr>
          <w:p w14:paraId="0F0573EC" w14:textId="77777777" w:rsidR="001D69DD" w:rsidRPr="000E64B1" w:rsidRDefault="001D69DD" w:rsidP="007D38E1">
            <w:pPr>
              <w:spacing w:after="0" w:line="240" w:lineRule="auto"/>
              <w:ind w:left="-530" w:firstLine="530"/>
              <w:jc w:val="left"/>
              <w:rPr>
                <w:rFonts w:eastAsia="Times New Roman" w:cs="Segoe UI"/>
                <w:b/>
                <w:color w:val="FFFFFF" w:themeColor="background1"/>
                <w:sz w:val="18"/>
                <w:szCs w:val="18"/>
                <w:lang w:eastAsia="sk-SK"/>
              </w:rPr>
            </w:pPr>
          </w:p>
        </w:tc>
        <w:tc>
          <w:tcPr>
            <w:tcW w:w="622" w:type="pct"/>
            <w:tcBorders>
              <w:bottom w:val="nil"/>
            </w:tcBorders>
            <w:shd w:val="clear" w:color="auto" w:fill="314364" w:themeFill="text2"/>
            <w:vAlign w:val="center"/>
          </w:tcPr>
          <w:p w14:paraId="5F3CDDE7" w14:textId="77777777" w:rsidR="001D69DD" w:rsidRPr="000E64B1" w:rsidRDefault="001D69DD" w:rsidP="007D38E1">
            <w:pPr>
              <w:spacing w:after="0" w:line="240" w:lineRule="auto"/>
              <w:ind w:left="-530" w:firstLine="530"/>
              <w:jc w:val="right"/>
              <w:rPr>
                <w:rFonts w:eastAsia="Times New Roman" w:cs="Segoe UI"/>
                <w:b/>
                <w:color w:val="FFFFFF" w:themeColor="background1"/>
                <w:sz w:val="18"/>
                <w:szCs w:val="18"/>
                <w:lang w:eastAsia="sk-SK"/>
              </w:rPr>
            </w:pPr>
            <w:r w:rsidRPr="000E64B1">
              <w:rPr>
                <w:rFonts w:eastAsia="Times New Roman" w:cs="Segoe UI"/>
                <w:b/>
                <w:color w:val="FFFFFF" w:themeColor="background1"/>
                <w:sz w:val="18"/>
                <w:szCs w:val="18"/>
                <w:lang w:eastAsia="sk-SK"/>
              </w:rPr>
              <w:t>2022</w:t>
            </w:r>
          </w:p>
        </w:tc>
        <w:tc>
          <w:tcPr>
            <w:tcW w:w="622" w:type="pct"/>
            <w:tcBorders>
              <w:bottom w:val="nil"/>
            </w:tcBorders>
            <w:shd w:val="clear" w:color="auto" w:fill="314364" w:themeFill="text2"/>
            <w:vAlign w:val="center"/>
          </w:tcPr>
          <w:p w14:paraId="3D19D776" w14:textId="77777777" w:rsidR="001D69DD" w:rsidRPr="000E64B1" w:rsidRDefault="001D69DD" w:rsidP="007D38E1">
            <w:pPr>
              <w:spacing w:after="0" w:line="240" w:lineRule="auto"/>
              <w:ind w:left="-530" w:firstLine="530"/>
              <w:jc w:val="right"/>
              <w:rPr>
                <w:rFonts w:eastAsia="Times New Roman" w:cs="Segoe UI"/>
                <w:b/>
                <w:color w:val="FFFFFF" w:themeColor="background1"/>
                <w:sz w:val="18"/>
                <w:szCs w:val="18"/>
                <w:lang w:eastAsia="sk-SK"/>
              </w:rPr>
            </w:pPr>
            <w:r w:rsidRPr="000E64B1">
              <w:rPr>
                <w:rFonts w:eastAsia="Times New Roman" w:cs="Segoe UI"/>
                <w:b/>
                <w:color w:val="FFFFFF" w:themeColor="background1"/>
                <w:sz w:val="18"/>
                <w:szCs w:val="18"/>
                <w:lang w:eastAsia="sk-SK"/>
              </w:rPr>
              <w:t>2023</w:t>
            </w:r>
          </w:p>
        </w:tc>
        <w:tc>
          <w:tcPr>
            <w:tcW w:w="621" w:type="pct"/>
            <w:tcBorders>
              <w:bottom w:val="nil"/>
            </w:tcBorders>
            <w:shd w:val="clear" w:color="auto" w:fill="314364" w:themeFill="text2"/>
            <w:vAlign w:val="center"/>
          </w:tcPr>
          <w:p w14:paraId="236B9CF7" w14:textId="77777777" w:rsidR="001D69DD" w:rsidRPr="000E64B1" w:rsidRDefault="001D69DD" w:rsidP="007D38E1">
            <w:pPr>
              <w:spacing w:after="0" w:line="240" w:lineRule="auto"/>
              <w:ind w:left="-530" w:firstLine="530"/>
              <w:jc w:val="right"/>
              <w:rPr>
                <w:rFonts w:eastAsia="Times New Roman" w:cs="Segoe UI"/>
                <w:b/>
                <w:color w:val="FFFFFF" w:themeColor="background1"/>
                <w:sz w:val="18"/>
                <w:szCs w:val="18"/>
                <w:lang w:eastAsia="sk-SK"/>
              </w:rPr>
            </w:pPr>
            <w:r w:rsidRPr="000E64B1">
              <w:rPr>
                <w:rFonts w:eastAsia="Times New Roman" w:cs="Segoe UI"/>
                <w:b/>
                <w:color w:val="FFFFFF" w:themeColor="background1"/>
                <w:sz w:val="18"/>
                <w:szCs w:val="18"/>
                <w:lang w:eastAsia="sk-SK"/>
              </w:rPr>
              <w:t>2024</w:t>
            </w:r>
          </w:p>
        </w:tc>
        <w:tc>
          <w:tcPr>
            <w:tcW w:w="648" w:type="pct"/>
            <w:shd w:val="clear" w:color="auto" w:fill="314364" w:themeFill="text2"/>
            <w:vAlign w:val="center"/>
          </w:tcPr>
          <w:p w14:paraId="72717410" w14:textId="77777777" w:rsidR="001D69DD" w:rsidRPr="000E64B1" w:rsidRDefault="001D69DD" w:rsidP="007D38E1">
            <w:pPr>
              <w:widowControl w:val="0"/>
              <w:spacing w:after="0" w:line="240" w:lineRule="auto"/>
              <w:ind w:left="-530" w:firstLine="530"/>
              <w:jc w:val="right"/>
              <w:rPr>
                <w:rFonts w:eastAsia="Times New Roman" w:cs="Segoe UI"/>
                <w:b/>
                <w:color w:val="FFFFFF" w:themeColor="background1"/>
                <w:sz w:val="18"/>
                <w:szCs w:val="18"/>
                <w:lang w:eastAsia="sk-SK"/>
              </w:rPr>
            </w:pPr>
            <w:r w:rsidRPr="000E64B1">
              <w:rPr>
                <w:rFonts w:eastAsia="Times New Roman" w:cs="Segoe UI"/>
                <w:b/>
                <w:color w:val="FFFFFF" w:themeColor="background1"/>
                <w:sz w:val="18"/>
                <w:szCs w:val="18"/>
                <w:lang w:eastAsia="sk-SK"/>
              </w:rPr>
              <w:t>2024-2023</w:t>
            </w:r>
          </w:p>
        </w:tc>
      </w:tr>
      <w:tr w:rsidR="001D69DD" w:rsidRPr="000E3B98" w14:paraId="1387EA5C" w14:textId="77777777" w:rsidTr="003D11A6">
        <w:trPr>
          <w:trHeight w:val="283"/>
        </w:trPr>
        <w:tc>
          <w:tcPr>
            <w:tcW w:w="2487" w:type="pct"/>
            <w:tcBorders>
              <w:top w:val="nil"/>
              <w:bottom w:val="nil"/>
            </w:tcBorders>
          </w:tcPr>
          <w:p w14:paraId="6087A3F6" w14:textId="4392B462" w:rsidR="001D69DD" w:rsidRPr="000E64B1" w:rsidRDefault="008779D2" w:rsidP="007D38E1">
            <w:pPr>
              <w:spacing w:after="0" w:line="240" w:lineRule="auto"/>
              <w:ind w:left="-530" w:firstLine="530"/>
              <w:contextualSpacing/>
              <w:jc w:val="left"/>
              <w:rPr>
                <w:rFonts w:eastAsia="Times New Roman" w:cs="Segoe UI"/>
                <w:bCs/>
                <w:sz w:val="18"/>
                <w:szCs w:val="18"/>
                <w:lang w:eastAsia="sk-SK"/>
              </w:rPr>
            </w:pPr>
            <w:r>
              <w:rPr>
                <w:rFonts w:eastAsia="Times New Roman" w:cs="Segoe UI"/>
                <w:bCs/>
                <w:sz w:val="18"/>
                <w:szCs w:val="18"/>
                <w:lang w:eastAsia="sk-SK"/>
              </w:rPr>
              <w:t>B</w:t>
            </w:r>
            <w:r w:rsidR="001D69DD" w:rsidRPr="000E64B1">
              <w:rPr>
                <w:rFonts w:eastAsia="Times New Roman" w:cs="Segoe UI"/>
                <w:bCs/>
                <w:sz w:val="18"/>
                <w:szCs w:val="18"/>
                <w:lang w:eastAsia="sk-SK"/>
              </w:rPr>
              <w:t>ežné transfery</w:t>
            </w:r>
          </w:p>
        </w:tc>
        <w:tc>
          <w:tcPr>
            <w:tcW w:w="622" w:type="pct"/>
            <w:tcBorders>
              <w:top w:val="nil"/>
              <w:left w:val="nil"/>
              <w:bottom w:val="nil"/>
              <w:right w:val="nil"/>
            </w:tcBorders>
            <w:shd w:val="clear" w:color="auto" w:fill="auto"/>
            <w:vAlign w:val="center"/>
          </w:tcPr>
          <w:p w14:paraId="4EA9F121" w14:textId="77777777" w:rsidR="001D69DD" w:rsidRPr="000E64B1" w:rsidRDefault="001D69DD" w:rsidP="007D38E1">
            <w:pPr>
              <w:spacing w:after="0" w:line="240" w:lineRule="auto"/>
              <w:ind w:left="-530" w:firstLine="530"/>
              <w:contextualSpacing/>
              <w:jc w:val="right"/>
              <w:rPr>
                <w:rFonts w:eastAsia="Times New Roman" w:cs="Segoe UI"/>
                <w:bCs/>
                <w:sz w:val="18"/>
                <w:szCs w:val="18"/>
                <w:lang w:eastAsia="sk-SK"/>
              </w:rPr>
            </w:pPr>
            <w:r w:rsidRPr="000E64B1">
              <w:rPr>
                <w:bCs/>
                <w:color w:val="000000"/>
                <w:sz w:val="18"/>
                <w:szCs w:val="18"/>
              </w:rPr>
              <w:t>1 485 099</w:t>
            </w:r>
          </w:p>
        </w:tc>
        <w:tc>
          <w:tcPr>
            <w:tcW w:w="622" w:type="pct"/>
            <w:tcBorders>
              <w:top w:val="nil"/>
              <w:left w:val="nil"/>
              <w:bottom w:val="nil"/>
              <w:right w:val="nil"/>
            </w:tcBorders>
            <w:shd w:val="clear" w:color="auto" w:fill="auto"/>
            <w:vAlign w:val="center"/>
          </w:tcPr>
          <w:p w14:paraId="689453E1" w14:textId="77777777" w:rsidR="001D69DD" w:rsidRPr="000E64B1" w:rsidRDefault="001D69DD" w:rsidP="007D38E1">
            <w:pPr>
              <w:spacing w:after="0" w:line="240" w:lineRule="auto"/>
              <w:ind w:left="-530" w:firstLine="530"/>
              <w:contextualSpacing/>
              <w:jc w:val="right"/>
              <w:rPr>
                <w:rFonts w:eastAsia="Times New Roman" w:cs="Segoe UI"/>
                <w:bCs/>
                <w:sz w:val="18"/>
                <w:szCs w:val="18"/>
                <w:lang w:eastAsia="sk-SK"/>
              </w:rPr>
            </w:pPr>
            <w:r w:rsidRPr="000E64B1">
              <w:rPr>
                <w:bCs/>
                <w:color w:val="000000"/>
                <w:sz w:val="18"/>
                <w:szCs w:val="18"/>
              </w:rPr>
              <w:t>2 042 605</w:t>
            </w:r>
          </w:p>
        </w:tc>
        <w:tc>
          <w:tcPr>
            <w:tcW w:w="621" w:type="pct"/>
            <w:tcBorders>
              <w:top w:val="nil"/>
              <w:left w:val="nil"/>
              <w:bottom w:val="nil"/>
              <w:right w:val="nil"/>
            </w:tcBorders>
            <w:shd w:val="clear" w:color="auto" w:fill="auto"/>
            <w:vAlign w:val="center"/>
          </w:tcPr>
          <w:p w14:paraId="1D62D73A" w14:textId="77777777" w:rsidR="001D69DD" w:rsidRPr="000E64B1" w:rsidRDefault="001D69DD" w:rsidP="007D38E1">
            <w:pPr>
              <w:spacing w:after="0" w:line="240" w:lineRule="auto"/>
              <w:ind w:left="-530" w:firstLine="530"/>
              <w:contextualSpacing/>
              <w:jc w:val="right"/>
              <w:rPr>
                <w:rFonts w:eastAsia="Times New Roman" w:cs="Segoe UI"/>
                <w:bCs/>
                <w:sz w:val="18"/>
                <w:szCs w:val="18"/>
                <w:lang w:eastAsia="sk-SK"/>
              </w:rPr>
            </w:pPr>
            <w:r w:rsidRPr="000E64B1">
              <w:rPr>
                <w:bCs/>
                <w:color w:val="000000"/>
                <w:sz w:val="18"/>
                <w:szCs w:val="18"/>
              </w:rPr>
              <w:t>2 100 571</w:t>
            </w:r>
          </w:p>
        </w:tc>
        <w:tc>
          <w:tcPr>
            <w:tcW w:w="648" w:type="pct"/>
            <w:tcBorders>
              <w:top w:val="nil"/>
              <w:left w:val="nil"/>
              <w:bottom w:val="nil"/>
              <w:right w:val="nil"/>
            </w:tcBorders>
            <w:shd w:val="clear" w:color="auto" w:fill="auto"/>
            <w:vAlign w:val="center"/>
          </w:tcPr>
          <w:p w14:paraId="73E7828A" w14:textId="77777777" w:rsidR="001D69DD" w:rsidRPr="000E64B1" w:rsidRDefault="001D69DD" w:rsidP="007D38E1">
            <w:pPr>
              <w:spacing w:after="0" w:line="240" w:lineRule="auto"/>
              <w:ind w:left="-530" w:firstLine="530"/>
              <w:contextualSpacing/>
              <w:jc w:val="right"/>
              <w:rPr>
                <w:rFonts w:eastAsia="Times New Roman" w:cs="Segoe UI"/>
                <w:bCs/>
                <w:sz w:val="18"/>
                <w:szCs w:val="18"/>
                <w:lang w:eastAsia="sk-SK"/>
              </w:rPr>
            </w:pPr>
            <w:r w:rsidRPr="000E64B1">
              <w:rPr>
                <w:bCs/>
                <w:color w:val="000000"/>
                <w:sz w:val="18"/>
                <w:szCs w:val="18"/>
              </w:rPr>
              <w:t>57 966</w:t>
            </w:r>
          </w:p>
        </w:tc>
      </w:tr>
      <w:tr w:rsidR="001D69DD" w:rsidRPr="000E3B98" w14:paraId="498962A1" w14:textId="77777777" w:rsidTr="003D11A6">
        <w:trPr>
          <w:trHeight w:val="283"/>
        </w:trPr>
        <w:tc>
          <w:tcPr>
            <w:tcW w:w="2487" w:type="pct"/>
            <w:tcBorders>
              <w:top w:val="nil"/>
              <w:bottom w:val="nil"/>
            </w:tcBorders>
          </w:tcPr>
          <w:p w14:paraId="60369992" w14:textId="77777777" w:rsidR="001D69DD" w:rsidRPr="000E64B1" w:rsidRDefault="001D69DD" w:rsidP="007D38E1">
            <w:pPr>
              <w:spacing w:after="0" w:line="240" w:lineRule="auto"/>
              <w:ind w:left="-530" w:firstLine="530"/>
              <w:contextualSpacing/>
              <w:jc w:val="left"/>
              <w:rPr>
                <w:rFonts w:eastAsia="Times New Roman" w:cs="Segoe UI"/>
                <w:bCs/>
                <w:sz w:val="18"/>
                <w:szCs w:val="18"/>
                <w:lang w:eastAsia="sk-SK"/>
              </w:rPr>
            </w:pPr>
            <w:r w:rsidRPr="000E64B1">
              <w:rPr>
                <w:rFonts w:eastAsia="Times New Roman" w:cs="Segoe UI"/>
                <w:bCs/>
                <w:i/>
                <w:iCs/>
                <w:sz w:val="18"/>
                <w:szCs w:val="18"/>
                <w:lang w:eastAsia="sk-SK"/>
              </w:rPr>
              <w:t xml:space="preserve">  </w:t>
            </w:r>
            <w:r>
              <w:rPr>
                <w:rFonts w:eastAsia="Times New Roman" w:cs="Segoe UI"/>
                <w:bCs/>
                <w:i/>
                <w:iCs/>
                <w:sz w:val="18"/>
                <w:szCs w:val="18"/>
                <w:lang w:eastAsia="sk-SK"/>
              </w:rPr>
              <w:t xml:space="preserve"> </w:t>
            </w:r>
            <w:r w:rsidRPr="000E64B1">
              <w:rPr>
                <w:rFonts w:eastAsia="Times New Roman" w:cs="Segoe UI"/>
                <w:bCs/>
                <w:i/>
                <w:iCs/>
                <w:sz w:val="18"/>
                <w:szCs w:val="18"/>
                <w:lang w:eastAsia="sk-SK"/>
              </w:rPr>
              <w:t xml:space="preserve">  z toho na úhradu nákladov preneseného výkonu</w:t>
            </w:r>
          </w:p>
        </w:tc>
        <w:tc>
          <w:tcPr>
            <w:tcW w:w="622" w:type="pct"/>
            <w:tcBorders>
              <w:top w:val="nil"/>
              <w:left w:val="nil"/>
              <w:bottom w:val="nil"/>
              <w:right w:val="nil"/>
            </w:tcBorders>
            <w:shd w:val="clear" w:color="auto" w:fill="auto"/>
            <w:vAlign w:val="center"/>
          </w:tcPr>
          <w:p w14:paraId="29AE6130" w14:textId="77777777" w:rsidR="001D69DD" w:rsidRPr="003D11A6" w:rsidRDefault="001D69DD" w:rsidP="007D38E1">
            <w:pPr>
              <w:spacing w:after="0" w:line="240" w:lineRule="auto"/>
              <w:ind w:left="-530" w:firstLine="530"/>
              <w:contextualSpacing/>
              <w:jc w:val="right"/>
              <w:rPr>
                <w:bCs/>
                <w:i/>
                <w:color w:val="000000"/>
                <w:sz w:val="18"/>
                <w:szCs w:val="18"/>
              </w:rPr>
            </w:pPr>
            <w:r w:rsidRPr="003D11A6">
              <w:rPr>
                <w:bCs/>
                <w:i/>
                <w:color w:val="000000"/>
                <w:sz w:val="18"/>
                <w:szCs w:val="18"/>
              </w:rPr>
              <w:t>1 270 357</w:t>
            </w:r>
          </w:p>
        </w:tc>
        <w:tc>
          <w:tcPr>
            <w:tcW w:w="622" w:type="pct"/>
            <w:tcBorders>
              <w:top w:val="nil"/>
              <w:left w:val="nil"/>
              <w:bottom w:val="nil"/>
              <w:right w:val="nil"/>
            </w:tcBorders>
            <w:shd w:val="clear" w:color="auto" w:fill="auto"/>
            <w:vAlign w:val="center"/>
          </w:tcPr>
          <w:p w14:paraId="21D33E8A" w14:textId="77777777" w:rsidR="001D69DD" w:rsidRPr="003D11A6" w:rsidRDefault="001D69DD" w:rsidP="007D38E1">
            <w:pPr>
              <w:spacing w:after="0" w:line="240" w:lineRule="auto"/>
              <w:ind w:left="-530" w:firstLine="530"/>
              <w:contextualSpacing/>
              <w:jc w:val="right"/>
              <w:rPr>
                <w:bCs/>
                <w:i/>
                <w:color w:val="000000"/>
                <w:sz w:val="18"/>
                <w:szCs w:val="18"/>
              </w:rPr>
            </w:pPr>
            <w:r w:rsidRPr="003D11A6">
              <w:rPr>
                <w:bCs/>
                <w:i/>
                <w:color w:val="000000"/>
                <w:sz w:val="18"/>
                <w:szCs w:val="18"/>
              </w:rPr>
              <w:t>1 450 171</w:t>
            </w:r>
          </w:p>
        </w:tc>
        <w:tc>
          <w:tcPr>
            <w:tcW w:w="621" w:type="pct"/>
            <w:tcBorders>
              <w:top w:val="nil"/>
              <w:left w:val="nil"/>
              <w:bottom w:val="nil"/>
              <w:right w:val="nil"/>
            </w:tcBorders>
            <w:shd w:val="clear" w:color="auto" w:fill="auto"/>
            <w:vAlign w:val="center"/>
          </w:tcPr>
          <w:p w14:paraId="4012EE47" w14:textId="77777777" w:rsidR="001D69DD" w:rsidRPr="003D11A6" w:rsidRDefault="001D69DD" w:rsidP="007D38E1">
            <w:pPr>
              <w:spacing w:after="0" w:line="240" w:lineRule="auto"/>
              <w:ind w:left="-530" w:firstLine="530"/>
              <w:contextualSpacing/>
              <w:jc w:val="right"/>
              <w:rPr>
                <w:bCs/>
                <w:i/>
                <w:color w:val="000000"/>
                <w:sz w:val="18"/>
                <w:szCs w:val="18"/>
              </w:rPr>
            </w:pPr>
            <w:r w:rsidRPr="003D11A6">
              <w:rPr>
                <w:bCs/>
                <w:i/>
                <w:color w:val="000000"/>
                <w:sz w:val="18"/>
                <w:szCs w:val="18"/>
              </w:rPr>
              <w:t>1 612 589</w:t>
            </w:r>
          </w:p>
        </w:tc>
        <w:tc>
          <w:tcPr>
            <w:tcW w:w="648" w:type="pct"/>
            <w:tcBorders>
              <w:top w:val="nil"/>
              <w:left w:val="nil"/>
              <w:bottom w:val="nil"/>
              <w:right w:val="nil"/>
            </w:tcBorders>
            <w:shd w:val="clear" w:color="auto" w:fill="auto"/>
            <w:vAlign w:val="center"/>
          </w:tcPr>
          <w:p w14:paraId="314BF1D6" w14:textId="77777777" w:rsidR="001D69DD" w:rsidRPr="003D11A6" w:rsidRDefault="001D69DD" w:rsidP="007D38E1">
            <w:pPr>
              <w:spacing w:after="0" w:line="240" w:lineRule="auto"/>
              <w:ind w:left="-530" w:firstLine="530"/>
              <w:contextualSpacing/>
              <w:jc w:val="right"/>
              <w:rPr>
                <w:bCs/>
                <w:i/>
                <w:color w:val="000000"/>
                <w:sz w:val="18"/>
                <w:szCs w:val="18"/>
              </w:rPr>
            </w:pPr>
            <w:r w:rsidRPr="003D11A6">
              <w:rPr>
                <w:bCs/>
                <w:i/>
                <w:color w:val="000000"/>
                <w:sz w:val="18"/>
                <w:szCs w:val="18"/>
              </w:rPr>
              <w:t>162 418</w:t>
            </w:r>
          </w:p>
        </w:tc>
      </w:tr>
      <w:tr w:rsidR="001D69DD" w:rsidRPr="000E3B98" w14:paraId="0EE1F18B" w14:textId="77777777" w:rsidTr="003D11A6">
        <w:trPr>
          <w:trHeight w:val="283"/>
        </w:trPr>
        <w:tc>
          <w:tcPr>
            <w:tcW w:w="2487" w:type="pct"/>
            <w:tcBorders>
              <w:top w:val="nil"/>
              <w:bottom w:val="nil"/>
            </w:tcBorders>
          </w:tcPr>
          <w:p w14:paraId="369983B2" w14:textId="77777777" w:rsidR="001D69DD" w:rsidRPr="000E64B1" w:rsidRDefault="001D69DD" w:rsidP="007D38E1">
            <w:pPr>
              <w:spacing w:after="0" w:line="240" w:lineRule="auto"/>
              <w:contextualSpacing/>
              <w:rPr>
                <w:rFonts w:eastAsia="Times New Roman" w:cs="Segoe UI"/>
                <w:bCs/>
                <w:i/>
                <w:iCs/>
                <w:sz w:val="18"/>
                <w:szCs w:val="18"/>
                <w:lang w:eastAsia="sk-SK"/>
              </w:rPr>
            </w:pPr>
            <w:r w:rsidRPr="000E64B1">
              <w:rPr>
                <w:rFonts w:eastAsia="Times New Roman" w:cs="Segoe UI"/>
                <w:bCs/>
                <w:i/>
                <w:iCs/>
                <w:sz w:val="18"/>
                <w:szCs w:val="18"/>
                <w:lang w:eastAsia="sk-SK"/>
              </w:rPr>
              <w:t xml:space="preserve">     z toho úhradu nákladov okrem preneseného výkonu</w:t>
            </w:r>
          </w:p>
        </w:tc>
        <w:tc>
          <w:tcPr>
            <w:tcW w:w="622" w:type="pct"/>
            <w:tcBorders>
              <w:top w:val="nil"/>
              <w:left w:val="nil"/>
              <w:bottom w:val="nil"/>
              <w:right w:val="nil"/>
            </w:tcBorders>
            <w:shd w:val="clear" w:color="auto" w:fill="auto"/>
            <w:vAlign w:val="center"/>
          </w:tcPr>
          <w:p w14:paraId="3A5E08E6" w14:textId="77777777" w:rsidR="001D69DD" w:rsidRPr="003D11A6" w:rsidRDefault="001D69DD" w:rsidP="007D38E1">
            <w:pPr>
              <w:spacing w:after="0" w:line="240" w:lineRule="auto"/>
              <w:ind w:left="-530" w:firstLine="530"/>
              <w:jc w:val="right"/>
              <w:rPr>
                <w:rFonts w:eastAsia="Times New Roman" w:cs="Segoe UI"/>
                <w:bCs/>
                <w:i/>
                <w:sz w:val="18"/>
                <w:szCs w:val="18"/>
                <w:lang w:eastAsia="sk-SK"/>
              </w:rPr>
            </w:pPr>
            <w:r w:rsidRPr="003D11A6">
              <w:rPr>
                <w:bCs/>
                <w:i/>
                <w:color w:val="000000"/>
                <w:sz w:val="18"/>
                <w:szCs w:val="18"/>
              </w:rPr>
              <w:t>214 742</w:t>
            </w:r>
          </w:p>
        </w:tc>
        <w:tc>
          <w:tcPr>
            <w:tcW w:w="622" w:type="pct"/>
            <w:tcBorders>
              <w:top w:val="nil"/>
              <w:left w:val="nil"/>
              <w:bottom w:val="nil"/>
              <w:right w:val="nil"/>
            </w:tcBorders>
            <w:shd w:val="clear" w:color="auto" w:fill="auto"/>
            <w:vAlign w:val="center"/>
          </w:tcPr>
          <w:p w14:paraId="4488331A" w14:textId="77777777" w:rsidR="001D69DD" w:rsidRPr="003D11A6" w:rsidRDefault="001D69DD" w:rsidP="007D38E1">
            <w:pPr>
              <w:spacing w:after="0" w:line="240" w:lineRule="auto"/>
              <w:ind w:left="-530" w:firstLine="530"/>
              <w:jc w:val="right"/>
              <w:rPr>
                <w:rFonts w:eastAsia="Times New Roman" w:cs="Segoe UI"/>
                <w:bCs/>
                <w:i/>
                <w:sz w:val="18"/>
                <w:szCs w:val="18"/>
                <w:lang w:eastAsia="sk-SK"/>
              </w:rPr>
            </w:pPr>
            <w:r w:rsidRPr="003D11A6">
              <w:rPr>
                <w:bCs/>
                <w:i/>
                <w:color w:val="000000"/>
                <w:sz w:val="18"/>
                <w:szCs w:val="18"/>
              </w:rPr>
              <w:t>592 434</w:t>
            </w:r>
          </w:p>
        </w:tc>
        <w:tc>
          <w:tcPr>
            <w:tcW w:w="621" w:type="pct"/>
            <w:tcBorders>
              <w:top w:val="nil"/>
              <w:left w:val="nil"/>
              <w:bottom w:val="nil"/>
              <w:right w:val="nil"/>
            </w:tcBorders>
            <w:shd w:val="clear" w:color="auto" w:fill="auto"/>
            <w:vAlign w:val="center"/>
          </w:tcPr>
          <w:p w14:paraId="381D343A" w14:textId="77777777" w:rsidR="001D69DD" w:rsidRPr="003D11A6" w:rsidRDefault="001D69DD" w:rsidP="007D38E1">
            <w:pPr>
              <w:spacing w:after="0" w:line="240" w:lineRule="auto"/>
              <w:ind w:left="-530" w:firstLine="530"/>
              <w:jc w:val="right"/>
              <w:rPr>
                <w:rFonts w:eastAsia="Times New Roman" w:cs="Segoe UI"/>
                <w:bCs/>
                <w:i/>
                <w:sz w:val="18"/>
                <w:szCs w:val="18"/>
                <w:lang w:eastAsia="sk-SK"/>
              </w:rPr>
            </w:pPr>
            <w:r w:rsidRPr="003D11A6">
              <w:rPr>
                <w:bCs/>
                <w:i/>
                <w:color w:val="000000"/>
                <w:sz w:val="18"/>
                <w:szCs w:val="18"/>
              </w:rPr>
              <w:t>487 982</w:t>
            </w:r>
          </w:p>
        </w:tc>
        <w:tc>
          <w:tcPr>
            <w:tcW w:w="648" w:type="pct"/>
            <w:tcBorders>
              <w:top w:val="nil"/>
              <w:left w:val="nil"/>
              <w:bottom w:val="nil"/>
              <w:right w:val="nil"/>
            </w:tcBorders>
            <w:shd w:val="clear" w:color="auto" w:fill="auto"/>
            <w:vAlign w:val="center"/>
          </w:tcPr>
          <w:p w14:paraId="53696F5C" w14:textId="77777777" w:rsidR="001D69DD" w:rsidRPr="003D11A6" w:rsidRDefault="001D69DD" w:rsidP="007D38E1">
            <w:pPr>
              <w:spacing w:after="0" w:line="240" w:lineRule="auto"/>
              <w:ind w:left="-530" w:firstLine="530"/>
              <w:jc w:val="right"/>
              <w:rPr>
                <w:rFonts w:eastAsia="Times New Roman" w:cs="Segoe UI"/>
                <w:bCs/>
                <w:i/>
                <w:sz w:val="18"/>
                <w:szCs w:val="18"/>
                <w:lang w:eastAsia="sk-SK"/>
              </w:rPr>
            </w:pPr>
            <w:r w:rsidRPr="003D11A6">
              <w:rPr>
                <w:bCs/>
                <w:i/>
                <w:color w:val="000000"/>
                <w:sz w:val="18"/>
                <w:szCs w:val="18"/>
              </w:rPr>
              <w:t>-104 452</w:t>
            </w:r>
          </w:p>
        </w:tc>
      </w:tr>
      <w:tr w:rsidR="001D69DD" w:rsidRPr="000E3B98" w14:paraId="42AE3B0F" w14:textId="77777777" w:rsidTr="003D11A6">
        <w:trPr>
          <w:trHeight w:val="283"/>
        </w:trPr>
        <w:tc>
          <w:tcPr>
            <w:tcW w:w="2487" w:type="pct"/>
            <w:tcBorders>
              <w:bottom w:val="single" w:sz="4" w:space="0" w:color="314364" w:themeColor="text2"/>
            </w:tcBorders>
          </w:tcPr>
          <w:p w14:paraId="0CFC222A" w14:textId="6E1EE4E5" w:rsidR="001D69DD" w:rsidRPr="000E64B1" w:rsidRDefault="008779D2" w:rsidP="007D38E1">
            <w:pPr>
              <w:spacing w:after="0" w:line="240" w:lineRule="auto"/>
              <w:ind w:left="-530" w:firstLine="530"/>
              <w:contextualSpacing/>
              <w:jc w:val="left"/>
              <w:rPr>
                <w:rFonts w:eastAsia="Times New Roman" w:cs="Segoe UI"/>
                <w:bCs/>
                <w:sz w:val="18"/>
                <w:szCs w:val="18"/>
                <w:lang w:eastAsia="sk-SK"/>
              </w:rPr>
            </w:pPr>
            <w:r>
              <w:rPr>
                <w:rFonts w:eastAsia="Times New Roman" w:cs="Segoe UI"/>
                <w:bCs/>
                <w:sz w:val="18"/>
                <w:szCs w:val="18"/>
                <w:lang w:eastAsia="sk-SK"/>
              </w:rPr>
              <w:t>K</w:t>
            </w:r>
            <w:r w:rsidR="001D69DD" w:rsidRPr="000E64B1">
              <w:rPr>
                <w:rFonts w:eastAsia="Times New Roman" w:cs="Segoe UI"/>
                <w:bCs/>
                <w:sz w:val="18"/>
                <w:szCs w:val="18"/>
                <w:lang w:eastAsia="sk-SK"/>
              </w:rPr>
              <w:t>apitálové transfery</w:t>
            </w:r>
          </w:p>
        </w:tc>
        <w:tc>
          <w:tcPr>
            <w:tcW w:w="622" w:type="pct"/>
            <w:tcBorders>
              <w:top w:val="nil"/>
              <w:left w:val="nil"/>
              <w:bottom w:val="single" w:sz="4" w:space="0" w:color="314364" w:themeColor="text2"/>
              <w:right w:val="nil"/>
            </w:tcBorders>
            <w:shd w:val="clear" w:color="auto" w:fill="auto"/>
            <w:vAlign w:val="center"/>
          </w:tcPr>
          <w:p w14:paraId="3FB74F5E" w14:textId="77777777" w:rsidR="001D69DD" w:rsidRPr="000E64B1" w:rsidRDefault="001D69DD" w:rsidP="007D38E1">
            <w:pPr>
              <w:spacing w:after="0" w:line="240" w:lineRule="auto"/>
              <w:ind w:left="-530" w:firstLine="530"/>
              <w:jc w:val="right"/>
              <w:rPr>
                <w:rFonts w:eastAsia="Times New Roman" w:cs="Segoe UI"/>
                <w:bCs/>
                <w:sz w:val="18"/>
                <w:szCs w:val="18"/>
                <w:lang w:eastAsia="sk-SK"/>
              </w:rPr>
            </w:pPr>
            <w:r w:rsidRPr="000E64B1">
              <w:rPr>
                <w:bCs/>
                <w:color w:val="000000"/>
                <w:sz w:val="18"/>
                <w:szCs w:val="18"/>
              </w:rPr>
              <w:t>216 793</w:t>
            </w:r>
          </w:p>
        </w:tc>
        <w:tc>
          <w:tcPr>
            <w:tcW w:w="622" w:type="pct"/>
            <w:tcBorders>
              <w:top w:val="nil"/>
              <w:left w:val="nil"/>
              <w:bottom w:val="single" w:sz="4" w:space="0" w:color="314364" w:themeColor="text2"/>
              <w:right w:val="nil"/>
            </w:tcBorders>
            <w:shd w:val="clear" w:color="auto" w:fill="auto"/>
            <w:vAlign w:val="center"/>
          </w:tcPr>
          <w:p w14:paraId="766CA622" w14:textId="77777777" w:rsidR="001D69DD" w:rsidRPr="000E64B1" w:rsidRDefault="001D69DD" w:rsidP="007D38E1">
            <w:pPr>
              <w:spacing w:after="0" w:line="240" w:lineRule="auto"/>
              <w:ind w:left="-530" w:firstLine="530"/>
              <w:jc w:val="right"/>
              <w:rPr>
                <w:rFonts w:eastAsia="Times New Roman" w:cs="Segoe UI"/>
                <w:bCs/>
                <w:sz w:val="18"/>
                <w:szCs w:val="18"/>
                <w:lang w:eastAsia="sk-SK"/>
              </w:rPr>
            </w:pPr>
            <w:r w:rsidRPr="000E64B1">
              <w:rPr>
                <w:bCs/>
                <w:color w:val="000000"/>
                <w:sz w:val="18"/>
                <w:szCs w:val="18"/>
              </w:rPr>
              <w:t>577 263</w:t>
            </w:r>
          </w:p>
        </w:tc>
        <w:tc>
          <w:tcPr>
            <w:tcW w:w="621" w:type="pct"/>
            <w:tcBorders>
              <w:top w:val="nil"/>
              <w:left w:val="nil"/>
              <w:bottom w:val="single" w:sz="4" w:space="0" w:color="314364" w:themeColor="text2"/>
              <w:right w:val="nil"/>
            </w:tcBorders>
            <w:shd w:val="clear" w:color="auto" w:fill="auto"/>
            <w:vAlign w:val="center"/>
          </w:tcPr>
          <w:p w14:paraId="412E5027" w14:textId="77777777" w:rsidR="001D69DD" w:rsidRPr="000E64B1" w:rsidRDefault="001D69DD" w:rsidP="007D38E1">
            <w:pPr>
              <w:spacing w:after="0" w:line="240" w:lineRule="auto"/>
              <w:ind w:left="-530" w:firstLine="530"/>
              <w:jc w:val="right"/>
              <w:rPr>
                <w:rFonts w:eastAsia="Times New Roman" w:cs="Segoe UI"/>
                <w:bCs/>
                <w:sz w:val="18"/>
                <w:szCs w:val="18"/>
                <w:lang w:eastAsia="sk-SK"/>
              </w:rPr>
            </w:pPr>
            <w:r w:rsidRPr="000E64B1">
              <w:rPr>
                <w:bCs/>
                <w:color w:val="000000"/>
                <w:sz w:val="18"/>
                <w:szCs w:val="18"/>
              </w:rPr>
              <w:t>391 727</w:t>
            </w:r>
          </w:p>
        </w:tc>
        <w:tc>
          <w:tcPr>
            <w:tcW w:w="648" w:type="pct"/>
            <w:tcBorders>
              <w:top w:val="nil"/>
              <w:left w:val="nil"/>
              <w:bottom w:val="single" w:sz="4" w:space="0" w:color="314364" w:themeColor="text2"/>
              <w:right w:val="nil"/>
            </w:tcBorders>
            <w:shd w:val="clear" w:color="auto" w:fill="auto"/>
            <w:vAlign w:val="center"/>
          </w:tcPr>
          <w:p w14:paraId="28C5ADEE" w14:textId="77777777" w:rsidR="001D69DD" w:rsidRPr="000E64B1" w:rsidRDefault="001D69DD" w:rsidP="007D38E1">
            <w:pPr>
              <w:spacing w:after="0" w:line="240" w:lineRule="auto"/>
              <w:ind w:left="-530" w:firstLine="530"/>
              <w:jc w:val="right"/>
              <w:rPr>
                <w:rFonts w:eastAsia="Times New Roman" w:cs="Segoe UI"/>
                <w:bCs/>
                <w:sz w:val="18"/>
                <w:szCs w:val="18"/>
                <w:lang w:eastAsia="sk-SK"/>
              </w:rPr>
            </w:pPr>
            <w:r w:rsidRPr="000E64B1">
              <w:rPr>
                <w:bCs/>
                <w:color w:val="000000"/>
                <w:sz w:val="18"/>
                <w:szCs w:val="18"/>
              </w:rPr>
              <w:t>-185 536</w:t>
            </w:r>
          </w:p>
        </w:tc>
      </w:tr>
      <w:tr w:rsidR="001D69DD" w:rsidRPr="000E64B1" w14:paraId="77A46DFE" w14:textId="77777777" w:rsidTr="003D11A6">
        <w:trPr>
          <w:trHeight w:val="283"/>
        </w:trPr>
        <w:tc>
          <w:tcPr>
            <w:tcW w:w="2487" w:type="pct"/>
            <w:tcBorders>
              <w:top w:val="single" w:sz="4" w:space="0" w:color="314364" w:themeColor="text2"/>
              <w:bottom w:val="single" w:sz="4" w:space="0" w:color="314364" w:themeColor="text2"/>
            </w:tcBorders>
          </w:tcPr>
          <w:p w14:paraId="311C7FBF" w14:textId="32402878" w:rsidR="001D69DD" w:rsidRPr="000E64B1" w:rsidRDefault="0070554C" w:rsidP="007D38E1">
            <w:pPr>
              <w:spacing w:after="0" w:line="240" w:lineRule="auto"/>
              <w:ind w:left="-530" w:firstLine="530"/>
              <w:contextualSpacing/>
              <w:jc w:val="left"/>
              <w:rPr>
                <w:rFonts w:cs="Segoe UI"/>
                <w:b/>
                <w:sz w:val="18"/>
                <w:szCs w:val="18"/>
              </w:rPr>
            </w:pPr>
            <w:r>
              <w:rPr>
                <w:rFonts w:cs="Segoe UI"/>
                <w:b/>
                <w:sz w:val="18"/>
                <w:szCs w:val="18"/>
              </w:rPr>
              <w:t>SPOLU</w:t>
            </w:r>
          </w:p>
        </w:tc>
        <w:tc>
          <w:tcPr>
            <w:tcW w:w="622" w:type="pct"/>
            <w:tcBorders>
              <w:top w:val="single" w:sz="4" w:space="0" w:color="314364" w:themeColor="text2"/>
              <w:left w:val="nil"/>
              <w:bottom w:val="single" w:sz="4" w:space="0" w:color="314364" w:themeColor="text2"/>
              <w:right w:val="nil"/>
            </w:tcBorders>
            <w:shd w:val="clear" w:color="auto" w:fill="auto"/>
            <w:vAlign w:val="center"/>
          </w:tcPr>
          <w:p w14:paraId="2D5D9F4D" w14:textId="77777777" w:rsidR="001D69DD" w:rsidRPr="000E64B1" w:rsidRDefault="001D69DD" w:rsidP="007D38E1">
            <w:pPr>
              <w:spacing w:after="0" w:line="240" w:lineRule="auto"/>
              <w:ind w:left="-530" w:firstLine="530"/>
              <w:jc w:val="right"/>
              <w:rPr>
                <w:rFonts w:cs="Segoe UI"/>
                <w:b/>
                <w:sz w:val="18"/>
                <w:szCs w:val="18"/>
              </w:rPr>
            </w:pPr>
            <w:r w:rsidRPr="000E64B1">
              <w:rPr>
                <w:b/>
                <w:color w:val="000000"/>
                <w:sz w:val="18"/>
                <w:szCs w:val="18"/>
              </w:rPr>
              <w:t>1 701 892</w:t>
            </w:r>
          </w:p>
        </w:tc>
        <w:tc>
          <w:tcPr>
            <w:tcW w:w="622" w:type="pct"/>
            <w:tcBorders>
              <w:top w:val="single" w:sz="4" w:space="0" w:color="314364" w:themeColor="text2"/>
              <w:left w:val="nil"/>
              <w:bottom w:val="single" w:sz="4" w:space="0" w:color="314364" w:themeColor="text2"/>
              <w:right w:val="nil"/>
            </w:tcBorders>
            <w:shd w:val="clear" w:color="auto" w:fill="auto"/>
            <w:vAlign w:val="center"/>
          </w:tcPr>
          <w:p w14:paraId="7BB50970" w14:textId="77777777" w:rsidR="001D69DD" w:rsidRPr="000E64B1" w:rsidRDefault="001D69DD" w:rsidP="007D38E1">
            <w:pPr>
              <w:spacing w:after="0" w:line="240" w:lineRule="auto"/>
              <w:ind w:left="-530" w:firstLine="530"/>
              <w:jc w:val="right"/>
              <w:rPr>
                <w:rFonts w:cs="Segoe UI"/>
                <w:b/>
                <w:sz w:val="18"/>
                <w:szCs w:val="18"/>
              </w:rPr>
            </w:pPr>
            <w:r w:rsidRPr="000E64B1">
              <w:rPr>
                <w:b/>
                <w:color w:val="000000"/>
                <w:sz w:val="18"/>
                <w:szCs w:val="18"/>
              </w:rPr>
              <w:t>2 619 868</w:t>
            </w:r>
          </w:p>
        </w:tc>
        <w:tc>
          <w:tcPr>
            <w:tcW w:w="621" w:type="pct"/>
            <w:tcBorders>
              <w:top w:val="single" w:sz="4" w:space="0" w:color="314364" w:themeColor="text2"/>
              <w:left w:val="nil"/>
              <w:bottom w:val="single" w:sz="4" w:space="0" w:color="314364" w:themeColor="text2"/>
              <w:right w:val="nil"/>
            </w:tcBorders>
            <w:shd w:val="clear" w:color="auto" w:fill="auto"/>
            <w:vAlign w:val="center"/>
          </w:tcPr>
          <w:p w14:paraId="6B37FDEE" w14:textId="77777777" w:rsidR="001D69DD" w:rsidRPr="000E64B1" w:rsidRDefault="001D69DD" w:rsidP="007D38E1">
            <w:pPr>
              <w:spacing w:after="0" w:line="240" w:lineRule="auto"/>
              <w:ind w:left="-530" w:firstLine="530"/>
              <w:jc w:val="right"/>
              <w:rPr>
                <w:rFonts w:cs="Segoe UI"/>
                <w:b/>
                <w:sz w:val="18"/>
                <w:szCs w:val="18"/>
              </w:rPr>
            </w:pPr>
            <w:r w:rsidRPr="000E64B1">
              <w:rPr>
                <w:b/>
                <w:color w:val="000000"/>
                <w:sz w:val="18"/>
                <w:szCs w:val="18"/>
              </w:rPr>
              <w:t>2 492 298</w:t>
            </w:r>
          </w:p>
        </w:tc>
        <w:tc>
          <w:tcPr>
            <w:tcW w:w="648" w:type="pct"/>
            <w:tcBorders>
              <w:top w:val="single" w:sz="4" w:space="0" w:color="314364" w:themeColor="text2"/>
              <w:left w:val="nil"/>
              <w:bottom w:val="single" w:sz="4" w:space="0" w:color="314364" w:themeColor="text2"/>
              <w:right w:val="nil"/>
            </w:tcBorders>
            <w:shd w:val="clear" w:color="auto" w:fill="auto"/>
            <w:vAlign w:val="center"/>
          </w:tcPr>
          <w:p w14:paraId="5E157132" w14:textId="77777777" w:rsidR="001D69DD" w:rsidRPr="000E64B1" w:rsidRDefault="001D69DD" w:rsidP="007D38E1">
            <w:pPr>
              <w:spacing w:after="0" w:line="240" w:lineRule="auto"/>
              <w:ind w:left="-530" w:firstLine="530"/>
              <w:jc w:val="right"/>
              <w:rPr>
                <w:rFonts w:cs="Segoe UI"/>
                <w:b/>
                <w:sz w:val="18"/>
                <w:szCs w:val="18"/>
              </w:rPr>
            </w:pPr>
            <w:r w:rsidRPr="000E64B1">
              <w:rPr>
                <w:b/>
                <w:color w:val="000000"/>
                <w:sz w:val="18"/>
                <w:szCs w:val="18"/>
              </w:rPr>
              <w:t>-127 570</w:t>
            </w:r>
          </w:p>
        </w:tc>
      </w:tr>
    </w:tbl>
    <w:p w14:paraId="7A1C9983" w14:textId="6D1753AB" w:rsidR="001D69DD" w:rsidRPr="00903940" w:rsidRDefault="00CB5B58" w:rsidP="001D69DD">
      <w:pPr>
        <w:rPr>
          <w:i/>
          <w:color w:val="314364" w:themeColor="text2"/>
          <w:sz w:val="16"/>
          <w:lang w:eastAsia="sk-SK"/>
        </w:rPr>
      </w:pPr>
      <w:r>
        <w:rPr>
          <w:i/>
          <w:color w:val="314364" w:themeColor="text2"/>
          <w:sz w:val="16"/>
          <w:lang w:eastAsia="sk-SK"/>
        </w:rPr>
        <w:t>Zdroj: MF SR.</w:t>
      </w:r>
    </w:p>
    <w:p w14:paraId="3D2BC295" w14:textId="55C59847" w:rsidR="00631AB9" w:rsidRDefault="00631AB9" w:rsidP="00631AB9">
      <w:pPr>
        <w:rPr>
          <w:rFonts w:cs="Segoe UI"/>
          <w:bCs/>
          <w:szCs w:val="20"/>
        </w:rPr>
      </w:pPr>
      <w:r w:rsidRPr="00B628DC">
        <w:rPr>
          <w:rFonts w:cs="Segoe UI"/>
          <w:b/>
          <w:bCs/>
          <w:szCs w:val="20"/>
        </w:rPr>
        <w:t xml:space="preserve">Z hľadiska funkčnej klasifikácie tvorili najväčšiu časť </w:t>
      </w:r>
      <w:r w:rsidRPr="00B51BAF">
        <w:rPr>
          <w:rFonts w:cs="Segoe UI"/>
          <w:bCs/>
          <w:szCs w:val="20"/>
        </w:rPr>
        <w:t>(68,4 %)</w:t>
      </w:r>
      <w:r w:rsidRPr="00B628DC">
        <w:rPr>
          <w:rFonts w:cs="Segoe UI"/>
          <w:b/>
          <w:bCs/>
          <w:szCs w:val="20"/>
        </w:rPr>
        <w:t xml:space="preserve"> z celkových transferov obciam výdavky na vzdelávanie </w:t>
      </w:r>
      <w:r w:rsidRPr="00B51BAF">
        <w:rPr>
          <w:rFonts w:cs="Segoe UI"/>
          <w:bCs/>
          <w:szCs w:val="20"/>
        </w:rPr>
        <w:t>(1,703 mld. eur)</w:t>
      </w:r>
      <w:r>
        <w:rPr>
          <w:rFonts w:cs="Segoe UI"/>
          <w:b/>
          <w:bCs/>
          <w:szCs w:val="20"/>
        </w:rPr>
        <w:t>.</w:t>
      </w:r>
      <w:r>
        <w:rPr>
          <w:rFonts w:cs="Segoe UI"/>
          <w:bCs/>
          <w:szCs w:val="20"/>
        </w:rPr>
        <w:t xml:space="preserve"> Výdavky na sociálne zabezpečenie vo výške 281,5 mil. eur tvorili 11,3 % celkových transferov obciam a do ekonomickej oblasti smerovali transfery vo výške 207 mil. eur (tabuľka </w:t>
      </w:r>
      <w:r w:rsidR="00CB5B58">
        <w:rPr>
          <w:rFonts w:cs="Segoe UI"/>
          <w:bCs/>
          <w:szCs w:val="20"/>
        </w:rPr>
        <w:t>27</w:t>
      </w:r>
      <w:r>
        <w:rPr>
          <w:rFonts w:cs="Segoe UI"/>
          <w:bCs/>
          <w:szCs w:val="20"/>
        </w:rPr>
        <w:t xml:space="preserve">). </w:t>
      </w:r>
    </w:p>
    <w:p w14:paraId="186FC96A" w14:textId="296F2A38" w:rsidR="00CB6FF2" w:rsidRDefault="00CB6FF2" w:rsidP="00631AB9">
      <w:pPr>
        <w:rPr>
          <w:rFonts w:cs="Segoe UI"/>
          <w:bCs/>
          <w:szCs w:val="20"/>
        </w:rPr>
      </w:pPr>
    </w:p>
    <w:p w14:paraId="28B3764B" w14:textId="77777777" w:rsidR="00CB6FF2" w:rsidRDefault="00CB6FF2" w:rsidP="00631AB9">
      <w:pPr>
        <w:rPr>
          <w:rFonts w:cs="Segoe UI"/>
          <w:bCs/>
          <w:szCs w:val="20"/>
        </w:rPr>
      </w:pPr>
    </w:p>
    <w:p w14:paraId="7F0C0ED7" w14:textId="41D36EF3" w:rsidR="007D38E1" w:rsidRPr="008660BB" w:rsidRDefault="007D38E1" w:rsidP="007D38E1">
      <w:pPr>
        <w:spacing w:after="0"/>
        <w:jc w:val="left"/>
        <w:rPr>
          <w:i/>
          <w:color w:val="314364" w:themeColor="text2"/>
          <w:sz w:val="16"/>
          <w:lang w:eastAsia="sk-SK"/>
        </w:rPr>
      </w:pPr>
      <w:r w:rsidRPr="00F86186">
        <w:rPr>
          <w:b/>
          <w:iCs/>
          <w:color w:val="314364"/>
          <w:szCs w:val="18"/>
        </w:rPr>
        <w:t xml:space="preserve">Tabuľka </w:t>
      </w:r>
      <w:r w:rsidR="00CB5B58">
        <w:rPr>
          <w:b/>
          <w:iCs/>
          <w:color w:val="314364"/>
          <w:szCs w:val="18"/>
        </w:rPr>
        <w:t>27</w:t>
      </w:r>
      <w:r w:rsidRPr="00F86186">
        <w:rPr>
          <w:b/>
          <w:iCs/>
          <w:color w:val="314364"/>
          <w:szCs w:val="18"/>
        </w:rPr>
        <w:t>: Transfery obciam podľa funkčnej klasifikácie v rokoch 202</w:t>
      </w:r>
      <w:r>
        <w:rPr>
          <w:b/>
          <w:iCs/>
          <w:color w:val="314364"/>
          <w:szCs w:val="18"/>
        </w:rPr>
        <w:t>2 – </w:t>
      </w:r>
      <w:r w:rsidRPr="00F86186">
        <w:rPr>
          <w:b/>
          <w:iCs/>
          <w:color w:val="314364"/>
          <w:szCs w:val="18"/>
        </w:rPr>
        <w:t>202</w:t>
      </w:r>
      <w:r>
        <w:rPr>
          <w:b/>
          <w:iCs/>
          <w:color w:val="314364"/>
          <w:szCs w:val="18"/>
        </w:rPr>
        <w:t>4 (v eurách)</w:t>
      </w:r>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3024"/>
        <w:gridCol w:w="1511"/>
        <w:gridCol w:w="1787"/>
        <w:gridCol w:w="1649"/>
        <w:gridCol w:w="1099"/>
      </w:tblGrid>
      <w:tr w:rsidR="007D38E1" w:rsidRPr="00CE7BA5" w14:paraId="0929C05B" w14:textId="77777777" w:rsidTr="003D11A6">
        <w:trPr>
          <w:trHeight w:val="300"/>
        </w:trPr>
        <w:tc>
          <w:tcPr>
            <w:tcW w:w="1667" w:type="pct"/>
            <w:shd w:val="clear" w:color="auto" w:fill="314364" w:themeFill="accent1"/>
            <w:noWrap/>
            <w:vAlign w:val="center"/>
            <w:hideMark/>
          </w:tcPr>
          <w:p w14:paraId="0CA25BF3" w14:textId="1DE0DB27" w:rsidR="007D38E1" w:rsidRPr="00CE7BA5" w:rsidRDefault="007D38E1">
            <w:pPr>
              <w:spacing w:after="0" w:line="240" w:lineRule="auto"/>
              <w:jc w:val="left"/>
              <w:rPr>
                <w:rFonts w:eastAsia="Times New Roman" w:cs="Segoe UI"/>
                <w:sz w:val="18"/>
                <w:szCs w:val="18"/>
                <w:lang w:eastAsia="sk-SK"/>
              </w:rPr>
            </w:pPr>
            <w:r>
              <w:rPr>
                <w:rFonts w:eastAsia="Times New Roman" w:cs="Segoe UI"/>
                <w:b/>
                <w:color w:val="FFFFFF" w:themeColor="background1"/>
                <w:sz w:val="18"/>
                <w:szCs w:val="18"/>
                <w:lang w:eastAsia="sk-SK"/>
              </w:rPr>
              <w:t>Oblasť</w:t>
            </w:r>
          </w:p>
        </w:tc>
        <w:tc>
          <w:tcPr>
            <w:tcW w:w="833" w:type="pct"/>
            <w:shd w:val="clear" w:color="auto" w:fill="314364" w:themeFill="accent1"/>
            <w:noWrap/>
            <w:vAlign w:val="center"/>
            <w:hideMark/>
          </w:tcPr>
          <w:p w14:paraId="4BAE26E9" w14:textId="77777777" w:rsidR="007D38E1" w:rsidRPr="00CE7BA5" w:rsidRDefault="007D38E1">
            <w:pPr>
              <w:spacing w:after="0" w:line="240" w:lineRule="auto"/>
              <w:jc w:val="right"/>
              <w:rPr>
                <w:rFonts w:eastAsia="Times New Roman" w:cs="Segoe UI"/>
                <w:color w:val="000000"/>
                <w:sz w:val="18"/>
                <w:szCs w:val="18"/>
                <w:lang w:eastAsia="sk-SK"/>
              </w:rPr>
            </w:pPr>
            <w:r>
              <w:rPr>
                <w:rFonts w:eastAsia="Times New Roman" w:cs="Segoe UI"/>
                <w:b/>
                <w:color w:val="FFFFFF" w:themeColor="background1"/>
                <w:sz w:val="18"/>
                <w:szCs w:val="18"/>
                <w:lang w:eastAsia="sk-SK"/>
              </w:rPr>
              <w:t>2022</w:t>
            </w:r>
            <w:r w:rsidRPr="00CE7BA5">
              <w:rPr>
                <w:rFonts w:eastAsia="Times New Roman" w:cs="Segoe UI"/>
                <w:b/>
                <w:color w:val="FFFFFF" w:themeColor="background1"/>
                <w:sz w:val="18"/>
                <w:szCs w:val="18"/>
                <w:lang w:eastAsia="sk-SK"/>
              </w:rPr>
              <w:t xml:space="preserve"> </w:t>
            </w:r>
          </w:p>
        </w:tc>
        <w:tc>
          <w:tcPr>
            <w:tcW w:w="985" w:type="pct"/>
            <w:shd w:val="clear" w:color="auto" w:fill="314364" w:themeFill="accent1"/>
            <w:noWrap/>
            <w:vAlign w:val="center"/>
            <w:hideMark/>
          </w:tcPr>
          <w:p w14:paraId="731783DF" w14:textId="77777777" w:rsidR="007D38E1" w:rsidRPr="00CE7BA5" w:rsidRDefault="007D38E1">
            <w:pPr>
              <w:spacing w:after="0" w:line="240" w:lineRule="auto"/>
              <w:jc w:val="right"/>
              <w:rPr>
                <w:rFonts w:eastAsia="Times New Roman" w:cs="Segoe UI"/>
                <w:color w:val="000000"/>
                <w:sz w:val="18"/>
                <w:szCs w:val="18"/>
                <w:lang w:eastAsia="sk-SK"/>
              </w:rPr>
            </w:pPr>
            <w:r>
              <w:rPr>
                <w:rFonts w:eastAsia="Times New Roman" w:cs="Segoe UI"/>
                <w:b/>
                <w:color w:val="FFFFFF" w:themeColor="background1"/>
                <w:sz w:val="18"/>
                <w:szCs w:val="18"/>
                <w:lang w:eastAsia="sk-SK"/>
              </w:rPr>
              <w:t>2023</w:t>
            </w:r>
          </w:p>
        </w:tc>
        <w:tc>
          <w:tcPr>
            <w:tcW w:w="909" w:type="pct"/>
            <w:shd w:val="clear" w:color="auto" w:fill="314364" w:themeFill="accent1"/>
            <w:noWrap/>
            <w:vAlign w:val="center"/>
            <w:hideMark/>
          </w:tcPr>
          <w:p w14:paraId="682AE9EF" w14:textId="77777777" w:rsidR="007D38E1" w:rsidRPr="00CE7BA5" w:rsidRDefault="007D38E1">
            <w:pPr>
              <w:spacing w:after="0" w:line="240" w:lineRule="auto"/>
              <w:jc w:val="right"/>
              <w:rPr>
                <w:rFonts w:eastAsia="Times New Roman" w:cs="Segoe UI"/>
                <w:b/>
                <w:bCs/>
                <w:color w:val="000000"/>
                <w:sz w:val="18"/>
                <w:szCs w:val="18"/>
                <w:lang w:eastAsia="sk-SK"/>
              </w:rPr>
            </w:pPr>
            <w:r>
              <w:rPr>
                <w:rFonts w:eastAsia="Times New Roman" w:cs="Segoe UI"/>
                <w:b/>
                <w:color w:val="FFFFFF" w:themeColor="background1"/>
                <w:sz w:val="18"/>
                <w:szCs w:val="18"/>
                <w:lang w:eastAsia="sk-SK"/>
              </w:rPr>
              <w:t>2024</w:t>
            </w:r>
          </w:p>
        </w:tc>
        <w:tc>
          <w:tcPr>
            <w:tcW w:w="606" w:type="pct"/>
            <w:shd w:val="clear" w:color="auto" w:fill="314364" w:themeFill="accent1"/>
            <w:noWrap/>
            <w:vAlign w:val="center"/>
            <w:hideMark/>
          </w:tcPr>
          <w:p w14:paraId="515D73A1" w14:textId="77777777" w:rsidR="007D38E1" w:rsidRPr="00CE7BA5" w:rsidRDefault="007D38E1">
            <w:pPr>
              <w:spacing w:after="0" w:line="240" w:lineRule="auto"/>
              <w:jc w:val="right"/>
              <w:rPr>
                <w:rFonts w:eastAsia="Times New Roman" w:cs="Segoe UI"/>
                <w:b/>
                <w:bCs/>
                <w:color w:val="000000"/>
                <w:sz w:val="18"/>
                <w:szCs w:val="18"/>
                <w:lang w:eastAsia="sk-SK"/>
              </w:rPr>
            </w:pPr>
            <w:proofErr w:type="spellStart"/>
            <w:r w:rsidRPr="00CE7BA5">
              <w:rPr>
                <w:rFonts w:eastAsia="Times New Roman" w:cs="Segoe UI"/>
                <w:b/>
                <w:color w:val="FFFFFF" w:themeColor="background1"/>
                <w:sz w:val="18"/>
                <w:szCs w:val="18"/>
                <w:lang w:eastAsia="sk-SK"/>
              </w:rPr>
              <w:t>YoY</w:t>
            </w:r>
            <w:proofErr w:type="spellEnd"/>
            <w:r w:rsidRPr="00CE7BA5">
              <w:rPr>
                <w:rFonts w:eastAsia="Times New Roman" w:cs="Segoe UI"/>
                <w:b/>
                <w:color w:val="FFFFFF" w:themeColor="background1"/>
                <w:sz w:val="18"/>
                <w:szCs w:val="18"/>
                <w:lang w:eastAsia="sk-SK"/>
              </w:rPr>
              <w:t>/%</w:t>
            </w:r>
          </w:p>
        </w:tc>
      </w:tr>
      <w:tr w:rsidR="007D38E1" w:rsidRPr="00CE7BA5" w14:paraId="1E916771" w14:textId="77777777" w:rsidTr="003D11A6">
        <w:trPr>
          <w:trHeight w:val="300"/>
        </w:trPr>
        <w:tc>
          <w:tcPr>
            <w:tcW w:w="1667" w:type="pct"/>
            <w:shd w:val="clear" w:color="auto" w:fill="auto"/>
            <w:noWrap/>
            <w:vAlign w:val="center"/>
            <w:hideMark/>
          </w:tcPr>
          <w:p w14:paraId="21C526DF" w14:textId="77777777" w:rsidR="007D38E1" w:rsidRPr="00CE7BA5" w:rsidRDefault="007D38E1">
            <w:pPr>
              <w:spacing w:after="0" w:line="240" w:lineRule="auto"/>
              <w:jc w:val="left"/>
              <w:rPr>
                <w:rFonts w:eastAsia="Times New Roman" w:cs="Segoe UI"/>
                <w:color w:val="000000"/>
                <w:sz w:val="18"/>
                <w:szCs w:val="18"/>
                <w:lang w:eastAsia="sk-SK"/>
              </w:rPr>
            </w:pPr>
            <w:r w:rsidRPr="00CE7BA5">
              <w:rPr>
                <w:rFonts w:eastAsia="Times New Roman" w:cs="Segoe UI"/>
                <w:color w:val="000000"/>
                <w:sz w:val="18"/>
                <w:szCs w:val="18"/>
                <w:lang w:eastAsia="sk-SK"/>
              </w:rPr>
              <w:t>Vzdelávanie</w:t>
            </w:r>
          </w:p>
        </w:tc>
        <w:tc>
          <w:tcPr>
            <w:tcW w:w="833" w:type="pct"/>
            <w:shd w:val="clear" w:color="auto" w:fill="auto"/>
            <w:noWrap/>
            <w:vAlign w:val="center"/>
            <w:hideMark/>
          </w:tcPr>
          <w:p w14:paraId="2370FB40" w14:textId="77777777" w:rsidR="007D38E1" w:rsidRPr="00CE7BA5" w:rsidRDefault="007D38E1">
            <w:pPr>
              <w:spacing w:after="0" w:line="240" w:lineRule="auto"/>
              <w:jc w:val="right"/>
              <w:rPr>
                <w:rFonts w:eastAsia="Times New Roman" w:cs="Segoe UI"/>
                <w:sz w:val="18"/>
                <w:szCs w:val="18"/>
                <w:lang w:eastAsia="sk-SK"/>
              </w:rPr>
            </w:pPr>
            <w:r w:rsidRPr="00CE7BA5">
              <w:rPr>
                <w:rFonts w:eastAsia="Times New Roman" w:cs="Segoe UI"/>
                <w:sz w:val="18"/>
                <w:szCs w:val="18"/>
                <w:lang w:eastAsia="sk-SK"/>
              </w:rPr>
              <w:t xml:space="preserve">1 265 977 381 </w:t>
            </w:r>
          </w:p>
        </w:tc>
        <w:tc>
          <w:tcPr>
            <w:tcW w:w="985" w:type="pct"/>
            <w:shd w:val="clear" w:color="auto" w:fill="auto"/>
            <w:noWrap/>
            <w:vAlign w:val="center"/>
            <w:hideMark/>
          </w:tcPr>
          <w:p w14:paraId="40638F9B"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1 457 989 726 </w:t>
            </w:r>
          </w:p>
        </w:tc>
        <w:tc>
          <w:tcPr>
            <w:tcW w:w="909" w:type="pct"/>
            <w:shd w:val="clear" w:color="auto" w:fill="auto"/>
            <w:noWrap/>
            <w:vAlign w:val="center"/>
            <w:hideMark/>
          </w:tcPr>
          <w:p w14:paraId="4689007B"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1 703 799 224 </w:t>
            </w:r>
          </w:p>
        </w:tc>
        <w:tc>
          <w:tcPr>
            <w:tcW w:w="606" w:type="pct"/>
            <w:shd w:val="clear" w:color="auto" w:fill="auto"/>
            <w:noWrap/>
            <w:vAlign w:val="center"/>
            <w:hideMark/>
          </w:tcPr>
          <w:p w14:paraId="10E439FD"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117%</w:t>
            </w:r>
          </w:p>
        </w:tc>
      </w:tr>
      <w:tr w:rsidR="007D38E1" w:rsidRPr="00CE7BA5" w14:paraId="062A6F52" w14:textId="77777777" w:rsidTr="003D11A6">
        <w:trPr>
          <w:trHeight w:val="300"/>
        </w:trPr>
        <w:tc>
          <w:tcPr>
            <w:tcW w:w="1667" w:type="pct"/>
            <w:shd w:val="clear" w:color="auto" w:fill="auto"/>
            <w:noWrap/>
            <w:vAlign w:val="center"/>
          </w:tcPr>
          <w:p w14:paraId="4B3A2D4C" w14:textId="77777777" w:rsidR="007D38E1" w:rsidRPr="00CE7BA5" w:rsidRDefault="007D38E1">
            <w:pPr>
              <w:spacing w:after="0" w:line="240" w:lineRule="auto"/>
              <w:jc w:val="left"/>
              <w:rPr>
                <w:rFonts w:eastAsia="Times New Roman" w:cs="Segoe UI"/>
                <w:color w:val="000000"/>
                <w:sz w:val="18"/>
                <w:szCs w:val="18"/>
                <w:lang w:eastAsia="sk-SK"/>
              </w:rPr>
            </w:pPr>
            <w:r w:rsidRPr="00CE7BA5">
              <w:rPr>
                <w:rFonts w:eastAsia="Times New Roman" w:cs="Segoe UI"/>
                <w:color w:val="000000"/>
                <w:sz w:val="18"/>
                <w:szCs w:val="18"/>
                <w:lang w:eastAsia="sk-SK"/>
              </w:rPr>
              <w:t>Sociálne zabezpečenie</w:t>
            </w:r>
          </w:p>
        </w:tc>
        <w:tc>
          <w:tcPr>
            <w:tcW w:w="833" w:type="pct"/>
            <w:shd w:val="clear" w:color="auto" w:fill="auto"/>
            <w:noWrap/>
            <w:vAlign w:val="center"/>
          </w:tcPr>
          <w:p w14:paraId="11E88EE2" w14:textId="77777777" w:rsidR="007D38E1" w:rsidRPr="00CE7BA5" w:rsidRDefault="007D38E1">
            <w:pPr>
              <w:spacing w:after="0" w:line="240" w:lineRule="auto"/>
              <w:jc w:val="right"/>
              <w:rPr>
                <w:rFonts w:eastAsia="Times New Roman" w:cs="Segoe UI"/>
                <w:sz w:val="18"/>
                <w:szCs w:val="18"/>
                <w:lang w:eastAsia="sk-SK"/>
              </w:rPr>
            </w:pPr>
            <w:r w:rsidRPr="00CE7BA5">
              <w:rPr>
                <w:rFonts w:eastAsia="Times New Roman" w:cs="Segoe UI"/>
                <w:sz w:val="18"/>
                <w:szCs w:val="18"/>
                <w:lang w:eastAsia="sk-SK"/>
              </w:rPr>
              <w:t xml:space="preserve">107 528 301 </w:t>
            </w:r>
          </w:p>
        </w:tc>
        <w:tc>
          <w:tcPr>
            <w:tcW w:w="985" w:type="pct"/>
            <w:shd w:val="clear" w:color="auto" w:fill="auto"/>
            <w:noWrap/>
            <w:vAlign w:val="center"/>
          </w:tcPr>
          <w:p w14:paraId="21BE3883"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221 791 061 </w:t>
            </w:r>
          </w:p>
        </w:tc>
        <w:tc>
          <w:tcPr>
            <w:tcW w:w="909" w:type="pct"/>
            <w:shd w:val="clear" w:color="auto" w:fill="auto"/>
            <w:noWrap/>
            <w:vAlign w:val="center"/>
          </w:tcPr>
          <w:p w14:paraId="198ACD36"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281 537 872 </w:t>
            </w:r>
          </w:p>
        </w:tc>
        <w:tc>
          <w:tcPr>
            <w:tcW w:w="606" w:type="pct"/>
            <w:shd w:val="clear" w:color="auto" w:fill="auto"/>
            <w:noWrap/>
            <w:vAlign w:val="center"/>
          </w:tcPr>
          <w:p w14:paraId="7CEF5F5D"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127%</w:t>
            </w:r>
          </w:p>
        </w:tc>
      </w:tr>
      <w:tr w:rsidR="007D38E1" w:rsidRPr="00CE7BA5" w14:paraId="1EAA9133" w14:textId="77777777" w:rsidTr="003D11A6">
        <w:trPr>
          <w:trHeight w:val="300"/>
        </w:trPr>
        <w:tc>
          <w:tcPr>
            <w:tcW w:w="1667" w:type="pct"/>
            <w:shd w:val="clear" w:color="auto" w:fill="auto"/>
            <w:noWrap/>
            <w:vAlign w:val="center"/>
            <w:hideMark/>
          </w:tcPr>
          <w:p w14:paraId="24FD4C12" w14:textId="77777777" w:rsidR="007D38E1" w:rsidRPr="00CE7BA5" w:rsidRDefault="007D38E1">
            <w:pPr>
              <w:spacing w:after="0" w:line="240" w:lineRule="auto"/>
              <w:jc w:val="left"/>
              <w:rPr>
                <w:rFonts w:eastAsia="Times New Roman" w:cs="Segoe UI"/>
                <w:color w:val="000000"/>
                <w:sz w:val="18"/>
                <w:szCs w:val="18"/>
                <w:lang w:eastAsia="sk-SK"/>
              </w:rPr>
            </w:pPr>
            <w:r w:rsidRPr="00CE7BA5">
              <w:rPr>
                <w:rFonts w:eastAsia="Times New Roman" w:cs="Segoe UI"/>
                <w:color w:val="000000"/>
                <w:sz w:val="18"/>
                <w:szCs w:val="18"/>
                <w:lang w:eastAsia="sk-SK"/>
              </w:rPr>
              <w:t>Ekonomická oblasť</w:t>
            </w:r>
          </w:p>
        </w:tc>
        <w:tc>
          <w:tcPr>
            <w:tcW w:w="833" w:type="pct"/>
            <w:shd w:val="clear" w:color="auto" w:fill="auto"/>
            <w:noWrap/>
            <w:vAlign w:val="center"/>
            <w:hideMark/>
          </w:tcPr>
          <w:p w14:paraId="245C199F" w14:textId="77777777" w:rsidR="007D38E1" w:rsidRPr="00CE7BA5" w:rsidRDefault="007D38E1">
            <w:pPr>
              <w:spacing w:after="0" w:line="240" w:lineRule="auto"/>
              <w:jc w:val="right"/>
              <w:rPr>
                <w:rFonts w:eastAsia="Times New Roman" w:cs="Segoe UI"/>
                <w:sz w:val="18"/>
                <w:szCs w:val="18"/>
                <w:lang w:eastAsia="sk-SK"/>
              </w:rPr>
            </w:pPr>
            <w:r w:rsidRPr="00CE7BA5">
              <w:rPr>
                <w:rFonts w:eastAsia="Times New Roman" w:cs="Segoe UI"/>
                <w:sz w:val="18"/>
                <w:szCs w:val="18"/>
                <w:lang w:eastAsia="sk-SK"/>
              </w:rPr>
              <w:t xml:space="preserve">113 438 840 </w:t>
            </w:r>
          </w:p>
        </w:tc>
        <w:tc>
          <w:tcPr>
            <w:tcW w:w="985" w:type="pct"/>
            <w:shd w:val="clear" w:color="auto" w:fill="auto"/>
            <w:noWrap/>
            <w:vAlign w:val="center"/>
            <w:hideMark/>
          </w:tcPr>
          <w:p w14:paraId="7C4F9C62"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430 027 727 </w:t>
            </w:r>
          </w:p>
        </w:tc>
        <w:tc>
          <w:tcPr>
            <w:tcW w:w="909" w:type="pct"/>
            <w:shd w:val="clear" w:color="auto" w:fill="auto"/>
            <w:noWrap/>
            <w:vAlign w:val="center"/>
            <w:hideMark/>
          </w:tcPr>
          <w:p w14:paraId="152F6194"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207 068 649 </w:t>
            </w:r>
          </w:p>
        </w:tc>
        <w:tc>
          <w:tcPr>
            <w:tcW w:w="606" w:type="pct"/>
            <w:shd w:val="clear" w:color="auto" w:fill="auto"/>
            <w:noWrap/>
            <w:vAlign w:val="center"/>
            <w:hideMark/>
          </w:tcPr>
          <w:p w14:paraId="55BF158C"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48%</w:t>
            </w:r>
          </w:p>
        </w:tc>
      </w:tr>
      <w:tr w:rsidR="007D38E1" w:rsidRPr="00CE7BA5" w14:paraId="66D86F69" w14:textId="77777777" w:rsidTr="003D11A6">
        <w:trPr>
          <w:trHeight w:val="300"/>
        </w:trPr>
        <w:tc>
          <w:tcPr>
            <w:tcW w:w="1667" w:type="pct"/>
            <w:shd w:val="clear" w:color="auto" w:fill="auto"/>
            <w:noWrap/>
            <w:vAlign w:val="center"/>
            <w:hideMark/>
          </w:tcPr>
          <w:p w14:paraId="1091163D" w14:textId="77777777" w:rsidR="007D38E1" w:rsidRPr="00CE7BA5" w:rsidRDefault="007D38E1">
            <w:pPr>
              <w:spacing w:after="0" w:line="240" w:lineRule="auto"/>
              <w:jc w:val="left"/>
              <w:rPr>
                <w:rFonts w:eastAsia="Times New Roman" w:cs="Segoe UI"/>
                <w:color w:val="000000"/>
                <w:sz w:val="18"/>
                <w:szCs w:val="18"/>
                <w:lang w:eastAsia="sk-SK"/>
              </w:rPr>
            </w:pPr>
            <w:r w:rsidRPr="00CE7BA5">
              <w:rPr>
                <w:rFonts w:eastAsia="Times New Roman" w:cs="Segoe UI"/>
                <w:color w:val="000000"/>
                <w:sz w:val="18"/>
                <w:szCs w:val="18"/>
                <w:lang w:eastAsia="sk-SK"/>
              </w:rPr>
              <w:t>Bývanie a obč. vyb</w:t>
            </w:r>
            <w:r>
              <w:rPr>
                <w:rFonts w:eastAsia="Times New Roman" w:cs="Segoe UI"/>
                <w:color w:val="000000"/>
                <w:sz w:val="18"/>
                <w:szCs w:val="18"/>
                <w:lang w:eastAsia="sk-SK"/>
              </w:rPr>
              <w:t>avenie</w:t>
            </w:r>
          </w:p>
        </w:tc>
        <w:tc>
          <w:tcPr>
            <w:tcW w:w="833" w:type="pct"/>
            <w:shd w:val="clear" w:color="auto" w:fill="auto"/>
            <w:noWrap/>
            <w:vAlign w:val="center"/>
            <w:hideMark/>
          </w:tcPr>
          <w:p w14:paraId="290EEB4B" w14:textId="77777777" w:rsidR="007D38E1" w:rsidRPr="00CE7BA5" w:rsidRDefault="007D38E1">
            <w:pPr>
              <w:spacing w:after="0" w:line="240" w:lineRule="auto"/>
              <w:jc w:val="right"/>
              <w:rPr>
                <w:rFonts w:eastAsia="Times New Roman" w:cs="Segoe UI"/>
                <w:sz w:val="18"/>
                <w:szCs w:val="18"/>
                <w:lang w:eastAsia="sk-SK"/>
              </w:rPr>
            </w:pPr>
            <w:r w:rsidRPr="00CE7BA5">
              <w:rPr>
                <w:rFonts w:eastAsia="Times New Roman" w:cs="Segoe UI"/>
                <w:sz w:val="18"/>
                <w:szCs w:val="18"/>
                <w:lang w:eastAsia="sk-SK"/>
              </w:rPr>
              <w:t xml:space="preserve">41 365 907 </w:t>
            </w:r>
          </w:p>
        </w:tc>
        <w:tc>
          <w:tcPr>
            <w:tcW w:w="985" w:type="pct"/>
            <w:shd w:val="clear" w:color="auto" w:fill="auto"/>
            <w:noWrap/>
            <w:vAlign w:val="center"/>
            <w:hideMark/>
          </w:tcPr>
          <w:p w14:paraId="3C655A83"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188 610 800 </w:t>
            </w:r>
          </w:p>
        </w:tc>
        <w:tc>
          <w:tcPr>
            <w:tcW w:w="909" w:type="pct"/>
            <w:shd w:val="clear" w:color="auto" w:fill="auto"/>
            <w:noWrap/>
            <w:vAlign w:val="center"/>
            <w:hideMark/>
          </w:tcPr>
          <w:p w14:paraId="174E2B42"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153 882 076 </w:t>
            </w:r>
          </w:p>
        </w:tc>
        <w:tc>
          <w:tcPr>
            <w:tcW w:w="606" w:type="pct"/>
            <w:shd w:val="clear" w:color="auto" w:fill="auto"/>
            <w:noWrap/>
            <w:vAlign w:val="center"/>
            <w:hideMark/>
          </w:tcPr>
          <w:p w14:paraId="2CDE4A62"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82%</w:t>
            </w:r>
          </w:p>
        </w:tc>
      </w:tr>
      <w:tr w:rsidR="007D38E1" w:rsidRPr="00CE7BA5" w14:paraId="67421E77" w14:textId="77777777" w:rsidTr="003D11A6">
        <w:trPr>
          <w:trHeight w:val="300"/>
        </w:trPr>
        <w:tc>
          <w:tcPr>
            <w:tcW w:w="1667" w:type="pct"/>
            <w:shd w:val="clear" w:color="auto" w:fill="auto"/>
            <w:noWrap/>
            <w:vAlign w:val="center"/>
          </w:tcPr>
          <w:p w14:paraId="1836F8DF" w14:textId="77777777" w:rsidR="007D38E1" w:rsidRPr="00CE7BA5" w:rsidRDefault="007D38E1">
            <w:pPr>
              <w:spacing w:after="0" w:line="240" w:lineRule="auto"/>
              <w:jc w:val="left"/>
              <w:rPr>
                <w:rFonts w:eastAsia="Times New Roman" w:cs="Segoe UI"/>
                <w:color w:val="000000"/>
                <w:sz w:val="18"/>
                <w:szCs w:val="18"/>
                <w:lang w:eastAsia="sk-SK"/>
              </w:rPr>
            </w:pPr>
            <w:r w:rsidRPr="00CE7BA5">
              <w:rPr>
                <w:rFonts w:eastAsia="Times New Roman" w:cs="Segoe UI"/>
                <w:color w:val="000000"/>
                <w:sz w:val="18"/>
                <w:szCs w:val="18"/>
                <w:lang w:eastAsia="sk-SK"/>
              </w:rPr>
              <w:t>Všeobecné verejné služby</w:t>
            </w:r>
          </w:p>
        </w:tc>
        <w:tc>
          <w:tcPr>
            <w:tcW w:w="833" w:type="pct"/>
            <w:shd w:val="clear" w:color="auto" w:fill="auto"/>
            <w:noWrap/>
            <w:vAlign w:val="center"/>
          </w:tcPr>
          <w:p w14:paraId="0FF641CE" w14:textId="77777777" w:rsidR="007D38E1" w:rsidRPr="00CE7BA5" w:rsidRDefault="007D38E1">
            <w:pPr>
              <w:spacing w:after="0" w:line="240" w:lineRule="auto"/>
              <w:jc w:val="right"/>
              <w:rPr>
                <w:rFonts w:eastAsia="Times New Roman" w:cs="Segoe UI"/>
                <w:sz w:val="18"/>
                <w:szCs w:val="18"/>
                <w:lang w:eastAsia="sk-SK"/>
              </w:rPr>
            </w:pPr>
            <w:r w:rsidRPr="00CE7BA5">
              <w:rPr>
                <w:rFonts w:eastAsia="Times New Roman" w:cs="Segoe UI"/>
                <w:sz w:val="18"/>
                <w:szCs w:val="18"/>
                <w:lang w:eastAsia="sk-SK"/>
              </w:rPr>
              <w:t xml:space="preserve">105 775 084 </w:t>
            </w:r>
          </w:p>
        </w:tc>
        <w:tc>
          <w:tcPr>
            <w:tcW w:w="985" w:type="pct"/>
            <w:shd w:val="clear" w:color="auto" w:fill="auto"/>
            <w:noWrap/>
            <w:vAlign w:val="center"/>
          </w:tcPr>
          <w:p w14:paraId="7547378D"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152 462 340 </w:t>
            </w:r>
          </w:p>
        </w:tc>
        <w:tc>
          <w:tcPr>
            <w:tcW w:w="909" w:type="pct"/>
            <w:shd w:val="clear" w:color="auto" w:fill="auto"/>
            <w:noWrap/>
            <w:vAlign w:val="center"/>
          </w:tcPr>
          <w:p w14:paraId="482B1382"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103 702 435 </w:t>
            </w:r>
          </w:p>
        </w:tc>
        <w:tc>
          <w:tcPr>
            <w:tcW w:w="606" w:type="pct"/>
            <w:shd w:val="clear" w:color="auto" w:fill="auto"/>
            <w:noWrap/>
            <w:vAlign w:val="center"/>
          </w:tcPr>
          <w:p w14:paraId="379842A9"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68%</w:t>
            </w:r>
          </w:p>
        </w:tc>
      </w:tr>
      <w:tr w:rsidR="007D38E1" w:rsidRPr="00CE7BA5" w14:paraId="72D9CB08" w14:textId="77777777" w:rsidTr="003D11A6">
        <w:trPr>
          <w:trHeight w:val="315"/>
        </w:trPr>
        <w:tc>
          <w:tcPr>
            <w:tcW w:w="1667" w:type="pct"/>
            <w:shd w:val="clear" w:color="auto" w:fill="auto"/>
            <w:noWrap/>
            <w:vAlign w:val="center"/>
            <w:hideMark/>
          </w:tcPr>
          <w:p w14:paraId="6E97A999" w14:textId="77777777" w:rsidR="007D38E1" w:rsidRPr="00CE7BA5" w:rsidRDefault="007D38E1">
            <w:pPr>
              <w:spacing w:after="0" w:line="240" w:lineRule="auto"/>
              <w:jc w:val="left"/>
              <w:rPr>
                <w:rFonts w:eastAsia="Times New Roman" w:cs="Segoe UI"/>
                <w:color w:val="000000"/>
                <w:sz w:val="18"/>
                <w:szCs w:val="18"/>
                <w:lang w:eastAsia="sk-SK"/>
              </w:rPr>
            </w:pPr>
            <w:r w:rsidRPr="00CE7BA5">
              <w:rPr>
                <w:rFonts w:eastAsia="Times New Roman" w:cs="Segoe UI"/>
                <w:color w:val="000000"/>
                <w:sz w:val="18"/>
                <w:szCs w:val="18"/>
                <w:lang w:eastAsia="sk-SK"/>
              </w:rPr>
              <w:t>Ochrana životného prostredia</w:t>
            </w:r>
          </w:p>
        </w:tc>
        <w:tc>
          <w:tcPr>
            <w:tcW w:w="833" w:type="pct"/>
            <w:shd w:val="clear" w:color="auto" w:fill="auto"/>
            <w:noWrap/>
            <w:vAlign w:val="center"/>
            <w:hideMark/>
          </w:tcPr>
          <w:p w14:paraId="4B5241C6" w14:textId="77777777" w:rsidR="007D38E1" w:rsidRPr="00CE7BA5" w:rsidRDefault="007D38E1">
            <w:pPr>
              <w:spacing w:after="0" w:line="240" w:lineRule="auto"/>
              <w:jc w:val="right"/>
              <w:rPr>
                <w:rFonts w:eastAsia="Times New Roman" w:cs="Segoe UI"/>
                <w:sz w:val="18"/>
                <w:szCs w:val="18"/>
                <w:lang w:eastAsia="sk-SK"/>
              </w:rPr>
            </w:pPr>
            <w:r w:rsidRPr="00CE7BA5">
              <w:rPr>
                <w:rFonts w:eastAsia="Times New Roman" w:cs="Segoe UI"/>
                <w:sz w:val="18"/>
                <w:szCs w:val="18"/>
                <w:lang w:eastAsia="sk-SK"/>
              </w:rPr>
              <w:t xml:space="preserve">52 786 973 </w:t>
            </w:r>
          </w:p>
        </w:tc>
        <w:tc>
          <w:tcPr>
            <w:tcW w:w="985" w:type="pct"/>
            <w:shd w:val="clear" w:color="auto" w:fill="auto"/>
            <w:noWrap/>
            <w:vAlign w:val="center"/>
            <w:hideMark/>
          </w:tcPr>
          <w:p w14:paraId="2DB2380D"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156 636 484 </w:t>
            </w:r>
          </w:p>
        </w:tc>
        <w:tc>
          <w:tcPr>
            <w:tcW w:w="909" w:type="pct"/>
            <w:shd w:val="clear" w:color="auto" w:fill="auto"/>
            <w:noWrap/>
            <w:vAlign w:val="center"/>
            <w:hideMark/>
          </w:tcPr>
          <w:p w14:paraId="291D0C83"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31 571 838 </w:t>
            </w:r>
          </w:p>
        </w:tc>
        <w:tc>
          <w:tcPr>
            <w:tcW w:w="606" w:type="pct"/>
            <w:shd w:val="clear" w:color="auto" w:fill="auto"/>
            <w:noWrap/>
            <w:vAlign w:val="center"/>
            <w:hideMark/>
          </w:tcPr>
          <w:p w14:paraId="5A75C37F"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20%</w:t>
            </w:r>
          </w:p>
        </w:tc>
      </w:tr>
      <w:tr w:rsidR="007D38E1" w:rsidRPr="00CE7BA5" w14:paraId="5CFCA8E7" w14:textId="77777777" w:rsidTr="003D11A6">
        <w:trPr>
          <w:trHeight w:val="300"/>
        </w:trPr>
        <w:tc>
          <w:tcPr>
            <w:tcW w:w="1667" w:type="pct"/>
            <w:shd w:val="clear" w:color="auto" w:fill="auto"/>
            <w:noWrap/>
            <w:vAlign w:val="center"/>
            <w:hideMark/>
          </w:tcPr>
          <w:p w14:paraId="284EE154" w14:textId="77777777" w:rsidR="007D38E1" w:rsidRPr="00CE7BA5" w:rsidRDefault="007D38E1">
            <w:pPr>
              <w:spacing w:after="0" w:line="240" w:lineRule="auto"/>
              <w:jc w:val="left"/>
              <w:rPr>
                <w:rFonts w:eastAsia="Times New Roman" w:cs="Segoe UI"/>
                <w:color w:val="000000"/>
                <w:sz w:val="18"/>
                <w:szCs w:val="18"/>
                <w:lang w:eastAsia="sk-SK"/>
              </w:rPr>
            </w:pPr>
            <w:r w:rsidRPr="00CE7BA5">
              <w:rPr>
                <w:rFonts w:eastAsia="Times New Roman" w:cs="Segoe UI"/>
                <w:color w:val="000000"/>
                <w:sz w:val="18"/>
                <w:szCs w:val="18"/>
                <w:lang w:eastAsia="sk-SK"/>
              </w:rPr>
              <w:t>Rekreácia, kultúra, nábož</w:t>
            </w:r>
            <w:r>
              <w:rPr>
                <w:rFonts w:eastAsia="Times New Roman" w:cs="Segoe UI"/>
                <w:color w:val="000000"/>
                <w:sz w:val="18"/>
                <w:szCs w:val="18"/>
                <w:lang w:eastAsia="sk-SK"/>
              </w:rPr>
              <w:t>enstvo</w:t>
            </w:r>
          </w:p>
        </w:tc>
        <w:tc>
          <w:tcPr>
            <w:tcW w:w="833" w:type="pct"/>
            <w:shd w:val="clear" w:color="auto" w:fill="auto"/>
            <w:noWrap/>
            <w:vAlign w:val="center"/>
            <w:hideMark/>
          </w:tcPr>
          <w:p w14:paraId="75270AE2" w14:textId="77777777" w:rsidR="007D38E1" w:rsidRPr="00CE7BA5" w:rsidRDefault="007D38E1">
            <w:pPr>
              <w:spacing w:after="0" w:line="240" w:lineRule="auto"/>
              <w:jc w:val="right"/>
              <w:rPr>
                <w:rFonts w:eastAsia="Times New Roman" w:cs="Segoe UI"/>
                <w:sz w:val="18"/>
                <w:szCs w:val="18"/>
                <w:lang w:eastAsia="sk-SK"/>
              </w:rPr>
            </w:pPr>
            <w:r w:rsidRPr="00CE7BA5">
              <w:rPr>
                <w:rFonts w:eastAsia="Times New Roman" w:cs="Segoe UI"/>
                <w:sz w:val="18"/>
                <w:szCs w:val="18"/>
                <w:lang w:eastAsia="sk-SK"/>
              </w:rPr>
              <w:t xml:space="preserve"> 4 444 335 </w:t>
            </w:r>
          </w:p>
        </w:tc>
        <w:tc>
          <w:tcPr>
            <w:tcW w:w="985" w:type="pct"/>
            <w:shd w:val="clear" w:color="auto" w:fill="auto"/>
            <w:noWrap/>
            <w:vAlign w:val="center"/>
            <w:hideMark/>
          </w:tcPr>
          <w:p w14:paraId="75D98938"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3 656 920 </w:t>
            </w:r>
          </w:p>
        </w:tc>
        <w:tc>
          <w:tcPr>
            <w:tcW w:w="909" w:type="pct"/>
            <w:shd w:val="clear" w:color="auto" w:fill="auto"/>
            <w:noWrap/>
            <w:vAlign w:val="center"/>
            <w:hideMark/>
          </w:tcPr>
          <w:p w14:paraId="357212C5"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5 552 159 </w:t>
            </w:r>
          </w:p>
        </w:tc>
        <w:tc>
          <w:tcPr>
            <w:tcW w:w="606" w:type="pct"/>
            <w:shd w:val="clear" w:color="auto" w:fill="auto"/>
            <w:noWrap/>
            <w:vAlign w:val="center"/>
            <w:hideMark/>
          </w:tcPr>
          <w:p w14:paraId="7446D8EB"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152%</w:t>
            </w:r>
          </w:p>
        </w:tc>
      </w:tr>
      <w:tr w:rsidR="007D38E1" w:rsidRPr="00CE7BA5" w14:paraId="1F62BF8F" w14:textId="77777777" w:rsidTr="003D11A6">
        <w:trPr>
          <w:trHeight w:val="300"/>
        </w:trPr>
        <w:tc>
          <w:tcPr>
            <w:tcW w:w="1667" w:type="pct"/>
            <w:tcBorders>
              <w:bottom w:val="nil"/>
            </w:tcBorders>
            <w:shd w:val="clear" w:color="auto" w:fill="auto"/>
            <w:noWrap/>
            <w:vAlign w:val="center"/>
            <w:hideMark/>
          </w:tcPr>
          <w:p w14:paraId="63E897BB" w14:textId="77777777" w:rsidR="007D38E1" w:rsidRPr="00CE7BA5" w:rsidRDefault="007D38E1">
            <w:pPr>
              <w:spacing w:after="0" w:line="240" w:lineRule="auto"/>
              <w:jc w:val="left"/>
              <w:rPr>
                <w:rFonts w:eastAsia="Times New Roman" w:cs="Segoe UI"/>
                <w:color w:val="000000"/>
                <w:sz w:val="18"/>
                <w:szCs w:val="18"/>
                <w:lang w:eastAsia="sk-SK"/>
              </w:rPr>
            </w:pPr>
            <w:r w:rsidRPr="00CE7BA5">
              <w:rPr>
                <w:rFonts w:eastAsia="Times New Roman" w:cs="Segoe UI"/>
                <w:color w:val="000000"/>
                <w:sz w:val="18"/>
                <w:szCs w:val="18"/>
                <w:lang w:eastAsia="sk-SK"/>
              </w:rPr>
              <w:t>Verejný poriadok a bezpečnosť</w:t>
            </w:r>
          </w:p>
        </w:tc>
        <w:tc>
          <w:tcPr>
            <w:tcW w:w="833" w:type="pct"/>
            <w:tcBorders>
              <w:bottom w:val="nil"/>
            </w:tcBorders>
            <w:shd w:val="clear" w:color="auto" w:fill="auto"/>
            <w:noWrap/>
            <w:vAlign w:val="center"/>
            <w:hideMark/>
          </w:tcPr>
          <w:p w14:paraId="6D11DDC3" w14:textId="77777777" w:rsidR="007D38E1" w:rsidRPr="00CE7BA5" w:rsidRDefault="007D38E1">
            <w:pPr>
              <w:spacing w:after="0" w:line="240" w:lineRule="auto"/>
              <w:jc w:val="right"/>
              <w:rPr>
                <w:rFonts w:eastAsia="Times New Roman" w:cs="Segoe UI"/>
                <w:sz w:val="18"/>
                <w:szCs w:val="18"/>
                <w:lang w:eastAsia="sk-SK"/>
              </w:rPr>
            </w:pPr>
            <w:r w:rsidRPr="00CE7BA5">
              <w:rPr>
                <w:rFonts w:eastAsia="Times New Roman" w:cs="Segoe UI"/>
                <w:sz w:val="18"/>
                <w:szCs w:val="18"/>
                <w:lang w:eastAsia="sk-SK"/>
              </w:rPr>
              <w:t xml:space="preserve"> 10 575 096 </w:t>
            </w:r>
          </w:p>
        </w:tc>
        <w:tc>
          <w:tcPr>
            <w:tcW w:w="985" w:type="pct"/>
            <w:tcBorders>
              <w:bottom w:val="nil"/>
            </w:tcBorders>
            <w:shd w:val="clear" w:color="auto" w:fill="auto"/>
            <w:noWrap/>
            <w:vAlign w:val="center"/>
            <w:hideMark/>
          </w:tcPr>
          <w:p w14:paraId="61757334"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8 179 506 </w:t>
            </w:r>
          </w:p>
        </w:tc>
        <w:tc>
          <w:tcPr>
            <w:tcW w:w="909" w:type="pct"/>
            <w:tcBorders>
              <w:bottom w:val="nil"/>
            </w:tcBorders>
            <w:shd w:val="clear" w:color="auto" w:fill="auto"/>
            <w:noWrap/>
            <w:vAlign w:val="center"/>
            <w:hideMark/>
          </w:tcPr>
          <w:p w14:paraId="71D18B59"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5 044 887 </w:t>
            </w:r>
          </w:p>
        </w:tc>
        <w:tc>
          <w:tcPr>
            <w:tcW w:w="606" w:type="pct"/>
            <w:tcBorders>
              <w:bottom w:val="nil"/>
            </w:tcBorders>
            <w:shd w:val="clear" w:color="auto" w:fill="auto"/>
            <w:noWrap/>
            <w:vAlign w:val="center"/>
            <w:hideMark/>
          </w:tcPr>
          <w:p w14:paraId="0EDBC009"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62%</w:t>
            </w:r>
          </w:p>
        </w:tc>
      </w:tr>
      <w:tr w:rsidR="007D38E1" w:rsidRPr="00CE7BA5" w14:paraId="77CB1BB6" w14:textId="77777777" w:rsidTr="003D11A6">
        <w:trPr>
          <w:trHeight w:val="300"/>
        </w:trPr>
        <w:tc>
          <w:tcPr>
            <w:tcW w:w="1667" w:type="pct"/>
            <w:tcBorders>
              <w:bottom w:val="single" w:sz="4" w:space="0" w:color="314364" w:themeColor="text2"/>
            </w:tcBorders>
            <w:shd w:val="clear" w:color="auto" w:fill="auto"/>
            <w:noWrap/>
            <w:vAlign w:val="center"/>
            <w:hideMark/>
          </w:tcPr>
          <w:p w14:paraId="2A5BA3D2" w14:textId="77777777" w:rsidR="007D38E1" w:rsidRPr="00CE7BA5" w:rsidRDefault="007D38E1">
            <w:pPr>
              <w:spacing w:after="0" w:line="240" w:lineRule="auto"/>
              <w:jc w:val="left"/>
              <w:rPr>
                <w:rFonts w:eastAsia="Times New Roman" w:cs="Segoe UI"/>
                <w:color w:val="000000"/>
                <w:sz w:val="18"/>
                <w:szCs w:val="18"/>
                <w:lang w:eastAsia="sk-SK"/>
              </w:rPr>
            </w:pPr>
            <w:r w:rsidRPr="00CE7BA5">
              <w:rPr>
                <w:rFonts w:eastAsia="Times New Roman" w:cs="Segoe UI"/>
                <w:color w:val="000000"/>
                <w:sz w:val="18"/>
                <w:szCs w:val="18"/>
                <w:lang w:eastAsia="sk-SK"/>
              </w:rPr>
              <w:t>Zdravotníctvo</w:t>
            </w:r>
          </w:p>
        </w:tc>
        <w:tc>
          <w:tcPr>
            <w:tcW w:w="833" w:type="pct"/>
            <w:tcBorders>
              <w:bottom w:val="single" w:sz="4" w:space="0" w:color="314364" w:themeColor="text2"/>
            </w:tcBorders>
            <w:shd w:val="clear" w:color="auto" w:fill="auto"/>
            <w:noWrap/>
            <w:vAlign w:val="center"/>
            <w:hideMark/>
          </w:tcPr>
          <w:p w14:paraId="18A88516" w14:textId="77777777" w:rsidR="007D38E1" w:rsidRPr="00CE7BA5" w:rsidRDefault="007D38E1">
            <w:pPr>
              <w:spacing w:after="0" w:line="240" w:lineRule="auto"/>
              <w:jc w:val="right"/>
              <w:rPr>
                <w:rFonts w:eastAsia="Times New Roman" w:cs="Segoe UI"/>
                <w:sz w:val="18"/>
                <w:szCs w:val="18"/>
                <w:lang w:eastAsia="sk-SK"/>
              </w:rPr>
            </w:pPr>
            <w:r w:rsidRPr="00CE7BA5">
              <w:rPr>
                <w:rFonts w:eastAsia="Times New Roman" w:cs="Segoe UI"/>
                <w:sz w:val="18"/>
                <w:szCs w:val="18"/>
                <w:lang w:eastAsia="sk-SK"/>
              </w:rPr>
              <w:t xml:space="preserve">       -   </w:t>
            </w:r>
          </w:p>
        </w:tc>
        <w:tc>
          <w:tcPr>
            <w:tcW w:w="985" w:type="pct"/>
            <w:tcBorders>
              <w:bottom w:val="single" w:sz="4" w:space="0" w:color="314364" w:themeColor="text2"/>
            </w:tcBorders>
            <w:shd w:val="clear" w:color="auto" w:fill="auto"/>
            <w:noWrap/>
            <w:vAlign w:val="center"/>
            <w:hideMark/>
          </w:tcPr>
          <w:p w14:paraId="14064FA6"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513 398 </w:t>
            </w:r>
          </w:p>
        </w:tc>
        <w:tc>
          <w:tcPr>
            <w:tcW w:w="909" w:type="pct"/>
            <w:tcBorders>
              <w:bottom w:val="single" w:sz="4" w:space="0" w:color="314364" w:themeColor="text2"/>
            </w:tcBorders>
            <w:shd w:val="clear" w:color="auto" w:fill="auto"/>
            <w:noWrap/>
            <w:vAlign w:val="center"/>
            <w:hideMark/>
          </w:tcPr>
          <w:p w14:paraId="512A3EB0"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 xml:space="preserve">138 949 </w:t>
            </w:r>
          </w:p>
        </w:tc>
        <w:tc>
          <w:tcPr>
            <w:tcW w:w="606" w:type="pct"/>
            <w:tcBorders>
              <w:bottom w:val="single" w:sz="4" w:space="0" w:color="314364" w:themeColor="text2"/>
            </w:tcBorders>
            <w:shd w:val="clear" w:color="auto" w:fill="auto"/>
            <w:noWrap/>
            <w:vAlign w:val="center"/>
            <w:hideMark/>
          </w:tcPr>
          <w:p w14:paraId="5CB3C64B"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27%</w:t>
            </w:r>
          </w:p>
        </w:tc>
      </w:tr>
      <w:tr w:rsidR="007D38E1" w:rsidRPr="00CE7BA5" w14:paraId="31B1160B" w14:textId="77777777" w:rsidTr="003D11A6">
        <w:trPr>
          <w:trHeight w:val="300"/>
        </w:trPr>
        <w:tc>
          <w:tcPr>
            <w:tcW w:w="1667" w:type="pct"/>
            <w:tcBorders>
              <w:top w:val="single" w:sz="4" w:space="0" w:color="314364" w:themeColor="text2"/>
            </w:tcBorders>
            <w:shd w:val="clear" w:color="auto" w:fill="auto"/>
            <w:noWrap/>
            <w:vAlign w:val="center"/>
            <w:hideMark/>
          </w:tcPr>
          <w:p w14:paraId="45F3079C" w14:textId="77777777" w:rsidR="007D38E1" w:rsidRPr="00CE7BA5" w:rsidRDefault="007D38E1">
            <w:pPr>
              <w:spacing w:after="0" w:line="240" w:lineRule="auto"/>
              <w:jc w:val="left"/>
              <w:rPr>
                <w:rFonts w:eastAsia="Times New Roman" w:cs="Segoe UI"/>
                <w:b/>
                <w:bCs/>
                <w:color w:val="000000"/>
                <w:sz w:val="18"/>
                <w:szCs w:val="18"/>
                <w:lang w:eastAsia="sk-SK"/>
              </w:rPr>
            </w:pPr>
            <w:r w:rsidRPr="00CE7BA5">
              <w:rPr>
                <w:rFonts w:eastAsia="Times New Roman" w:cs="Segoe UI"/>
                <w:b/>
                <w:bCs/>
                <w:color w:val="000000"/>
                <w:sz w:val="18"/>
                <w:szCs w:val="18"/>
                <w:lang w:eastAsia="sk-SK"/>
              </w:rPr>
              <w:t>SPOLU</w:t>
            </w:r>
          </w:p>
        </w:tc>
        <w:tc>
          <w:tcPr>
            <w:tcW w:w="833" w:type="pct"/>
            <w:tcBorders>
              <w:top w:val="single" w:sz="4" w:space="0" w:color="314364" w:themeColor="text2"/>
            </w:tcBorders>
            <w:shd w:val="clear" w:color="auto" w:fill="auto"/>
            <w:noWrap/>
            <w:vAlign w:val="center"/>
            <w:hideMark/>
          </w:tcPr>
          <w:p w14:paraId="1777B421" w14:textId="77777777" w:rsidR="007D38E1" w:rsidRPr="00CE7BA5" w:rsidRDefault="007D38E1">
            <w:pPr>
              <w:spacing w:after="0" w:line="240" w:lineRule="auto"/>
              <w:jc w:val="right"/>
              <w:rPr>
                <w:rFonts w:eastAsia="Times New Roman" w:cs="Segoe UI"/>
                <w:b/>
                <w:bCs/>
                <w:sz w:val="18"/>
                <w:szCs w:val="18"/>
                <w:lang w:eastAsia="sk-SK"/>
              </w:rPr>
            </w:pPr>
            <w:r w:rsidRPr="00CE7BA5">
              <w:rPr>
                <w:rFonts w:eastAsia="Times New Roman" w:cs="Segoe UI"/>
                <w:b/>
                <w:bCs/>
                <w:sz w:val="18"/>
                <w:szCs w:val="18"/>
                <w:lang w:eastAsia="sk-SK"/>
              </w:rPr>
              <w:t xml:space="preserve"> 1 701 891 917 </w:t>
            </w:r>
          </w:p>
        </w:tc>
        <w:tc>
          <w:tcPr>
            <w:tcW w:w="985" w:type="pct"/>
            <w:tcBorders>
              <w:top w:val="single" w:sz="4" w:space="0" w:color="314364" w:themeColor="text2"/>
            </w:tcBorders>
            <w:shd w:val="clear" w:color="auto" w:fill="auto"/>
            <w:noWrap/>
            <w:vAlign w:val="center"/>
            <w:hideMark/>
          </w:tcPr>
          <w:p w14:paraId="66462243" w14:textId="77777777" w:rsidR="007D38E1" w:rsidRPr="00CE7BA5" w:rsidRDefault="007D38E1">
            <w:pPr>
              <w:spacing w:after="0" w:line="240" w:lineRule="auto"/>
              <w:jc w:val="right"/>
              <w:rPr>
                <w:rFonts w:eastAsia="Times New Roman" w:cs="Segoe UI"/>
                <w:b/>
                <w:bCs/>
                <w:color w:val="000000"/>
                <w:sz w:val="18"/>
                <w:szCs w:val="18"/>
                <w:lang w:eastAsia="sk-SK"/>
              </w:rPr>
            </w:pPr>
            <w:r w:rsidRPr="00CE7BA5">
              <w:rPr>
                <w:rFonts w:eastAsia="Times New Roman" w:cs="Segoe UI"/>
                <w:b/>
                <w:bCs/>
                <w:color w:val="000000"/>
                <w:sz w:val="18"/>
                <w:szCs w:val="18"/>
                <w:lang w:eastAsia="sk-SK"/>
              </w:rPr>
              <w:t xml:space="preserve">2 619 867 961 </w:t>
            </w:r>
          </w:p>
        </w:tc>
        <w:tc>
          <w:tcPr>
            <w:tcW w:w="909" w:type="pct"/>
            <w:tcBorders>
              <w:top w:val="single" w:sz="4" w:space="0" w:color="314364" w:themeColor="text2"/>
            </w:tcBorders>
            <w:shd w:val="clear" w:color="auto" w:fill="auto"/>
            <w:noWrap/>
            <w:vAlign w:val="center"/>
            <w:hideMark/>
          </w:tcPr>
          <w:p w14:paraId="2B9D6119" w14:textId="77777777" w:rsidR="007D38E1" w:rsidRPr="00CE7BA5" w:rsidRDefault="007D38E1">
            <w:pPr>
              <w:spacing w:after="0" w:line="240" w:lineRule="auto"/>
              <w:jc w:val="right"/>
              <w:rPr>
                <w:rFonts w:eastAsia="Times New Roman" w:cs="Segoe UI"/>
                <w:b/>
                <w:bCs/>
                <w:color w:val="000000"/>
                <w:sz w:val="18"/>
                <w:szCs w:val="18"/>
                <w:lang w:eastAsia="sk-SK"/>
              </w:rPr>
            </w:pPr>
            <w:r w:rsidRPr="00CE7BA5">
              <w:rPr>
                <w:rFonts w:eastAsia="Times New Roman" w:cs="Segoe UI"/>
                <w:b/>
                <w:bCs/>
                <w:color w:val="000000"/>
                <w:sz w:val="18"/>
                <w:szCs w:val="18"/>
                <w:lang w:eastAsia="sk-SK"/>
              </w:rPr>
              <w:t xml:space="preserve">2 492 298 088 </w:t>
            </w:r>
          </w:p>
        </w:tc>
        <w:tc>
          <w:tcPr>
            <w:tcW w:w="606" w:type="pct"/>
            <w:tcBorders>
              <w:top w:val="single" w:sz="4" w:space="0" w:color="314364" w:themeColor="text2"/>
            </w:tcBorders>
            <w:shd w:val="clear" w:color="auto" w:fill="auto"/>
            <w:noWrap/>
            <w:vAlign w:val="center"/>
            <w:hideMark/>
          </w:tcPr>
          <w:p w14:paraId="4FA2C01E" w14:textId="77777777" w:rsidR="007D38E1" w:rsidRPr="00CE7BA5" w:rsidRDefault="007D38E1">
            <w:pPr>
              <w:spacing w:after="0" w:line="240" w:lineRule="auto"/>
              <w:jc w:val="right"/>
              <w:rPr>
                <w:rFonts w:eastAsia="Times New Roman" w:cs="Segoe UI"/>
                <w:color w:val="000000"/>
                <w:sz w:val="18"/>
                <w:szCs w:val="18"/>
                <w:lang w:eastAsia="sk-SK"/>
              </w:rPr>
            </w:pPr>
            <w:r w:rsidRPr="00CE7BA5">
              <w:rPr>
                <w:rFonts w:eastAsia="Times New Roman" w:cs="Segoe UI"/>
                <w:color w:val="000000"/>
                <w:sz w:val="18"/>
                <w:szCs w:val="18"/>
                <w:lang w:eastAsia="sk-SK"/>
              </w:rPr>
              <w:t>95%</w:t>
            </w:r>
          </w:p>
        </w:tc>
      </w:tr>
    </w:tbl>
    <w:p w14:paraId="71A760FC" w14:textId="5D1D17CF" w:rsidR="007D38E1" w:rsidRPr="00903940" w:rsidRDefault="007D38E1" w:rsidP="007D38E1">
      <w:pPr>
        <w:rPr>
          <w:i/>
          <w:color w:val="314364" w:themeColor="text2"/>
          <w:sz w:val="16"/>
          <w:lang w:eastAsia="sk-SK"/>
        </w:rPr>
      </w:pPr>
      <w:r w:rsidRPr="00903940">
        <w:rPr>
          <w:i/>
          <w:color w:val="314364" w:themeColor="text2"/>
          <w:sz w:val="16"/>
          <w:lang w:eastAsia="sk-SK"/>
        </w:rPr>
        <w:t>Zdroj: MF SR</w:t>
      </w:r>
      <w:r>
        <w:rPr>
          <w:i/>
          <w:color w:val="314364" w:themeColor="text2"/>
          <w:sz w:val="16"/>
          <w:lang w:eastAsia="sk-SK"/>
        </w:rPr>
        <w:t>.</w:t>
      </w:r>
    </w:p>
    <w:p w14:paraId="6A687A20" w14:textId="77777777" w:rsidR="003D4869" w:rsidRDefault="003D4869" w:rsidP="003D4869">
      <w:pPr>
        <w:pStyle w:val="Nadpis2"/>
        <w:rPr>
          <w:rFonts w:eastAsia="Times New Roman"/>
          <w:lang w:eastAsia="sk-SK"/>
        </w:rPr>
      </w:pPr>
      <w:bookmarkStart w:id="70" w:name="_Toc198637745"/>
      <w:r w:rsidRPr="003A70D3">
        <w:rPr>
          <w:rFonts w:eastAsia="Times New Roman"/>
          <w:lang w:eastAsia="sk-SK"/>
        </w:rPr>
        <w:t xml:space="preserve">6.2 </w:t>
      </w:r>
      <w:r>
        <w:rPr>
          <w:rFonts w:eastAsia="Times New Roman"/>
          <w:lang w:eastAsia="sk-SK"/>
        </w:rPr>
        <w:t xml:space="preserve"> </w:t>
      </w:r>
      <w:r w:rsidRPr="003308BB">
        <w:t>Hospodárenie</w:t>
      </w:r>
      <w:r w:rsidRPr="003A70D3">
        <w:rPr>
          <w:rFonts w:eastAsia="Times New Roman"/>
          <w:lang w:eastAsia="sk-SK"/>
        </w:rPr>
        <w:t xml:space="preserve"> VÚC</w:t>
      </w:r>
      <w:bookmarkEnd w:id="69"/>
      <w:bookmarkEnd w:id="70"/>
    </w:p>
    <w:p w14:paraId="49F4D1FD" w14:textId="623C4A7E" w:rsidR="00631AB9" w:rsidRPr="00B628DC" w:rsidRDefault="00631AB9" w:rsidP="00631AB9">
      <w:pPr>
        <w:rPr>
          <w:b/>
          <w:szCs w:val="20"/>
        </w:rPr>
      </w:pPr>
      <w:r w:rsidRPr="00B628DC">
        <w:rPr>
          <w:b/>
          <w:szCs w:val="20"/>
        </w:rPr>
        <w:t xml:space="preserve">Celkové príjmy aj výdavky VÚC medziročne poklesli takmer rovnakým tempom </w:t>
      </w:r>
      <w:r w:rsidRPr="00B51BAF">
        <w:rPr>
          <w:szCs w:val="20"/>
        </w:rPr>
        <w:t xml:space="preserve">(tabuľka </w:t>
      </w:r>
      <w:r w:rsidR="00CB5B58">
        <w:rPr>
          <w:szCs w:val="20"/>
        </w:rPr>
        <w:t>28</w:t>
      </w:r>
      <w:r w:rsidRPr="00B51BAF">
        <w:rPr>
          <w:szCs w:val="20"/>
        </w:rPr>
        <w:t>)</w:t>
      </w:r>
      <w:r w:rsidRPr="00B628DC">
        <w:rPr>
          <w:b/>
          <w:szCs w:val="20"/>
        </w:rPr>
        <w:t xml:space="preserve">. </w:t>
      </w:r>
      <w:r w:rsidRPr="00B51BAF">
        <w:rPr>
          <w:b/>
          <w:bCs/>
          <w:szCs w:val="20"/>
        </w:rPr>
        <w:t>Nekonsolidovaný dlh</w:t>
      </w:r>
      <w:r w:rsidRPr="00B628DC">
        <w:rPr>
          <w:b/>
          <w:szCs w:val="20"/>
        </w:rPr>
        <w:t xml:space="preserve"> VÚC</w:t>
      </w:r>
      <w:r w:rsidRPr="00B51BAF">
        <w:rPr>
          <w:b/>
          <w:szCs w:val="20"/>
        </w:rPr>
        <w:t xml:space="preserve"> </w:t>
      </w:r>
      <w:r w:rsidRPr="00B628DC">
        <w:rPr>
          <w:b/>
          <w:szCs w:val="20"/>
        </w:rPr>
        <w:t>vrátane ich rozpočtových organizácií</w:t>
      </w:r>
      <w:r w:rsidRPr="00B51BAF">
        <w:rPr>
          <w:b/>
          <w:szCs w:val="20"/>
        </w:rPr>
        <w:t xml:space="preserve"> sa </w:t>
      </w:r>
      <w:r w:rsidRPr="00B628DC">
        <w:rPr>
          <w:b/>
          <w:szCs w:val="20"/>
        </w:rPr>
        <w:t xml:space="preserve">v roku 2024 medziročne znížil o 49 421 tis. eur. </w:t>
      </w:r>
    </w:p>
    <w:p w14:paraId="5028C44E" w14:textId="79E3B5B2" w:rsidR="00631AB9" w:rsidRPr="007C1F09" w:rsidRDefault="00631AB9" w:rsidP="00631AB9">
      <w:pPr>
        <w:pStyle w:val="Popis"/>
        <w:keepNext/>
        <w:rPr>
          <w:color w:val="314364"/>
        </w:rPr>
      </w:pPr>
      <w:r w:rsidRPr="007C1F09">
        <w:rPr>
          <w:color w:val="314364"/>
        </w:rPr>
        <w:t xml:space="preserve">Tabuľka </w:t>
      </w:r>
      <w:r w:rsidR="00CB5B58">
        <w:rPr>
          <w:color w:val="314364"/>
        </w:rPr>
        <w:t>28</w:t>
      </w:r>
      <w:r w:rsidRPr="007C1F09">
        <w:rPr>
          <w:color w:val="314364"/>
        </w:rPr>
        <w:t>: Vybrané finanč</w:t>
      </w:r>
      <w:r>
        <w:rPr>
          <w:color w:val="314364"/>
        </w:rPr>
        <w:t>né ukazovatele VÚC za roky 2022</w:t>
      </w:r>
      <w:r w:rsidRPr="007C1F09">
        <w:rPr>
          <w:color w:val="314364"/>
        </w:rPr>
        <w:t xml:space="preserve"> až 202</w:t>
      </w:r>
      <w:r>
        <w:rPr>
          <w:color w:val="314364"/>
        </w:rPr>
        <w:t>4</w:t>
      </w:r>
      <w:r w:rsidRPr="007C1F09">
        <w:rPr>
          <w:color w:val="314364"/>
        </w:rPr>
        <w:t xml:space="preserve"> (v tis. eur)</w:t>
      </w:r>
    </w:p>
    <w:tbl>
      <w:tblPr>
        <w:tblW w:w="5000" w:type="pct"/>
        <w:tblBorders>
          <w:bottom w:val="single" w:sz="4" w:space="0" w:color="auto"/>
        </w:tblBorders>
        <w:tblLook w:val="01E0" w:firstRow="1" w:lastRow="1" w:firstColumn="1" w:lastColumn="1" w:noHBand="0" w:noVBand="0"/>
      </w:tblPr>
      <w:tblGrid>
        <w:gridCol w:w="2701"/>
        <w:gridCol w:w="1266"/>
        <w:gridCol w:w="1266"/>
        <w:gridCol w:w="1266"/>
        <w:gridCol w:w="1426"/>
        <w:gridCol w:w="1145"/>
      </w:tblGrid>
      <w:tr w:rsidR="00631AB9" w:rsidRPr="002F45E5" w14:paraId="22CD3A17" w14:textId="77777777" w:rsidTr="003D11A6">
        <w:trPr>
          <w:trHeight w:val="283"/>
          <w:tblHeader/>
        </w:trPr>
        <w:tc>
          <w:tcPr>
            <w:tcW w:w="1489" w:type="pct"/>
            <w:shd w:val="clear" w:color="auto" w:fill="314364" w:themeFill="text2"/>
            <w:vAlign w:val="center"/>
            <w:hideMark/>
          </w:tcPr>
          <w:p w14:paraId="46FFC5AB" w14:textId="77777777" w:rsidR="00631AB9" w:rsidRPr="00F4229C" w:rsidRDefault="00631AB9" w:rsidP="007D38E1">
            <w:pPr>
              <w:spacing w:after="0" w:line="240" w:lineRule="auto"/>
              <w:jc w:val="left"/>
              <w:rPr>
                <w:rFonts w:eastAsia="Times New Roman" w:cs="Segoe UI"/>
                <w:b/>
                <w:color w:val="FFFFFF" w:themeColor="background1"/>
                <w:sz w:val="18"/>
                <w:szCs w:val="18"/>
                <w:lang w:eastAsia="sk-SK"/>
              </w:rPr>
            </w:pPr>
            <w:r w:rsidRPr="00F4229C">
              <w:rPr>
                <w:rFonts w:eastAsia="Times New Roman" w:cs="Segoe UI"/>
                <w:b/>
                <w:color w:val="FFFFFF" w:themeColor="background1"/>
                <w:sz w:val="18"/>
                <w:szCs w:val="18"/>
                <w:lang w:eastAsia="sk-SK"/>
              </w:rPr>
              <w:t>Názov ukazovateľa</w:t>
            </w:r>
          </w:p>
        </w:tc>
        <w:tc>
          <w:tcPr>
            <w:tcW w:w="698" w:type="pct"/>
            <w:shd w:val="clear" w:color="auto" w:fill="314364" w:themeFill="text2"/>
            <w:vAlign w:val="center"/>
          </w:tcPr>
          <w:p w14:paraId="5D4F0916" w14:textId="77777777" w:rsidR="00631AB9" w:rsidRPr="00F4229C" w:rsidRDefault="00631AB9" w:rsidP="007D38E1">
            <w:pPr>
              <w:spacing w:after="0" w:line="240" w:lineRule="auto"/>
              <w:jc w:val="right"/>
              <w:rPr>
                <w:rFonts w:eastAsia="Times New Roman" w:cs="Segoe UI"/>
                <w:b/>
                <w:color w:val="FFFFFF" w:themeColor="background1"/>
                <w:sz w:val="18"/>
                <w:szCs w:val="18"/>
                <w:lang w:eastAsia="sk-SK"/>
              </w:rPr>
            </w:pPr>
            <w:r w:rsidRPr="00F4229C">
              <w:rPr>
                <w:rFonts w:eastAsia="Times New Roman" w:cs="Segoe UI"/>
                <w:b/>
                <w:color w:val="FFFFFF" w:themeColor="background1"/>
                <w:sz w:val="18"/>
                <w:szCs w:val="18"/>
                <w:lang w:eastAsia="sk-SK"/>
              </w:rPr>
              <w:t>2022</w:t>
            </w:r>
          </w:p>
        </w:tc>
        <w:tc>
          <w:tcPr>
            <w:tcW w:w="698" w:type="pct"/>
            <w:shd w:val="clear" w:color="auto" w:fill="314364" w:themeFill="text2"/>
            <w:vAlign w:val="center"/>
          </w:tcPr>
          <w:p w14:paraId="3C1C7446" w14:textId="77777777" w:rsidR="00631AB9" w:rsidRPr="00F4229C" w:rsidRDefault="00631AB9" w:rsidP="007D38E1">
            <w:pPr>
              <w:spacing w:after="0" w:line="240" w:lineRule="auto"/>
              <w:jc w:val="right"/>
              <w:rPr>
                <w:rFonts w:eastAsia="Times New Roman" w:cs="Segoe UI"/>
                <w:b/>
                <w:color w:val="FFFFFF" w:themeColor="background1"/>
                <w:sz w:val="18"/>
                <w:szCs w:val="18"/>
                <w:lang w:eastAsia="sk-SK"/>
              </w:rPr>
            </w:pPr>
            <w:r w:rsidRPr="00F4229C">
              <w:rPr>
                <w:rFonts w:eastAsia="Times New Roman" w:cs="Segoe UI"/>
                <w:b/>
                <w:color w:val="FFFFFF" w:themeColor="background1"/>
                <w:sz w:val="18"/>
                <w:szCs w:val="18"/>
                <w:lang w:eastAsia="sk-SK"/>
              </w:rPr>
              <w:t xml:space="preserve">2023 </w:t>
            </w:r>
          </w:p>
        </w:tc>
        <w:tc>
          <w:tcPr>
            <w:tcW w:w="698" w:type="pct"/>
            <w:shd w:val="clear" w:color="auto" w:fill="314364" w:themeFill="text2"/>
            <w:vAlign w:val="center"/>
          </w:tcPr>
          <w:p w14:paraId="2AA56EC2" w14:textId="77777777" w:rsidR="00631AB9" w:rsidRPr="00F4229C" w:rsidRDefault="00631AB9" w:rsidP="007D38E1">
            <w:pPr>
              <w:spacing w:after="0" w:line="240" w:lineRule="auto"/>
              <w:jc w:val="right"/>
              <w:rPr>
                <w:rFonts w:eastAsia="Times New Roman" w:cs="Segoe UI"/>
                <w:b/>
                <w:color w:val="FFFFFF" w:themeColor="background1"/>
                <w:sz w:val="18"/>
                <w:szCs w:val="18"/>
                <w:lang w:eastAsia="sk-SK"/>
              </w:rPr>
            </w:pPr>
            <w:r>
              <w:rPr>
                <w:rFonts w:eastAsia="Times New Roman" w:cs="Segoe UI"/>
                <w:b/>
                <w:color w:val="FFFFFF" w:themeColor="background1"/>
                <w:sz w:val="18"/>
                <w:szCs w:val="18"/>
                <w:lang w:eastAsia="sk-SK"/>
              </w:rPr>
              <w:t>2024</w:t>
            </w:r>
          </w:p>
        </w:tc>
        <w:tc>
          <w:tcPr>
            <w:tcW w:w="786" w:type="pct"/>
            <w:shd w:val="clear" w:color="auto" w:fill="314364" w:themeFill="text2"/>
            <w:vAlign w:val="center"/>
          </w:tcPr>
          <w:p w14:paraId="2796CD56" w14:textId="77777777" w:rsidR="00631AB9" w:rsidRPr="00F4229C" w:rsidRDefault="00631AB9" w:rsidP="007D38E1">
            <w:pPr>
              <w:widowControl w:val="0"/>
              <w:spacing w:after="0" w:line="240" w:lineRule="auto"/>
              <w:jc w:val="right"/>
              <w:rPr>
                <w:rFonts w:eastAsia="Times New Roman" w:cs="Segoe UI"/>
                <w:b/>
                <w:color w:val="FFFFFF" w:themeColor="background1"/>
                <w:sz w:val="18"/>
                <w:szCs w:val="18"/>
                <w:lang w:eastAsia="sk-SK"/>
              </w:rPr>
            </w:pPr>
            <w:r w:rsidRPr="00F4229C">
              <w:rPr>
                <w:rFonts w:eastAsia="Times New Roman" w:cs="Segoe UI"/>
                <w:b/>
                <w:color w:val="FFFFFF" w:themeColor="background1"/>
                <w:sz w:val="18"/>
                <w:szCs w:val="18"/>
                <w:lang w:eastAsia="sk-SK"/>
              </w:rPr>
              <w:t>202</w:t>
            </w:r>
            <w:r>
              <w:rPr>
                <w:rFonts w:eastAsia="Times New Roman" w:cs="Segoe UI"/>
                <w:b/>
                <w:color w:val="FFFFFF" w:themeColor="background1"/>
                <w:sz w:val="18"/>
                <w:szCs w:val="18"/>
                <w:lang w:eastAsia="sk-SK"/>
              </w:rPr>
              <w:t>4</w:t>
            </w:r>
            <w:r w:rsidRPr="00F4229C">
              <w:rPr>
                <w:rFonts w:eastAsia="Times New Roman" w:cs="Segoe UI"/>
                <w:b/>
                <w:color w:val="FFFFFF" w:themeColor="background1"/>
                <w:sz w:val="18"/>
                <w:szCs w:val="18"/>
                <w:lang w:eastAsia="sk-SK"/>
              </w:rPr>
              <w:t xml:space="preserve"> - 202</w:t>
            </w:r>
            <w:r>
              <w:rPr>
                <w:rFonts w:eastAsia="Times New Roman" w:cs="Segoe UI"/>
                <w:b/>
                <w:color w:val="FFFFFF" w:themeColor="background1"/>
                <w:sz w:val="18"/>
                <w:szCs w:val="18"/>
                <w:lang w:eastAsia="sk-SK"/>
              </w:rPr>
              <w:t>3</w:t>
            </w:r>
          </w:p>
        </w:tc>
        <w:tc>
          <w:tcPr>
            <w:tcW w:w="631" w:type="pct"/>
            <w:shd w:val="clear" w:color="auto" w:fill="314364" w:themeFill="text2"/>
            <w:vAlign w:val="center"/>
          </w:tcPr>
          <w:p w14:paraId="5F50334F" w14:textId="77777777" w:rsidR="00631AB9" w:rsidRPr="00F4229C" w:rsidRDefault="00631AB9" w:rsidP="007D38E1">
            <w:pPr>
              <w:widowControl w:val="0"/>
              <w:spacing w:after="0" w:line="240" w:lineRule="auto"/>
              <w:jc w:val="right"/>
              <w:rPr>
                <w:rFonts w:eastAsia="Times New Roman" w:cs="Segoe UI"/>
                <w:b/>
                <w:color w:val="FFFFFF" w:themeColor="background1"/>
                <w:sz w:val="18"/>
                <w:szCs w:val="18"/>
                <w:lang w:eastAsia="sk-SK"/>
              </w:rPr>
            </w:pPr>
            <w:proofErr w:type="spellStart"/>
            <w:r w:rsidRPr="00F4229C">
              <w:rPr>
                <w:rFonts w:eastAsia="Times New Roman" w:cs="Segoe UI"/>
                <w:b/>
                <w:color w:val="FFFFFF" w:themeColor="background1"/>
                <w:sz w:val="18"/>
                <w:szCs w:val="18"/>
                <w:lang w:eastAsia="sk-SK"/>
              </w:rPr>
              <w:t>YoY</w:t>
            </w:r>
            <w:proofErr w:type="spellEnd"/>
            <w:r w:rsidRPr="00F4229C">
              <w:rPr>
                <w:rFonts w:eastAsia="Times New Roman" w:cs="Segoe UI"/>
                <w:b/>
                <w:color w:val="FFFFFF" w:themeColor="background1"/>
                <w:sz w:val="18"/>
                <w:szCs w:val="18"/>
                <w:lang w:eastAsia="sk-SK"/>
              </w:rPr>
              <w:t>/%</w:t>
            </w:r>
          </w:p>
        </w:tc>
      </w:tr>
      <w:tr w:rsidR="00631AB9" w:rsidRPr="002F45E5" w14:paraId="6696E984" w14:textId="77777777" w:rsidTr="003D11A6">
        <w:trPr>
          <w:trHeight w:val="283"/>
        </w:trPr>
        <w:tc>
          <w:tcPr>
            <w:tcW w:w="1489" w:type="pct"/>
            <w:vAlign w:val="center"/>
          </w:tcPr>
          <w:p w14:paraId="363A3669" w14:textId="77777777" w:rsidR="00631AB9" w:rsidRPr="002F45E5" w:rsidRDefault="00631AB9" w:rsidP="007D38E1">
            <w:pPr>
              <w:spacing w:after="0" w:line="240" w:lineRule="auto"/>
              <w:contextualSpacing/>
              <w:jc w:val="left"/>
              <w:rPr>
                <w:rFonts w:eastAsia="Times New Roman" w:cs="Segoe UI"/>
                <w:b/>
                <w:bCs/>
                <w:sz w:val="18"/>
                <w:szCs w:val="18"/>
                <w:lang w:eastAsia="sk-SK"/>
              </w:rPr>
            </w:pPr>
            <w:r w:rsidRPr="002F45E5">
              <w:rPr>
                <w:rFonts w:eastAsia="Times New Roman" w:cs="Segoe UI"/>
                <w:b/>
                <w:bCs/>
                <w:sz w:val="18"/>
                <w:szCs w:val="18"/>
                <w:lang w:eastAsia="sk-SK"/>
              </w:rPr>
              <w:t>Príjmy celkom</w:t>
            </w:r>
            <w:r>
              <w:rPr>
                <w:rFonts w:eastAsia="Times New Roman" w:cs="Segoe UI"/>
                <w:b/>
                <w:bCs/>
                <w:sz w:val="18"/>
                <w:szCs w:val="18"/>
                <w:lang w:eastAsia="sk-SK"/>
              </w:rPr>
              <w:t>*</w:t>
            </w:r>
          </w:p>
        </w:tc>
        <w:tc>
          <w:tcPr>
            <w:tcW w:w="698" w:type="pct"/>
            <w:shd w:val="clear" w:color="auto" w:fill="auto"/>
            <w:vAlign w:val="center"/>
          </w:tcPr>
          <w:p w14:paraId="72461A81" w14:textId="77777777" w:rsidR="00631AB9" w:rsidRPr="00790236" w:rsidRDefault="00631AB9" w:rsidP="007D38E1">
            <w:pPr>
              <w:spacing w:after="0" w:line="240" w:lineRule="auto"/>
              <w:contextualSpacing/>
              <w:jc w:val="right"/>
              <w:rPr>
                <w:rFonts w:eastAsia="Times New Roman" w:cs="Segoe UI"/>
                <w:b/>
                <w:bCs/>
                <w:sz w:val="18"/>
                <w:szCs w:val="18"/>
                <w:lang w:eastAsia="sk-SK"/>
              </w:rPr>
            </w:pPr>
            <w:r>
              <w:rPr>
                <w:rFonts w:cs="Segoe UI"/>
                <w:b/>
                <w:bCs/>
                <w:color w:val="000000"/>
                <w:sz w:val="18"/>
                <w:szCs w:val="18"/>
              </w:rPr>
              <w:t xml:space="preserve"> 2 214 068 </w:t>
            </w:r>
          </w:p>
        </w:tc>
        <w:tc>
          <w:tcPr>
            <w:tcW w:w="698" w:type="pct"/>
            <w:shd w:val="clear" w:color="auto" w:fill="auto"/>
            <w:vAlign w:val="center"/>
          </w:tcPr>
          <w:p w14:paraId="0673C832" w14:textId="77777777" w:rsidR="00631AB9" w:rsidRPr="00790236" w:rsidRDefault="00631AB9" w:rsidP="007D38E1">
            <w:pPr>
              <w:spacing w:after="0" w:line="240" w:lineRule="auto"/>
              <w:contextualSpacing/>
              <w:jc w:val="right"/>
              <w:rPr>
                <w:rFonts w:eastAsia="Times New Roman" w:cs="Segoe UI"/>
                <w:b/>
                <w:bCs/>
                <w:sz w:val="18"/>
                <w:szCs w:val="18"/>
                <w:lang w:eastAsia="sk-SK"/>
              </w:rPr>
            </w:pPr>
            <w:r>
              <w:rPr>
                <w:rFonts w:cs="Segoe UI"/>
                <w:b/>
                <w:bCs/>
                <w:color w:val="000000"/>
                <w:sz w:val="18"/>
                <w:szCs w:val="18"/>
              </w:rPr>
              <w:t xml:space="preserve">  2 858 958 </w:t>
            </w:r>
          </w:p>
        </w:tc>
        <w:tc>
          <w:tcPr>
            <w:tcW w:w="698" w:type="pct"/>
            <w:shd w:val="clear" w:color="auto" w:fill="auto"/>
            <w:vAlign w:val="center"/>
          </w:tcPr>
          <w:p w14:paraId="22D3C70F" w14:textId="77777777" w:rsidR="00631AB9" w:rsidRPr="00790236" w:rsidRDefault="00631AB9" w:rsidP="007D38E1">
            <w:pPr>
              <w:spacing w:after="0" w:line="240" w:lineRule="auto"/>
              <w:contextualSpacing/>
              <w:jc w:val="right"/>
              <w:rPr>
                <w:rFonts w:eastAsia="Times New Roman" w:cs="Segoe UI"/>
                <w:b/>
                <w:bCs/>
                <w:sz w:val="18"/>
                <w:szCs w:val="18"/>
                <w:lang w:eastAsia="sk-SK"/>
              </w:rPr>
            </w:pPr>
            <w:r>
              <w:rPr>
                <w:rFonts w:cs="Segoe UI"/>
                <w:b/>
                <w:bCs/>
                <w:color w:val="000000"/>
                <w:sz w:val="18"/>
                <w:szCs w:val="18"/>
              </w:rPr>
              <w:t>2 458 280</w:t>
            </w:r>
          </w:p>
        </w:tc>
        <w:tc>
          <w:tcPr>
            <w:tcW w:w="786" w:type="pct"/>
            <w:shd w:val="clear" w:color="auto" w:fill="auto"/>
            <w:vAlign w:val="center"/>
          </w:tcPr>
          <w:p w14:paraId="31885A53" w14:textId="77777777" w:rsidR="00631AB9" w:rsidRPr="00790236" w:rsidRDefault="00631AB9" w:rsidP="007D38E1">
            <w:pPr>
              <w:spacing w:after="0" w:line="240" w:lineRule="auto"/>
              <w:contextualSpacing/>
              <w:jc w:val="right"/>
              <w:rPr>
                <w:rFonts w:eastAsia="Times New Roman" w:cs="Segoe UI"/>
                <w:b/>
                <w:bCs/>
                <w:sz w:val="18"/>
                <w:szCs w:val="18"/>
                <w:lang w:eastAsia="sk-SK"/>
              </w:rPr>
            </w:pPr>
            <w:r>
              <w:rPr>
                <w:rFonts w:cs="Segoe UI"/>
                <w:b/>
                <w:bCs/>
                <w:color w:val="000000"/>
                <w:sz w:val="18"/>
                <w:szCs w:val="18"/>
              </w:rPr>
              <w:t xml:space="preserve">- 400 678 </w:t>
            </w:r>
          </w:p>
        </w:tc>
        <w:tc>
          <w:tcPr>
            <w:tcW w:w="631" w:type="pct"/>
            <w:shd w:val="clear" w:color="auto" w:fill="auto"/>
            <w:vAlign w:val="center"/>
          </w:tcPr>
          <w:p w14:paraId="56FDEDC1" w14:textId="77777777" w:rsidR="00631AB9" w:rsidRPr="00D53449" w:rsidRDefault="00631AB9" w:rsidP="007D38E1">
            <w:pPr>
              <w:spacing w:after="0" w:line="240" w:lineRule="auto"/>
              <w:contextualSpacing/>
              <w:jc w:val="right"/>
              <w:rPr>
                <w:rFonts w:eastAsia="Times New Roman" w:cs="Segoe UI"/>
                <w:b/>
                <w:bCs/>
                <w:szCs w:val="20"/>
                <w:lang w:eastAsia="sk-SK"/>
              </w:rPr>
            </w:pPr>
            <w:r>
              <w:rPr>
                <w:rFonts w:cs="Segoe UI"/>
                <w:b/>
                <w:bCs/>
                <w:color w:val="000000"/>
                <w:sz w:val="18"/>
                <w:szCs w:val="18"/>
              </w:rPr>
              <w:t>86%</w:t>
            </w:r>
          </w:p>
        </w:tc>
      </w:tr>
      <w:tr w:rsidR="00631AB9" w:rsidRPr="002F45E5" w14:paraId="38C2E174" w14:textId="77777777" w:rsidTr="003D11A6">
        <w:trPr>
          <w:trHeight w:val="283"/>
        </w:trPr>
        <w:tc>
          <w:tcPr>
            <w:tcW w:w="1489" w:type="pct"/>
            <w:vAlign w:val="center"/>
          </w:tcPr>
          <w:p w14:paraId="46895614" w14:textId="77777777" w:rsidR="00631AB9" w:rsidRPr="00555EF2" w:rsidRDefault="00631AB9" w:rsidP="00631AB9">
            <w:pPr>
              <w:pStyle w:val="Odsekzoznamu"/>
              <w:numPr>
                <w:ilvl w:val="0"/>
                <w:numId w:val="18"/>
              </w:numPr>
              <w:spacing w:after="0" w:line="240" w:lineRule="auto"/>
              <w:jc w:val="left"/>
              <w:rPr>
                <w:rFonts w:eastAsia="Times New Roman" w:cs="Segoe UI"/>
                <w:bCs/>
                <w:sz w:val="18"/>
                <w:szCs w:val="18"/>
                <w:lang w:eastAsia="sk-SK"/>
              </w:rPr>
            </w:pPr>
            <w:r>
              <w:rPr>
                <w:rFonts w:eastAsia="Times New Roman" w:cs="Segoe UI"/>
                <w:bCs/>
                <w:sz w:val="18"/>
                <w:szCs w:val="18"/>
                <w:lang w:eastAsia="sk-SK"/>
              </w:rPr>
              <w:t xml:space="preserve">z </w:t>
            </w:r>
            <w:r w:rsidRPr="00555EF2">
              <w:rPr>
                <w:rFonts w:eastAsia="Times New Roman" w:cs="Segoe UI"/>
                <w:bCs/>
                <w:sz w:val="18"/>
                <w:szCs w:val="18"/>
                <w:lang w:eastAsia="sk-SK"/>
              </w:rPr>
              <w:t xml:space="preserve">toho transfery </w:t>
            </w:r>
          </w:p>
        </w:tc>
        <w:tc>
          <w:tcPr>
            <w:tcW w:w="698" w:type="pct"/>
            <w:shd w:val="clear" w:color="auto" w:fill="auto"/>
            <w:vAlign w:val="center"/>
          </w:tcPr>
          <w:p w14:paraId="1DB8110A"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615 120</w:t>
            </w:r>
          </w:p>
        </w:tc>
        <w:tc>
          <w:tcPr>
            <w:tcW w:w="698" w:type="pct"/>
            <w:shd w:val="clear" w:color="auto" w:fill="auto"/>
            <w:vAlign w:val="center"/>
          </w:tcPr>
          <w:p w14:paraId="397262F5"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1 012 359 </w:t>
            </w:r>
          </w:p>
        </w:tc>
        <w:tc>
          <w:tcPr>
            <w:tcW w:w="698" w:type="pct"/>
            <w:shd w:val="clear" w:color="auto" w:fill="auto"/>
            <w:vAlign w:val="center"/>
          </w:tcPr>
          <w:p w14:paraId="744B1EED"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772 091 </w:t>
            </w:r>
          </w:p>
        </w:tc>
        <w:tc>
          <w:tcPr>
            <w:tcW w:w="786" w:type="pct"/>
            <w:shd w:val="clear" w:color="auto" w:fill="auto"/>
            <w:vAlign w:val="center"/>
          </w:tcPr>
          <w:p w14:paraId="00EE66B5"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- 240 268 </w:t>
            </w:r>
          </w:p>
        </w:tc>
        <w:tc>
          <w:tcPr>
            <w:tcW w:w="631" w:type="pct"/>
            <w:shd w:val="clear" w:color="auto" w:fill="auto"/>
            <w:vAlign w:val="center"/>
          </w:tcPr>
          <w:p w14:paraId="54E6E3ED" w14:textId="77777777" w:rsidR="00631AB9" w:rsidRPr="00D53449" w:rsidRDefault="00631AB9" w:rsidP="007D38E1">
            <w:pPr>
              <w:spacing w:after="0" w:line="240" w:lineRule="auto"/>
              <w:jc w:val="right"/>
              <w:rPr>
                <w:rFonts w:eastAsia="Times New Roman" w:cs="Segoe UI"/>
                <w:bCs/>
                <w:szCs w:val="20"/>
                <w:lang w:eastAsia="sk-SK"/>
              </w:rPr>
            </w:pPr>
            <w:r>
              <w:rPr>
                <w:rFonts w:cs="Segoe UI"/>
                <w:b/>
                <w:bCs/>
                <w:color w:val="000000"/>
                <w:sz w:val="18"/>
                <w:szCs w:val="18"/>
              </w:rPr>
              <w:t>76%</w:t>
            </w:r>
          </w:p>
        </w:tc>
      </w:tr>
      <w:tr w:rsidR="00631AB9" w:rsidRPr="002F45E5" w14:paraId="7E88C4C5" w14:textId="77777777" w:rsidTr="003D11A6">
        <w:trPr>
          <w:trHeight w:val="283"/>
        </w:trPr>
        <w:tc>
          <w:tcPr>
            <w:tcW w:w="1489" w:type="pct"/>
            <w:vAlign w:val="center"/>
          </w:tcPr>
          <w:p w14:paraId="274FE2BA" w14:textId="77777777" w:rsidR="00631AB9" w:rsidRPr="002F45E5" w:rsidRDefault="00631AB9" w:rsidP="007D38E1">
            <w:pPr>
              <w:spacing w:after="0" w:line="240" w:lineRule="auto"/>
              <w:contextualSpacing/>
              <w:jc w:val="left"/>
              <w:rPr>
                <w:rFonts w:eastAsia="Times New Roman" w:cs="Segoe UI"/>
                <w:b/>
                <w:bCs/>
                <w:sz w:val="18"/>
                <w:szCs w:val="18"/>
                <w:lang w:eastAsia="sk-SK"/>
              </w:rPr>
            </w:pPr>
            <w:r w:rsidRPr="002F45E5">
              <w:rPr>
                <w:rFonts w:eastAsia="Times New Roman" w:cs="Segoe UI"/>
                <w:b/>
                <w:bCs/>
                <w:sz w:val="18"/>
                <w:szCs w:val="18"/>
                <w:lang w:eastAsia="sk-SK"/>
              </w:rPr>
              <w:t>Výdavky celkom</w:t>
            </w:r>
          </w:p>
        </w:tc>
        <w:tc>
          <w:tcPr>
            <w:tcW w:w="698" w:type="pct"/>
            <w:shd w:val="clear" w:color="auto" w:fill="auto"/>
            <w:vAlign w:val="center"/>
          </w:tcPr>
          <w:p w14:paraId="3EB9CD44" w14:textId="77777777" w:rsidR="00631AB9" w:rsidRPr="00790236" w:rsidRDefault="00631AB9" w:rsidP="007D38E1">
            <w:pPr>
              <w:spacing w:after="0" w:line="240" w:lineRule="auto"/>
              <w:jc w:val="right"/>
              <w:rPr>
                <w:rFonts w:eastAsia="Times New Roman" w:cs="Segoe UI"/>
                <w:b/>
                <w:bCs/>
                <w:sz w:val="18"/>
                <w:szCs w:val="18"/>
                <w:lang w:eastAsia="sk-SK"/>
              </w:rPr>
            </w:pPr>
            <w:r>
              <w:rPr>
                <w:rFonts w:cs="Segoe UI"/>
                <w:b/>
                <w:bCs/>
                <w:color w:val="000000"/>
                <w:sz w:val="18"/>
                <w:szCs w:val="18"/>
              </w:rPr>
              <w:t xml:space="preserve">  2 036 801 </w:t>
            </w:r>
          </w:p>
        </w:tc>
        <w:tc>
          <w:tcPr>
            <w:tcW w:w="698" w:type="pct"/>
            <w:shd w:val="clear" w:color="auto" w:fill="auto"/>
            <w:vAlign w:val="center"/>
          </w:tcPr>
          <w:p w14:paraId="79047F6B" w14:textId="77777777" w:rsidR="00631AB9" w:rsidRPr="00790236" w:rsidRDefault="00631AB9" w:rsidP="007D38E1">
            <w:pPr>
              <w:spacing w:after="0" w:line="240" w:lineRule="auto"/>
              <w:jc w:val="right"/>
              <w:rPr>
                <w:rFonts w:eastAsia="Times New Roman" w:cs="Segoe UI"/>
                <w:b/>
                <w:bCs/>
                <w:sz w:val="18"/>
                <w:szCs w:val="18"/>
                <w:lang w:eastAsia="sk-SK"/>
              </w:rPr>
            </w:pPr>
            <w:r>
              <w:rPr>
                <w:rFonts w:cs="Segoe UI"/>
                <w:b/>
                <w:bCs/>
                <w:color w:val="000000"/>
                <w:sz w:val="18"/>
                <w:szCs w:val="18"/>
              </w:rPr>
              <w:t xml:space="preserve">  2 600 288 </w:t>
            </w:r>
          </w:p>
        </w:tc>
        <w:tc>
          <w:tcPr>
            <w:tcW w:w="698" w:type="pct"/>
            <w:shd w:val="clear" w:color="auto" w:fill="auto"/>
            <w:vAlign w:val="center"/>
          </w:tcPr>
          <w:p w14:paraId="3C992448" w14:textId="77777777" w:rsidR="00631AB9" w:rsidRPr="00790236" w:rsidRDefault="00631AB9" w:rsidP="007D38E1">
            <w:pPr>
              <w:spacing w:after="0" w:line="240" w:lineRule="auto"/>
              <w:jc w:val="right"/>
              <w:rPr>
                <w:rFonts w:eastAsia="Times New Roman" w:cs="Segoe UI"/>
                <w:b/>
                <w:bCs/>
                <w:sz w:val="18"/>
                <w:szCs w:val="18"/>
                <w:lang w:eastAsia="sk-SK"/>
              </w:rPr>
            </w:pPr>
            <w:r>
              <w:rPr>
                <w:rFonts w:cs="Segoe UI"/>
                <w:b/>
                <w:bCs/>
                <w:color w:val="000000"/>
                <w:sz w:val="18"/>
                <w:szCs w:val="18"/>
              </w:rPr>
              <w:t xml:space="preserve">2 270 086 </w:t>
            </w:r>
          </w:p>
        </w:tc>
        <w:tc>
          <w:tcPr>
            <w:tcW w:w="786" w:type="pct"/>
            <w:shd w:val="clear" w:color="auto" w:fill="auto"/>
            <w:vAlign w:val="center"/>
          </w:tcPr>
          <w:p w14:paraId="5A11B419" w14:textId="77777777" w:rsidR="00631AB9" w:rsidRPr="00790236" w:rsidRDefault="00631AB9" w:rsidP="007D38E1">
            <w:pPr>
              <w:spacing w:after="0" w:line="240" w:lineRule="auto"/>
              <w:jc w:val="right"/>
              <w:rPr>
                <w:rFonts w:eastAsia="Times New Roman" w:cs="Segoe UI"/>
                <w:b/>
                <w:bCs/>
                <w:sz w:val="18"/>
                <w:szCs w:val="18"/>
                <w:lang w:eastAsia="sk-SK"/>
              </w:rPr>
            </w:pPr>
            <w:r>
              <w:rPr>
                <w:rFonts w:cs="Segoe UI"/>
                <w:b/>
                <w:bCs/>
                <w:color w:val="000000"/>
                <w:sz w:val="18"/>
                <w:szCs w:val="18"/>
              </w:rPr>
              <w:t xml:space="preserve">- 330 202 </w:t>
            </w:r>
          </w:p>
        </w:tc>
        <w:tc>
          <w:tcPr>
            <w:tcW w:w="631" w:type="pct"/>
            <w:shd w:val="clear" w:color="auto" w:fill="auto"/>
            <w:vAlign w:val="center"/>
          </w:tcPr>
          <w:p w14:paraId="74370A08" w14:textId="77777777" w:rsidR="00631AB9" w:rsidRPr="00D53449" w:rsidRDefault="00631AB9" w:rsidP="007D38E1">
            <w:pPr>
              <w:spacing w:after="0" w:line="240" w:lineRule="auto"/>
              <w:jc w:val="right"/>
              <w:rPr>
                <w:rFonts w:eastAsia="Times New Roman" w:cs="Segoe UI"/>
                <w:b/>
                <w:bCs/>
                <w:szCs w:val="20"/>
                <w:lang w:eastAsia="sk-SK"/>
              </w:rPr>
            </w:pPr>
            <w:r>
              <w:rPr>
                <w:rFonts w:cs="Segoe UI"/>
                <w:b/>
                <w:bCs/>
                <w:color w:val="000000"/>
                <w:sz w:val="18"/>
                <w:szCs w:val="18"/>
              </w:rPr>
              <w:t>87%</w:t>
            </w:r>
          </w:p>
        </w:tc>
      </w:tr>
      <w:tr w:rsidR="00631AB9" w:rsidRPr="002F45E5" w14:paraId="570F0E87" w14:textId="77777777" w:rsidTr="003D11A6">
        <w:trPr>
          <w:trHeight w:val="283"/>
        </w:trPr>
        <w:tc>
          <w:tcPr>
            <w:tcW w:w="1489" w:type="pct"/>
            <w:vAlign w:val="center"/>
          </w:tcPr>
          <w:p w14:paraId="5FF1C11C" w14:textId="77777777" w:rsidR="00631AB9" w:rsidRPr="00555EF2" w:rsidRDefault="00631AB9" w:rsidP="00A95D64">
            <w:pPr>
              <w:pStyle w:val="Odsekzoznamu"/>
              <w:numPr>
                <w:ilvl w:val="0"/>
                <w:numId w:val="18"/>
              </w:numPr>
              <w:spacing w:after="0" w:line="240" w:lineRule="auto"/>
              <w:ind w:right="-99"/>
              <w:jc w:val="left"/>
              <w:rPr>
                <w:rFonts w:eastAsia="Times New Roman" w:cs="Segoe UI"/>
                <w:bCs/>
                <w:sz w:val="18"/>
                <w:szCs w:val="18"/>
                <w:lang w:eastAsia="sk-SK"/>
              </w:rPr>
            </w:pPr>
            <w:r>
              <w:rPr>
                <w:rFonts w:eastAsia="Times New Roman" w:cs="Segoe UI"/>
                <w:bCs/>
                <w:sz w:val="18"/>
                <w:szCs w:val="18"/>
                <w:lang w:eastAsia="sk-SK"/>
              </w:rPr>
              <w:t>z toho m</w:t>
            </w:r>
            <w:r w:rsidRPr="00555EF2">
              <w:rPr>
                <w:rFonts w:eastAsia="Times New Roman" w:cs="Segoe UI"/>
                <w:bCs/>
                <w:sz w:val="18"/>
                <w:szCs w:val="18"/>
                <w:lang w:eastAsia="sk-SK"/>
              </w:rPr>
              <w:t>zdy a odvody</w:t>
            </w:r>
          </w:p>
        </w:tc>
        <w:tc>
          <w:tcPr>
            <w:tcW w:w="698" w:type="pct"/>
            <w:shd w:val="clear" w:color="auto" w:fill="auto"/>
            <w:vAlign w:val="center"/>
          </w:tcPr>
          <w:p w14:paraId="588A3FA3"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570 787</w:t>
            </w:r>
          </w:p>
        </w:tc>
        <w:tc>
          <w:tcPr>
            <w:tcW w:w="698" w:type="pct"/>
            <w:shd w:val="clear" w:color="auto" w:fill="auto"/>
            <w:vAlign w:val="center"/>
          </w:tcPr>
          <w:p w14:paraId="4AB842B4"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625 192 </w:t>
            </w:r>
          </w:p>
        </w:tc>
        <w:tc>
          <w:tcPr>
            <w:tcW w:w="698" w:type="pct"/>
            <w:shd w:val="clear" w:color="auto" w:fill="auto"/>
            <w:vAlign w:val="center"/>
          </w:tcPr>
          <w:p w14:paraId="19E3E236"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683 173 </w:t>
            </w:r>
          </w:p>
        </w:tc>
        <w:tc>
          <w:tcPr>
            <w:tcW w:w="786" w:type="pct"/>
            <w:shd w:val="clear" w:color="auto" w:fill="auto"/>
            <w:vAlign w:val="center"/>
          </w:tcPr>
          <w:p w14:paraId="5669FDE5"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57 981 </w:t>
            </w:r>
          </w:p>
        </w:tc>
        <w:tc>
          <w:tcPr>
            <w:tcW w:w="631" w:type="pct"/>
            <w:shd w:val="clear" w:color="auto" w:fill="auto"/>
            <w:vAlign w:val="center"/>
          </w:tcPr>
          <w:p w14:paraId="3B3E1096" w14:textId="77777777" w:rsidR="00631AB9" w:rsidRPr="00D53449" w:rsidRDefault="00631AB9" w:rsidP="007D38E1">
            <w:pPr>
              <w:spacing w:after="0" w:line="240" w:lineRule="auto"/>
              <w:jc w:val="right"/>
              <w:rPr>
                <w:rFonts w:eastAsia="Times New Roman" w:cs="Segoe UI"/>
                <w:bCs/>
                <w:szCs w:val="20"/>
                <w:lang w:eastAsia="sk-SK"/>
              </w:rPr>
            </w:pPr>
            <w:r>
              <w:rPr>
                <w:rFonts w:cs="Segoe UI"/>
                <w:b/>
                <w:bCs/>
                <w:color w:val="000000"/>
                <w:sz w:val="18"/>
                <w:szCs w:val="18"/>
              </w:rPr>
              <w:t>109%</w:t>
            </w:r>
          </w:p>
        </w:tc>
      </w:tr>
      <w:tr w:rsidR="00631AB9" w:rsidRPr="002F45E5" w14:paraId="2C576171" w14:textId="77777777" w:rsidTr="003D11A6">
        <w:trPr>
          <w:trHeight w:val="283"/>
        </w:trPr>
        <w:tc>
          <w:tcPr>
            <w:tcW w:w="1489" w:type="pct"/>
            <w:vAlign w:val="center"/>
          </w:tcPr>
          <w:p w14:paraId="77AD282E" w14:textId="77777777" w:rsidR="00631AB9" w:rsidRPr="00555EF2" w:rsidRDefault="00631AB9" w:rsidP="00631AB9">
            <w:pPr>
              <w:pStyle w:val="Odsekzoznamu"/>
              <w:numPr>
                <w:ilvl w:val="0"/>
                <w:numId w:val="18"/>
              </w:numPr>
              <w:spacing w:after="0" w:line="240" w:lineRule="auto"/>
              <w:jc w:val="left"/>
              <w:rPr>
                <w:rFonts w:eastAsia="Times New Roman" w:cs="Segoe UI"/>
                <w:bCs/>
                <w:sz w:val="18"/>
                <w:szCs w:val="18"/>
                <w:lang w:eastAsia="sk-SK"/>
              </w:rPr>
            </w:pPr>
            <w:r>
              <w:rPr>
                <w:rFonts w:eastAsia="Times New Roman" w:cs="Segoe UI"/>
                <w:bCs/>
                <w:sz w:val="18"/>
                <w:szCs w:val="18"/>
                <w:lang w:eastAsia="sk-SK"/>
              </w:rPr>
              <w:t>t</w:t>
            </w:r>
            <w:r w:rsidRPr="00555EF2">
              <w:rPr>
                <w:rFonts w:eastAsia="Times New Roman" w:cs="Segoe UI"/>
                <w:bCs/>
                <w:sz w:val="18"/>
                <w:szCs w:val="18"/>
                <w:lang w:eastAsia="sk-SK"/>
              </w:rPr>
              <w:t>ovar a služby</w:t>
            </w:r>
          </w:p>
        </w:tc>
        <w:tc>
          <w:tcPr>
            <w:tcW w:w="698" w:type="pct"/>
            <w:shd w:val="clear" w:color="auto" w:fill="auto"/>
            <w:vAlign w:val="center"/>
          </w:tcPr>
          <w:p w14:paraId="48EB766E"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271 517</w:t>
            </w:r>
          </w:p>
        </w:tc>
        <w:tc>
          <w:tcPr>
            <w:tcW w:w="698" w:type="pct"/>
            <w:shd w:val="clear" w:color="auto" w:fill="auto"/>
            <w:vAlign w:val="center"/>
          </w:tcPr>
          <w:p w14:paraId="0C2B2E69"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308 255 </w:t>
            </w:r>
          </w:p>
        </w:tc>
        <w:tc>
          <w:tcPr>
            <w:tcW w:w="698" w:type="pct"/>
            <w:shd w:val="clear" w:color="auto" w:fill="auto"/>
            <w:vAlign w:val="center"/>
          </w:tcPr>
          <w:p w14:paraId="6FA01A74"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297 797 </w:t>
            </w:r>
          </w:p>
        </w:tc>
        <w:tc>
          <w:tcPr>
            <w:tcW w:w="786" w:type="pct"/>
            <w:shd w:val="clear" w:color="auto" w:fill="auto"/>
            <w:vAlign w:val="center"/>
          </w:tcPr>
          <w:p w14:paraId="6C23C9B3"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- 10 458 </w:t>
            </w:r>
          </w:p>
        </w:tc>
        <w:tc>
          <w:tcPr>
            <w:tcW w:w="631" w:type="pct"/>
            <w:shd w:val="clear" w:color="auto" w:fill="auto"/>
            <w:vAlign w:val="center"/>
          </w:tcPr>
          <w:p w14:paraId="33FDD815" w14:textId="77777777" w:rsidR="00631AB9" w:rsidRPr="00D53449" w:rsidRDefault="00631AB9" w:rsidP="007D38E1">
            <w:pPr>
              <w:spacing w:after="0" w:line="240" w:lineRule="auto"/>
              <w:jc w:val="right"/>
              <w:rPr>
                <w:rFonts w:eastAsia="Times New Roman" w:cs="Segoe UI"/>
                <w:bCs/>
                <w:szCs w:val="20"/>
                <w:lang w:eastAsia="sk-SK"/>
              </w:rPr>
            </w:pPr>
            <w:r>
              <w:rPr>
                <w:rFonts w:cs="Segoe UI"/>
                <w:b/>
                <w:bCs/>
                <w:color w:val="000000"/>
                <w:sz w:val="18"/>
                <w:szCs w:val="18"/>
              </w:rPr>
              <w:t>97%</w:t>
            </w:r>
          </w:p>
        </w:tc>
      </w:tr>
      <w:tr w:rsidR="00631AB9" w:rsidRPr="002F45E5" w14:paraId="3AFA6ADC" w14:textId="77777777" w:rsidTr="003D11A6">
        <w:trPr>
          <w:trHeight w:val="283"/>
        </w:trPr>
        <w:tc>
          <w:tcPr>
            <w:tcW w:w="1489" w:type="pct"/>
            <w:vAlign w:val="center"/>
          </w:tcPr>
          <w:p w14:paraId="2F41EE4A" w14:textId="77777777" w:rsidR="00631AB9" w:rsidRPr="002F45E5" w:rsidRDefault="00631AB9" w:rsidP="007D38E1">
            <w:pPr>
              <w:spacing w:after="0" w:line="240" w:lineRule="auto"/>
              <w:contextualSpacing/>
              <w:jc w:val="left"/>
              <w:rPr>
                <w:rFonts w:eastAsia="Times New Roman" w:cs="Segoe UI"/>
                <w:bCs/>
                <w:sz w:val="18"/>
                <w:szCs w:val="18"/>
                <w:lang w:eastAsia="sk-SK"/>
              </w:rPr>
            </w:pPr>
            <w:r w:rsidRPr="002F45E5">
              <w:rPr>
                <w:rFonts w:eastAsia="Times New Roman" w:cs="Segoe UI"/>
                <w:bCs/>
                <w:sz w:val="18"/>
                <w:szCs w:val="18"/>
                <w:lang w:eastAsia="sk-SK"/>
              </w:rPr>
              <w:t>Hotovostné saldo</w:t>
            </w:r>
          </w:p>
        </w:tc>
        <w:tc>
          <w:tcPr>
            <w:tcW w:w="698" w:type="pct"/>
            <w:shd w:val="clear" w:color="auto" w:fill="auto"/>
            <w:vAlign w:val="center"/>
          </w:tcPr>
          <w:p w14:paraId="0F5F563E"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177 267</w:t>
            </w:r>
          </w:p>
        </w:tc>
        <w:tc>
          <w:tcPr>
            <w:tcW w:w="698" w:type="pct"/>
            <w:shd w:val="clear" w:color="auto" w:fill="auto"/>
            <w:vAlign w:val="center"/>
          </w:tcPr>
          <w:p w14:paraId="577C3554"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258 670 </w:t>
            </w:r>
          </w:p>
        </w:tc>
        <w:tc>
          <w:tcPr>
            <w:tcW w:w="698" w:type="pct"/>
            <w:shd w:val="clear" w:color="auto" w:fill="auto"/>
            <w:vAlign w:val="center"/>
          </w:tcPr>
          <w:p w14:paraId="5316C92E"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188 195 </w:t>
            </w:r>
          </w:p>
        </w:tc>
        <w:tc>
          <w:tcPr>
            <w:tcW w:w="786" w:type="pct"/>
            <w:shd w:val="clear" w:color="auto" w:fill="auto"/>
            <w:vAlign w:val="center"/>
          </w:tcPr>
          <w:p w14:paraId="2C30D89B"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- 70 475 </w:t>
            </w:r>
          </w:p>
        </w:tc>
        <w:tc>
          <w:tcPr>
            <w:tcW w:w="631" w:type="pct"/>
            <w:shd w:val="clear" w:color="auto" w:fill="auto"/>
            <w:vAlign w:val="center"/>
          </w:tcPr>
          <w:p w14:paraId="68F2858D" w14:textId="77777777" w:rsidR="00631AB9" w:rsidRPr="00D53449" w:rsidRDefault="00631AB9" w:rsidP="007D38E1">
            <w:pPr>
              <w:spacing w:after="0" w:line="240" w:lineRule="auto"/>
              <w:jc w:val="right"/>
              <w:rPr>
                <w:rFonts w:eastAsia="Times New Roman" w:cs="Segoe UI"/>
                <w:bCs/>
                <w:szCs w:val="20"/>
                <w:lang w:eastAsia="sk-SK"/>
              </w:rPr>
            </w:pPr>
            <w:r>
              <w:rPr>
                <w:rFonts w:cs="Segoe UI"/>
                <w:b/>
                <w:bCs/>
                <w:color w:val="000000"/>
                <w:sz w:val="18"/>
                <w:szCs w:val="18"/>
              </w:rPr>
              <w:t>73%</w:t>
            </w:r>
          </w:p>
        </w:tc>
      </w:tr>
      <w:tr w:rsidR="00631AB9" w:rsidRPr="002F45E5" w14:paraId="081BFA1E" w14:textId="77777777" w:rsidTr="003D11A6">
        <w:trPr>
          <w:trHeight w:val="283"/>
        </w:trPr>
        <w:tc>
          <w:tcPr>
            <w:tcW w:w="1489" w:type="pct"/>
            <w:vAlign w:val="center"/>
          </w:tcPr>
          <w:p w14:paraId="33E23E55" w14:textId="77777777" w:rsidR="00631AB9" w:rsidRPr="002F45E5" w:rsidRDefault="00631AB9" w:rsidP="007D38E1">
            <w:pPr>
              <w:spacing w:after="0" w:line="240" w:lineRule="auto"/>
              <w:contextualSpacing/>
              <w:jc w:val="left"/>
              <w:rPr>
                <w:rFonts w:eastAsia="Times New Roman" w:cs="Segoe UI"/>
                <w:b/>
                <w:bCs/>
                <w:sz w:val="18"/>
                <w:szCs w:val="18"/>
                <w:lang w:eastAsia="sk-SK"/>
              </w:rPr>
            </w:pPr>
            <w:r w:rsidRPr="002F45E5">
              <w:rPr>
                <w:rFonts w:eastAsia="Times New Roman" w:cs="Segoe UI"/>
                <w:b/>
                <w:bCs/>
                <w:sz w:val="18"/>
                <w:szCs w:val="18"/>
                <w:lang w:eastAsia="sk-SK"/>
              </w:rPr>
              <w:t xml:space="preserve">Nekonsolidovaný dlh </w:t>
            </w:r>
          </w:p>
        </w:tc>
        <w:tc>
          <w:tcPr>
            <w:tcW w:w="698" w:type="pct"/>
            <w:shd w:val="clear" w:color="auto" w:fill="auto"/>
            <w:vAlign w:val="center"/>
          </w:tcPr>
          <w:p w14:paraId="097E1681" w14:textId="77777777" w:rsidR="00631AB9" w:rsidRPr="00790236" w:rsidRDefault="00631AB9" w:rsidP="007D38E1">
            <w:pPr>
              <w:spacing w:after="0" w:line="240" w:lineRule="auto"/>
              <w:jc w:val="right"/>
              <w:rPr>
                <w:rFonts w:eastAsia="Times New Roman" w:cs="Segoe UI"/>
                <w:b/>
                <w:bCs/>
                <w:sz w:val="18"/>
                <w:szCs w:val="18"/>
                <w:lang w:eastAsia="sk-SK"/>
              </w:rPr>
            </w:pPr>
            <w:r>
              <w:rPr>
                <w:rFonts w:cs="Segoe UI"/>
                <w:b/>
                <w:bCs/>
                <w:color w:val="000000"/>
                <w:sz w:val="18"/>
                <w:szCs w:val="18"/>
              </w:rPr>
              <w:t>565 287</w:t>
            </w:r>
          </w:p>
        </w:tc>
        <w:tc>
          <w:tcPr>
            <w:tcW w:w="698" w:type="pct"/>
            <w:shd w:val="clear" w:color="auto" w:fill="auto"/>
            <w:vAlign w:val="center"/>
          </w:tcPr>
          <w:p w14:paraId="4531FB40" w14:textId="77777777" w:rsidR="00631AB9" w:rsidRPr="00790236" w:rsidRDefault="00631AB9" w:rsidP="007D38E1">
            <w:pPr>
              <w:spacing w:after="0" w:line="240" w:lineRule="auto"/>
              <w:jc w:val="right"/>
              <w:rPr>
                <w:rFonts w:eastAsia="Times New Roman" w:cs="Segoe UI"/>
                <w:b/>
                <w:bCs/>
                <w:sz w:val="18"/>
                <w:szCs w:val="18"/>
                <w:lang w:eastAsia="sk-SK"/>
              </w:rPr>
            </w:pPr>
            <w:r>
              <w:rPr>
                <w:rFonts w:cs="Segoe UI"/>
                <w:b/>
                <w:bCs/>
                <w:color w:val="000000"/>
                <w:sz w:val="18"/>
                <w:szCs w:val="18"/>
              </w:rPr>
              <w:t xml:space="preserve">      701 518 </w:t>
            </w:r>
          </w:p>
        </w:tc>
        <w:tc>
          <w:tcPr>
            <w:tcW w:w="698" w:type="pct"/>
            <w:shd w:val="clear" w:color="auto" w:fill="auto"/>
            <w:vAlign w:val="center"/>
          </w:tcPr>
          <w:p w14:paraId="29809C6B" w14:textId="77777777" w:rsidR="00631AB9" w:rsidRPr="00790236" w:rsidRDefault="00631AB9" w:rsidP="007D38E1">
            <w:pPr>
              <w:spacing w:after="0" w:line="240" w:lineRule="auto"/>
              <w:jc w:val="right"/>
              <w:rPr>
                <w:rFonts w:eastAsia="Times New Roman" w:cs="Segoe UI"/>
                <w:b/>
                <w:bCs/>
                <w:sz w:val="18"/>
                <w:szCs w:val="18"/>
                <w:lang w:eastAsia="sk-SK"/>
              </w:rPr>
            </w:pPr>
            <w:r>
              <w:rPr>
                <w:rFonts w:cs="Segoe UI"/>
                <w:b/>
                <w:bCs/>
                <w:color w:val="000000"/>
                <w:sz w:val="18"/>
                <w:szCs w:val="18"/>
              </w:rPr>
              <w:t xml:space="preserve">       652 106 </w:t>
            </w:r>
          </w:p>
        </w:tc>
        <w:tc>
          <w:tcPr>
            <w:tcW w:w="786" w:type="pct"/>
            <w:shd w:val="clear" w:color="auto" w:fill="auto"/>
            <w:vAlign w:val="center"/>
          </w:tcPr>
          <w:p w14:paraId="45FD8A5D" w14:textId="77777777" w:rsidR="00631AB9" w:rsidRPr="00790236" w:rsidRDefault="00631AB9" w:rsidP="007D38E1">
            <w:pPr>
              <w:spacing w:after="0" w:line="240" w:lineRule="auto"/>
              <w:jc w:val="right"/>
              <w:rPr>
                <w:rFonts w:eastAsia="Times New Roman" w:cs="Segoe UI"/>
                <w:b/>
                <w:bCs/>
                <w:sz w:val="18"/>
                <w:szCs w:val="18"/>
                <w:lang w:eastAsia="sk-SK"/>
              </w:rPr>
            </w:pPr>
            <w:r>
              <w:rPr>
                <w:rFonts w:cs="Segoe UI"/>
                <w:b/>
                <w:bCs/>
                <w:color w:val="000000"/>
                <w:sz w:val="18"/>
                <w:szCs w:val="18"/>
              </w:rPr>
              <w:t xml:space="preserve">- 49 412 </w:t>
            </w:r>
          </w:p>
        </w:tc>
        <w:tc>
          <w:tcPr>
            <w:tcW w:w="631" w:type="pct"/>
            <w:shd w:val="clear" w:color="auto" w:fill="auto"/>
            <w:vAlign w:val="center"/>
          </w:tcPr>
          <w:p w14:paraId="2AB1F54B" w14:textId="77777777" w:rsidR="00631AB9" w:rsidRPr="00D53449" w:rsidRDefault="00631AB9" w:rsidP="007D38E1">
            <w:pPr>
              <w:spacing w:after="0" w:line="240" w:lineRule="auto"/>
              <w:jc w:val="right"/>
              <w:rPr>
                <w:rFonts w:eastAsia="Times New Roman" w:cs="Segoe UI"/>
                <w:b/>
                <w:bCs/>
                <w:szCs w:val="20"/>
                <w:lang w:eastAsia="sk-SK"/>
              </w:rPr>
            </w:pPr>
            <w:r>
              <w:rPr>
                <w:rFonts w:cs="Segoe UI"/>
                <w:b/>
                <w:bCs/>
                <w:color w:val="000000"/>
                <w:sz w:val="18"/>
                <w:szCs w:val="18"/>
              </w:rPr>
              <w:t>93%</w:t>
            </w:r>
          </w:p>
        </w:tc>
      </w:tr>
      <w:tr w:rsidR="00631AB9" w:rsidRPr="002F45E5" w14:paraId="782EBFF7" w14:textId="77777777" w:rsidTr="003D11A6">
        <w:trPr>
          <w:trHeight w:val="283"/>
        </w:trPr>
        <w:tc>
          <w:tcPr>
            <w:tcW w:w="1489" w:type="pct"/>
            <w:vAlign w:val="center"/>
          </w:tcPr>
          <w:p w14:paraId="34570965" w14:textId="77777777" w:rsidR="00631AB9" w:rsidRPr="002F45E5" w:rsidRDefault="00631AB9" w:rsidP="007D38E1">
            <w:pPr>
              <w:spacing w:after="0" w:line="240" w:lineRule="auto"/>
              <w:contextualSpacing/>
              <w:jc w:val="left"/>
              <w:rPr>
                <w:rFonts w:eastAsia="Times New Roman" w:cs="Segoe UI"/>
                <w:bCs/>
                <w:sz w:val="18"/>
                <w:szCs w:val="18"/>
                <w:lang w:eastAsia="sk-SK"/>
              </w:rPr>
            </w:pPr>
            <w:r w:rsidRPr="002F45E5">
              <w:rPr>
                <w:rFonts w:eastAsia="Times New Roman" w:cs="Segoe UI"/>
                <w:bCs/>
                <w:sz w:val="18"/>
                <w:szCs w:val="18"/>
                <w:lang w:eastAsia="sk-SK"/>
              </w:rPr>
              <w:t>Kapitálové výdavky</w:t>
            </w:r>
          </w:p>
        </w:tc>
        <w:tc>
          <w:tcPr>
            <w:tcW w:w="698" w:type="pct"/>
            <w:shd w:val="clear" w:color="auto" w:fill="auto"/>
            <w:vAlign w:val="center"/>
          </w:tcPr>
          <w:p w14:paraId="0A103FE3"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320 806</w:t>
            </w:r>
          </w:p>
        </w:tc>
        <w:tc>
          <w:tcPr>
            <w:tcW w:w="698" w:type="pct"/>
            <w:shd w:val="clear" w:color="auto" w:fill="auto"/>
            <w:vAlign w:val="center"/>
          </w:tcPr>
          <w:p w14:paraId="2C6F92ED"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707 069 </w:t>
            </w:r>
          </w:p>
        </w:tc>
        <w:tc>
          <w:tcPr>
            <w:tcW w:w="698" w:type="pct"/>
            <w:shd w:val="clear" w:color="auto" w:fill="auto"/>
            <w:vAlign w:val="center"/>
          </w:tcPr>
          <w:p w14:paraId="4F644F0F"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276 035 </w:t>
            </w:r>
          </w:p>
        </w:tc>
        <w:tc>
          <w:tcPr>
            <w:tcW w:w="786" w:type="pct"/>
            <w:shd w:val="clear" w:color="auto" w:fill="auto"/>
            <w:vAlign w:val="center"/>
          </w:tcPr>
          <w:p w14:paraId="5639DECB"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- 431 034 </w:t>
            </w:r>
          </w:p>
        </w:tc>
        <w:tc>
          <w:tcPr>
            <w:tcW w:w="631" w:type="pct"/>
            <w:shd w:val="clear" w:color="auto" w:fill="auto"/>
            <w:vAlign w:val="center"/>
          </w:tcPr>
          <w:p w14:paraId="0525049D" w14:textId="77777777" w:rsidR="00631AB9" w:rsidRPr="00D53449" w:rsidRDefault="00631AB9" w:rsidP="007D38E1">
            <w:pPr>
              <w:spacing w:after="0" w:line="240" w:lineRule="auto"/>
              <w:jc w:val="right"/>
              <w:rPr>
                <w:rFonts w:eastAsia="Times New Roman" w:cs="Segoe UI"/>
                <w:bCs/>
                <w:szCs w:val="20"/>
                <w:lang w:eastAsia="sk-SK"/>
              </w:rPr>
            </w:pPr>
            <w:r>
              <w:rPr>
                <w:rFonts w:cs="Segoe UI"/>
                <w:b/>
                <w:bCs/>
                <w:color w:val="000000"/>
                <w:sz w:val="18"/>
                <w:szCs w:val="18"/>
              </w:rPr>
              <w:t>39%</w:t>
            </w:r>
          </w:p>
        </w:tc>
      </w:tr>
      <w:tr w:rsidR="00631AB9" w:rsidRPr="002F45E5" w14:paraId="73C99123" w14:textId="77777777" w:rsidTr="003D11A6">
        <w:trPr>
          <w:trHeight w:val="283"/>
        </w:trPr>
        <w:tc>
          <w:tcPr>
            <w:tcW w:w="1489" w:type="pct"/>
            <w:vAlign w:val="center"/>
          </w:tcPr>
          <w:p w14:paraId="34876B21" w14:textId="77777777" w:rsidR="00631AB9" w:rsidRPr="002F45E5" w:rsidRDefault="00631AB9" w:rsidP="007D38E1">
            <w:pPr>
              <w:spacing w:after="0" w:line="240" w:lineRule="auto"/>
              <w:contextualSpacing/>
              <w:jc w:val="left"/>
              <w:rPr>
                <w:rFonts w:eastAsia="Times New Roman" w:cs="Segoe UI"/>
                <w:bCs/>
                <w:sz w:val="18"/>
                <w:szCs w:val="18"/>
                <w:lang w:eastAsia="sk-SK"/>
              </w:rPr>
            </w:pPr>
            <w:r w:rsidRPr="002F45E5">
              <w:rPr>
                <w:rFonts w:eastAsia="Times New Roman" w:cs="Segoe UI"/>
                <w:bCs/>
                <w:sz w:val="18"/>
                <w:szCs w:val="18"/>
                <w:lang w:eastAsia="sk-SK"/>
              </w:rPr>
              <w:t>Príjmové finančné operácie</w:t>
            </w:r>
          </w:p>
        </w:tc>
        <w:tc>
          <w:tcPr>
            <w:tcW w:w="698" w:type="pct"/>
            <w:shd w:val="clear" w:color="auto" w:fill="auto"/>
            <w:vAlign w:val="center"/>
          </w:tcPr>
          <w:p w14:paraId="4A25A954"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361 764</w:t>
            </w:r>
          </w:p>
        </w:tc>
        <w:tc>
          <w:tcPr>
            <w:tcW w:w="698" w:type="pct"/>
            <w:shd w:val="clear" w:color="auto" w:fill="auto"/>
            <w:vAlign w:val="center"/>
          </w:tcPr>
          <w:p w14:paraId="21DDDB47"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489 708 </w:t>
            </w:r>
          </w:p>
        </w:tc>
        <w:tc>
          <w:tcPr>
            <w:tcW w:w="698" w:type="pct"/>
            <w:shd w:val="clear" w:color="auto" w:fill="auto"/>
            <w:vAlign w:val="center"/>
          </w:tcPr>
          <w:p w14:paraId="5731EB83"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321 669 </w:t>
            </w:r>
          </w:p>
        </w:tc>
        <w:tc>
          <w:tcPr>
            <w:tcW w:w="786" w:type="pct"/>
            <w:shd w:val="clear" w:color="auto" w:fill="auto"/>
            <w:vAlign w:val="center"/>
          </w:tcPr>
          <w:p w14:paraId="3124EDB0"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168 039 </w:t>
            </w:r>
          </w:p>
        </w:tc>
        <w:tc>
          <w:tcPr>
            <w:tcW w:w="631" w:type="pct"/>
            <w:shd w:val="clear" w:color="auto" w:fill="auto"/>
            <w:vAlign w:val="center"/>
          </w:tcPr>
          <w:p w14:paraId="70BF3E65" w14:textId="77777777" w:rsidR="00631AB9" w:rsidRPr="00D53449" w:rsidRDefault="00631AB9" w:rsidP="007D38E1">
            <w:pPr>
              <w:spacing w:after="0" w:line="240" w:lineRule="auto"/>
              <w:jc w:val="right"/>
              <w:rPr>
                <w:rFonts w:eastAsia="Times New Roman" w:cs="Segoe UI"/>
                <w:bCs/>
                <w:szCs w:val="20"/>
                <w:lang w:eastAsia="sk-SK"/>
              </w:rPr>
            </w:pPr>
            <w:r>
              <w:rPr>
                <w:rFonts w:cs="Segoe UI"/>
                <w:b/>
                <w:bCs/>
                <w:color w:val="000000"/>
                <w:sz w:val="18"/>
                <w:szCs w:val="18"/>
              </w:rPr>
              <w:t>66%</w:t>
            </w:r>
          </w:p>
        </w:tc>
      </w:tr>
      <w:tr w:rsidR="00631AB9" w:rsidRPr="002F45E5" w14:paraId="004055CA" w14:textId="77777777" w:rsidTr="003D11A6">
        <w:trPr>
          <w:trHeight w:val="283"/>
        </w:trPr>
        <w:tc>
          <w:tcPr>
            <w:tcW w:w="1489" w:type="pct"/>
            <w:vAlign w:val="center"/>
          </w:tcPr>
          <w:p w14:paraId="16D1F403" w14:textId="77777777" w:rsidR="00631AB9" w:rsidRPr="002F45E5" w:rsidRDefault="00631AB9" w:rsidP="007D38E1">
            <w:pPr>
              <w:spacing w:after="0" w:line="240" w:lineRule="auto"/>
              <w:contextualSpacing/>
              <w:jc w:val="left"/>
              <w:rPr>
                <w:rFonts w:eastAsia="Times New Roman" w:cs="Segoe UI"/>
                <w:bCs/>
                <w:sz w:val="18"/>
                <w:szCs w:val="18"/>
                <w:lang w:eastAsia="sk-SK"/>
              </w:rPr>
            </w:pPr>
            <w:r w:rsidRPr="002F45E5">
              <w:rPr>
                <w:rFonts w:eastAsia="Times New Roman" w:cs="Segoe UI"/>
                <w:bCs/>
                <w:sz w:val="18"/>
                <w:szCs w:val="18"/>
                <w:lang w:eastAsia="sk-SK"/>
              </w:rPr>
              <w:t>Výdavkové finančné operácie</w:t>
            </w:r>
          </w:p>
        </w:tc>
        <w:tc>
          <w:tcPr>
            <w:tcW w:w="698" w:type="pct"/>
            <w:shd w:val="clear" w:color="auto" w:fill="auto"/>
            <w:vAlign w:val="center"/>
          </w:tcPr>
          <w:p w14:paraId="0F8ADA27"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64 625</w:t>
            </w:r>
          </w:p>
        </w:tc>
        <w:tc>
          <w:tcPr>
            <w:tcW w:w="698" w:type="pct"/>
            <w:shd w:val="clear" w:color="auto" w:fill="auto"/>
            <w:vAlign w:val="center"/>
          </w:tcPr>
          <w:p w14:paraId="5CDFD372"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76 090 </w:t>
            </w:r>
          </w:p>
        </w:tc>
        <w:tc>
          <w:tcPr>
            <w:tcW w:w="698" w:type="pct"/>
            <w:shd w:val="clear" w:color="auto" w:fill="auto"/>
            <w:vAlign w:val="center"/>
          </w:tcPr>
          <w:p w14:paraId="11BFAEFC"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90 286 </w:t>
            </w:r>
          </w:p>
        </w:tc>
        <w:tc>
          <w:tcPr>
            <w:tcW w:w="786" w:type="pct"/>
            <w:shd w:val="clear" w:color="auto" w:fill="auto"/>
            <w:vAlign w:val="center"/>
          </w:tcPr>
          <w:p w14:paraId="01A8A29D" w14:textId="77777777" w:rsidR="00631AB9" w:rsidRPr="002F45E5" w:rsidRDefault="00631AB9" w:rsidP="007D38E1">
            <w:pPr>
              <w:spacing w:after="0" w:line="240" w:lineRule="auto"/>
              <w:jc w:val="right"/>
              <w:rPr>
                <w:rFonts w:eastAsia="Times New Roman" w:cs="Segoe UI"/>
                <w:bCs/>
                <w:sz w:val="18"/>
                <w:szCs w:val="18"/>
                <w:lang w:eastAsia="sk-SK"/>
              </w:rPr>
            </w:pPr>
            <w:r>
              <w:rPr>
                <w:rFonts w:cs="Segoe UI"/>
                <w:color w:val="000000"/>
                <w:sz w:val="18"/>
                <w:szCs w:val="18"/>
              </w:rPr>
              <w:t xml:space="preserve">       14 196 </w:t>
            </w:r>
          </w:p>
        </w:tc>
        <w:tc>
          <w:tcPr>
            <w:tcW w:w="631" w:type="pct"/>
            <w:shd w:val="clear" w:color="auto" w:fill="auto"/>
            <w:vAlign w:val="center"/>
          </w:tcPr>
          <w:p w14:paraId="3D7302D4" w14:textId="77777777" w:rsidR="00631AB9" w:rsidRPr="00D53449" w:rsidRDefault="00631AB9" w:rsidP="007D38E1">
            <w:pPr>
              <w:spacing w:after="0" w:line="240" w:lineRule="auto"/>
              <w:jc w:val="right"/>
              <w:rPr>
                <w:rFonts w:eastAsia="Times New Roman" w:cs="Segoe UI"/>
                <w:bCs/>
                <w:szCs w:val="20"/>
                <w:lang w:eastAsia="sk-SK"/>
              </w:rPr>
            </w:pPr>
            <w:r>
              <w:rPr>
                <w:rFonts w:cs="Segoe UI"/>
                <w:b/>
                <w:bCs/>
                <w:color w:val="000000"/>
                <w:sz w:val="18"/>
                <w:szCs w:val="18"/>
              </w:rPr>
              <w:t>119%</w:t>
            </w:r>
          </w:p>
        </w:tc>
      </w:tr>
    </w:tbl>
    <w:p w14:paraId="3F27CBFF" w14:textId="6B203264" w:rsidR="00631AB9" w:rsidRPr="000F0FA5" w:rsidRDefault="00631AB9" w:rsidP="00631AB9">
      <w:pPr>
        <w:pStyle w:val="Zdroj"/>
        <w:rPr>
          <w:lang w:eastAsia="sk-SK"/>
        </w:rPr>
      </w:pPr>
      <w:r w:rsidRPr="000F0FA5">
        <w:rPr>
          <w:lang w:eastAsia="sk-SK"/>
        </w:rPr>
        <w:t xml:space="preserve">Zdroj: </w:t>
      </w:r>
      <w:r>
        <w:rPr>
          <w:lang w:eastAsia="sk-SK"/>
        </w:rPr>
        <w:t>MF SR, Návrh</w:t>
      </w:r>
      <w:r w:rsidRPr="000F0FA5">
        <w:rPr>
          <w:lang w:eastAsia="sk-SK"/>
        </w:rPr>
        <w:t xml:space="preserve"> ŠZÚ 202</w:t>
      </w:r>
      <w:r>
        <w:rPr>
          <w:lang w:eastAsia="sk-SK"/>
        </w:rPr>
        <w:t>4</w:t>
      </w:r>
      <w:r w:rsidR="00CB5B58">
        <w:rPr>
          <w:lang w:eastAsia="sk-SK"/>
        </w:rPr>
        <w:t>.</w:t>
      </w:r>
      <w:r>
        <w:rPr>
          <w:lang w:eastAsia="sk-SK"/>
        </w:rPr>
        <w:t xml:space="preserve"> *</w:t>
      </w:r>
      <w:r w:rsidR="00C10075">
        <w:rPr>
          <w:lang w:eastAsia="sk-SK"/>
        </w:rPr>
        <w:t>V</w:t>
      </w:r>
      <w:r>
        <w:rPr>
          <w:lang w:eastAsia="sk-SK"/>
        </w:rPr>
        <w:t>rátane príjmových finančných operácií</w:t>
      </w:r>
      <w:r w:rsidR="00C10075">
        <w:rPr>
          <w:lang w:eastAsia="sk-SK"/>
        </w:rPr>
        <w:t>.</w:t>
      </w:r>
    </w:p>
    <w:p w14:paraId="74C9D684" w14:textId="77777777" w:rsidR="00631AB9" w:rsidRDefault="00631AB9" w:rsidP="00631AB9">
      <w:pPr>
        <w:rPr>
          <w:lang w:eastAsia="sk-SK"/>
        </w:rPr>
      </w:pPr>
      <w:r w:rsidRPr="00B628DC">
        <w:rPr>
          <w:b/>
          <w:lang w:eastAsia="sk-SK"/>
        </w:rPr>
        <w:t>Najvýznamnejšiu časť dlhu VÚC tvorili bankové úvery, ktorých výška sa medziročne znížila o</w:t>
      </w:r>
      <w:r>
        <w:rPr>
          <w:b/>
          <w:lang w:eastAsia="sk-SK"/>
        </w:rPr>
        <w:t> </w:t>
      </w:r>
      <w:r w:rsidRPr="00B628DC">
        <w:rPr>
          <w:b/>
          <w:lang w:eastAsia="sk-SK"/>
        </w:rPr>
        <w:t>24</w:t>
      </w:r>
      <w:r>
        <w:rPr>
          <w:b/>
          <w:lang w:eastAsia="sk-SK"/>
        </w:rPr>
        <w:t> </w:t>
      </w:r>
      <w:r w:rsidRPr="00B628DC">
        <w:rPr>
          <w:b/>
          <w:lang w:eastAsia="sk-SK"/>
        </w:rPr>
        <w:t>603 tis. eur.</w:t>
      </w:r>
      <w:r>
        <w:rPr>
          <w:lang w:eastAsia="sk-SK"/>
        </w:rPr>
        <w:t xml:space="preserve"> Zníženie nastalo najmä z dôvodu splácania úverov z predchádzajúcich rokov zo strany BBSK (súhrnne 16 199 tis. eur), ŽSK (súhrnne 7 618 tis. eur) a TSK (súhrnne 3 328 tis. eur), avšak v priebehu roka 2024 BBSK čerpal nové úvery vo výške 2 953 tis. eur, TSK čerpal ďalšiu </w:t>
      </w:r>
      <w:proofErr w:type="spellStart"/>
      <w:r>
        <w:rPr>
          <w:lang w:eastAsia="sk-SK"/>
        </w:rPr>
        <w:t>tranžu</w:t>
      </w:r>
      <w:proofErr w:type="spellEnd"/>
      <w:r>
        <w:rPr>
          <w:lang w:eastAsia="sk-SK"/>
        </w:rPr>
        <w:t xml:space="preserve"> úveru od Rozvojovej banky Rady Európy (13 700 tis. eur) a TTSK čerpal prvú </w:t>
      </w:r>
      <w:proofErr w:type="spellStart"/>
      <w:r>
        <w:rPr>
          <w:lang w:eastAsia="sk-SK"/>
        </w:rPr>
        <w:t>tranžu</w:t>
      </w:r>
      <w:proofErr w:type="spellEnd"/>
      <w:r>
        <w:rPr>
          <w:lang w:eastAsia="sk-SK"/>
        </w:rPr>
        <w:t xml:space="preserve"> úveru od Rozvojovej banky Rady Európy (10 mil. eur).</w:t>
      </w:r>
    </w:p>
    <w:p w14:paraId="7E378F38" w14:textId="4AB70339" w:rsidR="00631AB9" w:rsidRDefault="00631AB9" w:rsidP="00631AB9">
      <w:pPr>
        <w:rPr>
          <w:lang w:eastAsia="sk-SK"/>
        </w:rPr>
      </w:pPr>
      <w:r w:rsidRPr="00B628DC">
        <w:rPr>
          <w:b/>
          <w:lang w:eastAsia="sk-SK"/>
        </w:rPr>
        <w:t>VÚC</w:t>
      </w:r>
      <w:r>
        <w:rPr>
          <w:lang w:eastAsia="sk-SK"/>
        </w:rPr>
        <w:t xml:space="preserve"> </w:t>
      </w:r>
      <w:r w:rsidRPr="00940E1B">
        <w:rPr>
          <w:b/>
          <w:bCs/>
          <w:lang w:eastAsia="sk-SK"/>
        </w:rPr>
        <w:t>čerpa</w:t>
      </w:r>
      <w:r>
        <w:rPr>
          <w:b/>
          <w:bCs/>
          <w:lang w:eastAsia="sk-SK"/>
        </w:rPr>
        <w:t>li</w:t>
      </w:r>
      <w:r w:rsidRPr="00940E1B">
        <w:rPr>
          <w:b/>
          <w:bCs/>
          <w:lang w:eastAsia="sk-SK"/>
        </w:rPr>
        <w:t xml:space="preserve"> bankové úvery najmä </w:t>
      </w:r>
      <w:r w:rsidR="00E373C4">
        <w:rPr>
          <w:b/>
          <w:bCs/>
          <w:lang w:eastAsia="sk-SK"/>
        </w:rPr>
        <w:t>n</w:t>
      </w:r>
      <w:r w:rsidRPr="00940E1B">
        <w:rPr>
          <w:b/>
          <w:bCs/>
          <w:lang w:eastAsia="sk-SK"/>
        </w:rPr>
        <w:t>a účel</w:t>
      </w:r>
      <w:r w:rsidR="00E373C4">
        <w:rPr>
          <w:b/>
          <w:bCs/>
          <w:lang w:eastAsia="sk-SK"/>
        </w:rPr>
        <w:t>y</w:t>
      </w:r>
      <w:r w:rsidRPr="00940E1B">
        <w:rPr>
          <w:b/>
          <w:bCs/>
          <w:lang w:eastAsia="sk-SK"/>
        </w:rPr>
        <w:t xml:space="preserve"> </w:t>
      </w:r>
      <w:proofErr w:type="spellStart"/>
      <w:r w:rsidRPr="00940E1B">
        <w:rPr>
          <w:b/>
          <w:bCs/>
          <w:lang w:eastAsia="sk-SK"/>
        </w:rPr>
        <w:t>predfinancovania</w:t>
      </w:r>
      <w:proofErr w:type="spellEnd"/>
      <w:r w:rsidRPr="00940E1B">
        <w:rPr>
          <w:b/>
          <w:bCs/>
          <w:lang w:eastAsia="sk-SK"/>
        </w:rPr>
        <w:t xml:space="preserve"> investičných projektov financovaných z </w:t>
      </w:r>
      <w:r>
        <w:rPr>
          <w:b/>
          <w:bCs/>
          <w:lang w:eastAsia="sk-SK"/>
        </w:rPr>
        <w:t>EŠIF</w:t>
      </w:r>
      <w:r>
        <w:rPr>
          <w:lang w:eastAsia="sk-SK"/>
        </w:rPr>
        <w:t>, napríklad na obnovu budov samosprávnych krajov (hlavne školských zariadení) s cieľom zníženia ich energetickej náročnosti a celkovej modernizácie, na obnovu cestnej infraštruktúry a na refundáciu už vynaložených investičných výdavkov</w:t>
      </w:r>
      <w:r w:rsidRPr="00B628DC">
        <w:rPr>
          <w:b/>
          <w:lang w:eastAsia="sk-SK"/>
        </w:rPr>
        <w:t>.</w:t>
      </w:r>
    </w:p>
    <w:p w14:paraId="347E4E8E" w14:textId="4A4605AA" w:rsidR="00631AB9" w:rsidRDefault="00631AB9" w:rsidP="00631AB9">
      <w:pPr>
        <w:rPr>
          <w:lang w:eastAsia="sk-SK"/>
        </w:rPr>
      </w:pPr>
      <w:r w:rsidRPr="00B628DC">
        <w:rPr>
          <w:b/>
          <w:lang w:eastAsia="sk-SK"/>
        </w:rPr>
        <w:t xml:space="preserve">Podstatnú časť nekonsolidovaného dlhu VÚC tvoria pôžičky od spoločnosti National </w:t>
      </w:r>
      <w:proofErr w:type="spellStart"/>
      <w:r w:rsidRPr="00B628DC">
        <w:rPr>
          <w:b/>
          <w:lang w:eastAsia="sk-SK"/>
        </w:rPr>
        <w:t>Development</w:t>
      </w:r>
      <w:proofErr w:type="spellEnd"/>
      <w:r w:rsidRPr="00B628DC">
        <w:rPr>
          <w:b/>
          <w:lang w:eastAsia="sk-SK"/>
        </w:rPr>
        <w:t xml:space="preserve"> </w:t>
      </w:r>
      <w:proofErr w:type="spellStart"/>
      <w:r w:rsidRPr="00B628DC">
        <w:rPr>
          <w:b/>
          <w:lang w:eastAsia="sk-SK"/>
        </w:rPr>
        <w:t>Fund</w:t>
      </w:r>
      <w:proofErr w:type="spellEnd"/>
      <w:r w:rsidRPr="00B628DC">
        <w:rPr>
          <w:b/>
          <w:lang w:eastAsia="sk-SK"/>
        </w:rPr>
        <w:t xml:space="preserve"> II.</w:t>
      </w:r>
      <w:r w:rsidR="00E373C4">
        <w:rPr>
          <w:b/>
          <w:lang w:eastAsia="sk-SK"/>
        </w:rPr>
        <w:t>,</w:t>
      </w:r>
      <w:r w:rsidRPr="00B628DC">
        <w:rPr>
          <w:b/>
          <w:lang w:eastAsia="sk-SK"/>
        </w:rPr>
        <w:t xml:space="preserve"> poskytnuté samosprávnym krajom v súhrnnej výške 106 290 tis. eur ešte v</w:t>
      </w:r>
      <w:r>
        <w:rPr>
          <w:b/>
          <w:lang w:eastAsia="sk-SK"/>
        </w:rPr>
        <w:t> </w:t>
      </w:r>
      <w:r w:rsidRPr="00B628DC">
        <w:rPr>
          <w:b/>
          <w:lang w:eastAsia="sk-SK"/>
        </w:rPr>
        <w:t>roku 2023.</w:t>
      </w:r>
      <w:r>
        <w:rPr>
          <w:lang w:eastAsia="sk-SK"/>
        </w:rPr>
        <w:t xml:space="preserve"> Ďalšiu významnú časť tvoria NFV zo ŠFA, ktorých hodnota sa medziročne znížila o 27,3 </w:t>
      </w:r>
      <w:r>
        <w:rPr>
          <w:lang w:eastAsia="sk-SK"/>
        </w:rPr>
        <w:lastRenderedPageBreak/>
        <w:t xml:space="preserve">mil. eur. Pôžičky zo ŠFRB čerpal v priebehu roka 2024 TTSK (3 068 tis. eur) a TSK (1 539 tis. eur) a pôžičky z </w:t>
      </w:r>
      <w:proofErr w:type="spellStart"/>
      <w:r>
        <w:rPr>
          <w:lang w:eastAsia="sk-SK"/>
        </w:rPr>
        <w:t>Envirofondu</w:t>
      </w:r>
      <w:proofErr w:type="spellEnd"/>
      <w:r>
        <w:rPr>
          <w:lang w:eastAsia="sk-SK"/>
        </w:rPr>
        <w:t xml:space="preserve"> PSK (731 tis. eur).</w:t>
      </w:r>
    </w:p>
    <w:p w14:paraId="6C98771F" w14:textId="430DD36E" w:rsidR="00631AB9" w:rsidRDefault="00631AB9" w:rsidP="00631AB9">
      <w:pPr>
        <w:rPr>
          <w:rFonts w:cs="Segoe UI"/>
          <w:bCs/>
          <w:szCs w:val="20"/>
        </w:rPr>
      </w:pPr>
      <w:r w:rsidRPr="00DC4648">
        <w:rPr>
          <w:rFonts w:cs="Segoe UI"/>
          <w:b/>
          <w:szCs w:val="20"/>
        </w:rPr>
        <w:t>Transfery zo ŠR pre VÚC boli</w:t>
      </w:r>
      <w:r w:rsidRPr="00B628DC">
        <w:rPr>
          <w:rFonts w:cs="Segoe UI"/>
          <w:b/>
          <w:bCs/>
          <w:szCs w:val="20"/>
        </w:rPr>
        <w:t xml:space="preserve"> na úrovni 76 % minuloročných transferov</w:t>
      </w:r>
      <w:r w:rsidRPr="00DC4648">
        <w:rPr>
          <w:rFonts w:cs="Segoe UI"/>
          <w:b/>
          <w:szCs w:val="20"/>
        </w:rPr>
        <w:t>.</w:t>
      </w:r>
      <w:r>
        <w:rPr>
          <w:rFonts w:cs="Segoe UI"/>
          <w:b/>
          <w:szCs w:val="20"/>
        </w:rPr>
        <w:t xml:space="preserve"> </w:t>
      </w:r>
      <w:r>
        <w:rPr>
          <w:rFonts w:cs="Segoe UI"/>
          <w:bCs/>
          <w:szCs w:val="20"/>
        </w:rPr>
        <w:t>V</w:t>
      </w:r>
      <w:r w:rsidRPr="004D5C9A">
        <w:rPr>
          <w:rFonts w:cs="Segoe UI"/>
          <w:bCs/>
          <w:szCs w:val="20"/>
        </w:rPr>
        <w:t xml:space="preserve"> porovnaní s transfermi </w:t>
      </w:r>
      <w:r>
        <w:rPr>
          <w:rFonts w:cs="Segoe UI"/>
          <w:bCs/>
          <w:szCs w:val="20"/>
        </w:rPr>
        <w:t>obciam</w:t>
      </w:r>
      <w:r w:rsidRPr="004D5C9A">
        <w:rPr>
          <w:rFonts w:cs="Segoe UI"/>
          <w:bCs/>
          <w:szCs w:val="20"/>
        </w:rPr>
        <w:t xml:space="preserve"> tvoria </w:t>
      </w:r>
      <w:r w:rsidR="00123066">
        <w:rPr>
          <w:rFonts w:cs="Segoe UI"/>
          <w:bCs/>
          <w:szCs w:val="20"/>
        </w:rPr>
        <w:t xml:space="preserve">mierne </w:t>
      </w:r>
      <w:r w:rsidRPr="004D5C9A">
        <w:rPr>
          <w:rFonts w:cs="Segoe UI"/>
          <w:bCs/>
          <w:szCs w:val="20"/>
        </w:rPr>
        <w:t xml:space="preserve">vyššiu časť celkových príjmov </w:t>
      </w:r>
      <w:r>
        <w:rPr>
          <w:rFonts w:cs="Segoe UI"/>
          <w:bCs/>
          <w:szCs w:val="20"/>
        </w:rPr>
        <w:t>VÚC</w:t>
      </w:r>
      <w:r w:rsidR="00123066">
        <w:rPr>
          <w:rFonts w:cs="Segoe UI"/>
          <w:bCs/>
          <w:szCs w:val="20"/>
        </w:rPr>
        <w:t xml:space="preserve"> (31,4 % celkových príjmov)</w:t>
      </w:r>
      <w:r>
        <w:rPr>
          <w:rFonts w:cs="Segoe UI"/>
          <w:bCs/>
          <w:szCs w:val="20"/>
        </w:rPr>
        <w:t>. Rovnako ako pri obciach, najväčšia časť (88,5 %) bola určená na úhradu nákladov preneseného výkonu štátnej správy</w:t>
      </w:r>
      <w:r w:rsidR="005C78E9">
        <w:rPr>
          <w:rFonts w:cs="Segoe UI"/>
          <w:bCs/>
          <w:szCs w:val="20"/>
        </w:rPr>
        <w:t xml:space="preserve"> (tabuľka 29)</w:t>
      </w:r>
      <w:r>
        <w:rPr>
          <w:rFonts w:cs="Segoe UI"/>
          <w:bCs/>
          <w:szCs w:val="20"/>
        </w:rPr>
        <w:t>. Z nich najväčšiu časť tvoril transfer z MŠVVM SR</w:t>
      </w:r>
      <w:r w:rsidR="00E373C4">
        <w:rPr>
          <w:rFonts w:cs="Segoe UI"/>
          <w:bCs/>
          <w:szCs w:val="20"/>
        </w:rPr>
        <w:t>,</w:t>
      </w:r>
      <w:r>
        <w:rPr>
          <w:rFonts w:cs="Segoe UI"/>
          <w:bCs/>
          <w:szCs w:val="20"/>
        </w:rPr>
        <w:t xml:space="preserve"> určený na financovanie nákladov súvisiacich s regionálnym školstvom (671 863 tis. eur) a menšiu časť transfer MV SR súvisiaci výkonom volebného práva (31 tis. eur).</w:t>
      </w:r>
    </w:p>
    <w:p w14:paraId="301EE2CA" w14:textId="5823DE9A" w:rsidR="00631AB9" w:rsidRPr="008660BB" w:rsidRDefault="00631AB9" w:rsidP="00631AB9">
      <w:pPr>
        <w:spacing w:after="0"/>
        <w:jc w:val="left"/>
        <w:rPr>
          <w:i/>
          <w:color w:val="314364" w:themeColor="text2"/>
          <w:sz w:val="16"/>
          <w:lang w:eastAsia="sk-SK"/>
        </w:rPr>
      </w:pPr>
      <w:r w:rsidRPr="00F86186">
        <w:rPr>
          <w:b/>
          <w:iCs/>
          <w:color w:val="314364"/>
          <w:szCs w:val="18"/>
        </w:rPr>
        <w:t xml:space="preserve">Tabuľka </w:t>
      </w:r>
      <w:r w:rsidR="00CB5B58">
        <w:rPr>
          <w:b/>
          <w:iCs/>
          <w:color w:val="314364"/>
          <w:szCs w:val="18"/>
        </w:rPr>
        <w:t>29</w:t>
      </w:r>
      <w:r w:rsidRPr="00F86186">
        <w:rPr>
          <w:b/>
          <w:iCs/>
          <w:color w:val="314364"/>
          <w:szCs w:val="18"/>
        </w:rPr>
        <w:t xml:space="preserve">: </w:t>
      </w:r>
      <w:r w:rsidRPr="000D23A3">
        <w:rPr>
          <w:b/>
          <w:iCs/>
          <w:color w:val="314364"/>
          <w:szCs w:val="18"/>
        </w:rPr>
        <w:t xml:space="preserve">Transfery štátneho rozpočtu </w:t>
      </w:r>
      <w:r>
        <w:rPr>
          <w:b/>
          <w:iCs/>
          <w:color w:val="314364"/>
          <w:szCs w:val="18"/>
        </w:rPr>
        <w:t>VÚC</w:t>
      </w:r>
      <w:r w:rsidRPr="000D23A3">
        <w:rPr>
          <w:b/>
          <w:iCs/>
          <w:color w:val="314364"/>
          <w:szCs w:val="18"/>
        </w:rPr>
        <w:t xml:space="preserve"> v rokoch 2022 </w:t>
      </w:r>
      <w:r>
        <w:rPr>
          <w:b/>
          <w:iCs/>
          <w:color w:val="314364"/>
          <w:szCs w:val="18"/>
        </w:rPr>
        <w:t>až</w:t>
      </w:r>
      <w:r w:rsidRPr="000D23A3">
        <w:rPr>
          <w:b/>
          <w:iCs/>
          <w:color w:val="314364"/>
          <w:szCs w:val="18"/>
        </w:rPr>
        <w:t xml:space="preserve"> 2024 (v tis. eur)</w:t>
      </w:r>
    </w:p>
    <w:tbl>
      <w:tblPr>
        <w:tblW w:w="5000" w:type="pct"/>
        <w:tblBorders>
          <w:bottom w:val="single" w:sz="4" w:space="0" w:color="314364" w:themeColor="text2"/>
        </w:tblBorders>
        <w:tblLook w:val="01E0" w:firstRow="1" w:lastRow="1" w:firstColumn="1" w:lastColumn="1" w:noHBand="0" w:noVBand="0"/>
      </w:tblPr>
      <w:tblGrid>
        <w:gridCol w:w="4444"/>
        <w:gridCol w:w="1094"/>
        <w:gridCol w:w="1230"/>
        <w:gridCol w:w="1078"/>
        <w:gridCol w:w="1224"/>
      </w:tblGrid>
      <w:tr w:rsidR="00631AB9" w:rsidRPr="000E3B98" w14:paraId="5F5A6E77" w14:textId="77777777" w:rsidTr="003D11A6">
        <w:trPr>
          <w:trHeight w:val="283"/>
          <w:tblHeader/>
        </w:trPr>
        <w:tc>
          <w:tcPr>
            <w:tcW w:w="2450" w:type="pct"/>
            <w:tcBorders>
              <w:bottom w:val="nil"/>
            </w:tcBorders>
            <w:shd w:val="clear" w:color="auto" w:fill="314364" w:themeFill="text2"/>
            <w:vAlign w:val="center"/>
            <w:hideMark/>
          </w:tcPr>
          <w:p w14:paraId="2BEF230B" w14:textId="77777777" w:rsidR="00631AB9" w:rsidRPr="000E64B1" w:rsidRDefault="00631AB9">
            <w:pPr>
              <w:spacing w:after="0" w:line="240" w:lineRule="auto"/>
              <w:ind w:left="-530" w:firstLine="530"/>
              <w:jc w:val="left"/>
              <w:rPr>
                <w:rFonts w:eastAsia="Times New Roman" w:cs="Segoe UI"/>
                <w:b/>
                <w:color w:val="FFFFFF" w:themeColor="background1"/>
                <w:sz w:val="18"/>
                <w:szCs w:val="18"/>
                <w:lang w:eastAsia="sk-SK"/>
              </w:rPr>
            </w:pPr>
          </w:p>
        </w:tc>
        <w:tc>
          <w:tcPr>
            <w:tcW w:w="603" w:type="pct"/>
            <w:tcBorders>
              <w:bottom w:val="nil"/>
            </w:tcBorders>
            <w:shd w:val="clear" w:color="auto" w:fill="314364" w:themeFill="text2"/>
            <w:vAlign w:val="center"/>
          </w:tcPr>
          <w:p w14:paraId="102037AA" w14:textId="77777777" w:rsidR="00631AB9" w:rsidRPr="000E64B1" w:rsidRDefault="00631AB9">
            <w:pPr>
              <w:spacing w:after="0" w:line="240" w:lineRule="auto"/>
              <w:ind w:left="-530" w:firstLine="530"/>
              <w:jc w:val="right"/>
              <w:rPr>
                <w:rFonts w:eastAsia="Times New Roman" w:cs="Segoe UI"/>
                <w:b/>
                <w:color w:val="FFFFFF" w:themeColor="background1"/>
                <w:sz w:val="18"/>
                <w:szCs w:val="18"/>
                <w:lang w:eastAsia="sk-SK"/>
              </w:rPr>
            </w:pPr>
            <w:r w:rsidRPr="000E64B1">
              <w:rPr>
                <w:rFonts w:eastAsia="Times New Roman" w:cs="Segoe UI"/>
                <w:b/>
                <w:color w:val="FFFFFF" w:themeColor="background1"/>
                <w:sz w:val="18"/>
                <w:szCs w:val="18"/>
                <w:lang w:eastAsia="sk-SK"/>
              </w:rPr>
              <w:t>2022</w:t>
            </w:r>
          </w:p>
        </w:tc>
        <w:tc>
          <w:tcPr>
            <w:tcW w:w="678" w:type="pct"/>
            <w:tcBorders>
              <w:bottom w:val="nil"/>
            </w:tcBorders>
            <w:shd w:val="clear" w:color="auto" w:fill="314364" w:themeFill="text2"/>
            <w:vAlign w:val="center"/>
          </w:tcPr>
          <w:p w14:paraId="3F041FFE" w14:textId="77777777" w:rsidR="00631AB9" w:rsidRPr="000E64B1" w:rsidRDefault="00631AB9">
            <w:pPr>
              <w:spacing w:after="0" w:line="240" w:lineRule="auto"/>
              <w:ind w:left="-530" w:firstLine="530"/>
              <w:jc w:val="right"/>
              <w:rPr>
                <w:rFonts w:eastAsia="Times New Roman" w:cs="Segoe UI"/>
                <w:b/>
                <w:color w:val="FFFFFF" w:themeColor="background1"/>
                <w:sz w:val="18"/>
                <w:szCs w:val="18"/>
                <w:lang w:eastAsia="sk-SK"/>
              </w:rPr>
            </w:pPr>
            <w:r w:rsidRPr="000E64B1">
              <w:rPr>
                <w:rFonts w:eastAsia="Times New Roman" w:cs="Segoe UI"/>
                <w:b/>
                <w:color w:val="FFFFFF" w:themeColor="background1"/>
                <w:sz w:val="18"/>
                <w:szCs w:val="18"/>
                <w:lang w:eastAsia="sk-SK"/>
              </w:rPr>
              <w:t>2023</w:t>
            </w:r>
          </w:p>
        </w:tc>
        <w:tc>
          <w:tcPr>
            <w:tcW w:w="594" w:type="pct"/>
            <w:tcBorders>
              <w:bottom w:val="nil"/>
            </w:tcBorders>
            <w:shd w:val="clear" w:color="auto" w:fill="314364" w:themeFill="text2"/>
            <w:vAlign w:val="center"/>
          </w:tcPr>
          <w:p w14:paraId="1C4C25B2" w14:textId="77777777" w:rsidR="00631AB9" w:rsidRPr="000E64B1" w:rsidRDefault="00631AB9">
            <w:pPr>
              <w:spacing w:after="0" w:line="240" w:lineRule="auto"/>
              <w:ind w:left="-530" w:firstLine="530"/>
              <w:jc w:val="right"/>
              <w:rPr>
                <w:rFonts w:eastAsia="Times New Roman" w:cs="Segoe UI"/>
                <w:b/>
                <w:color w:val="FFFFFF" w:themeColor="background1"/>
                <w:sz w:val="18"/>
                <w:szCs w:val="18"/>
                <w:lang w:eastAsia="sk-SK"/>
              </w:rPr>
            </w:pPr>
            <w:r w:rsidRPr="000E64B1">
              <w:rPr>
                <w:rFonts w:eastAsia="Times New Roman" w:cs="Segoe UI"/>
                <w:b/>
                <w:color w:val="FFFFFF" w:themeColor="background1"/>
                <w:sz w:val="18"/>
                <w:szCs w:val="18"/>
                <w:lang w:eastAsia="sk-SK"/>
              </w:rPr>
              <w:t>2024</w:t>
            </w:r>
          </w:p>
        </w:tc>
        <w:tc>
          <w:tcPr>
            <w:tcW w:w="675" w:type="pct"/>
            <w:tcBorders>
              <w:bottom w:val="nil"/>
            </w:tcBorders>
            <w:shd w:val="clear" w:color="auto" w:fill="314364" w:themeFill="text2"/>
            <w:vAlign w:val="center"/>
          </w:tcPr>
          <w:p w14:paraId="304EF003" w14:textId="77777777" w:rsidR="00631AB9" w:rsidRPr="000E64B1" w:rsidRDefault="00631AB9">
            <w:pPr>
              <w:widowControl w:val="0"/>
              <w:spacing w:after="0" w:line="240" w:lineRule="auto"/>
              <w:ind w:left="-530" w:firstLine="530"/>
              <w:jc w:val="right"/>
              <w:rPr>
                <w:rFonts w:eastAsia="Times New Roman" w:cs="Segoe UI"/>
                <w:b/>
                <w:color w:val="FFFFFF" w:themeColor="background1"/>
                <w:sz w:val="18"/>
                <w:szCs w:val="18"/>
                <w:lang w:eastAsia="sk-SK"/>
              </w:rPr>
            </w:pPr>
            <w:r w:rsidRPr="000E64B1">
              <w:rPr>
                <w:rFonts w:eastAsia="Times New Roman" w:cs="Segoe UI"/>
                <w:b/>
                <w:color w:val="FFFFFF" w:themeColor="background1"/>
                <w:sz w:val="18"/>
                <w:szCs w:val="18"/>
                <w:lang w:eastAsia="sk-SK"/>
              </w:rPr>
              <w:t>2024-2023</w:t>
            </w:r>
          </w:p>
        </w:tc>
      </w:tr>
      <w:tr w:rsidR="00631AB9" w:rsidRPr="000E3B98" w14:paraId="462BBDAD" w14:textId="77777777" w:rsidTr="003D11A6">
        <w:trPr>
          <w:trHeight w:val="283"/>
        </w:trPr>
        <w:tc>
          <w:tcPr>
            <w:tcW w:w="2450" w:type="pct"/>
            <w:tcBorders>
              <w:bottom w:val="nil"/>
            </w:tcBorders>
            <w:shd w:val="clear" w:color="auto" w:fill="auto"/>
            <w:vAlign w:val="center"/>
          </w:tcPr>
          <w:p w14:paraId="2B4CC118" w14:textId="5AC7D54A" w:rsidR="00631AB9" w:rsidRPr="000E64B1" w:rsidRDefault="00A95D64">
            <w:pPr>
              <w:spacing w:after="0" w:line="240" w:lineRule="auto"/>
              <w:ind w:left="-530" w:firstLine="530"/>
              <w:contextualSpacing/>
              <w:jc w:val="left"/>
              <w:rPr>
                <w:rFonts w:eastAsia="Times New Roman" w:cs="Segoe UI"/>
                <w:bCs/>
                <w:sz w:val="18"/>
                <w:szCs w:val="18"/>
                <w:lang w:eastAsia="sk-SK"/>
              </w:rPr>
            </w:pPr>
            <w:r>
              <w:rPr>
                <w:rFonts w:eastAsia="Times New Roman" w:cs="Segoe UI"/>
                <w:bCs/>
                <w:sz w:val="18"/>
                <w:szCs w:val="18"/>
                <w:lang w:eastAsia="sk-SK"/>
              </w:rPr>
              <w:t>B</w:t>
            </w:r>
            <w:r w:rsidR="00631AB9" w:rsidRPr="000E64B1">
              <w:rPr>
                <w:rFonts w:eastAsia="Times New Roman" w:cs="Segoe UI"/>
                <w:bCs/>
                <w:sz w:val="18"/>
                <w:szCs w:val="18"/>
                <w:lang w:eastAsia="sk-SK"/>
              </w:rPr>
              <w:t>ežné transfery</w:t>
            </w:r>
          </w:p>
        </w:tc>
        <w:tc>
          <w:tcPr>
            <w:tcW w:w="603" w:type="pct"/>
            <w:tcBorders>
              <w:top w:val="nil"/>
              <w:left w:val="nil"/>
              <w:bottom w:val="nil"/>
              <w:right w:val="nil"/>
            </w:tcBorders>
            <w:shd w:val="clear" w:color="auto" w:fill="auto"/>
            <w:vAlign w:val="center"/>
          </w:tcPr>
          <w:p w14:paraId="3A9884D8" w14:textId="77777777" w:rsidR="00631AB9" w:rsidRPr="000E64B1" w:rsidRDefault="00631AB9">
            <w:pPr>
              <w:spacing w:after="0" w:line="240" w:lineRule="auto"/>
              <w:ind w:left="-530" w:firstLine="530"/>
              <w:contextualSpacing/>
              <w:jc w:val="right"/>
              <w:rPr>
                <w:rFonts w:eastAsia="Times New Roman" w:cs="Segoe UI"/>
                <w:bCs/>
                <w:sz w:val="18"/>
                <w:szCs w:val="18"/>
                <w:lang w:eastAsia="sk-SK"/>
              </w:rPr>
            </w:pPr>
            <w:r>
              <w:rPr>
                <w:color w:val="000000"/>
                <w:sz w:val="18"/>
                <w:szCs w:val="18"/>
              </w:rPr>
              <w:t>578 645</w:t>
            </w:r>
          </w:p>
        </w:tc>
        <w:tc>
          <w:tcPr>
            <w:tcW w:w="678" w:type="pct"/>
            <w:tcBorders>
              <w:top w:val="nil"/>
              <w:left w:val="nil"/>
              <w:bottom w:val="nil"/>
              <w:right w:val="nil"/>
            </w:tcBorders>
            <w:shd w:val="clear" w:color="auto" w:fill="auto"/>
            <w:vAlign w:val="center"/>
          </w:tcPr>
          <w:p w14:paraId="082D251E" w14:textId="77777777" w:rsidR="00631AB9" w:rsidRPr="000E64B1" w:rsidRDefault="00631AB9">
            <w:pPr>
              <w:spacing w:after="0" w:line="240" w:lineRule="auto"/>
              <w:ind w:left="-530" w:firstLine="530"/>
              <w:contextualSpacing/>
              <w:jc w:val="right"/>
              <w:rPr>
                <w:rFonts w:eastAsia="Times New Roman" w:cs="Segoe UI"/>
                <w:bCs/>
                <w:sz w:val="18"/>
                <w:szCs w:val="18"/>
                <w:lang w:eastAsia="sk-SK"/>
              </w:rPr>
            </w:pPr>
            <w:r>
              <w:rPr>
                <w:color w:val="000000"/>
                <w:sz w:val="18"/>
                <w:szCs w:val="18"/>
              </w:rPr>
              <w:t>703 903</w:t>
            </w:r>
          </w:p>
        </w:tc>
        <w:tc>
          <w:tcPr>
            <w:tcW w:w="594" w:type="pct"/>
            <w:tcBorders>
              <w:top w:val="nil"/>
              <w:left w:val="nil"/>
              <w:bottom w:val="nil"/>
              <w:right w:val="nil"/>
            </w:tcBorders>
            <w:shd w:val="clear" w:color="auto" w:fill="auto"/>
            <w:vAlign w:val="center"/>
          </w:tcPr>
          <w:p w14:paraId="46F5B0C9" w14:textId="77777777" w:rsidR="00631AB9" w:rsidRPr="000E64B1" w:rsidRDefault="00631AB9">
            <w:pPr>
              <w:spacing w:after="0" w:line="240" w:lineRule="auto"/>
              <w:ind w:left="-530" w:firstLine="530"/>
              <w:contextualSpacing/>
              <w:jc w:val="right"/>
              <w:rPr>
                <w:rFonts w:eastAsia="Times New Roman" w:cs="Segoe UI"/>
                <w:bCs/>
                <w:sz w:val="18"/>
                <w:szCs w:val="18"/>
                <w:lang w:eastAsia="sk-SK"/>
              </w:rPr>
            </w:pPr>
            <w:r>
              <w:rPr>
                <w:color w:val="000000"/>
                <w:sz w:val="18"/>
                <w:szCs w:val="18"/>
              </w:rPr>
              <w:t>698 518</w:t>
            </w:r>
          </w:p>
        </w:tc>
        <w:tc>
          <w:tcPr>
            <w:tcW w:w="675" w:type="pct"/>
            <w:tcBorders>
              <w:top w:val="nil"/>
              <w:left w:val="nil"/>
              <w:bottom w:val="nil"/>
              <w:right w:val="nil"/>
            </w:tcBorders>
            <w:shd w:val="clear" w:color="auto" w:fill="auto"/>
            <w:vAlign w:val="center"/>
          </w:tcPr>
          <w:p w14:paraId="5A8BF465" w14:textId="77777777" w:rsidR="00631AB9" w:rsidRPr="000E64B1" w:rsidRDefault="00631AB9">
            <w:pPr>
              <w:spacing w:after="0" w:line="240" w:lineRule="auto"/>
              <w:ind w:left="-530" w:firstLine="530"/>
              <w:contextualSpacing/>
              <w:jc w:val="right"/>
              <w:rPr>
                <w:rFonts w:eastAsia="Times New Roman" w:cs="Segoe UI"/>
                <w:bCs/>
                <w:sz w:val="18"/>
                <w:szCs w:val="18"/>
                <w:lang w:eastAsia="sk-SK"/>
              </w:rPr>
            </w:pPr>
            <w:r>
              <w:rPr>
                <w:color w:val="000000"/>
                <w:sz w:val="18"/>
                <w:szCs w:val="18"/>
              </w:rPr>
              <w:t>17 130</w:t>
            </w:r>
          </w:p>
        </w:tc>
      </w:tr>
      <w:tr w:rsidR="00631AB9" w:rsidRPr="000E3B98" w14:paraId="45B4319C" w14:textId="77777777" w:rsidTr="003D11A6">
        <w:trPr>
          <w:trHeight w:val="283"/>
        </w:trPr>
        <w:tc>
          <w:tcPr>
            <w:tcW w:w="2450" w:type="pct"/>
            <w:tcBorders>
              <w:bottom w:val="nil"/>
            </w:tcBorders>
            <w:shd w:val="clear" w:color="auto" w:fill="auto"/>
            <w:vAlign w:val="center"/>
          </w:tcPr>
          <w:p w14:paraId="171880C6" w14:textId="77777777" w:rsidR="00631AB9" w:rsidRPr="000E64B1" w:rsidRDefault="00631AB9">
            <w:pPr>
              <w:spacing w:after="0" w:line="240" w:lineRule="auto"/>
              <w:ind w:left="-530" w:firstLine="530"/>
              <w:contextualSpacing/>
              <w:jc w:val="left"/>
              <w:rPr>
                <w:rFonts w:eastAsia="Times New Roman" w:cs="Segoe UI"/>
                <w:bCs/>
                <w:sz w:val="18"/>
                <w:szCs w:val="18"/>
                <w:lang w:eastAsia="sk-SK"/>
              </w:rPr>
            </w:pPr>
            <w:r w:rsidRPr="000E64B1">
              <w:rPr>
                <w:rFonts w:eastAsia="Times New Roman" w:cs="Segoe UI"/>
                <w:bCs/>
                <w:i/>
                <w:iCs/>
                <w:sz w:val="18"/>
                <w:szCs w:val="18"/>
                <w:lang w:eastAsia="sk-SK"/>
              </w:rPr>
              <w:t xml:space="preserve">  </w:t>
            </w:r>
            <w:r>
              <w:rPr>
                <w:rFonts w:eastAsia="Times New Roman" w:cs="Segoe UI"/>
                <w:bCs/>
                <w:i/>
                <w:iCs/>
                <w:sz w:val="18"/>
                <w:szCs w:val="18"/>
                <w:lang w:eastAsia="sk-SK"/>
              </w:rPr>
              <w:t xml:space="preserve"> </w:t>
            </w:r>
            <w:r w:rsidRPr="000E64B1">
              <w:rPr>
                <w:rFonts w:eastAsia="Times New Roman" w:cs="Segoe UI"/>
                <w:bCs/>
                <w:i/>
                <w:iCs/>
                <w:sz w:val="18"/>
                <w:szCs w:val="18"/>
                <w:lang w:eastAsia="sk-SK"/>
              </w:rPr>
              <w:t xml:space="preserve">  z toho na úhradu nákladov preneseného výkonu</w:t>
            </w:r>
          </w:p>
        </w:tc>
        <w:tc>
          <w:tcPr>
            <w:tcW w:w="603" w:type="pct"/>
            <w:tcBorders>
              <w:top w:val="nil"/>
              <w:left w:val="nil"/>
              <w:bottom w:val="nil"/>
              <w:right w:val="nil"/>
            </w:tcBorders>
            <w:shd w:val="clear" w:color="auto" w:fill="auto"/>
            <w:vAlign w:val="center"/>
          </w:tcPr>
          <w:p w14:paraId="2210E720" w14:textId="77777777" w:rsidR="00631AB9" w:rsidRDefault="00631AB9">
            <w:pPr>
              <w:spacing w:after="0" w:line="240" w:lineRule="auto"/>
              <w:ind w:left="-530" w:firstLine="530"/>
              <w:contextualSpacing/>
              <w:jc w:val="right"/>
              <w:rPr>
                <w:color w:val="000000"/>
                <w:sz w:val="18"/>
                <w:szCs w:val="18"/>
              </w:rPr>
            </w:pPr>
            <w:r>
              <w:rPr>
                <w:color w:val="000000"/>
                <w:sz w:val="18"/>
                <w:szCs w:val="18"/>
              </w:rPr>
              <w:t>546 227</w:t>
            </w:r>
          </w:p>
        </w:tc>
        <w:tc>
          <w:tcPr>
            <w:tcW w:w="678" w:type="pct"/>
            <w:tcBorders>
              <w:top w:val="nil"/>
              <w:left w:val="nil"/>
              <w:bottom w:val="nil"/>
              <w:right w:val="nil"/>
            </w:tcBorders>
            <w:shd w:val="clear" w:color="auto" w:fill="auto"/>
            <w:vAlign w:val="center"/>
          </w:tcPr>
          <w:p w14:paraId="7D7F7D21" w14:textId="77777777" w:rsidR="00631AB9" w:rsidRDefault="00631AB9">
            <w:pPr>
              <w:spacing w:after="0" w:line="240" w:lineRule="auto"/>
              <w:ind w:left="-530" w:firstLine="530"/>
              <w:contextualSpacing/>
              <w:jc w:val="right"/>
              <w:rPr>
                <w:color w:val="000000"/>
                <w:sz w:val="18"/>
                <w:szCs w:val="18"/>
              </w:rPr>
            </w:pPr>
            <w:r>
              <w:rPr>
                <w:color w:val="000000"/>
                <w:sz w:val="18"/>
                <w:szCs w:val="18"/>
              </w:rPr>
              <w:t>637 506</w:t>
            </w:r>
          </w:p>
        </w:tc>
        <w:tc>
          <w:tcPr>
            <w:tcW w:w="594" w:type="pct"/>
            <w:tcBorders>
              <w:top w:val="nil"/>
              <w:left w:val="nil"/>
              <w:bottom w:val="nil"/>
              <w:right w:val="nil"/>
            </w:tcBorders>
            <w:shd w:val="clear" w:color="auto" w:fill="auto"/>
            <w:vAlign w:val="center"/>
          </w:tcPr>
          <w:p w14:paraId="1EF05845" w14:textId="77777777" w:rsidR="00631AB9" w:rsidRDefault="00631AB9">
            <w:pPr>
              <w:spacing w:after="0" w:line="240" w:lineRule="auto"/>
              <w:ind w:left="-530" w:firstLine="530"/>
              <w:contextualSpacing/>
              <w:jc w:val="right"/>
              <w:rPr>
                <w:color w:val="000000"/>
                <w:sz w:val="18"/>
                <w:szCs w:val="18"/>
              </w:rPr>
            </w:pPr>
            <w:r>
              <w:rPr>
                <w:color w:val="000000"/>
                <w:sz w:val="18"/>
                <w:szCs w:val="18"/>
              </w:rPr>
              <w:t>683 572</w:t>
            </w:r>
          </w:p>
        </w:tc>
        <w:tc>
          <w:tcPr>
            <w:tcW w:w="675" w:type="pct"/>
            <w:tcBorders>
              <w:top w:val="nil"/>
              <w:left w:val="nil"/>
              <w:bottom w:val="nil"/>
              <w:right w:val="nil"/>
            </w:tcBorders>
            <w:shd w:val="clear" w:color="auto" w:fill="auto"/>
            <w:vAlign w:val="center"/>
          </w:tcPr>
          <w:p w14:paraId="05771D85" w14:textId="77777777" w:rsidR="00631AB9" w:rsidRDefault="00631AB9">
            <w:pPr>
              <w:spacing w:after="0" w:line="240" w:lineRule="auto"/>
              <w:ind w:left="-530" w:firstLine="530"/>
              <w:contextualSpacing/>
              <w:jc w:val="right"/>
              <w:rPr>
                <w:color w:val="000000"/>
                <w:sz w:val="18"/>
                <w:szCs w:val="18"/>
              </w:rPr>
            </w:pPr>
            <w:r>
              <w:rPr>
                <w:color w:val="000000"/>
                <w:sz w:val="18"/>
                <w:szCs w:val="18"/>
              </w:rPr>
              <w:t>5 285</w:t>
            </w:r>
          </w:p>
        </w:tc>
      </w:tr>
      <w:tr w:rsidR="00631AB9" w:rsidRPr="000E3B98" w14:paraId="1D077421" w14:textId="77777777" w:rsidTr="003D11A6">
        <w:trPr>
          <w:trHeight w:val="283"/>
        </w:trPr>
        <w:tc>
          <w:tcPr>
            <w:tcW w:w="2450" w:type="pct"/>
            <w:tcBorders>
              <w:bottom w:val="nil"/>
            </w:tcBorders>
            <w:shd w:val="clear" w:color="auto" w:fill="auto"/>
            <w:vAlign w:val="center"/>
          </w:tcPr>
          <w:p w14:paraId="2CE013A7" w14:textId="77777777" w:rsidR="00631AB9" w:rsidRPr="000E64B1" w:rsidRDefault="00631AB9" w:rsidP="003D11A6">
            <w:pPr>
              <w:spacing w:after="0" w:line="240" w:lineRule="auto"/>
              <w:ind w:right="-201"/>
              <w:contextualSpacing/>
              <w:jc w:val="left"/>
              <w:rPr>
                <w:rFonts w:eastAsia="Times New Roman" w:cs="Segoe UI"/>
                <w:bCs/>
                <w:i/>
                <w:iCs/>
                <w:sz w:val="18"/>
                <w:szCs w:val="18"/>
                <w:lang w:eastAsia="sk-SK"/>
              </w:rPr>
            </w:pPr>
            <w:r w:rsidRPr="000E64B1">
              <w:rPr>
                <w:rFonts w:eastAsia="Times New Roman" w:cs="Segoe UI"/>
                <w:bCs/>
                <w:i/>
                <w:iCs/>
                <w:sz w:val="18"/>
                <w:szCs w:val="18"/>
                <w:lang w:eastAsia="sk-SK"/>
              </w:rPr>
              <w:t xml:space="preserve">     z toho úhradu nákladov okrem preneseného výkonu</w:t>
            </w:r>
          </w:p>
        </w:tc>
        <w:tc>
          <w:tcPr>
            <w:tcW w:w="603" w:type="pct"/>
            <w:tcBorders>
              <w:top w:val="nil"/>
              <w:left w:val="nil"/>
              <w:bottom w:val="nil"/>
              <w:right w:val="nil"/>
            </w:tcBorders>
            <w:shd w:val="clear" w:color="auto" w:fill="auto"/>
            <w:vAlign w:val="center"/>
          </w:tcPr>
          <w:p w14:paraId="2B5EA950" w14:textId="77777777" w:rsidR="00631AB9" w:rsidRPr="000E64B1" w:rsidRDefault="00631AB9">
            <w:pPr>
              <w:spacing w:after="0" w:line="240" w:lineRule="auto"/>
              <w:ind w:left="-530" w:firstLine="530"/>
              <w:jc w:val="right"/>
              <w:rPr>
                <w:rFonts w:eastAsia="Times New Roman" w:cs="Segoe UI"/>
                <w:bCs/>
                <w:sz w:val="18"/>
                <w:szCs w:val="18"/>
                <w:lang w:eastAsia="sk-SK"/>
              </w:rPr>
            </w:pPr>
            <w:r>
              <w:rPr>
                <w:color w:val="000000"/>
                <w:sz w:val="18"/>
                <w:szCs w:val="18"/>
              </w:rPr>
              <w:t>32 418</w:t>
            </w:r>
          </w:p>
        </w:tc>
        <w:tc>
          <w:tcPr>
            <w:tcW w:w="678" w:type="pct"/>
            <w:tcBorders>
              <w:top w:val="nil"/>
              <w:left w:val="nil"/>
              <w:bottom w:val="nil"/>
              <w:right w:val="nil"/>
            </w:tcBorders>
            <w:shd w:val="clear" w:color="auto" w:fill="auto"/>
            <w:vAlign w:val="center"/>
          </w:tcPr>
          <w:p w14:paraId="69922C04" w14:textId="77777777" w:rsidR="00631AB9" w:rsidRPr="000E64B1" w:rsidRDefault="00631AB9">
            <w:pPr>
              <w:spacing w:after="0" w:line="240" w:lineRule="auto"/>
              <w:ind w:left="-530" w:firstLine="530"/>
              <w:jc w:val="right"/>
              <w:rPr>
                <w:rFonts w:eastAsia="Times New Roman" w:cs="Segoe UI"/>
                <w:bCs/>
                <w:sz w:val="18"/>
                <w:szCs w:val="18"/>
                <w:lang w:eastAsia="sk-SK"/>
              </w:rPr>
            </w:pPr>
            <w:r>
              <w:rPr>
                <w:color w:val="000000"/>
                <w:sz w:val="18"/>
                <w:szCs w:val="18"/>
              </w:rPr>
              <w:t>66 397</w:t>
            </w:r>
          </w:p>
        </w:tc>
        <w:tc>
          <w:tcPr>
            <w:tcW w:w="594" w:type="pct"/>
            <w:tcBorders>
              <w:top w:val="nil"/>
              <w:left w:val="nil"/>
              <w:bottom w:val="nil"/>
              <w:right w:val="nil"/>
            </w:tcBorders>
            <w:shd w:val="clear" w:color="auto" w:fill="auto"/>
            <w:vAlign w:val="center"/>
          </w:tcPr>
          <w:p w14:paraId="27AF7A02" w14:textId="77777777" w:rsidR="00631AB9" w:rsidRPr="000E64B1" w:rsidRDefault="00631AB9">
            <w:pPr>
              <w:spacing w:after="0" w:line="240" w:lineRule="auto"/>
              <w:ind w:left="-530" w:firstLine="530"/>
              <w:jc w:val="right"/>
              <w:rPr>
                <w:rFonts w:eastAsia="Times New Roman" w:cs="Segoe UI"/>
                <w:bCs/>
                <w:sz w:val="18"/>
                <w:szCs w:val="18"/>
                <w:lang w:eastAsia="sk-SK"/>
              </w:rPr>
            </w:pPr>
            <w:r>
              <w:rPr>
                <w:color w:val="000000"/>
                <w:sz w:val="18"/>
                <w:szCs w:val="18"/>
              </w:rPr>
              <w:t>14 946</w:t>
            </w:r>
          </w:p>
        </w:tc>
        <w:tc>
          <w:tcPr>
            <w:tcW w:w="675" w:type="pct"/>
            <w:tcBorders>
              <w:top w:val="nil"/>
              <w:left w:val="nil"/>
              <w:bottom w:val="nil"/>
              <w:right w:val="nil"/>
            </w:tcBorders>
            <w:shd w:val="clear" w:color="auto" w:fill="auto"/>
            <w:vAlign w:val="center"/>
          </w:tcPr>
          <w:p w14:paraId="11E86F6D" w14:textId="77777777" w:rsidR="00631AB9" w:rsidRPr="000E64B1" w:rsidRDefault="00631AB9">
            <w:pPr>
              <w:spacing w:after="0" w:line="240" w:lineRule="auto"/>
              <w:ind w:left="-530" w:firstLine="530"/>
              <w:jc w:val="right"/>
              <w:rPr>
                <w:rFonts w:eastAsia="Times New Roman" w:cs="Segoe UI"/>
                <w:bCs/>
                <w:sz w:val="18"/>
                <w:szCs w:val="18"/>
                <w:lang w:eastAsia="sk-SK"/>
              </w:rPr>
            </w:pPr>
            <w:r>
              <w:rPr>
                <w:color w:val="000000"/>
                <w:sz w:val="18"/>
                <w:szCs w:val="18"/>
              </w:rPr>
              <w:t>11 845</w:t>
            </w:r>
          </w:p>
        </w:tc>
      </w:tr>
      <w:tr w:rsidR="00631AB9" w:rsidRPr="000E3B98" w14:paraId="4B3E67C2" w14:textId="77777777" w:rsidTr="003D11A6">
        <w:trPr>
          <w:trHeight w:val="283"/>
        </w:trPr>
        <w:tc>
          <w:tcPr>
            <w:tcW w:w="2450" w:type="pct"/>
            <w:tcBorders>
              <w:bottom w:val="single" w:sz="4" w:space="0" w:color="314364" w:themeColor="text2"/>
            </w:tcBorders>
            <w:shd w:val="clear" w:color="auto" w:fill="auto"/>
            <w:vAlign w:val="center"/>
          </w:tcPr>
          <w:p w14:paraId="41FECD10" w14:textId="3F4E5219" w:rsidR="00631AB9" w:rsidRPr="000E64B1" w:rsidRDefault="00A95D64">
            <w:pPr>
              <w:spacing w:after="0" w:line="240" w:lineRule="auto"/>
              <w:ind w:left="-530" w:firstLine="530"/>
              <w:contextualSpacing/>
              <w:jc w:val="left"/>
              <w:rPr>
                <w:rFonts w:eastAsia="Times New Roman" w:cs="Segoe UI"/>
                <w:bCs/>
                <w:sz w:val="18"/>
                <w:szCs w:val="18"/>
                <w:lang w:eastAsia="sk-SK"/>
              </w:rPr>
            </w:pPr>
            <w:r>
              <w:rPr>
                <w:rFonts w:eastAsia="Times New Roman" w:cs="Segoe UI"/>
                <w:bCs/>
                <w:sz w:val="18"/>
                <w:szCs w:val="18"/>
                <w:lang w:eastAsia="sk-SK"/>
              </w:rPr>
              <w:t>K</w:t>
            </w:r>
            <w:r w:rsidR="00631AB9" w:rsidRPr="000E64B1">
              <w:rPr>
                <w:rFonts w:eastAsia="Times New Roman" w:cs="Segoe UI"/>
                <w:bCs/>
                <w:sz w:val="18"/>
                <w:szCs w:val="18"/>
                <w:lang w:eastAsia="sk-SK"/>
              </w:rPr>
              <w:t>apitálové transfery</w:t>
            </w:r>
          </w:p>
        </w:tc>
        <w:tc>
          <w:tcPr>
            <w:tcW w:w="603" w:type="pct"/>
            <w:tcBorders>
              <w:top w:val="nil"/>
              <w:left w:val="nil"/>
              <w:bottom w:val="single" w:sz="4" w:space="0" w:color="314364" w:themeColor="text2"/>
              <w:right w:val="nil"/>
            </w:tcBorders>
            <w:shd w:val="clear" w:color="auto" w:fill="auto"/>
            <w:vAlign w:val="center"/>
          </w:tcPr>
          <w:p w14:paraId="670DA5B1" w14:textId="77777777" w:rsidR="00631AB9" w:rsidRPr="000E64B1" w:rsidRDefault="00631AB9">
            <w:pPr>
              <w:spacing w:after="0" w:line="240" w:lineRule="auto"/>
              <w:ind w:left="-530" w:firstLine="530"/>
              <w:jc w:val="right"/>
              <w:rPr>
                <w:rFonts w:eastAsia="Times New Roman" w:cs="Segoe UI"/>
                <w:bCs/>
                <w:sz w:val="18"/>
                <w:szCs w:val="18"/>
                <w:lang w:eastAsia="sk-SK"/>
              </w:rPr>
            </w:pPr>
            <w:r>
              <w:rPr>
                <w:color w:val="000000"/>
                <w:sz w:val="18"/>
                <w:szCs w:val="18"/>
              </w:rPr>
              <w:t>36 475</w:t>
            </w:r>
          </w:p>
        </w:tc>
        <w:tc>
          <w:tcPr>
            <w:tcW w:w="678" w:type="pct"/>
            <w:tcBorders>
              <w:top w:val="nil"/>
              <w:left w:val="nil"/>
              <w:bottom w:val="single" w:sz="4" w:space="0" w:color="314364" w:themeColor="text2"/>
              <w:right w:val="nil"/>
            </w:tcBorders>
            <w:shd w:val="clear" w:color="auto" w:fill="auto"/>
            <w:vAlign w:val="center"/>
          </w:tcPr>
          <w:p w14:paraId="119A7110" w14:textId="77777777" w:rsidR="00631AB9" w:rsidRPr="000E64B1" w:rsidRDefault="00631AB9">
            <w:pPr>
              <w:spacing w:after="0" w:line="240" w:lineRule="auto"/>
              <w:ind w:left="-530" w:firstLine="530"/>
              <w:jc w:val="right"/>
              <w:rPr>
                <w:rFonts w:eastAsia="Times New Roman" w:cs="Segoe UI"/>
                <w:bCs/>
                <w:sz w:val="18"/>
                <w:szCs w:val="18"/>
                <w:lang w:eastAsia="sk-SK"/>
              </w:rPr>
            </w:pPr>
            <w:r>
              <w:rPr>
                <w:color w:val="000000"/>
                <w:sz w:val="18"/>
                <w:szCs w:val="18"/>
              </w:rPr>
              <w:t>308 456</w:t>
            </w:r>
          </w:p>
        </w:tc>
        <w:tc>
          <w:tcPr>
            <w:tcW w:w="594" w:type="pct"/>
            <w:tcBorders>
              <w:top w:val="nil"/>
              <w:left w:val="nil"/>
              <w:bottom w:val="single" w:sz="4" w:space="0" w:color="314364" w:themeColor="text2"/>
              <w:right w:val="nil"/>
            </w:tcBorders>
            <w:shd w:val="clear" w:color="auto" w:fill="auto"/>
            <w:vAlign w:val="center"/>
          </w:tcPr>
          <w:p w14:paraId="6CF02CA8" w14:textId="77777777" w:rsidR="00631AB9" w:rsidRPr="000E64B1" w:rsidRDefault="00631AB9">
            <w:pPr>
              <w:spacing w:after="0" w:line="240" w:lineRule="auto"/>
              <w:ind w:left="-530" w:firstLine="530"/>
              <w:jc w:val="right"/>
              <w:rPr>
                <w:rFonts w:eastAsia="Times New Roman" w:cs="Segoe UI"/>
                <w:bCs/>
                <w:sz w:val="18"/>
                <w:szCs w:val="18"/>
                <w:lang w:eastAsia="sk-SK"/>
              </w:rPr>
            </w:pPr>
            <w:r>
              <w:rPr>
                <w:color w:val="000000"/>
                <w:sz w:val="18"/>
                <w:szCs w:val="18"/>
              </w:rPr>
              <w:t>73 572</w:t>
            </w:r>
          </w:p>
        </w:tc>
        <w:tc>
          <w:tcPr>
            <w:tcW w:w="675" w:type="pct"/>
            <w:tcBorders>
              <w:top w:val="nil"/>
              <w:left w:val="nil"/>
              <w:bottom w:val="single" w:sz="4" w:space="0" w:color="314364" w:themeColor="text2"/>
              <w:right w:val="nil"/>
            </w:tcBorders>
            <w:shd w:val="clear" w:color="auto" w:fill="auto"/>
            <w:vAlign w:val="center"/>
          </w:tcPr>
          <w:p w14:paraId="54EE0B90" w14:textId="77777777" w:rsidR="00631AB9" w:rsidRPr="000E64B1" w:rsidRDefault="00631AB9">
            <w:pPr>
              <w:spacing w:after="0" w:line="240" w:lineRule="auto"/>
              <w:ind w:left="-530" w:firstLine="530"/>
              <w:jc w:val="right"/>
              <w:rPr>
                <w:rFonts w:eastAsia="Times New Roman" w:cs="Segoe UI"/>
                <w:bCs/>
                <w:sz w:val="18"/>
                <w:szCs w:val="18"/>
                <w:lang w:eastAsia="sk-SK"/>
              </w:rPr>
            </w:pPr>
            <w:r>
              <w:rPr>
                <w:color w:val="000000"/>
                <w:sz w:val="18"/>
                <w:szCs w:val="18"/>
              </w:rPr>
              <w:t>73 272</w:t>
            </w:r>
          </w:p>
        </w:tc>
      </w:tr>
      <w:tr w:rsidR="00631AB9" w:rsidRPr="00555EB4" w14:paraId="690B35CD" w14:textId="77777777" w:rsidTr="003D11A6">
        <w:trPr>
          <w:trHeight w:val="283"/>
        </w:trPr>
        <w:tc>
          <w:tcPr>
            <w:tcW w:w="2450" w:type="pct"/>
            <w:tcBorders>
              <w:top w:val="single" w:sz="4" w:space="0" w:color="314364" w:themeColor="text2"/>
              <w:bottom w:val="single" w:sz="4" w:space="0" w:color="314364" w:themeColor="text2"/>
            </w:tcBorders>
            <w:shd w:val="clear" w:color="auto" w:fill="auto"/>
            <w:vAlign w:val="center"/>
          </w:tcPr>
          <w:p w14:paraId="341F4C27" w14:textId="3AB0573C" w:rsidR="00631AB9" w:rsidRPr="000E64B1" w:rsidRDefault="00A95D64">
            <w:pPr>
              <w:spacing w:after="0" w:line="240" w:lineRule="auto"/>
              <w:ind w:left="-530" w:firstLine="530"/>
              <w:contextualSpacing/>
              <w:jc w:val="left"/>
              <w:rPr>
                <w:rFonts w:cs="Segoe UI"/>
                <w:b/>
                <w:sz w:val="18"/>
                <w:szCs w:val="18"/>
              </w:rPr>
            </w:pPr>
            <w:r>
              <w:rPr>
                <w:rFonts w:cs="Segoe UI"/>
                <w:b/>
                <w:sz w:val="18"/>
                <w:szCs w:val="18"/>
              </w:rPr>
              <w:t>SPOLU</w:t>
            </w:r>
          </w:p>
        </w:tc>
        <w:tc>
          <w:tcPr>
            <w:tcW w:w="603" w:type="pct"/>
            <w:tcBorders>
              <w:top w:val="single" w:sz="4" w:space="0" w:color="314364" w:themeColor="text2"/>
              <w:left w:val="nil"/>
              <w:bottom w:val="single" w:sz="4" w:space="0" w:color="314364" w:themeColor="text2"/>
              <w:right w:val="nil"/>
            </w:tcBorders>
            <w:shd w:val="clear" w:color="auto" w:fill="auto"/>
            <w:vAlign w:val="center"/>
          </w:tcPr>
          <w:p w14:paraId="2FB9435E" w14:textId="77777777" w:rsidR="00631AB9" w:rsidRPr="000E64B1" w:rsidRDefault="00631AB9">
            <w:pPr>
              <w:spacing w:after="0" w:line="240" w:lineRule="auto"/>
              <w:ind w:left="-530" w:firstLine="530"/>
              <w:jc w:val="right"/>
              <w:rPr>
                <w:rFonts w:cs="Segoe UI"/>
                <w:b/>
                <w:sz w:val="18"/>
                <w:szCs w:val="18"/>
              </w:rPr>
            </w:pPr>
            <w:r>
              <w:rPr>
                <w:b/>
                <w:bCs/>
                <w:color w:val="000000"/>
                <w:sz w:val="18"/>
                <w:szCs w:val="18"/>
              </w:rPr>
              <w:t>615 120</w:t>
            </w:r>
          </w:p>
        </w:tc>
        <w:tc>
          <w:tcPr>
            <w:tcW w:w="678" w:type="pct"/>
            <w:tcBorders>
              <w:top w:val="single" w:sz="4" w:space="0" w:color="314364" w:themeColor="text2"/>
              <w:left w:val="nil"/>
              <w:bottom w:val="single" w:sz="4" w:space="0" w:color="314364" w:themeColor="text2"/>
              <w:right w:val="nil"/>
            </w:tcBorders>
            <w:shd w:val="clear" w:color="auto" w:fill="auto"/>
            <w:vAlign w:val="center"/>
          </w:tcPr>
          <w:p w14:paraId="715A46C3" w14:textId="77777777" w:rsidR="00631AB9" w:rsidRPr="000E64B1" w:rsidRDefault="00631AB9">
            <w:pPr>
              <w:spacing w:after="0" w:line="240" w:lineRule="auto"/>
              <w:ind w:left="-530" w:firstLine="530"/>
              <w:jc w:val="right"/>
              <w:rPr>
                <w:rFonts w:cs="Segoe UI"/>
                <w:b/>
                <w:sz w:val="18"/>
                <w:szCs w:val="18"/>
              </w:rPr>
            </w:pPr>
            <w:r>
              <w:rPr>
                <w:b/>
                <w:bCs/>
                <w:color w:val="000000"/>
                <w:sz w:val="18"/>
                <w:szCs w:val="18"/>
              </w:rPr>
              <w:t>1 012 359</w:t>
            </w:r>
          </w:p>
        </w:tc>
        <w:tc>
          <w:tcPr>
            <w:tcW w:w="594" w:type="pct"/>
            <w:tcBorders>
              <w:top w:val="single" w:sz="4" w:space="0" w:color="314364" w:themeColor="text2"/>
              <w:left w:val="nil"/>
              <w:bottom w:val="single" w:sz="4" w:space="0" w:color="314364" w:themeColor="text2"/>
              <w:right w:val="nil"/>
            </w:tcBorders>
            <w:shd w:val="clear" w:color="auto" w:fill="auto"/>
            <w:vAlign w:val="center"/>
          </w:tcPr>
          <w:p w14:paraId="2F5989F9" w14:textId="77777777" w:rsidR="00631AB9" w:rsidRPr="000E64B1" w:rsidRDefault="00631AB9">
            <w:pPr>
              <w:spacing w:after="0" w:line="240" w:lineRule="auto"/>
              <w:ind w:left="-530" w:firstLine="530"/>
              <w:jc w:val="right"/>
              <w:rPr>
                <w:rFonts w:cs="Segoe UI"/>
                <w:b/>
                <w:sz w:val="18"/>
                <w:szCs w:val="18"/>
              </w:rPr>
            </w:pPr>
            <w:r>
              <w:rPr>
                <w:b/>
                <w:bCs/>
                <w:color w:val="000000"/>
                <w:sz w:val="18"/>
                <w:szCs w:val="18"/>
              </w:rPr>
              <w:t>772 091</w:t>
            </w:r>
          </w:p>
        </w:tc>
        <w:tc>
          <w:tcPr>
            <w:tcW w:w="675" w:type="pct"/>
            <w:tcBorders>
              <w:top w:val="single" w:sz="4" w:space="0" w:color="314364" w:themeColor="text2"/>
              <w:left w:val="nil"/>
              <w:bottom w:val="single" w:sz="4" w:space="0" w:color="314364" w:themeColor="text2"/>
              <w:right w:val="nil"/>
            </w:tcBorders>
            <w:shd w:val="clear" w:color="auto" w:fill="auto"/>
            <w:vAlign w:val="center"/>
          </w:tcPr>
          <w:p w14:paraId="190ED4ED" w14:textId="77777777" w:rsidR="00631AB9" w:rsidRPr="00555EB4" w:rsidRDefault="00631AB9">
            <w:pPr>
              <w:spacing w:after="0" w:line="240" w:lineRule="auto"/>
              <w:ind w:left="-530" w:firstLine="530"/>
              <w:jc w:val="right"/>
              <w:rPr>
                <w:rFonts w:cs="Segoe UI"/>
                <w:b/>
                <w:bCs/>
                <w:sz w:val="18"/>
                <w:szCs w:val="18"/>
              </w:rPr>
            </w:pPr>
            <w:r w:rsidRPr="00555EB4">
              <w:rPr>
                <w:b/>
                <w:bCs/>
                <w:color w:val="000000"/>
                <w:sz w:val="18"/>
                <w:szCs w:val="18"/>
              </w:rPr>
              <w:t>90 402</w:t>
            </w:r>
          </w:p>
        </w:tc>
      </w:tr>
    </w:tbl>
    <w:p w14:paraId="6E1BF208" w14:textId="7BB148E5" w:rsidR="00631AB9" w:rsidRPr="00903940" w:rsidRDefault="00631AB9" w:rsidP="00631AB9">
      <w:pPr>
        <w:rPr>
          <w:i/>
          <w:color w:val="314364" w:themeColor="text2"/>
          <w:sz w:val="16"/>
          <w:lang w:eastAsia="sk-SK"/>
        </w:rPr>
      </w:pPr>
      <w:r w:rsidRPr="00903940">
        <w:rPr>
          <w:i/>
          <w:color w:val="314364" w:themeColor="text2"/>
          <w:sz w:val="16"/>
          <w:lang w:eastAsia="sk-SK"/>
        </w:rPr>
        <w:t>Zdroj: MF SR</w:t>
      </w:r>
      <w:r w:rsidR="00CB5B58">
        <w:rPr>
          <w:i/>
          <w:color w:val="314364" w:themeColor="text2"/>
          <w:sz w:val="16"/>
          <w:lang w:eastAsia="sk-SK"/>
        </w:rPr>
        <w:t>.</w:t>
      </w:r>
    </w:p>
    <w:p w14:paraId="412100B6" w14:textId="0473D3FC" w:rsidR="00631AB9" w:rsidRPr="00B628DC" w:rsidRDefault="00631AB9" w:rsidP="00631AB9">
      <w:pPr>
        <w:rPr>
          <w:rFonts w:cs="Segoe UI"/>
          <w:b/>
          <w:bCs/>
          <w:szCs w:val="20"/>
        </w:rPr>
      </w:pPr>
      <w:r>
        <w:rPr>
          <w:rFonts w:cs="Segoe UI"/>
          <w:b/>
          <w:bCs/>
          <w:szCs w:val="20"/>
        </w:rPr>
        <w:t>N</w:t>
      </w:r>
      <w:r w:rsidRPr="00B628DC">
        <w:rPr>
          <w:rFonts w:cs="Segoe UI"/>
          <w:b/>
          <w:bCs/>
          <w:szCs w:val="20"/>
        </w:rPr>
        <w:t>ajväčšiu časť transfero</w:t>
      </w:r>
      <w:r>
        <w:rPr>
          <w:rFonts w:cs="Segoe UI"/>
          <w:b/>
          <w:bCs/>
          <w:szCs w:val="20"/>
        </w:rPr>
        <w:t>v</w:t>
      </w:r>
      <w:r w:rsidRPr="00B628DC">
        <w:rPr>
          <w:rFonts w:cs="Segoe UI"/>
          <w:b/>
          <w:bCs/>
          <w:szCs w:val="20"/>
        </w:rPr>
        <w:t xml:space="preserve"> VÚC </w:t>
      </w:r>
      <w:r>
        <w:rPr>
          <w:rFonts w:cs="Segoe UI"/>
          <w:b/>
          <w:bCs/>
          <w:szCs w:val="20"/>
        </w:rPr>
        <w:t xml:space="preserve">tvorili </w:t>
      </w:r>
      <w:r w:rsidRPr="00B628DC">
        <w:rPr>
          <w:rFonts w:cs="Segoe UI"/>
          <w:b/>
          <w:bCs/>
          <w:szCs w:val="20"/>
        </w:rPr>
        <w:t xml:space="preserve">výdavky na vzdelávanie </w:t>
      </w:r>
      <w:r w:rsidRPr="00DC4648">
        <w:rPr>
          <w:rFonts w:cs="Segoe UI"/>
          <w:bCs/>
          <w:szCs w:val="20"/>
        </w:rPr>
        <w:t xml:space="preserve">(89,2 % z celkových transferov </w:t>
      </w:r>
      <w:r>
        <w:rPr>
          <w:rFonts w:cs="Segoe UI"/>
          <w:bCs/>
          <w:szCs w:val="20"/>
        </w:rPr>
        <w:t>VÚC</w:t>
      </w:r>
      <w:r w:rsidRPr="00DC4648">
        <w:rPr>
          <w:rFonts w:cs="Segoe UI"/>
          <w:bCs/>
          <w:szCs w:val="20"/>
        </w:rPr>
        <w:t>)</w:t>
      </w:r>
      <w:r>
        <w:rPr>
          <w:rFonts w:cs="Segoe UI"/>
          <w:bCs/>
          <w:szCs w:val="20"/>
        </w:rPr>
        <w:t xml:space="preserve"> </w:t>
      </w:r>
      <w:r w:rsidRPr="00B628DC">
        <w:rPr>
          <w:rFonts w:cs="Segoe UI"/>
          <w:b/>
          <w:bCs/>
          <w:szCs w:val="20"/>
        </w:rPr>
        <w:t>a</w:t>
      </w:r>
      <w:r>
        <w:rPr>
          <w:rFonts w:cs="Segoe UI"/>
          <w:b/>
          <w:bCs/>
          <w:szCs w:val="20"/>
        </w:rPr>
        <w:t> </w:t>
      </w:r>
      <w:r w:rsidRPr="00B628DC">
        <w:rPr>
          <w:rFonts w:cs="Segoe UI"/>
          <w:b/>
          <w:bCs/>
          <w:szCs w:val="20"/>
        </w:rPr>
        <w:t xml:space="preserve">výdavky ekonomickej oblasti </w:t>
      </w:r>
      <w:r w:rsidRPr="00DC4648">
        <w:rPr>
          <w:rFonts w:cs="Segoe UI"/>
          <w:bCs/>
          <w:szCs w:val="20"/>
        </w:rPr>
        <w:t>(</w:t>
      </w:r>
      <w:r w:rsidRPr="00B628DC">
        <w:rPr>
          <w:rFonts w:cs="Segoe UI"/>
          <w:bCs/>
          <w:szCs w:val="20"/>
        </w:rPr>
        <w:t xml:space="preserve">tabuľka </w:t>
      </w:r>
      <w:r w:rsidR="00CB5B58">
        <w:rPr>
          <w:rFonts w:cs="Segoe UI"/>
          <w:bCs/>
          <w:szCs w:val="20"/>
        </w:rPr>
        <w:t>30</w:t>
      </w:r>
      <w:r w:rsidRPr="00B628DC">
        <w:rPr>
          <w:rFonts w:cs="Segoe UI"/>
          <w:bCs/>
          <w:szCs w:val="20"/>
        </w:rPr>
        <w:t>)</w:t>
      </w:r>
      <w:r w:rsidRPr="00B628DC">
        <w:rPr>
          <w:rFonts w:cs="Segoe UI"/>
          <w:b/>
          <w:bCs/>
          <w:szCs w:val="20"/>
        </w:rPr>
        <w:t>.</w:t>
      </w:r>
    </w:p>
    <w:p w14:paraId="4E224B0E" w14:textId="20119A61" w:rsidR="007D38E1" w:rsidRPr="008660BB" w:rsidRDefault="007D38E1" w:rsidP="007D38E1">
      <w:pPr>
        <w:spacing w:after="0"/>
        <w:jc w:val="left"/>
        <w:rPr>
          <w:i/>
          <w:color w:val="314364" w:themeColor="text2"/>
          <w:sz w:val="16"/>
          <w:lang w:eastAsia="sk-SK"/>
        </w:rPr>
      </w:pPr>
      <w:r w:rsidRPr="00F86186">
        <w:rPr>
          <w:b/>
          <w:iCs/>
          <w:color w:val="314364"/>
          <w:szCs w:val="18"/>
        </w:rPr>
        <w:t xml:space="preserve">Tabuľka </w:t>
      </w:r>
      <w:r w:rsidR="00CB5B58">
        <w:rPr>
          <w:b/>
          <w:iCs/>
          <w:color w:val="314364"/>
          <w:szCs w:val="18"/>
        </w:rPr>
        <w:t>30</w:t>
      </w:r>
      <w:r w:rsidRPr="00F86186">
        <w:rPr>
          <w:b/>
          <w:iCs/>
          <w:color w:val="314364"/>
          <w:szCs w:val="18"/>
        </w:rPr>
        <w:t xml:space="preserve">: Transfery </w:t>
      </w:r>
      <w:r>
        <w:rPr>
          <w:b/>
          <w:iCs/>
          <w:color w:val="314364"/>
          <w:szCs w:val="18"/>
        </w:rPr>
        <w:t xml:space="preserve">VÚC </w:t>
      </w:r>
      <w:r w:rsidRPr="00F86186">
        <w:rPr>
          <w:b/>
          <w:iCs/>
          <w:color w:val="314364"/>
          <w:szCs w:val="18"/>
        </w:rPr>
        <w:t>podľa funkčnej klasifikácie v rokoch 202</w:t>
      </w:r>
      <w:r>
        <w:rPr>
          <w:b/>
          <w:iCs/>
          <w:color w:val="314364"/>
          <w:szCs w:val="18"/>
        </w:rPr>
        <w:t>2 až </w:t>
      </w:r>
      <w:r w:rsidRPr="00F86186">
        <w:rPr>
          <w:b/>
          <w:iCs/>
          <w:color w:val="314364"/>
          <w:szCs w:val="18"/>
        </w:rPr>
        <w:t>202</w:t>
      </w:r>
      <w:r>
        <w:rPr>
          <w:b/>
          <w:iCs/>
          <w:color w:val="314364"/>
          <w:szCs w:val="18"/>
        </w:rPr>
        <w:t>4 (v eurách)</w:t>
      </w:r>
    </w:p>
    <w:tbl>
      <w:tblPr>
        <w:tblW w:w="5000" w:type="pct"/>
        <w:tblBorders>
          <w:bottom w:val="single" w:sz="4" w:space="0" w:color="auto"/>
        </w:tblBorders>
        <w:tblCellMar>
          <w:left w:w="70" w:type="dxa"/>
          <w:right w:w="70" w:type="dxa"/>
        </w:tblCellMar>
        <w:tblLook w:val="04A0" w:firstRow="1" w:lastRow="0" w:firstColumn="1" w:lastColumn="0" w:noHBand="0" w:noVBand="1"/>
      </w:tblPr>
      <w:tblGrid>
        <w:gridCol w:w="2652"/>
        <w:gridCol w:w="1535"/>
        <w:gridCol w:w="2233"/>
        <w:gridCol w:w="1542"/>
        <w:gridCol w:w="1108"/>
      </w:tblGrid>
      <w:tr w:rsidR="007D38E1" w:rsidRPr="00A95D64" w14:paraId="380D1C74" w14:textId="77777777" w:rsidTr="003D11A6">
        <w:trPr>
          <w:trHeight w:val="300"/>
        </w:trPr>
        <w:tc>
          <w:tcPr>
            <w:tcW w:w="1462" w:type="pct"/>
            <w:tcBorders>
              <w:bottom w:val="nil"/>
            </w:tcBorders>
            <w:shd w:val="clear" w:color="auto" w:fill="314364" w:themeFill="accent1"/>
            <w:noWrap/>
            <w:vAlign w:val="center"/>
            <w:hideMark/>
          </w:tcPr>
          <w:p w14:paraId="14A626B0" w14:textId="1A0F5D95" w:rsidR="007D38E1" w:rsidRPr="00A95D64" w:rsidRDefault="007D38E1">
            <w:pPr>
              <w:spacing w:after="0" w:line="240" w:lineRule="auto"/>
              <w:jc w:val="left"/>
              <w:rPr>
                <w:rFonts w:eastAsia="Times New Roman" w:cs="Segoe UI"/>
                <w:sz w:val="18"/>
                <w:szCs w:val="18"/>
                <w:lang w:eastAsia="sk-SK"/>
              </w:rPr>
            </w:pPr>
            <w:r w:rsidRPr="00A95D64">
              <w:rPr>
                <w:rFonts w:eastAsia="Times New Roman" w:cs="Segoe UI"/>
                <w:b/>
                <w:color w:val="FFFFFF" w:themeColor="background1"/>
                <w:sz w:val="18"/>
                <w:szCs w:val="18"/>
                <w:lang w:eastAsia="sk-SK"/>
              </w:rPr>
              <w:t>Oblasť</w:t>
            </w:r>
          </w:p>
        </w:tc>
        <w:tc>
          <w:tcPr>
            <w:tcW w:w="846" w:type="pct"/>
            <w:tcBorders>
              <w:bottom w:val="nil"/>
            </w:tcBorders>
            <w:shd w:val="clear" w:color="auto" w:fill="314364" w:themeFill="accent1"/>
            <w:noWrap/>
            <w:vAlign w:val="center"/>
            <w:hideMark/>
          </w:tcPr>
          <w:p w14:paraId="4526F62B" w14:textId="77777777" w:rsidR="007D38E1" w:rsidRPr="00A95D64" w:rsidRDefault="007D38E1">
            <w:pPr>
              <w:spacing w:after="0" w:line="240" w:lineRule="auto"/>
              <w:jc w:val="right"/>
              <w:rPr>
                <w:rFonts w:eastAsia="Times New Roman" w:cs="Segoe UI"/>
                <w:color w:val="000000"/>
                <w:sz w:val="18"/>
                <w:szCs w:val="18"/>
                <w:lang w:eastAsia="sk-SK"/>
              </w:rPr>
            </w:pPr>
            <w:r w:rsidRPr="00A95D64">
              <w:rPr>
                <w:rFonts w:eastAsia="Times New Roman" w:cs="Segoe UI"/>
                <w:b/>
                <w:color w:val="FFFFFF" w:themeColor="background1"/>
                <w:sz w:val="18"/>
                <w:szCs w:val="18"/>
                <w:lang w:eastAsia="sk-SK"/>
              </w:rPr>
              <w:t xml:space="preserve">2022 </w:t>
            </w:r>
          </w:p>
        </w:tc>
        <w:tc>
          <w:tcPr>
            <w:tcW w:w="1231" w:type="pct"/>
            <w:tcBorders>
              <w:bottom w:val="nil"/>
            </w:tcBorders>
            <w:shd w:val="clear" w:color="auto" w:fill="314364" w:themeFill="accent1"/>
            <w:noWrap/>
            <w:vAlign w:val="center"/>
            <w:hideMark/>
          </w:tcPr>
          <w:p w14:paraId="02BEAD5C" w14:textId="77777777" w:rsidR="007D38E1" w:rsidRPr="00A95D64" w:rsidRDefault="007D38E1">
            <w:pPr>
              <w:spacing w:after="0" w:line="240" w:lineRule="auto"/>
              <w:jc w:val="right"/>
              <w:rPr>
                <w:rFonts w:eastAsia="Times New Roman" w:cs="Segoe UI"/>
                <w:color w:val="000000"/>
                <w:sz w:val="18"/>
                <w:szCs w:val="18"/>
                <w:lang w:eastAsia="sk-SK"/>
              </w:rPr>
            </w:pPr>
            <w:r w:rsidRPr="00A95D64">
              <w:rPr>
                <w:rFonts w:eastAsia="Times New Roman" w:cs="Segoe UI"/>
                <w:b/>
                <w:color w:val="FFFFFF" w:themeColor="background1"/>
                <w:sz w:val="18"/>
                <w:szCs w:val="18"/>
                <w:lang w:eastAsia="sk-SK"/>
              </w:rPr>
              <w:t>2023</w:t>
            </w:r>
          </w:p>
        </w:tc>
        <w:tc>
          <w:tcPr>
            <w:tcW w:w="850" w:type="pct"/>
            <w:tcBorders>
              <w:bottom w:val="nil"/>
            </w:tcBorders>
            <w:shd w:val="clear" w:color="auto" w:fill="314364" w:themeFill="accent1"/>
            <w:noWrap/>
            <w:vAlign w:val="center"/>
            <w:hideMark/>
          </w:tcPr>
          <w:p w14:paraId="680D5ED0" w14:textId="77777777" w:rsidR="007D38E1" w:rsidRPr="00A95D64" w:rsidRDefault="007D38E1">
            <w:pPr>
              <w:spacing w:after="0" w:line="240" w:lineRule="auto"/>
              <w:jc w:val="right"/>
              <w:rPr>
                <w:rFonts w:eastAsia="Times New Roman" w:cs="Segoe UI"/>
                <w:b/>
                <w:bCs/>
                <w:color w:val="000000"/>
                <w:sz w:val="18"/>
                <w:szCs w:val="18"/>
                <w:lang w:eastAsia="sk-SK"/>
              </w:rPr>
            </w:pPr>
            <w:r w:rsidRPr="00A95D64">
              <w:rPr>
                <w:rFonts w:eastAsia="Times New Roman" w:cs="Segoe UI"/>
                <w:b/>
                <w:color w:val="FFFFFF" w:themeColor="background1"/>
                <w:sz w:val="18"/>
                <w:szCs w:val="18"/>
                <w:lang w:eastAsia="sk-SK"/>
              </w:rPr>
              <w:t>2024</w:t>
            </w:r>
          </w:p>
        </w:tc>
        <w:tc>
          <w:tcPr>
            <w:tcW w:w="612" w:type="pct"/>
            <w:tcBorders>
              <w:bottom w:val="nil"/>
            </w:tcBorders>
            <w:shd w:val="clear" w:color="auto" w:fill="314364" w:themeFill="accent1"/>
            <w:noWrap/>
            <w:vAlign w:val="center"/>
            <w:hideMark/>
          </w:tcPr>
          <w:p w14:paraId="63FB3AD6" w14:textId="77777777" w:rsidR="007D38E1" w:rsidRPr="00A95D64" w:rsidRDefault="007D38E1">
            <w:pPr>
              <w:spacing w:after="0" w:line="240" w:lineRule="auto"/>
              <w:jc w:val="right"/>
              <w:rPr>
                <w:rFonts w:eastAsia="Times New Roman" w:cs="Segoe UI"/>
                <w:b/>
                <w:bCs/>
                <w:color w:val="000000"/>
                <w:sz w:val="18"/>
                <w:szCs w:val="18"/>
                <w:lang w:eastAsia="sk-SK"/>
              </w:rPr>
            </w:pPr>
            <w:proofErr w:type="spellStart"/>
            <w:r w:rsidRPr="00A95D64">
              <w:rPr>
                <w:rFonts w:eastAsia="Times New Roman" w:cs="Segoe UI"/>
                <w:b/>
                <w:color w:val="FFFFFF" w:themeColor="background1"/>
                <w:sz w:val="18"/>
                <w:szCs w:val="18"/>
                <w:lang w:eastAsia="sk-SK"/>
              </w:rPr>
              <w:t>YoY</w:t>
            </w:r>
            <w:proofErr w:type="spellEnd"/>
            <w:r w:rsidRPr="00A95D64">
              <w:rPr>
                <w:rFonts w:eastAsia="Times New Roman" w:cs="Segoe UI"/>
                <w:b/>
                <w:color w:val="FFFFFF" w:themeColor="background1"/>
                <w:sz w:val="18"/>
                <w:szCs w:val="18"/>
                <w:lang w:eastAsia="sk-SK"/>
              </w:rPr>
              <w:t>/%</w:t>
            </w:r>
          </w:p>
        </w:tc>
      </w:tr>
      <w:tr w:rsidR="007D38E1" w:rsidRPr="00A95D64" w14:paraId="42EF1B6F" w14:textId="77777777" w:rsidTr="003D11A6">
        <w:trPr>
          <w:trHeight w:val="300"/>
        </w:trPr>
        <w:tc>
          <w:tcPr>
            <w:tcW w:w="1462" w:type="pct"/>
            <w:tcBorders>
              <w:bottom w:val="nil"/>
              <w:right w:val="nil"/>
            </w:tcBorders>
            <w:shd w:val="clear" w:color="auto" w:fill="auto"/>
            <w:noWrap/>
            <w:vAlign w:val="center"/>
            <w:hideMark/>
          </w:tcPr>
          <w:p w14:paraId="6A095984" w14:textId="77777777" w:rsidR="007D38E1" w:rsidRPr="00A95D64" w:rsidRDefault="007D38E1">
            <w:pPr>
              <w:spacing w:after="0" w:line="240" w:lineRule="auto"/>
              <w:jc w:val="left"/>
              <w:rPr>
                <w:rFonts w:eastAsia="Times New Roman" w:cs="Segoe UI"/>
                <w:color w:val="000000"/>
                <w:sz w:val="18"/>
                <w:szCs w:val="18"/>
                <w:lang w:eastAsia="sk-SK"/>
              </w:rPr>
            </w:pPr>
            <w:r w:rsidRPr="00A95D64">
              <w:rPr>
                <w:rFonts w:eastAsia="Times New Roman" w:cs="Segoe UI"/>
                <w:color w:val="000000"/>
                <w:sz w:val="18"/>
                <w:szCs w:val="18"/>
                <w:lang w:eastAsia="sk-SK"/>
              </w:rPr>
              <w:t>Vzdelávanie</w:t>
            </w:r>
          </w:p>
        </w:tc>
        <w:tc>
          <w:tcPr>
            <w:tcW w:w="846" w:type="pct"/>
            <w:tcBorders>
              <w:top w:val="nil"/>
              <w:left w:val="nil"/>
              <w:bottom w:val="nil"/>
              <w:right w:val="nil"/>
            </w:tcBorders>
            <w:shd w:val="clear" w:color="auto" w:fill="auto"/>
            <w:noWrap/>
            <w:vAlign w:val="center"/>
            <w:hideMark/>
          </w:tcPr>
          <w:p w14:paraId="03BC12D2" w14:textId="77777777" w:rsidR="007D38E1" w:rsidRPr="00A95D64" w:rsidRDefault="007D38E1">
            <w:pPr>
              <w:spacing w:after="0" w:line="240" w:lineRule="auto"/>
              <w:jc w:val="right"/>
              <w:rPr>
                <w:rFonts w:eastAsia="Times New Roman" w:cs="Segoe UI"/>
                <w:sz w:val="18"/>
                <w:szCs w:val="18"/>
                <w:lang w:eastAsia="sk-SK"/>
              </w:rPr>
            </w:pPr>
            <w:r w:rsidRPr="003D11A6">
              <w:rPr>
                <w:sz w:val="18"/>
                <w:szCs w:val="18"/>
              </w:rPr>
              <w:t xml:space="preserve"> 554 771 508 </w:t>
            </w:r>
          </w:p>
        </w:tc>
        <w:tc>
          <w:tcPr>
            <w:tcW w:w="1231" w:type="pct"/>
            <w:tcBorders>
              <w:top w:val="nil"/>
              <w:left w:val="nil"/>
              <w:bottom w:val="nil"/>
              <w:right w:val="nil"/>
            </w:tcBorders>
            <w:shd w:val="clear" w:color="auto" w:fill="auto"/>
            <w:noWrap/>
            <w:vAlign w:val="center"/>
            <w:hideMark/>
          </w:tcPr>
          <w:p w14:paraId="612AAB0C"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644 837 079 </w:t>
            </w:r>
          </w:p>
        </w:tc>
        <w:tc>
          <w:tcPr>
            <w:tcW w:w="850" w:type="pct"/>
            <w:tcBorders>
              <w:left w:val="nil"/>
              <w:bottom w:val="nil"/>
              <w:right w:val="nil"/>
            </w:tcBorders>
            <w:shd w:val="clear" w:color="auto" w:fill="auto"/>
            <w:noWrap/>
            <w:vAlign w:val="center"/>
            <w:hideMark/>
          </w:tcPr>
          <w:p w14:paraId="3CF0E45E"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688 454 843 </w:t>
            </w:r>
          </w:p>
        </w:tc>
        <w:tc>
          <w:tcPr>
            <w:tcW w:w="612" w:type="pct"/>
            <w:tcBorders>
              <w:left w:val="nil"/>
              <w:bottom w:val="nil"/>
            </w:tcBorders>
            <w:shd w:val="clear" w:color="auto" w:fill="auto"/>
            <w:noWrap/>
            <w:vAlign w:val="center"/>
          </w:tcPr>
          <w:p w14:paraId="0075D167"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106,8%</w:t>
            </w:r>
          </w:p>
        </w:tc>
      </w:tr>
      <w:tr w:rsidR="007D38E1" w:rsidRPr="00A95D64" w14:paraId="30AAF4DA" w14:textId="77777777" w:rsidTr="003D11A6">
        <w:trPr>
          <w:trHeight w:val="300"/>
        </w:trPr>
        <w:tc>
          <w:tcPr>
            <w:tcW w:w="1462" w:type="pct"/>
            <w:tcBorders>
              <w:bottom w:val="nil"/>
              <w:right w:val="nil"/>
            </w:tcBorders>
            <w:shd w:val="clear" w:color="auto" w:fill="auto"/>
            <w:noWrap/>
            <w:vAlign w:val="center"/>
            <w:hideMark/>
          </w:tcPr>
          <w:p w14:paraId="69FC41F2" w14:textId="77777777" w:rsidR="007D38E1" w:rsidRPr="00A95D64" w:rsidRDefault="007D38E1">
            <w:pPr>
              <w:spacing w:after="0" w:line="240" w:lineRule="auto"/>
              <w:jc w:val="left"/>
              <w:rPr>
                <w:rFonts w:eastAsia="Times New Roman" w:cs="Segoe UI"/>
                <w:color w:val="000000"/>
                <w:sz w:val="18"/>
                <w:szCs w:val="18"/>
                <w:lang w:eastAsia="sk-SK"/>
              </w:rPr>
            </w:pPr>
            <w:r w:rsidRPr="00A95D64">
              <w:rPr>
                <w:rFonts w:eastAsia="Times New Roman" w:cs="Segoe UI"/>
                <w:color w:val="000000"/>
                <w:sz w:val="18"/>
                <w:szCs w:val="18"/>
                <w:lang w:eastAsia="sk-SK"/>
              </w:rPr>
              <w:t>Ekonomická oblasť</w:t>
            </w:r>
          </w:p>
        </w:tc>
        <w:tc>
          <w:tcPr>
            <w:tcW w:w="846" w:type="pct"/>
            <w:tcBorders>
              <w:top w:val="nil"/>
              <w:left w:val="nil"/>
              <w:bottom w:val="nil"/>
              <w:right w:val="nil"/>
            </w:tcBorders>
            <w:shd w:val="clear" w:color="auto" w:fill="auto"/>
            <w:noWrap/>
            <w:vAlign w:val="center"/>
            <w:hideMark/>
          </w:tcPr>
          <w:p w14:paraId="0D7AD74E" w14:textId="77777777" w:rsidR="007D38E1" w:rsidRPr="00A95D64" w:rsidRDefault="007D38E1">
            <w:pPr>
              <w:spacing w:after="0" w:line="240" w:lineRule="auto"/>
              <w:jc w:val="right"/>
              <w:rPr>
                <w:rFonts w:eastAsia="Times New Roman" w:cs="Segoe UI"/>
                <w:sz w:val="18"/>
                <w:szCs w:val="18"/>
                <w:lang w:eastAsia="sk-SK"/>
              </w:rPr>
            </w:pPr>
            <w:r w:rsidRPr="003D11A6">
              <w:rPr>
                <w:sz w:val="18"/>
                <w:szCs w:val="18"/>
              </w:rPr>
              <w:t xml:space="preserve"> 43 671 266 </w:t>
            </w:r>
          </w:p>
        </w:tc>
        <w:tc>
          <w:tcPr>
            <w:tcW w:w="1231" w:type="pct"/>
            <w:tcBorders>
              <w:top w:val="nil"/>
              <w:left w:val="nil"/>
              <w:bottom w:val="nil"/>
              <w:right w:val="nil"/>
            </w:tcBorders>
            <w:shd w:val="clear" w:color="auto" w:fill="auto"/>
            <w:noWrap/>
            <w:vAlign w:val="center"/>
            <w:hideMark/>
          </w:tcPr>
          <w:p w14:paraId="3CA27E83"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298 989 937 </w:t>
            </w:r>
          </w:p>
        </w:tc>
        <w:tc>
          <w:tcPr>
            <w:tcW w:w="850" w:type="pct"/>
            <w:tcBorders>
              <w:left w:val="nil"/>
              <w:bottom w:val="nil"/>
              <w:right w:val="nil"/>
            </w:tcBorders>
            <w:shd w:val="clear" w:color="auto" w:fill="auto"/>
            <w:noWrap/>
            <w:vAlign w:val="center"/>
            <w:hideMark/>
          </w:tcPr>
          <w:p w14:paraId="40DC43C0"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72 947 594 </w:t>
            </w:r>
          </w:p>
        </w:tc>
        <w:tc>
          <w:tcPr>
            <w:tcW w:w="612" w:type="pct"/>
            <w:tcBorders>
              <w:left w:val="nil"/>
              <w:bottom w:val="nil"/>
            </w:tcBorders>
            <w:shd w:val="clear" w:color="auto" w:fill="auto"/>
            <w:noWrap/>
            <w:vAlign w:val="center"/>
          </w:tcPr>
          <w:p w14:paraId="5D20069F"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24,4%</w:t>
            </w:r>
          </w:p>
        </w:tc>
      </w:tr>
      <w:tr w:rsidR="007D38E1" w:rsidRPr="00A95D64" w14:paraId="14428E57" w14:textId="77777777" w:rsidTr="003D11A6">
        <w:trPr>
          <w:trHeight w:val="300"/>
        </w:trPr>
        <w:tc>
          <w:tcPr>
            <w:tcW w:w="1462" w:type="pct"/>
            <w:tcBorders>
              <w:bottom w:val="nil"/>
              <w:right w:val="nil"/>
            </w:tcBorders>
            <w:shd w:val="clear" w:color="auto" w:fill="auto"/>
            <w:noWrap/>
            <w:vAlign w:val="center"/>
            <w:hideMark/>
          </w:tcPr>
          <w:p w14:paraId="29802909" w14:textId="77777777" w:rsidR="007D38E1" w:rsidRPr="00A95D64" w:rsidRDefault="007D38E1">
            <w:pPr>
              <w:spacing w:after="0" w:line="240" w:lineRule="auto"/>
              <w:jc w:val="left"/>
              <w:rPr>
                <w:rFonts w:eastAsia="Times New Roman" w:cs="Segoe UI"/>
                <w:color w:val="000000"/>
                <w:sz w:val="18"/>
                <w:szCs w:val="18"/>
                <w:lang w:eastAsia="sk-SK"/>
              </w:rPr>
            </w:pPr>
            <w:r w:rsidRPr="00A95D64">
              <w:rPr>
                <w:rFonts w:eastAsia="Times New Roman" w:cs="Segoe UI"/>
                <w:color w:val="000000"/>
                <w:sz w:val="18"/>
                <w:szCs w:val="18"/>
                <w:lang w:eastAsia="sk-SK"/>
              </w:rPr>
              <w:t>Sociálne zabezpečenie</w:t>
            </w:r>
          </w:p>
        </w:tc>
        <w:tc>
          <w:tcPr>
            <w:tcW w:w="846" w:type="pct"/>
            <w:tcBorders>
              <w:top w:val="nil"/>
              <w:left w:val="nil"/>
              <w:bottom w:val="nil"/>
              <w:right w:val="nil"/>
            </w:tcBorders>
            <w:shd w:val="clear" w:color="auto" w:fill="auto"/>
            <w:noWrap/>
            <w:vAlign w:val="center"/>
            <w:hideMark/>
          </w:tcPr>
          <w:p w14:paraId="34B30FF1" w14:textId="77777777" w:rsidR="007D38E1" w:rsidRPr="00A95D64" w:rsidRDefault="007D38E1">
            <w:pPr>
              <w:spacing w:after="0" w:line="240" w:lineRule="auto"/>
              <w:jc w:val="right"/>
              <w:rPr>
                <w:rFonts w:eastAsia="Times New Roman" w:cs="Segoe UI"/>
                <w:sz w:val="18"/>
                <w:szCs w:val="18"/>
                <w:lang w:eastAsia="sk-SK"/>
              </w:rPr>
            </w:pPr>
            <w:r w:rsidRPr="003D11A6">
              <w:rPr>
                <w:sz w:val="18"/>
                <w:szCs w:val="18"/>
              </w:rPr>
              <w:t xml:space="preserve"> 3 512 568 </w:t>
            </w:r>
          </w:p>
        </w:tc>
        <w:tc>
          <w:tcPr>
            <w:tcW w:w="1231" w:type="pct"/>
            <w:tcBorders>
              <w:top w:val="nil"/>
              <w:left w:val="nil"/>
              <w:bottom w:val="nil"/>
              <w:right w:val="nil"/>
            </w:tcBorders>
            <w:shd w:val="clear" w:color="auto" w:fill="auto"/>
            <w:noWrap/>
            <w:vAlign w:val="center"/>
            <w:hideMark/>
          </w:tcPr>
          <w:p w14:paraId="547769F0"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19 541 222 </w:t>
            </w:r>
          </w:p>
        </w:tc>
        <w:tc>
          <w:tcPr>
            <w:tcW w:w="850" w:type="pct"/>
            <w:tcBorders>
              <w:left w:val="nil"/>
              <w:bottom w:val="nil"/>
              <w:right w:val="nil"/>
            </w:tcBorders>
            <w:shd w:val="clear" w:color="auto" w:fill="auto"/>
            <w:noWrap/>
            <w:vAlign w:val="center"/>
            <w:hideMark/>
          </w:tcPr>
          <w:p w14:paraId="042810C8"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4 077 745 </w:t>
            </w:r>
          </w:p>
        </w:tc>
        <w:tc>
          <w:tcPr>
            <w:tcW w:w="612" w:type="pct"/>
            <w:tcBorders>
              <w:left w:val="nil"/>
              <w:bottom w:val="nil"/>
            </w:tcBorders>
            <w:shd w:val="clear" w:color="auto" w:fill="auto"/>
            <w:noWrap/>
            <w:vAlign w:val="center"/>
          </w:tcPr>
          <w:p w14:paraId="10186E0C"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20,9%</w:t>
            </w:r>
          </w:p>
        </w:tc>
      </w:tr>
      <w:tr w:rsidR="007D38E1" w:rsidRPr="00A95D64" w14:paraId="1DBDDCA7" w14:textId="77777777" w:rsidTr="003D11A6">
        <w:trPr>
          <w:trHeight w:val="300"/>
        </w:trPr>
        <w:tc>
          <w:tcPr>
            <w:tcW w:w="1462" w:type="pct"/>
            <w:tcBorders>
              <w:bottom w:val="nil"/>
              <w:right w:val="nil"/>
            </w:tcBorders>
            <w:shd w:val="clear" w:color="auto" w:fill="auto"/>
            <w:noWrap/>
            <w:vAlign w:val="center"/>
          </w:tcPr>
          <w:p w14:paraId="585B5A20" w14:textId="77777777" w:rsidR="007D38E1" w:rsidRPr="00A95D64" w:rsidRDefault="007D38E1">
            <w:pPr>
              <w:spacing w:after="0" w:line="240" w:lineRule="auto"/>
              <w:jc w:val="left"/>
              <w:rPr>
                <w:rFonts w:eastAsia="Times New Roman" w:cs="Segoe UI"/>
                <w:color w:val="000000"/>
                <w:sz w:val="18"/>
                <w:szCs w:val="18"/>
                <w:lang w:eastAsia="sk-SK"/>
              </w:rPr>
            </w:pPr>
            <w:r w:rsidRPr="00A95D64">
              <w:rPr>
                <w:rFonts w:eastAsia="Times New Roman" w:cs="Segoe UI"/>
                <w:color w:val="000000"/>
                <w:sz w:val="18"/>
                <w:szCs w:val="18"/>
                <w:lang w:eastAsia="sk-SK"/>
              </w:rPr>
              <w:t>Všeobecné verejné služby</w:t>
            </w:r>
          </w:p>
        </w:tc>
        <w:tc>
          <w:tcPr>
            <w:tcW w:w="846" w:type="pct"/>
            <w:tcBorders>
              <w:top w:val="nil"/>
              <w:left w:val="nil"/>
              <w:bottom w:val="nil"/>
              <w:right w:val="nil"/>
            </w:tcBorders>
            <w:shd w:val="clear" w:color="auto" w:fill="auto"/>
            <w:noWrap/>
            <w:vAlign w:val="center"/>
          </w:tcPr>
          <w:p w14:paraId="439D5225" w14:textId="77777777" w:rsidR="007D38E1" w:rsidRPr="003D11A6" w:rsidRDefault="007D38E1">
            <w:pPr>
              <w:spacing w:after="0" w:line="240" w:lineRule="auto"/>
              <w:jc w:val="right"/>
              <w:rPr>
                <w:sz w:val="18"/>
                <w:szCs w:val="18"/>
              </w:rPr>
            </w:pPr>
            <w:r w:rsidRPr="003D11A6">
              <w:rPr>
                <w:sz w:val="18"/>
                <w:szCs w:val="18"/>
              </w:rPr>
              <w:t xml:space="preserve"> 9 186 765 </w:t>
            </w:r>
          </w:p>
        </w:tc>
        <w:tc>
          <w:tcPr>
            <w:tcW w:w="1231" w:type="pct"/>
            <w:tcBorders>
              <w:top w:val="nil"/>
              <w:left w:val="nil"/>
              <w:bottom w:val="nil"/>
              <w:right w:val="nil"/>
            </w:tcBorders>
            <w:shd w:val="clear" w:color="auto" w:fill="auto"/>
            <w:noWrap/>
            <w:vAlign w:val="center"/>
          </w:tcPr>
          <w:p w14:paraId="05652B17" w14:textId="77777777" w:rsidR="007D38E1" w:rsidRPr="003D11A6" w:rsidRDefault="007D38E1">
            <w:pPr>
              <w:spacing w:after="0" w:line="240" w:lineRule="auto"/>
              <w:jc w:val="right"/>
              <w:rPr>
                <w:sz w:val="18"/>
                <w:szCs w:val="18"/>
              </w:rPr>
            </w:pPr>
            <w:r w:rsidRPr="003D11A6">
              <w:rPr>
                <w:sz w:val="18"/>
                <w:szCs w:val="18"/>
              </w:rPr>
              <w:t xml:space="preserve"> 7 802 039 </w:t>
            </w:r>
          </w:p>
        </w:tc>
        <w:tc>
          <w:tcPr>
            <w:tcW w:w="850" w:type="pct"/>
            <w:tcBorders>
              <w:left w:val="nil"/>
              <w:bottom w:val="nil"/>
              <w:right w:val="nil"/>
            </w:tcBorders>
            <w:shd w:val="clear" w:color="auto" w:fill="auto"/>
            <w:noWrap/>
            <w:vAlign w:val="center"/>
          </w:tcPr>
          <w:p w14:paraId="1532B613" w14:textId="77777777" w:rsidR="007D38E1" w:rsidRPr="003D11A6" w:rsidRDefault="007D38E1">
            <w:pPr>
              <w:spacing w:after="0" w:line="240" w:lineRule="auto"/>
              <w:jc w:val="right"/>
              <w:rPr>
                <w:sz w:val="18"/>
                <w:szCs w:val="18"/>
              </w:rPr>
            </w:pPr>
            <w:r w:rsidRPr="003D11A6">
              <w:rPr>
                <w:sz w:val="18"/>
                <w:szCs w:val="18"/>
              </w:rPr>
              <w:t xml:space="preserve"> 3 255 353 </w:t>
            </w:r>
          </w:p>
        </w:tc>
        <w:tc>
          <w:tcPr>
            <w:tcW w:w="612" w:type="pct"/>
            <w:tcBorders>
              <w:left w:val="nil"/>
              <w:bottom w:val="nil"/>
            </w:tcBorders>
            <w:shd w:val="clear" w:color="auto" w:fill="auto"/>
            <w:noWrap/>
            <w:vAlign w:val="center"/>
          </w:tcPr>
          <w:p w14:paraId="557FAA87" w14:textId="77777777" w:rsidR="007D38E1" w:rsidRPr="003D11A6" w:rsidRDefault="007D38E1">
            <w:pPr>
              <w:spacing w:after="0" w:line="240" w:lineRule="auto"/>
              <w:jc w:val="right"/>
              <w:rPr>
                <w:sz w:val="18"/>
                <w:szCs w:val="18"/>
              </w:rPr>
            </w:pPr>
            <w:r w:rsidRPr="003D11A6">
              <w:rPr>
                <w:sz w:val="18"/>
                <w:szCs w:val="18"/>
              </w:rPr>
              <w:t>41,7%</w:t>
            </w:r>
          </w:p>
        </w:tc>
      </w:tr>
      <w:tr w:rsidR="007D38E1" w:rsidRPr="00A95D64" w14:paraId="129C7036" w14:textId="77777777" w:rsidTr="003D11A6">
        <w:trPr>
          <w:trHeight w:val="300"/>
        </w:trPr>
        <w:tc>
          <w:tcPr>
            <w:tcW w:w="1462" w:type="pct"/>
            <w:tcBorders>
              <w:bottom w:val="nil"/>
              <w:right w:val="nil"/>
            </w:tcBorders>
            <w:shd w:val="clear" w:color="auto" w:fill="auto"/>
            <w:noWrap/>
            <w:vAlign w:val="center"/>
          </w:tcPr>
          <w:p w14:paraId="17C6C3D1" w14:textId="77777777" w:rsidR="007D38E1" w:rsidRPr="00A95D64" w:rsidRDefault="007D38E1">
            <w:pPr>
              <w:spacing w:after="0" w:line="240" w:lineRule="auto"/>
              <w:jc w:val="left"/>
              <w:rPr>
                <w:rFonts w:eastAsia="Times New Roman" w:cs="Segoe UI"/>
                <w:color w:val="000000"/>
                <w:sz w:val="18"/>
                <w:szCs w:val="18"/>
                <w:lang w:eastAsia="sk-SK"/>
              </w:rPr>
            </w:pPr>
            <w:r w:rsidRPr="00A95D64">
              <w:rPr>
                <w:rFonts w:eastAsia="Times New Roman" w:cs="Segoe UI"/>
                <w:color w:val="000000"/>
                <w:sz w:val="18"/>
                <w:szCs w:val="18"/>
                <w:lang w:eastAsia="sk-SK"/>
              </w:rPr>
              <w:t>Ochrana životného prostredia</w:t>
            </w:r>
          </w:p>
        </w:tc>
        <w:tc>
          <w:tcPr>
            <w:tcW w:w="846" w:type="pct"/>
            <w:tcBorders>
              <w:top w:val="nil"/>
              <w:left w:val="nil"/>
              <w:bottom w:val="nil"/>
              <w:right w:val="nil"/>
            </w:tcBorders>
            <w:shd w:val="clear" w:color="auto" w:fill="auto"/>
            <w:noWrap/>
            <w:vAlign w:val="center"/>
          </w:tcPr>
          <w:p w14:paraId="3F52F7E7" w14:textId="77777777" w:rsidR="007D38E1" w:rsidRPr="003D11A6" w:rsidRDefault="007D38E1">
            <w:pPr>
              <w:spacing w:after="0" w:line="240" w:lineRule="auto"/>
              <w:jc w:val="right"/>
              <w:rPr>
                <w:sz w:val="18"/>
                <w:szCs w:val="18"/>
              </w:rPr>
            </w:pPr>
            <w:r w:rsidRPr="003D11A6">
              <w:rPr>
                <w:sz w:val="18"/>
                <w:szCs w:val="18"/>
              </w:rPr>
              <w:t xml:space="preserve"> 396 608 </w:t>
            </w:r>
          </w:p>
        </w:tc>
        <w:tc>
          <w:tcPr>
            <w:tcW w:w="1231" w:type="pct"/>
            <w:tcBorders>
              <w:top w:val="nil"/>
              <w:left w:val="nil"/>
              <w:bottom w:val="nil"/>
              <w:right w:val="nil"/>
            </w:tcBorders>
            <w:shd w:val="clear" w:color="auto" w:fill="auto"/>
            <w:noWrap/>
            <w:vAlign w:val="center"/>
          </w:tcPr>
          <w:p w14:paraId="6CFD1DA0" w14:textId="77777777" w:rsidR="007D38E1" w:rsidRPr="003D11A6" w:rsidRDefault="007D38E1">
            <w:pPr>
              <w:spacing w:after="0" w:line="240" w:lineRule="auto"/>
              <w:jc w:val="right"/>
              <w:rPr>
                <w:sz w:val="18"/>
                <w:szCs w:val="18"/>
              </w:rPr>
            </w:pPr>
            <w:r w:rsidRPr="003D11A6">
              <w:rPr>
                <w:sz w:val="18"/>
                <w:szCs w:val="18"/>
              </w:rPr>
              <w:t xml:space="preserve"> 5 620 740 </w:t>
            </w:r>
          </w:p>
        </w:tc>
        <w:tc>
          <w:tcPr>
            <w:tcW w:w="850" w:type="pct"/>
            <w:tcBorders>
              <w:left w:val="nil"/>
              <w:bottom w:val="nil"/>
              <w:right w:val="nil"/>
            </w:tcBorders>
            <w:shd w:val="clear" w:color="auto" w:fill="auto"/>
            <w:noWrap/>
            <w:vAlign w:val="center"/>
          </w:tcPr>
          <w:p w14:paraId="4566729E" w14:textId="77777777" w:rsidR="007D38E1" w:rsidRPr="003D11A6" w:rsidRDefault="007D38E1">
            <w:pPr>
              <w:spacing w:after="0" w:line="240" w:lineRule="auto"/>
              <w:jc w:val="right"/>
              <w:rPr>
                <w:sz w:val="18"/>
                <w:szCs w:val="18"/>
              </w:rPr>
            </w:pPr>
            <w:r w:rsidRPr="003D11A6">
              <w:rPr>
                <w:sz w:val="18"/>
                <w:szCs w:val="18"/>
              </w:rPr>
              <w:t xml:space="preserve"> 1 776 145 </w:t>
            </w:r>
          </w:p>
        </w:tc>
        <w:tc>
          <w:tcPr>
            <w:tcW w:w="612" w:type="pct"/>
            <w:tcBorders>
              <w:left w:val="nil"/>
              <w:bottom w:val="nil"/>
            </w:tcBorders>
            <w:shd w:val="clear" w:color="auto" w:fill="auto"/>
            <w:noWrap/>
            <w:vAlign w:val="center"/>
          </w:tcPr>
          <w:p w14:paraId="0647FC08" w14:textId="77777777" w:rsidR="007D38E1" w:rsidRPr="003D11A6" w:rsidRDefault="007D38E1">
            <w:pPr>
              <w:spacing w:after="0" w:line="240" w:lineRule="auto"/>
              <w:jc w:val="right"/>
              <w:rPr>
                <w:sz w:val="18"/>
                <w:szCs w:val="18"/>
              </w:rPr>
            </w:pPr>
            <w:r w:rsidRPr="003D11A6">
              <w:rPr>
                <w:sz w:val="18"/>
                <w:szCs w:val="18"/>
              </w:rPr>
              <w:t>31,6%</w:t>
            </w:r>
          </w:p>
        </w:tc>
      </w:tr>
      <w:tr w:rsidR="007D38E1" w:rsidRPr="00A95D64" w14:paraId="2D9FCF14" w14:textId="77777777" w:rsidTr="003D11A6">
        <w:trPr>
          <w:trHeight w:val="300"/>
        </w:trPr>
        <w:tc>
          <w:tcPr>
            <w:tcW w:w="1462" w:type="pct"/>
            <w:tcBorders>
              <w:bottom w:val="nil"/>
              <w:right w:val="nil"/>
            </w:tcBorders>
            <w:shd w:val="clear" w:color="auto" w:fill="auto"/>
            <w:noWrap/>
            <w:vAlign w:val="center"/>
          </w:tcPr>
          <w:p w14:paraId="16898F07" w14:textId="77777777" w:rsidR="007D38E1" w:rsidRPr="00A95D64" w:rsidRDefault="007D38E1">
            <w:pPr>
              <w:spacing w:after="0" w:line="240" w:lineRule="auto"/>
              <w:jc w:val="left"/>
              <w:rPr>
                <w:rFonts w:eastAsia="Times New Roman" w:cs="Segoe UI"/>
                <w:color w:val="000000"/>
                <w:sz w:val="18"/>
                <w:szCs w:val="18"/>
                <w:lang w:eastAsia="sk-SK"/>
              </w:rPr>
            </w:pPr>
            <w:r w:rsidRPr="00A95D64">
              <w:rPr>
                <w:rFonts w:eastAsia="Times New Roman" w:cs="Segoe UI"/>
                <w:color w:val="000000"/>
                <w:sz w:val="18"/>
                <w:szCs w:val="18"/>
                <w:lang w:eastAsia="sk-SK"/>
              </w:rPr>
              <w:t>Rekreácia, kultúra, náboženstvo</w:t>
            </w:r>
          </w:p>
        </w:tc>
        <w:tc>
          <w:tcPr>
            <w:tcW w:w="846" w:type="pct"/>
            <w:tcBorders>
              <w:top w:val="nil"/>
              <w:left w:val="nil"/>
              <w:bottom w:val="nil"/>
              <w:right w:val="nil"/>
            </w:tcBorders>
            <w:shd w:val="clear" w:color="auto" w:fill="auto"/>
            <w:noWrap/>
            <w:vAlign w:val="center"/>
          </w:tcPr>
          <w:p w14:paraId="3640B6FE" w14:textId="77777777" w:rsidR="007D38E1" w:rsidRPr="003D11A6" w:rsidRDefault="007D38E1">
            <w:pPr>
              <w:spacing w:after="0" w:line="240" w:lineRule="auto"/>
              <w:jc w:val="right"/>
              <w:rPr>
                <w:sz w:val="18"/>
                <w:szCs w:val="18"/>
              </w:rPr>
            </w:pPr>
            <w:r w:rsidRPr="003D11A6">
              <w:rPr>
                <w:sz w:val="18"/>
                <w:szCs w:val="18"/>
              </w:rPr>
              <w:t xml:space="preserve"> 1 052 857 </w:t>
            </w:r>
          </w:p>
        </w:tc>
        <w:tc>
          <w:tcPr>
            <w:tcW w:w="1231" w:type="pct"/>
            <w:tcBorders>
              <w:top w:val="nil"/>
              <w:left w:val="nil"/>
              <w:bottom w:val="nil"/>
              <w:right w:val="nil"/>
            </w:tcBorders>
            <w:shd w:val="clear" w:color="auto" w:fill="auto"/>
            <w:noWrap/>
            <w:vAlign w:val="center"/>
          </w:tcPr>
          <w:p w14:paraId="6BB8F1A2" w14:textId="77777777" w:rsidR="007D38E1" w:rsidRPr="003D11A6" w:rsidRDefault="007D38E1">
            <w:pPr>
              <w:spacing w:after="0" w:line="240" w:lineRule="auto"/>
              <w:jc w:val="right"/>
              <w:rPr>
                <w:sz w:val="18"/>
                <w:szCs w:val="18"/>
              </w:rPr>
            </w:pPr>
            <w:r w:rsidRPr="003D11A6">
              <w:rPr>
                <w:sz w:val="18"/>
                <w:szCs w:val="18"/>
              </w:rPr>
              <w:t xml:space="preserve"> 7 045 360 </w:t>
            </w:r>
          </w:p>
        </w:tc>
        <w:tc>
          <w:tcPr>
            <w:tcW w:w="850" w:type="pct"/>
            <w:tcBorders>
              <w:left w:val="nil"/>
              <w:bottom w:val="nil"/>
              <w:right w:val="nil"/>
            </w:tcBorders>
            <w:shd w:val="clear" w:color="auto" w:fill="auto"/>
            <w:noWrap/>
            <w:vAlign w:val="center"/>
          </w:tcPr>
          <w:p w14:paraId="311AB902" w14:textId="77777777" w:rsidR="007D38E1" w:rsidRPr="003D11A6" w:rsidRDefault="007D38E1">
            <w:pPr>
              <w:spacing w:after="0" w:line="240" w:lineRule="auto"/>
              <w:jc w:val="right"/>
              <w:rPr>
                <w:sz w:val="18"/>
                <w:szCs w:val="18"/>
              </w:rPr>
            </w:pPr>
            <w:r w:rsidRPr="003D11A6">
              <w:rPr>
                <w:sz w:val="18"/>
                <w:szCs w:val="18"/>
              </w:rPr>
              <w:t xml:space="preserve"> 607 180 </w:t>
            </w:r>
          </w:p>
        </w:tc>
        <w:tc>
          <w:tcPr>
            <w:tcW w:w="612" w:type="pct"/>
            <w:tcBorders>
              <w:left w:val="nil"/>
              <w:bottom w:val="nil"/>
            </w:tcBorders>
            <w:shd w:val="clear" w:color="auto" w:fill="auto"/>
            <w:noWrap/>
            <w:vAlign w:val="center"/>
          </w:tcPr>
          <w:p w14:paraId="69383D98" w14:textId="77777777" w:rsidR="007D38E1" w:rsidRPr="003D11A6" w:rsidRDefault="007D38E1">
            <w:pPr>
              <w:spacing w:after="0" w:line="240" w:lineRule="auto"/>
              <w:jc w:val="right"/>
              <w:rPr>
                <w:sz w:val="18"/>
                <w:szCs w:val="18"/>
              </w:rPr>
            </w:pPr>
            <w:r w:rsidRPr="003D11A6">
              <w:rPr>
                <w:sz w:val="18"/>
                <w:szCs w:val="18"/>
              </w:rPr>
              <w:t>8,6%</w:t>
            </w:r>
          </w:p>
        </w:tc>
      </w:tr>
      <w:tr w:rsidR="007D38E1" w:rsidRPr="00A95D64" w14:paraId="18D33E10" w14:textId="77777777" w:rsidTr="003D11A6">
        <w:trPr>
          <w:trHeight w:val="300"/>
        </w:trPr>
        <w:tc>
          <w:tcPr>
            <w:tcW w:w="1462" w:type="pct"/>
            <w:tcBorders>
              <w:bottom w:val="nil"/>
              <w:right w:val="nil"/>
            </w:tcBorders>
            <w:shd w:val="clear" w:color="auto" w:fill="auto"/>
            <w:noWrap/>
            <w:vAlign w:val="center"/>
            <w:hideMark/>
          </w:tcPr>
          <w:p w14:paraId="66D80A74" w14:textId="77777777" w:rsidR="007D38E1" w:rsidRPr="00A95D64" w:rsidRDefault="007D38E1">
            <w:pPr>
              <w:spacing w:after="0" w:line="240" w:lineRule="auto"/>
              <w:jc w:val="left"/>
              <w:rPr>
                <w:rFonts w:eastAsia="Times New Roman" w:cs="Segoe UI"/>
                <w:color w:val="000000"/>
                <w:sz w:val="18"/>
                <w:szCs w:val="18"/>
                <w:lang w:eastAsia="sk-SK"/>
              </w:rPr>
            </w:pPr>
            <w:r w:rsidRPr="00A95D64">
              <w:rPr>
                <w:rFonts w:eastAsia="Times New Roman" w:cs="Segoe UI"/>
                <w:color w:val="000000"/>
                <w:sz w:val="18"/>
                <w:szCs w:val="18"/>
                <w:lang w:eastAsia="sk-SK"/>
              </w:rPr>
              <w:t>Bývanie a obč. vybavenie</w:t>
            </w:r>
          </w:p>
        </w:tc>
        <w:tc>
          <w:tcPr>
            <w:tcW w:w="846" w:type="pct"/>
            <w:tcBorders>
              <w:top w:val="nil"/>
              <w:left w:val="nil"/>
              <w:bottom w:val="nil"/>
              <w:right w:val="nil"/>
            </w:tcBorders>
            <w:shd w:val="clear" w:color="auto" w:fill="auto"/>
            <w:noWrap/>
            <w:vAlign w:val="center"/>
            <w:hideMark/>
          </w:tcPr>
          <w:p w14:paraId="0915FC54" w14:textId="77777777" w:rsidR="007D38E1" w:rsidRPr="00A95D64" w:rsidRDefault="007D38E1">
            <w:pPr>
              <w:spacing w:after="0" w:line="240" w:lineRule="auto"/>
              <w:jc w:val="right"/>
              <w:rPr>
                <w:rFonts w:eastAsia="Times New Roman" w:cs="Segoe UI"/>
                <w:sz w:val="18"/>
                <w:szCs w:val="18"/>
                <w:lang w:eastAsia="sk-SK"/>
              </w:rPr>
            </w:pPr>
            <w:r w:rsidRPr="003D11A6">
              <w:rPr>
                <w:sz w:val="18"/>
                <w:szCs w:val="18"/>
              </w:rPr>
              <w:t xml:space="preserve"> -   </w:t>
            </w:r>
          </w:p>
        </w:tc>
        <w:tc>
          <w:tcPr>
            <w:tcW w:w="1231" w:type="pct"/>
            <w:tcBorders>
              <w:top w:val="nil"/>
              <w:left w:val="nil"/>
              <w:bottom w:val="nil"/>
              <w:right w:val="nil"/>
            </w:tcBorders>
            <w:shd w:val="clear" w:color="auto" w:fill="auto"/>
            <w:noWrap/>
            <w:vAlign w:val="center"/>
            <w:hideMark/>
          </w:tcPr>
          <w:p w14:paraId="2B7DE37B"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28 500 000 </w:t>
            </w:r>
          </w:p>
        </w:tc>
        <w:tc>
          <w:tcPr>
            <w:tcW w:w="850" w:type="pct"/>
            <w:tcBorders>
              <w:left w:val="nil"/>
              <w:bottom w:val="nil"/>
              <w:right w:val="nil"/>
            </w:tcBorders>
            <w:shd w:val="clear" w:color="auto" w:fill="auto"/>
            <w:noWrap/>
            <w:vAlign w:val="center"/>
            <w:hideMark/>
          </w:tcPr>
          <w:p w14:paraId="178CABAB"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571 817 </w:t>
            </w:r>
          </w:p>
        </w:tc>
        <w:tc>
          <w:tcPr>
            <w:tcW w:w="612" w:type="pct"/>
            <w:tcBorders>
              <w:left w:val="nil"/>
              <w:bottom w:val="nil"/>
            </w:tcBorders>
            <w:shd w:val="clear" w:color="auto" w:fill="auto"/>
            <w:noWrap/>
            <w:vAlign w:val="center"/>
          </w:tcPr>
          <w:p w14:paraId="0AA28BA0"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2,0%</w:t>
            </w:r>
          </w:p>
        </w:tc>
      </w:tr>
      <w:tr w:rsidR="007D38E1" w:rsidRPr="00A95D64" w14:paraId="1D2D07AE" w14:textId="77777777" w:rsidTr="003D11A6">
        <w:trPr>
          <w:trHeight w:val="300"/>
        </w:trPr>
        <w:tc>
          <w:tcPr>
            <w:tcW w:w="1462" w:type="pct"/>
            <w:tcBorders>
              <w:bottom w:val="single" w:sz="4" w:space="0" w:color="314364" w:themeColor="text2"/>
              <w:right w:val="nil"/>
            </w:tcBorders>
            <w:shd w:val="clear" w:color="auto" w:fill="auto"/>
            <w:noWrap/>
            <w:vAlign w:val="center"/>
            <w:hideMark/>
          </w:tcPr>
          <w:p w14:paraId="7B00A37B" w14:textId="77777777" w:rsidR="007D38E1" w:rsidRPr="00A95D64" w:rsidRDefault="007D38E1">
            <w:pPr>
              <w:spacing w:after="0" w:line="240" w:lineRule="auto"/>
              <w:jc w:val="left"/>
              <w:rPr>
                <w:rFonts w:eastAsia="Times New Roman" w:cs="Segoe UI"/>
                <w:color w:val="000000"/>
                <w:sz w:val="18"/>
                <w:szCs w:val="18"/>
                <w:lang w:eastAsia="sk-SK"/>
              </w:rPr>
            </w:pPr>
            <w:r w:rsidRPr="00A95D64">
              <w:rPr>
                <w:rFonts w:eastAsia="Times New Roman" w:cs="Segoe UI"/>
                <w:color w:val="000000"/>
                <w:sz w:val="18"/>
                <w:szCs w:val="18"/>
                <w:lang w:eastAsia="sk-SK"/>
              </w:rPr>
              <w:t>Zdravotníctvo</w:t>
            </w:r>
          </w:p>
        </w:tc>
        <w:tc>
          <w:tcPr>
            <w:tcW w:w="846" w:type="pct"/>
            <w:tcBorders>
              <w:top w:val="nil"/>
              <w:left w:val="nil"/>
              <w:bottom w:val="single" w:sz="4" w:space="0" w:color="314364" w:themeColor="text2"/>
              <w:right w:val="nil"/>
            </w:tcBorders>
            <w:shd w:val="clear" w:color="auto" w:fill="auto"/>
            <w:noWrap/>
            <w:vAlign w:val="center"/>
            <w:hideMark/>
          </w:tcPr>
          <w:p w14:paraId="628CA450" w14:textId="77777777" w:rsidR="007D38E1" w:rsidRPr="00A95D64" w:rsidRDefault="007D38E1">
            <w:pPr>
              <w:spacing w:after="0" w:line="240" w:lineRule="auto"/>
              <w:jc w:val="right"/>
              <w:rPr>
                <w:rFonts w:eastAsia="Times New Roman" w:cs="Segoe UI"/>
                <w:sz w:val="18"/>
                <w:szCs w:val="18"/>
                <w:lang w:eastAsia="sk-SK"/>
              </w:rPr>
            </w:pPr>
            <w:r w:rsidRPr="003D11A6">
              <w:rPr>
                <w:sz w:val="18"/>
                <w:szCs w:val="18"/>
              </w:rPr>
              <w:t xml:space="preserve"> 2 528 559 </w:t>
            </w:r>
          </w:p>
        </w:tc>
        <w:tc>
          <w:tcPr>
            <w:tcW w:w="1231" w:type="pct"/>
            <w:tcBorders>
              <w:top w:val="nil"/>
              <w:left w:val="nil"/>
              <w:bottom w:val="single" w:sz="4" w:space="0" w:color="314364" w:themeColor="text2"/>
              <w:right w:val="nil"/>
            </w:tcBorders>
            <w:shd w:val="clear" w:color="auto" w:fill="auto"/>
            <w:noWrap/>
            <w:vAlign w:val="center"/>
            <w:hideMark/>
          </w:tcPr>
          <w:p w14:paraId="48886A01"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23 074 </w:t>
            </w:r>
          </w:p>
        </w:tc>
        <w:tc>
          <w:tcPr>
            <w:tcW w:w="850" w:type="pct"/>
            <w:tcBorders>
              <w:left w:val="nil"/>
              <w:bottom w:val="single" w:sz="4" w:space="0" w:color="314364" w:themeColor="text2"/>
              <w:right w:val="nil"/>
            </w:tcBorders>
            <w:shd w:val="clear" w:color="auto" w:fill="auto"/>
            <w:noWrap/>
            <w:vAlign w:val="center"/>
            <w:hideMark/>
          </w:tcPr>
          <w:p w14:paraId="34577325"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 xml:space="preserve"> 400 000 </w:t>
            </w:r>
          </w:p>
        </w:tc>
        <w:tc>
          <w:tcPr>
            <w:tcW w:w="612" w:type="pct"/>
            <w:tcBorders>
              <w:left w:val="nil"/>
              <w:bottom w:val="single" w:sz="4" w:space="0" w:color="314364" w:themeColor="text2"/>
            </w:tcBorders>
            <w:shd w:val="clear" w:color="auto" w:fill="auto"/>
            <w:noWrap/>
            <w:vAlign w:val="center"/>
          </w:tcPr>
          <w:p w14:paraId="19E9108F" w14:textId="77777777" w:rsidR="007D38E1" w:rsidRPr="00A95D64" w:rsidRDefault="007D38E1">
            <w:pPr>
              <w:spacing w:after="0" w:line="240" w:lineRule="auto"/>
              <w:jc w:val="right"/>
              <w:rPr>
                <w:rFonts w:eastAsia="Times New Roman" w:cs="Segoe UI"/>
                <w:color w:val="000000"/>
                <w:sz w:val="18"/>
                <w:szCs w:val="18"/>
                <w:lang w:eastAsia="sk-SK"/>
              </w:rPr>
            </w:pPr>
            <w:r w:rsidRPr="003D11A6">
              <w:rPr>
                <w:sz w:val="18"/>
                <w:szCs w:val="18"/>
              </w:rPr>
              <w:t>1733,6%</w:t>
            </w:r>
          </w:p>
        </w:tc>
      </w:tr>
      <w:tr w:rsidR="007D38E1" w:rsidRPr="00A95D64" w14:paraId="1E1319C4" w14:textId="77777777" w:rsidTr="003D11A6">
        <w:trPr>
          <w:trHeight w:val="300"/>
        </w:trPr>
        <w:tc>
          <w:tcPr>
            <w:tcW w:w="1462" w:type="pct"/>
            <w:tcBorders>
              <w:top w:val="single" w:sz="4" w:space="0" w:color="314364" w:themeColor="text2"/>
              <w:bottom w:val="single" w:sz="4" w:space="0" w:color="314364" w:themeColor="text2"/>
            </w:tcBorders>
            <w:shd w:val="clear" w:color="auto" w:fill="auto"/>
            <w:noWrap/>
            <w:vAlign w:val="center"/>
            <w:hideMark/>
          </w:tcPr>
          <w:p w14:paraId="638C6DDC" w14:textId="77777777" w:rsidR="007D38E1" w:rsidRPr="00A95D64" w:rsidRDefault="007D38E1">
            <w:pPr>
              <w:spacing w:after="0" w:line="240" w:lineRule="auto"/>
              <w:jc w:val="left"/>
              <w:rPr>
                <w:rFonts w:eastAsia="Times New Roman" w:cs="Segoe UI"/>
                <w:b/>
                <w:bCs/>
                <w:color w:val="000000"/>
                <w:sz w:val="18"/>
                <w:szCs w:val="18"/>
                <w:lang w:eastAsia="sk-SK"/>
              </w:rPr>
            </w:pPr>
            <w:r w:rsidRPr="00A95D64">
              <w:rPr>
                <w:rFonts w:eastAsia="Times New Roman" w:cs="Segoe UI"/>
                <w:b/>
                <w:bCs/>
                <w:color w:val="000000"/>
                <w:sz w:val="18"/>
                <w:szCs w:val="18"/>
                <w:lang w:eastAsia="sk-SK"/>
              </w:rPr>
              <w:t>SPOLU</w:t>
            </w:r>
          </w:p>
        </w:tc>
        <w:tc>
          <w:tcPr>
            <w:tcW w:w="846" w:type="pct"/>
            <w:tcBorders>
              <w:top w:val="single" w:sz="4" w:space="0" w:color="314364" w:themeColor="text2"/>
              <w:left w:val="nil"/>
              <w:bottom w:val="single" w:sz="4" w:space="0" w:color="314364" w:themeColor="text2"/>
              <w:right w:val="nil"/>
            </w:tcBorders>
            <w:shd w:val="clear" w:color="auto" w:fill="auto"/>
            <w:noWrap/>
            <w:vAlign w:val="center"/>
            <w:hideMark/>
          </w:tcPr>
          <w:p w14:paraId="1D5F6DFC" w14:textId="77777777" w:rsidR="007D38E1" w:rsidRPr="00A95D64" w:rsidRDefault="007D38E1">
            <w:pPr>
              <w:spacing w:after="0" w:line="240" w:lineRule="auto"/>
              <w:jc w:val="right"/>
              <w:rPr>
                <w:rFonts w:eastAsia="Times New Roman" w:cs="Segoe UI"/>
                <w:b/>
                <w:bCs/>
                <w:sz w:val="18"/>
                <w:szCs w:val="18"/>
                <w:lang w:eastAsia="sk-SK"/>
              </w:rPr>
            </w:pPr>
            <w:r w:rsidRPr="003D11A6">
              <w:rPr>
                <w:b/>
                <w:sz w:val="18"/>
                <w:szCs w:val="18"/>
              </w:rPr>
              <w:t xml:space="preserve"> 615 120 132 </w:t>
            </w:r>
          </w:p>
        </w:tc>
        <w:tc>
          <w:tcPr>
            <w:tcW w:w="1231" w:type="pct"/>
            <w:tcBorders>
              <w:top w:val="single" w:sz="4" w:space="0" w:color="314364" w:themeColor="text2"/>
              <w:left w:val="nil"/>
              <w:bottom w:val="single" w:sz="4" w:space="0" w:color="314364" w:themeColor="text2"/>
              <w:right w:val="nil"/>
            </w:tcBorders>
            <w:shd w:val="clear" w:color="auto" w:fill="auto"/>
            <w:noWrap/>
            <w:vAlign w:val="center"/>
            <w:hideMark/>
          </w:tcPr>
          <w:p w14:paraId="710B26F3" w14:textId="77777777" w:rsidR="007D38E1" w:rsidRPr="00A95D64" w:rsidRDefault="007D38E1">
            <w:pPr>
              <w:spacing w:after="0" w:line="240" w:lineRule="auto"/>
              <w:jc w:val="right"/>
              <w:rPr>
                <w:rFonts w:eastAsia="Times New Roman" w:cs="Segoe UI"/>
                <w:b/>
                <w:bCs/>
                <w:color w:val="000000"/>
                <w:sz w:val="18"/>
                <w:szCs w:val="18"/>
                <w:lang w:eastAsia="sk-SK"/>
              </w:rPr>
            </w:pPr>
            <w:r w:rsidRPr="003D11A6">
              <w:rPr>
                <w:b/>
                <w:sz w:val="18"/>
                <w:szCs w:val="18"/>
              </w:rPr>
              <w:t xml:space="preserve"> 1 012 359 451 </w:t>
            </w:r>
          </w:p>
        </w:tc>
        <w:tc>
          <w:tcPr>
            <w:tcW w:w="850" w:type="pct"/>
            <w:tcBorders>
              <w:top w:val="single" w:sz="4" w:space="0" w:color="314364" w:themeColor="text2"/>
              <w:bottom w:val="single" w:sz="4" w:space="0" w:color="314364" w:themeColor="text2"/>
            </w:tcBorders>
            <w:shd w:val="clear" w:color="auto" w:fill="auto"/>
            <w:noWrap/>
            <w:vAlign w:val="center"/>
            <w:hideMark/>
          </w:tcPr>
          <w:p w14:paraId="53E22047" w14:textId="77777777" w:rsidR="007D38E1" w:rsidRPr="00A95D64" w:rsidRDefault="007D38E1">
            <w:pPr>
              <w:spacing w:after="0" w:line="240" w:lineRule="auto"/>
              <w:jc w:val="right"/>
              <w:rPr>
                <w:rFonts w:eastAsia="Times New Roman" w:cs="Segoe UI"/>
                <w:b/>
                <w:bCs/>
                <w:color w:val="000000"/>
                <w:sz w:val="18"/>
                <w:szCs w:val="18"/>
                <w:lang w:eastAsia="sk-SK"/>
              </w:rPr>
            </w:pPr>
            <w:r w:rsidRPr="003D11A6">
              <w:rPr>
                <w:b/>
                <w:sz w:val="18"/>
                <w:szCs w:val="18"/>
              </w:rPr>
              <w:t xml:space="preserve"> 772 090 676 </w:t>
            </w:r>
          </w:p>
        </w:tc>
        <w:tc>
          <w:tcPr>
            <w:tcW w:w="612" w:type="pct"/>
            <w:tcBorders>
              <w:top w:val="single" w:sz="4" w:space="0" w:color="314364" w:themeColor="text2"/>
              <w:bottom w:val="single" w:sz="4" w:space="0" w:color="314364" w:themeColor="text2"/>
            </w:tcBorders>
            <w:shd w:val="clear" w:color="auto" w:fill="auto"/>
            <w:noWrap/>
            <w:vAlign w:val="center"/>
          </w:tcPr>
          <w:p w14:paraId="24FD2221" w14:textId="77777777" w:rsidR="007D38E1" w:rsidRPr="003D11A6" w:rsidRDefault="007D38E1">
            <w:pPr>
              <w:spacing w:after="0" w:line="240" w:lineRule="auto"/>
              <w:jc w:val="right"/>
              <w:rPr>
                <w:rFonts w:eastAsia="Times New Roman" w:cs="Segoe UI"/>
                <w:b/>
                <w:color w:val="000000"/>
                <w:sz w:val="18"/>
                <w:szCs w:val="18"/>
                <w:lang w:eastAsia="sk-SK"/>
              </w:rPr>
            </w:pPr>
            <w:r w:rsidRPr="003D11A6">
              <w:rPr>
                <w:b/>
                <w:sz w:val="18"/>
                <w:szCs w:val="18"/>
              </w:rPr>
              <w:t>76,3%</w:t>
            </w:r>
          </w:p>
        </w:tc>
      </w:tr>
    </w:tbl>
    <w:p w14:paraId="5DD03C82" w14:textId="1C8F4399" w:rsidR="007D38E1" w:rsidRPr="00903940" w:rsidRDefault="007D38E1" w:rsidP="007D38E1">
      <w:pPr>
        <w:rPr>
          <w:i/>
          <w:color w:val="314364" w:themeColor="text2"/>
          <w:sz w:val="16"/>
          <w:lang w:eastAsia="sk-SK"/>
        </w:rPr>
      </w:pPr>
      <w:r w:rsidRPr="00903940">
        <w:rPr>
          <w:i/>
          <w:color w:val="314364" w:themeColor="text2"/>
          <w:sz w:val="16"/>
          <w:lang w:eastAsia="sk-SK"/>
        </w:rPr>
        <w:t>Zdroj: MF SR</w:t>
      </w:r>
      <w:r w:rsidR="00CB5B58">
        <w:rPr>
          <w:i/>
          <w:color w:val="314364" w:themeColor="text2"/>
          <w:sz w:val="16"/>
          <w:lang w:eastAsia="sk-SK"/>
        </w:rPr>
        <w:t>.</w:t>
      </w:r>
    </w:p>
    <w:p w14:paraId="59DDA517" w14:textId="77777777" w:rsidR="008A4BCF" w:rsidRDefault="008A4BCF" w:rsidP="008A4BCF">
      <w:pPr>
        <w:pStyle w:val="vodZverZhrnutie"/>
      </w:pPr>
      <w:bookmarkStart w:id="71" w:name="_Toc198637746"/>
      <w:r>
        <w:lastRenderedPageBreak/>
        <w:t>Tabuľková príloha</w:t>
      </w:r>
      <w:bookmarkEnd w:id="71"/>
    </w:p>
    <w:p w14:paraId="1A5F811B" w14:textId="77777777" w:rsidR="00CA1734" w:rsidRDefault="00CA1734" w:rsidP="00CA1734">
      <w:pPr>
        <w:pStyle w:val="Popis"/>
        <w:keepNext/>
      </w:pPr>
      <w:r>
        <w:t>Tabuľka 1: Porovnanie m</w:t>
      </w:r>
      <w:r w:rsidRPr="004F4CD7">
        <w:t>akroekonomick</w:t>
      </w:r>
      <w:r>
        <w:t>ej</w:t>
      </w:r>
      <w:r w:rsidRPr="004F4CD7">
        <w:t xml:space="preserve"> pr</w:t>
      </w:r>
      <w:r>
        <w:t>ognózy rozpočtu VS na rok 2024 so skutočnosťou</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992"/>
        <w:gridCol w:w="1134"/>
        <w:gridCol w:w="1134"/>
        <w:gridCol w:w="1132"/>
      </w:tblGrid>
      <w:tr w:rsidR="00CA1734" w:rsidRPr="00950EDF" w14:paraId="0D48F4E8" w14:textId="77777777" w:rsidTr="005369A1">
        <w:trPr>
          <w:trHeight w:val="255"/>
          <w:tblHeader/>
        </w:trPr>
        <w:tc>
          <w:tcPr>
            <w:tcW w:w="4678" w:type="dxa"/>
            <w:shd w:val="clear" w:color="auto" w:fill="314364" w:themeFill="text2"/>
            <w:vAlign w:val="center"/>
          </w:tcPr>
          <w:p w14:paraId="5CE89DA2" w14:textId="77777777" w:rsidR="00CA1734" w:rsidRPr="00950EDF" w:rsidRDefault="00CA1734" w:rsidP="005369A1">
            <w:pPr>
              <w:pStyle w:val="Bezriadkovania"/>
              <w:rPr>
                <w:rFonts w:ascii="Segoe UI" w:hAnsi="Segoe UI" w:cs="Segoe UI"/>
                <w:b/>
                <w:color w:val="FFFFFF" w:themeColor="background1"/>
                <w:sz w:val="18"/>
                <w:szCs w:val="18"/>
              </w:rPr>
            </w:pPr>
            <w:r w:rsidRPr="00950EDF">
              <w:rPr>
                <w:rFonts w:ascii="Segoe UI" w:hAnsi="Segoe UI" w:cs="Segoe UI"/>
                <w:b/>
                <w:color w:val="FFFFFF" w:themeColor="background1"/>
                <w:sz w:val="18"/>
                <w:szCs w:val="18"/>
              </w:rPr>
              <w:t>Ukazovateľ (rast v %, ak nie je uvedené inak)</w:t>
            </w:r>
          </w:p>
        </w:tc>
        <w:tc>
          <w:tcPr>
            <w:tcW w:w="992" w:type="dxa"/>
            <w:shd w:val="clear" w:color="auto" w:fill="314364" w:themeFill="text2"/>
            <w:vAlign w:val="center"/>
          </w:tcPr>
          <w:p w14:paraId="62F42BDD" w14:textId="77777777" w:rsidR="00CA1734" w:rsidRPr="00950EDF" w:rsidRDefault="00CA1734" w:rsidP="005369A1">
            <w:pPr>
              <w:pStyle w:val="Bezriadkovania"/>
              <w:jc w:val="right"/>
              <w:rPr>
                <w:rFonts w:ascii="Segoe UI" w:hAnsi="Segoe UI" w:cs="Segoe UI"/>
                <w:b/>
                <w:color w:val="FFFFFF" w:themeColor="background1"/>
                <w:sz w:val="18"/>
                <w:szCs w:val="18"/>
              </w:rPr>
            </w:pPr>
            <w:r>
              <w:rPr>
                <w:rFonts w:ascii="Segoe UI" w:hAnsi="Segoe UI" w:cs="Segoe UI"/>
                <w:b/>
                <w:color w:val="FFFFFF" w:themeColor="background1"/>
                <w:sz w:val="18"/>
                <w:szCs w:val="18"/>
              </w:rPr>
              <w:t>2023 S</w:t>
            </w:r>
          </w:p>
        </w:tc>
        <w:tc>
          <w:tcPr>
            <w:tcW w:w="1134" w:type="dxa"/>
            <w:shd w:val="clear" w:color="auto" w:fill="314364" w:themeFill="text2"/>
            <w:vAlign w:val="center"/>
          </w:tcPr>
          <w:p w14:paraId="4C439939" w14:textId="77777777" w:rsidR="00CA1734" w:rsidRPr="00950EDF" w:rsidRDefault="00CA1734" w:rsidP="005369A1">
            <w:pPr>
              <w:pStyle w:val="Bezriadkovania"/>
              <w:jc w:val="right"/>
              <w:rPr>
                <w:rFonts w:ascii="Segoe UI" w:hAnsi="Segoe UI" w:cs="Segoe UI"/>
                <w:b/>
                <w:color w:val="FFFFFF" w:themeColor="background1"/>
                <w:sz w:val="18"/>
                <w:szCs w:val="18"/>
              </w:rPr>
            </w:pPr>
            <w:r w:rsidRPr="00950EDF">
              <w:rPr>
                <w:rFonts w:ascii="Segoe UI" w:hAnsi="Segoe UI" w:cs="Segoe UI"/>
                <w:b/>
                <w:color w:val="FFFFFF" w:themeColor="background1"/>
                <w:sz w:val="18"/>
                <w:szCs w:val="18"/>
              </w:rPr>
              <w:t>20</w:t>
            </w:r>
            <w:r>
              <w:rPr>
                <w:rFonts w:ascii="Segoe UI" w:hAnsi="Segoe UI" w:cs="Segoe UI"/>
                <w:b/>
                <w:color w:val="FFFFFF" w:themeColor="background1"/>
                <w:sz w:val="18"/>
                <w:szCs w:val="18"/>
              </w:rPr>
              <w:t>24 R</w:t>
            </w:r>
          </w:p>
        </w:tc>
        <w:tc>
          <w:tcPr>
            <w:tcW w:w="1134" w:type="dxa"/>
            <w:shd w:val="clear" w:color="auto" w:fill="314364" w:themeFill="text2"/>
            <w:vAlign w:val="center"/>
          </w:tcPr>
          <w:p w14:paraId="5859F4AD" w14:textId="77777777" w:rsidR="00CA1734" w:rsidRPr="00950EDF" w:rsidRDefault="00CA1734" w:rsidP="005369A1">
            <w:pPr>
              <w:pStyle w:val="Bezriadkovania"/>
              <w:jc w:val="right"/>
              <w:rPr>
                <w:rFonts w:ascii="Segoe UI" w:hAnsi="Segoe UI" w:cs="Segoe UI"/>
                <w:b/>
                <w:color w:val="FFFFFF" w:themeColor="background1"/>
                <w:sz w:val="18"/>
                <w:szCs w:val="18"/>
              </w:rPr>
            </w:pPr>
            <w:r>
              <w:rPr>
                <w:rFonts w:ascii="Segoe UI" w:hAnsi="Segoe UI" w:cs="Segoe UI"/>
                <w:b/>
                <w:color w:val="FFFFFF" w:themeColor="background1"/>
                <w:sz w:val="18"/>
                <w:szCs w:val="18"/>
              </w:rPr>
              <w:t>2024 S</w:t>
            </w:r>
          </w:p>
        </w:tc>
        <w:tc>
          <w:tcPr>
            <w:tcW w:w="1132" w:type="dxa"/>
            <w:shd w:val="clear" w:color="auto" w:fill="314364" w:themeFill="text2"/>
            <w:vAlign w:val="center"/>
          </w:tcPr>
          <w:p w14:paraId="0E0C69F1" w14:textId="77777777" w:rsidR="00CA1734" w:rsidRPr="00950EDF" w:rsidRDefault="00CA1734" w:rsidP="005369A1">
            <w:pPr>
              <w:pStyle w:val="Bezriadkovania"/>
              <w:jc w:val="right"/>
              <w:rPr>
                <w:rFonts w:ascii="Segoe UI" w:hAnsi="Segoe UI" w:cs="Segoe UI"/>
                <w:b/>
                <w:color w:val="FFFFFF" w:themeColor="background1"/>
                <w:sz w:val="18"/>
                <w:szCs w:val="18"/>
              </w:rPr>
            </w:pPr>
            <w:r>
              <w:rPr>
                <w:rFonts w:ascii="Segoe UI" w:hAnsi="Segoe UI" w:cs="Segoe UI"/>
                <w:b/>
                <w:color w:val="FFFFFF" w:themeColor="background1"/>
                <w:sz w:val="18"/>
                <w:szCs w:val="18"/>
              </w:rPr>
              <w:t>24S - 24R</w:t>
            </w:r>
          </w:p>
        </w:tc>
      </w:tr>
      <w:tr w:rsidR="00CA1734" w:rsidRPr="00950EDF" w14:paraId="6F44939D" w14:textId="77777777" w:rsidTr="005369A1">
        <w:trPr>
          <w:trHeight w:val="255"/>
        </w:trPr>
        <w:tc>
          <w:tcPr>
            <w:tcW w:w="4678" w:type="dxa"/>
            <w:vAlign w:val="center"/>
          </w:tcPr>
          <w:p w14:paraId="42E81E28" w14:textId="77777777" w:rsidR="00CA1734" w:rsidRPr="00950EDF" w:rsidRDefault="00CA1734" w:rsidP="005369A1">
            <w:pPr>
              <w:pStyle w:val="Bezriadkovania"/>
              <w:rPr>
                <w:rFonts w:ascii="Segoe UI" w:hAnsi="Segoe UI" w:cs="Segoe UI"/>
                <w:b/>
                <w:sz w:val="18"/>
                <w:szCs w:val="18"/>
              </w:rPr>
            </w:pPr>
            <w:r w:rsidRPr="00950EDF">
              <w:rPr>
                <w:rFonts w:ascii="Segoe UI" w:hAnsi="Segoe UI" w:cs="Segoe UI"/>
                <w:b/>
                <w:sz w:val="18"/>
                <w:szCs w:val="18"/>
              </w:rPr>
              <w:t>Hrubý domáci produkt</w:t>
            </w:r>
          </w:p>
        </w:tc>
        <w:tc>
          <w:tcPr>
            <w:tcW w:w="992" w:type="dxa"/>
            <w:vAlign w:val="center"/>
          </w:tcPr>
          <w:p w14:paraId="5DD9AF02" w14:textId="77777777" w:rsidR="00CA1734" w:rsidRPr="00950EDF" w:rsidRDefault="00CA1734" w:rsidP="005369A1">
            <w:pPr>
              <w:pStyle w:val="Bezriadkovania"/>
              <w:jc w:val="right"/>
              <w:rPr>
                <w:rFonts w:ascii="Segoe UI" w:hAnsi="Segoe UI" w:cs="Segoe UI"/>
                <w:sz w:val="18"/>
                <w:szCs w:val="18"/>
              </w:rPr>
            </w:pPr>
          </w:p>
        </w:tc>
        <w:tc>
          <w:tcPr>
            <w:tcW w:w="1134" w:type="dxa"/>
            <w:vAlign w:val="center"/>
          </w:tcPr>
          <w:p w14:paraId="031BCEB3" w14:textId="77777777" w:rsidR="00CA1734" w:rsidRPr="00950EDF" w:rsidRDefault="00CA1734" w:rsidP="005369A1">
            <w:pPr>
              <w:pStyle w:val="Bezriadkovania"/>
              <w:jc w:val="right"/>
              <w:rPr>
                <w:rFonts w:ascii="Segoe UI" w:hAnsi="Segoe UI" w:cs="Segoe UI"/>
                <w:sz w:val="18"/>
                <w:szCs w:val="18"/>
              </w:rPr>
            </w:pPr>
          </w:p>
        </w:tc>
        <w:tc>
          <w:tcPr>
            <w:tcW w:w="1134" w:type="dxa"/>
            <w:vAlign w:val="center"/>
          </w:tcPr>
          <w:p w14:paraId="5CD55CE0" w14:textId="77777777" w:rsidR="00CA1734" w:rsidRPr="00950EDF" w:rsidRDefault="00CA1734" w:rsidP="005369A1">
            <w:pPr>
              <w:pStyle w:val="Bezriadkovania"/>
              <w:jc w:val="right"/>
              <w:rPr>
                <w:rFonts w:ascii="Segoe UI" w:hAnsi="Segoe UI" w:cs="Segoe UI"/>
                <w:sz w:val="18"/>
                <w:szCs w:val="18"/>
              </w:rPr>
            </w:pPr>
          </w:p>
        </w:tc>
        <w:tc>
          <w:tcPr>
            <w:tcW w:w="1132" w:type="dxa"/>
            <w:vAlign w:val="center"/>
          </w:tcPr>
          <w:p w14:paraId="0058F1E5" w14:textId="77777777" w:rsidR="00CA1734" w:rsidRPr="00950EDF" w:rsidRDefault="00CA1734" w:rsidP="005369A1">
            <w:pPr>
              <w:pStyle w:val="Bezriadkovania"/>
              <w:jc w:val="right"/>
              <w:rPr>
                <w:rFonts w:ascii="Segoe UI" w:hAnsi="Segoe UI" w:cs="Segoe UI"/>
                <w:sz w:val="18"/>
                <w:szCs w:val="18"/>
              </w:rPr>
            </w:pPr>
          </w:p>
        </w:tc>
      </w:tr>
      <w:tr w:rsidR="00CA1734" w:rsidRPr="00950EDF" w14:paraId="2A744B2F" w14:textId="77777777" w:rsidTr="005369A1">
        <w:trPr>
          <w:trHeight w:val="255"/>
        </w:trPr>
        <w:tc>
          <w:tcPr>
            <w:tcW w:w="4678" w:type="dxa"/>
            <w:vAlign w:val="center"/>
          </w:tcPr>
          <w:p w14:paraId="34DFDB6F"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HDP, s.</w:t>
            </w:r>
            <w:r>
              <w:rPr>
                <w:rFonts w:ascii="Segoe UI" w:hAnsi="Segoe UI" w:cs="Segoe UI"/>
                <w:sz w:val="18"/>
                <w:szCs w:val="18"/>
              </w:rPr>
              <w:t xml:space="preserve"> </w:t>
            </w:r>
            <w:r w:rsidRPr="00950EDF">
              <w:rPr>
                <w:rFonts w:ascii="Segoe UI" w:hAnsi="Segoe UI" w:cs="Segoe UI"/>
                <w:sz w:val="18"/>
                <w:szCs w:val="18"/>
              </w:rPr>
              <w:t>c. (</w:t>
            </w:r>
            <w:proofErr w:type="spellStart"/>
            <w:r w:rsidRPr="00950EDF">
              <w:rPr>
                <w:rFonts w:ascii="Segoe UI" w:hAnsi="Segoe UI" w:cs="Segoe UI"/>
                <w:sz w:val="18"/>
                <w:szCs w:val="18"/>
              </w:rPr>
              <w:t>YoY</w:t>
            </w:r>
            <w:proofErr w:type="spellEnd"/>
            <w:r w:rsidRPr="00950EDF">
              <w:rPr>
                <w:rFonts w:ascii="Segoe UI" w:hAnsi="Segoe UI" w:cs="Segoe UI"/>
                <w:sz w:val="18"/>
                <w:szCs w:val="18"/>
              </w:rPr>
              <w:t xml:space="preserve"> zmena)</w:t>
            </w:r>
          </w:p>
        </w:tc>
        <w:tc>
          <w:tcPr>
            <w:tcW w:w="992" w:type="dxa"/>
            <w:vAlign w:val="center"/>
          </w:tcPr>
          <w:p w14:paraId="0AF1FAAF"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1,6</w:t>
            </w:r>
          </w:p>
        </w:tc>
        <w:tc>
          <w:tcPr>
            <w:tcW w:w="1134" w:type="dxa"/>
            <w:vAlign w:val="center"/>
          </w:tcPr>
          <w:p w14:paraId="002AB863"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2,7</w:t>
            </w:r>
          </w:p>
        </w:tc>
        <w:tc>
          <w:tcPr>
            <w:tcW w:w="1134" w:type="dxa"/>
            <w:vAlign w:val="center"/>
          </w:tcPr>
          <w:p w14:paraId="01F052E9"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2,1</w:t>
            </w:r>
          </w:p>
        </w:tc>
        <w:tc>
          <w:tcPr>
            <w:tcW w:w="1132" w:type="dxa"/>
          </w:tcPr>
          <w:p w14:paraId="7BA956CF"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-0,6</w:t>
            </w:r>
          </w:p>
        </w:tc>
      </w:tr>
      <w:tr w:rsidR="00CA1734" w:rsidRPr="00950EDF" w14:paraId="5483B5CB" w14:textId="77777777" w:rsidTr="005369A1">
        <w:trPr>
          <w:trHeight w:val="255"/>
        </w:trPr>
        <w:tc>
          <w:tcPr>
            <w:tcW w:w="4678" w:type="dxa"/>
            <w:vAlign w:val="center"/>
          </w:tcPr>
          <w:p w14:paraId="4A7517C6"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HDP, b.</w:t>
            </w:r>
            <w:r>
              <w:rPr>
                <w:rFonts w:ascii="Segoe UI" w:hAnsi="Segoe UI" w:cs="Segoe UI"/>
                <w:sz w:val="18"/>
                <w:szCs w:val="18"/>
              </w:rPr>
              <w:t xml:space="preserve"> </w:t>
            </w:r>
            <w:r w:rsidRPr="00950EDF">
              <w:rPr>
                <w:rFonts w:ascii="Segoe UI" w:hAnsi="Segoe UI" w:cs="Segoe UI"/>
                <w:sz w:val="18"/>
                <w:szCs w:val="18"/>
              </w:rPr>
              <w:t>c. (mld. eur)</w:t>
            </w:r>
          </w:p>
        </w:tc>
        <w:tc>
          <w:tcPr>
            <w:tcW w:w="992" w:type="dxa"/>
            <w:vAlign w:val="center"/>
          </w:tcPr>
          <w:p w14:paraId="091DEEA2"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122,8</w:t>
            </w:r>
          </w:p>
        </w:tc>
        <w:tc>
          <w:tcPr>
            <w:tcW w:w="1134" w:type="dxa"/>
            <w:vAlign w:val="center"/>
          </w:tcPr>
          <w:p w14:paraId="5C587F50"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131,3</w:t>
            </w:r>
          </w:p>
        </w:tc>
        <w:tc>
          <w:tcPr>
            <w:tcW w:w="1134" w:type="dxa"/>
            <w:vAlign w:val="center"/>
          </w:tcPr>
          <w:p w14:paraId="4A18FE52"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131,0</w:t>
            </w:r>
          </w:p>
        </w:tc>
        <w:tc>
          <w:tcPr>
            <w:tcW w:w="1132" w:type="dxa"/>
          </w:tcPr>
          <w:p w14:paraId="3BE17CF6"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-0,3</w:t>
            </w:r>
          </w:p>
        </w:tc>
      </w:tr>
      <w:tr w:rsidR="00CA1734" w:rsidRPr="00950EDF" w14:paraId="1252CCDA" w14:textId="77777777" w:rsidTr="005369A1">
        <w:trPr>
          <w:trHeight w:val="255"/>
        </w:trPr>
        <w:tc>
          <w:tcPr>
            <w:tcW w:w="4678" w:type="dxa"/>
            <w:vAlign w:val="center"/>
          </w:tcPr>
          <w:p w14:paraId="5BE21113"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Súkromná spotreba</w:t>
            </w:r>
            <w:r>
              <w:rPr>
                <w:rFonts w:ascii="Segoe UI" w:hAnsi="Segoe UI" w:cs="Segoe UI"/>
                <w:sz w:val="18"/>
                <w:szCs w:val="18"/>
              </w:rPr>
              <w:t>, s. c.</w:t>
            </w:r>
          </w:p>
        </w:tc>
        <w:tc>
          <w:tcPr>
            <w:tcW w:w="992" w:type="dxa"/>
            <w:vAlign w:val="center"/>
          </w:tcPr>
          <w:p w14:paraId="0AB5E810"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-3,1</w:t>
            </w:r>
          </w:p>
        </w:tc>
        <w:tc>
          <w:tcPr>
            <w:tcW w:w="1134" w:type="dxa"/>
            <w:vAlign w:val="center"/>
          </w:tcPr>
          <w:p w14:paraId="7F945F56"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3,3</w:t>
            </w:r>
          </w:p>
        </w:tc>
        <w:tc>
          <w:tcPr>
            <w:tcW w:w="1134" w:type="dxa"/>
            <w:vAlign w:val="center"/>
          </w:tcPr>
          <w:p w14:paraId="7A1A68EA"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2,6</w:t>
            </w:r>
          </w:p>
        </w:tc>
        <w:tc>
          <w:tcPr>
            <w:tcW w:w="1132" w:type="dxa"/>
          </w:tcPr>
          <w:p w14:paraId="6237D0D1"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-0,7</w:t>
            </w:r>
          </w:p>
        </w:tc>
      </w:tr>
      <w:tr w:rsidR="00CA1734" w:rsidRPr="00950EDF" w14:paraId="09C5C19B" w14:textId="77777777" w:rsidTr="005369A1">
        <w:trPr>
          <w:trHeight w:val="255"/>
        </w:trPr>
        <w:tc>
          <w:tcPr>
            <w:tcW w:w="4678" w:type="dxa"/>
            <w:vAlign w:val="center"/>
          </w:tcPr>
          <w:p w14:paraId="0D898264"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Súkromná spotreba, b.</w:t>
            </w:r>
            <w:r>
              <w:rPr>
                <w:rFonts w:ascii="Segoe UI" w:hAnsi="Segoe UI" w:cs="Segoe UI"/>
                <w:sz w:val="18"/>
                <w:szCs w:val="18"/>
              </w:rPr>
              <w:t xml:space="preserve"> </w:t>
            </w:r>
            <w:r w:rsidRPr="00950EDF">
              <w:rPr>
                <w:rFonts w:ascii="Segoe UI" w:hAnsi="Segoe UI" w:cs="Segoe UI"/>
                <w:sz w:val="18"/>
                <w:szCs w:val="18"/>
              </w:rPr>
              <w:t>c.</w:t>
            </w:r>
          </w:p>
        </w:tc>
        <w:tc>
          <w:tcPr>
            <w:tcW w:w="992" w:type="dxa"/>
            <w:vAlign w:val="center"/>
          </w:tcPr>
          <w:p w14:paraId="6F5BFCD5"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6,8</w:t>
            </w:r>
          </w:p>
        </w:tc>
        <w:tc>
          <w:tcPr>
            <w:tcW w:w="1134" w:type="dxa"/>
            <w:vAlign w:val="center"/>
          </w:tcPr>
          <w:p w14:paraId="36FF74A9"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7,1</w:t>
            </w:r>
          </w:p>
        </w:tc>
        <w:tc>
          <w:tcPr>
            <w:tcW w:w="1134" w:type="dxa"/>
            <w:vAlign w:val="center"/>
          </w:tcPr>
          <w:p w14:paraId="012B45D9"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5,7</w:t>
            </w:r>
          </w:p>
        </w:tc>
        <w:tc>
          <w:tcPr>
            <w:tcW w:w="1132" w:type="dxa"/>
          </w:tcPr>
          <w:p w14:paraId="74235020"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-1,4</w:t>
            </w:r>
          </w:p>
        </w:tc>
      </w:tr>
      <w:tr w:rsidR="00CA1734" w:rsidRPr="00950EDF" w14:paraId="55E568B1" w14:textId="77777777" w:rsidTr="005369A1">
        <w:trPr>
          <w:trHeight w:val="255"/>
        </w:trPr>
        <w:tc>
          <w:tcPr>
            <w:tcW w:w="4678" w:type="dxa"/>
            <w:vAlign w:val="center"/>
          </w:tcPr>
          <w:p w14:paraId="02A11E92"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Vládna spotreba</w:t>
            </w:r>
          </w:p>
        </w:tc>
        <w:tc>
          <w:tcPr>
            <w:tcW w:w="992" w:type="dxa"/>
            <w:vAlign w:val="center"/>
          </w:tcPr>
          <w:p w14:paraId="7A1E708C"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-0,6</w:t>
            </w:r>
          </w:p>
        </w:tc>
        <w:tc>
          <w:tcPr>
            <w:tcW w:w="1134" w:type="dxa"/>
            <w:vAlign w:val="center"/>
          </w:tcPr>
          <w:p w14:paraId="7CD09CD3"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1,3</w:t>
            </w:r>
          </w:p>
        </w:tc>
        <w:tc>
          <w:tcPr>
            <w:tcW w:w="1134" w:type="dxa"/>
            <w:vAlign w:val="center"/>
          </w:tcPr>
          <w:p w14:paraId="6A1D460F"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4,3</w:t>
            </w:r>
          </w:p>
        </w:tc>
        <w:tc>
          <w:tcPr>
            <w:tcW w:w="1132" w:type="dxa"/>
          </w:tcPr>
          <w:p w14:paraId="00158D96"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3,0</w:t>
            </w:r>
          </w:p>
        </w:tc>
      </w:tr>
      <w:tr w:rsidR="00CA1734" w:rsidRPr="00950EDF" w14:paraId="56F1F72C" w14:textId="77777777" w:rsidTr="005369A1">
        <w:trPr>
          <w:trHeight w:val="255"/>
        </w:trPr>
        <w:tc>
          <w:tcPr>
            <w:tcW w:w="4678" w:type="dxa"/>
            <w:vAlign w:val="center"/>
          </w:tcPr>
          <w:p w14:paraId="5CEE26CB"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Fixné investície</w:t>
            </w:r>
          </w:p>
        </w:tc>
        <w:tc>
          <w:tcPr>
            <w:tcW w:w="992" w:type="dxa"/>
            <w:vAlign w:val="center"/>
          </w:tcPr>
          <w:p w14:paraId="37530EB7"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10,6</w:t>
            </w:r>
          </w:p>
        </w:tc>
        <w:tc>
          <w:tcPr>
            <w:tcW w:w="1134" w:type="dxa"/>
            <w:vAlign w:val="center"/>
          </w:tcPr>
          <w:p w14:paraId="08685B93"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5,1</w:t>
            </w:r>
          </w:p>
        </w:tc>
        <w:tc>
          <w:tcPr>
            <w:tcW w:w="1134" w:type="dxa"/>
            <w:vAlign w:val="center"/>
          </w:tcPr>
          <w:p w14:paraId="268DC8C2"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-0,3</w:t>
            </w:r>
          </w:p>
        </w:tc>
        <w:tc>
          <w:tcPr>
            <w:tcW w:w="1132" w:type="dxa"/>
          </w:tcPr>
          <w:p w14:paraId="285B705A"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-5,4</w:t>
            </w:r>
          </w:p>
        </w:tc>
      </w:tr>
      <w:tr w:rsidR="00CA1734" w:rsidRPr="00950EDF" w14:paraId="50541BF6" w14:textId="77777777" w:rsidTr="005369A1">
        <w:trPr>
          <w:trHeight w:val="255"/>
        </w:trPr>
        <w:tc>
          <w:tcPr>
            <w:tcW w:w="4678" w:type="dxa"/>
            <w:vAlign w:val="center"/>
          </w:tcPr>
          <w:p w14:paraId="1BA441F5"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Export tovarov a služieb</w:t>
            </w:r>
          </w:p>
        </w:tc>
        <w:tc>
          <w:tcPr>
            <w:tcW w:w="992" w:type="dxa"/>
            <w:vAlign w:val="center"/>
          </w:tcPr>
          <w:p w14:paraId="078307DC"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-1,4</w:t>
            </w:r>
          </w:p>
        </w:tc>
        <w:tc>
          <w:tcPr>
            <w:tcW w:w="1134" w:type="dxa"/>
            <w:vAlign w:val="center"/>
          </w:tcPr>
          <w:p w14:paraId="48D12AB5"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4,0</w:t>
            </w:r>
          </w:p>
        </w:tc>
        <w:tc>
          <w:tcPr>
            <w:tcW w:w="1134" w:type="dxa"/>
            <w:vAlign w:val="center"/>
          </w:tcPr>
          <w:p w14:paraId="1B604CE7"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1,1</w:t>
            </w:r>
          </w:p>
        </w:tc>
        <w:tc>
          <w:tcPr>
            <w:tcW w:w="1132" w:type="dxa"/>
          </w:tcPr>
          <w:p w14:paraId="58730A04"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-2,9</w:t>
            </w:r>
          </w:p>
        </w:tc>
      </w:tr>
      <w:tr w:rsidR="00CA1734" w:rsidRPr="00950EDF" w14:paraId="7383DA50" w14:textId="77777777" w:rsidTr="005369A1">
        <w:trPr>
          <w:trHeight w:val="255"/>
        </w:trPr>
        <w:tc>
          <w:tcPr>
            <w:tcW w:w="4678" w:type="dxa"/>
            <w:tcBorders>
              <w:bottom w:val="single" w:sz="4" w:space="0" w:color="314364" w:themeColor="text2"/>
            </w:tcBorders>
            <w:vAlign w:val="center"/>
          </w:tcPr>
          <w:p w14:paraId="45C18468"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Import tovarov a služieb</w:t>
            </w:r>
          </w:p>
        </w:tc>
        <w:tc>
          <w:tcPr>
            <w:tcW w:w="992" w:type="dxa"/>
            <w:tcBorders>
              <w:bottom w:val="single" w:sz="4" w:space="0" w:color="314364" w:themeColor="text2"/>
            </w:tcBorders>
            <w:vAlign w:val="center"/>
          </w:tcPr>
          <w:p w14:paraId="2C017408"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2,4</w:t>
            </w:r>
          </w:p>
        </w:tc>
        <w:tc>
          <w:tcPr>
            <w:tcW w:w="1134" w:type="dxa"/>
            <w:tcBorders>
              <w:bottom w:val="single" w:sz="4" w:space="0" w:color="314364" w:themeColor="text2"/>
            </w:tcBorders>
            <w:vAlign w:val="center"/>
          </w:tcPr>
          <w:p w14:paraId="4ECD201C"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7,4</w:t>
            </w:r>
          </w:p>
        </w:tc>
        <w:tc>
          <w:tcPr>
            <w:tcW w:w="1134" w:type="dxa"/>
            <w:tcBorders>
              <w:bottom w:val="single" w:sz="4" w:space="0" w:color="314364" w:themeColor="text2"/>
            </w:tcBorders>
            <w:vAlign w:val="center"/>
          </w:tcPr>
          <w:p w14:paraId="2E55BDC5"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3,1</w:t>
            </w:r>
          </w:p>
        </w:tc>
        <w:tc>
          <w:tcPr>
            <w:tcW w:w="1132" w:type="dxa"/>
            <w:tcBorders>
              <w:bottom w:val="single" w:sz="4" w:space="0" w:color="314364" w:themeColor="text2"/>
            </w:tcBorders>
          </w:tcPr>
          <w:p w14:paraId="2A5E021D"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-4,3</w:t>
            </w:r>
          </w:p>
        </w:tc>
      </w:tr>
      <w:tr w:rsidR="00CA1734" w:rsidRPr="00950EDF" w14:paraId="19BB0FEB" w14:textId="77777777" w:rsidTr="005369A1">
        <w:trPr>
          <w:trHeight w:val="255"/>
        </w:trPr>
        <w:tc>
          <w:tcPr>
            <w:tcW w:w="4678" w:type="dxa"/>
            <w:tcBorders>
              <w:top w:val="single" w:sz="4" w:space="0" w:color="314364" w:themeColor="text2"/>
            </w:tcBorders>
            <w:vAlign w:val="center"/>
          </w:tcPr>
          <w:p w14:paraId="245B2FB7" w14:textId="77777777" w:rsidR="00CA1734" w:rsidRPr="00950EDF" w:rsidRDefault="00CA1734" w:rsidP="005369A1">
            <w:pPr>
              <w:pStyle w:val="Bezriadkovania"/>
              <w:rPr>
                <w:rFonts w:ascii="Segoe UI" w:hAnsi="Segoe UI" w:cs="Segoe UI"/>
                <w:b/>
                <w:sz w:val="18"/>
                <w:szCs w:val="18"/>
              </w:rPr>
            </w:pPr>
            <w:r w:rsidRPr="00950EDF">
              <w:rPr>
                <w:rFonts w:ascii="Segoe UI" w:hAnsi="Segoe UI" w:cs="Segoe UI"/>
                <w:b/>
                <w:sz w:val="18"/>
                <w:szCs w:val="18"/>
              </w:rPr>
              <w:t>Trh práce</w:t>
            </w:r>
          </w:p>
        </w:tc>
        <w:tc>
          <w:tcPr>
            <w:tcW w:w="992" w:type="dxa"/>
            <w:tcBorders>
              <w:top w:val="single" w:sz="4" w:space="0" w:color="314364" w:themeColor="text2"/>
            </w:tcBorders>
            <w:vAlign w:val="center"/>
          </w:tcPr>
          <w:p w14:paraId="594254AC" w14:textId="77777777" w:rsidR="00CA1734" w:rsidRPr="00950EDF" w:rsidRDefault="00CA1734" w:rsidP="005369A1">
            <w:pPr>
              <w:pStyle w:val="Bezriadkovania"/>
              <w:jc w:val="right"/>
              <w:rPr>
                <w:rFonts w:ascii="Segoe UI" w:hAnsi="Segoe UI" w:cs="Segoe UI"/>
                <w:sz w:val="18"/>
                <w:szCs w:val="18"/>
              </w:rPr>
            </w:pPr>
          </w:p>
        </w:tc>
        <w:tc>
          <w:tcPr>
            <w:tcW w:w="1134" w:type="dxa"/>
            <w:tcBorders>
              <w:top w:val="single" w:sz="4" w:space="0" w:color="314364" w:themeColor="text2"/>
            </w:tcBorders>
            <w:vAlign w:val="center"/>
          </w:tcPr>
          <w:p w14:paraId="60B7387A" w14:textId="77777777" w:rsidR="00CA1734" w:rsidRPr="00950EDF" w:rsidRDefault="00CA1734" w:rsidP="005369A1">
            <w:pPr>
              <w:pStyle w:val="Bezriadkovania"/>
              <w:jc w:val="right"/>
              <w:rPr>
                <w:rFonts w:ascii="Segoe UI" w:hAnsi="Segoe UI" w:cs="Segoe UI"/>
                <w:sz w:val="18"/>
                <w:szCs w:val="18"/>
              </w:rPr>
            </w:pPr>
          </w:p>
        </w:tc>
        <w:tc>
          <w:tcPr>
            <w:tcW w:w="1134" w:type="dxa"/>
            <w:tcBorders>
              <w:top w:val="single" w:sz="4" w:space="0" w:color="314364" w:themeColor="text2"/>
            </w:tcBorders>
            <w:vAlign w:val="center"/>
          </w:tcPr>
          <w:p w14:paraId="6FFE9308" w14:textId="77777777" w:rsidR="00CA1734" w:rsidRPr="00950EDF" w:rsidRDefault="00CA1734" w:rsidP="005369A1">
            <w:pPr>
              <w:pStyle w:val="Bezriadkovania"/>
              <w:jc w:val="right"/>
              <w:rPr>
                <w:rFonts w:ascii="Segoe UI" w:hAnsi="Segoe UI" w:cs="Segoe UI"/>
                <w:sz w:val="18"/>
                <w:szCs w:val="18"/>
              </w:rPr>
            </w:pPr>
          </w:p>
        </w:tc>
        <w:tc>
          <w:tcPr>
            <w:tcW w:w="1132" w:type="dxa"/>
            <w:tcBorders>
              <w:top w:val="single" w:sz="4" w:space="0" w:color="314364" w:themeColor="text2"/>
            </w:tcBorders>
          </w:tcPr>
          <w:p w14:paraId="145B9DA2" w14:textId="77777777" w:rsidR="00CA1734" w:rsidRPr="00950EDF" w:rsidRDefault="00CA1734" w:rsidP="005369A1">
            <w:pPr>
              <w:pStyle w:val="Bezriadkovania"/>
              <w:jc w:val="right"/>
              <w:rPr>
                <w:rFonts w:ascii="Segoe UI" w:hAnsi="Segoe UI" w:cs="Segoe UI"/>
                <w:sz w:val="18"/>
                <w:szCs w:val="18"/>
              </w:rPr>
            </w:pPr>
          </w:p>
        </w:tc>
      </w:tr>
      <w:tr w:rsidR="00CA1734" w:rsidRPr="00950EDF" w14:paraId="120CB567" w14:textId="77777777" w:rsidTr="005369A1">
        <w:trPr>
          <w:trHeight w:val="255"/>
        </w:trPr>
        <w:tc>
          <w:tcPr>
            <w:tcW w:w="4678" w:type="dxa"/>
            <w:vAlign w:val="center"/>
          </w:tcPr>
          <w:p w14:paraId="385E6976"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Zamestnanosť (štatistické výkazníctvo)</w:t>
            </w:r>
          </w:p>
        </w:tc>
        <w:tc>
          <w:tcPr>
            <w:tcW w:w="992" w:type="dxa"/>
            <w:vAlign w:val="center"/>
          </w:tcPr>
          <w:p w14:paraId="1900AB76"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0,3</w:t>
            </w:r>
          </w:p>
        </w:tc>
        <w:tc>
          <w:tcPr>
            <w:tcW w:w="1134" w:type="dxa"/>
            <w:vAlign w:val="center"/>
          </w:tcPr>
          <w:p w14:paraId="49BE8E4E"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0,4</w:t>
            </w:r>
          </w:p>
        </w:tc>
        <w:tc>
          <w:tcPr>
            <w:tcW w:w="1134" w:type="dxa"/>
            <w:vAlign w:val="center"/>
          </w:tcPr>
          <w:p w14:paraId="2E662845"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-0,2</w:t>
            </w:r>
          </w:p>
        </w:tc>
        <w:tc>
          <w:tcPr>
            <w:tcW w:w="1132" w:type="dxa"/>
          </w:tcPr>
          <w:p w14:paraId="2023A20E"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-0,6</w:t>
            </w:r>
          </w:p>
        </w:tc>
      </w:tr>
      <w:tr w:rsidR="00CA1734" w:rsidRPr="00950EDF" w14:paraId="3140EAE4" w14:textId="77777777" w:rsidTr="005369A1">
        <w:trPr>
          <w:trHeight w:val="255"/>
        </w:trPr>
        <w:tc>
          <w:tcPr>
            <w:tcW w:w="4678" w:type="dxa"/>
            <w:vAlign w:val="center"/>
          </w:tcPr>
          <w:p w14:paraId="0C97DA62"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Mzdy, nominálne</w:t>
            </w:r>
          </w:p>
        </w:tc>
        <w:tc>
          <w:tcPr>
            <w:tcW w:w="992" w:type="dxa"/>
            <w:vAlign w:val="center"/>
          </w:tcPr>
          <w:p w14:paraId="38A18A4A"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9,7</w:t>
            </w:r>
          </w:p>
        </w:tc>
        <w:tc>
          <w:tcPr>
            <w:tcW w:w="1134" w:type="dxa"/>
            <w:vAlign w:val="center"/>
          </w:tcPr>
          <w:p w14:paraId="28430490"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7,1</w:t>
            </w:r>
          </w:p>
        </w:tc>
        <w:tc>
          <w:tcPr>
            <w:tcW w:w="1134" w:type="dxa"/>
            <w:vAlign w:val="center"/>
          </w:tcPr>
          <w:p w14:paraId="2E12CD53"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6,9</w:t>
            </w:r>
          </w:p>
        </w:tc>
        <w:tc>
          <w:tcPr>
            <w:tcW w:w="1132" w:type="dxa"/>
          </w:tcPr>
          <w:p w14:paraId="225BA7CB"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-0,2</w:t>
            </w:r>
          </w:p>
        </w:tc>
      </w:tr>
      <w:tr w:rsidR="00CA1734" w:rsidRPr="00950EDF" w14:paraId="3A695B4E" w14:textId="77777777" w:rsidTr="005369A1">
        <w:trPr>
          <w:trHeight w:val="255"/>
        </w:trPr>
        <w:tc>
          <w:tcPr>
            <w:tcW w:w="4678" w:type="dxa"/>
            <w:vAlign w:val="center"/>
          </w:tcPr>
          <w:p w14:paraId="228005FF"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Mzdy, reálne</w:t>
            </w:r>
          </w:p>
        </w:tc>
        <w:tc>
          <w:tcPr>
            <w:tcW w:w="992" w:type="dxa"/>
            <w:vAlign w:val="center"/>
          </w:tcPr>
          <w:p w14:paraId="2472C0F5"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-0,8</w:t>
            </w:r>
          </w:p>
        </w:tc>
        <w:tc>
          <w:tcPr>
            <w:tcW w:w="1134" w:type="dxa"/>
            <w:vAlign w:val="center"/>
          </w:tcPr>
          <w:p w14:paraId="61614F1E"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3,7</w:t>
            </w:r>
          </w:p>
        </w:tc>
        <w:tc>
          <w:tcPr>
            <w:tcW w:w="1134" w:type="dxa"/>
            <w:vAlign w:val="center"/>
          </w:tcPr>
          <w:p w14:paraId="6D25231D"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4,0</w:t>
            </w:r>
          </w:p>
        </w:tc>
        <w:tc>
          <w:tcPr>
            <w:tcW w:w="1132" w:type="dxa"/>
          </w:tcPr>
          <w:p w14:paraId="44C0FAFB"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0,3</w:t>
            </w:r>
          </w:p>
        </w:tc>
      </w:tr>
      <w:tr w:rsidR="00CA1734" w:rsidRPr="00950EDF" w14:paraId="76A17FB8" w14:textId="77777777" w:rsidTr="005369A1">
        <w:trPr>
          <w:trHeight w:val="255"/>
        </w:trPr>
        <w:tc>
          <w:tcPr>
            <w:tcW w:w="4678" w:type="dxa"/>
            <w:vAlign w:val="center"/>
          </w:tcPr>
          <w:p w14:paraId="76E09D4B"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Miera nezamestnanosti (VZPS)</w:t>
            </w:r>
          </w:p>
        </w:tc>
        <w:tc>
          <w:tcPr>
            <w:tcW w:w="992" w:type="dxa"/>
            <w:vAlign w:val="center"/>
          </w:tcPr>
          <w:p w14:paraId="21FF3DE9"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5,8</w:t>
            </w:r>
          </w:p>
        </w:tc>
        <w:tc>
          <w:tcPr>
            <w:tcW w:w="1134" w:type="dxa"/>
            <w:vAlign w:val="center"/>
          </w:tcPr>
          <w:p w14:paraId="57F6CA44"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5,4</w:t>
            </w:r>
          </w:p>
        </w:tc>
        <w:tc>
          <w:tcPr>
            <w:tcW w:w="1134" w:type="dxa"/>
            <w:vAlign w:val="center"/>
          </w:tcPr>
          <w:p w14:paraId="31BA7C81"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5,3</w:t>
            </w:r>
          </w:p>
        </w:tc>
        <w:tc>
          <w:tcPr>
            <w:tcW w:w="1132" w:type="dxa"/>
          </w:tcPr>
          <w:p w14:paraId="5A47269F"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-0,1</w:t>
            </w:r>
          </w:p>
        </w:tc>
      </w:tr>
      <w:tr w:rsidR="00CA1734" w:rsidRPr="00950EDF" w14:paraId="5D1D5A4C" w14:textId="77777777" w:rsidTr="005369A1">
        <w:trPr>
          <w:trHeight w:val="255"/>
        </w:trPr>
        <w:tc>
          <w:tcPr>
            <w:tcW w:w="4678" w:type="dxa"/>
            <w:tcBorders>
              <w:bottom w:val="single" w:sz="4" w:space="0" w:color="314364" w:themeColor="text2"/>
            </w:tcBorders>
            <w:vAlign w:val="center"/>
          </w:tcPr>
          <w:p w14:paraId="2CADAD81"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Celková zamestnanosť (tis. osôb)</w:t>
            </w:r>
          </w:p>
        </w:tc>
        <w:tc>
          <w:tcPr>
            <w:tcW w:w="992" w:type="dxa"/>
            <w:tcBorders>
              <w:bottom w:val="single" w:sz="4" w:space="0" w:color="314364" w:themeColor="text2"/>
            </w:tcBorders>
            <w:vAlign w:val="center"/>
          </w:tcPr>
          <w:p w14:paraId="1DE60ADA"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2 610,0</w:t>
            </w:r>
          </w:p>
        </w:tc>
        <w:tc>
          <w:tcPr>
            <w:tcW w:w="1134" w:type="dxa"/>
            <w:tcBorders>
              <w:bottom w:val="single" w:sz="4" w:space="0" w:color="314364" w:themeColor="text2"/>
            </w:tcBorders>
            <w:vAlign w:val="center"/>
          </w:tcPr>
          <w:p w14:paraId="1D3B10A2"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2 605,3</w:t>
            </w:r>
          </w:p>
        </w:tc>
        <w:tc>
          <w:tcPr>
            <w:tcW w:w="1134" w:type="dxa"/>
            <w:tcBorders>
              <w:bottom w:val="single" w:sz="4" w:space="0" w:color="314364" w:themeColor="text2"/>
            </w:tcBorders>
            <w:vAlign w:val="center"/>
          </w:tcPr>
          <w:p w14:paraId="7DF9DC9B"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2 617,1</w:t>
            </w:r>
          </w:p>
        </w:tc>
        <w:tc>
          <w:tcPr>
            <w:tcW w:w="1132" w:type="dxa"/>
            <w:tcBorders>
              <w:bottom w:val="single" w:sz="4" w:space="0" w:color="314364" w:themeColor="text2"/>
            </w:tcBorders>
          </w:tcPr>
          <w:p w14:paraId="75912AA1"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11,8</w:t>
            </w:r>
          </w:p>
        </w:tc>
      </w:tr>
      <w:tr w:rsidR="00CA1734" w:rsidRPr="00950EDF" w14:paraId="536F1707" w14:textId="77777777" w:rsidTr="005369A1">
        <w:trPr>
          <w:trHeight w:val="255"/>
        </w:trPr>
        <w:tc>
          <w:tcPr>
            <w:tcW w:w="4678" w:type="dxa"/>
            <w:tcBorders>
              <w:top w:val="single" w:sz="4" w:space="0" w:color="314364" w:themeColor="text2"/>
            </w:tcBorders>
            <w:vAlign w:val="center"/>
          </w:tcPr>
          <w:p w14:paraId="4A1E0088" w14:textId="77777777" w:rsidR="00CA1734" w:rsidRPr="00950EDF" w:rsidRDefault="00CA1734" w:rsidP="005369A1">
            <w:pPr>
              <w:pStyle w:val="Bezriadkovania"/>
              <w:rPr>
                <w:rFonts w:ascii="Segoe UI" w:hAnsi="Segoe UI" w:cs="Segoe UI"/>
                <w:b/>
                <w:sz w:val="18"/>
                <w:szCs w:val="18"/>
              </w:rPr>
            </w:pPr>
            <w:r w:rsidRPr="00950EDF">
              <w:rPr>
                <w:rFonts w:ascii="Segoe UI" w:hAnsi="Segoe UI" w:cs="Segoe UI"/>
                <w:b/>
                <w:sz w:val="18"/>
                <w:szCs w:val="18"/>
              </w:rPr>
              <w:t>Inflácia</w:t>
            </w:r>
          </w:p>
        </w:tc>
        <w:tc>
          <w:tcPr>
            <w:tcW w:w="992" w:type="dxa"/>
            <w:tcBorders>
              <w:top w:val="single" w:sz="4" w:space="0" w:color="314364" w:themeColor="text2"/>
            </w:tcBorders>
            <w:vAlign w:val="center"/>
          </w:tcPr>
          <w:p w14:paraId="7C0742F6" w14:textId="77777777" w:rsidR="00CA1734" w:rsidRPr="00950EDF" w:rsidRDefault="00CA1734" w:rsidP="005369A1">
            <w:pPr>
              <w:pStyle w:val="Bezriadkovania"/>
              <w:jc w:val="right"/>
              <w:rPr>
                <w:rFonts w:ascii="Segoe UI" w:hAnsi="Segoe UI" w:cs="Segoe UI"/>
                <w:sz w:val="18"/>
                <w:szCs w:val="18"/>
              </w:rPr>
            </w:pPr>
          </w:p>
        </w:tc>
        <w:tc>
          <w:tcPr>
            <w:tcW w:w="1134" w:type="dxa"/>
            <w:tcBorders>
              <w:top w:val="single" w:sz="4" w:space="0" w:color="314364" w:themeColor="text2"/>
            </w:tcBorders>
            <w:vAlign w:val="center"/>
          </w:tcPr>
          <w:p w14:paraId="3DA0C43D" w14:textId="77777777" w:rsidR="00CA1734" w:rsidRPr="00950EDF" w:rsidRDefault="00CA1734" w:rsidP="005369A1">
            <w:pPr>
              <w:pStyle w:val="Bezriadkovania"/>
              <w:jc w:val="right"/>
              <w:rPr>
                <w:rFonts w:ascii="Segoe UI" w:hAnsi="Segoe UI" w:cs="Segoe UI"/>
                <w:sz w:val="18"/>
                <w:szCs w:val="18"/>
              </w:rPr>
            </w:pPr>
          </w:p>
        </w:tc>
        <w:tc>
          <w:tcPr>
            <w:tcW w:w="1134" w:type="dxa"/>
            <w:tcBorders>
              <w:top w:val="single" w:sz="4" w:space="0" w:color="314364" w:themeColor="text2"/>
            </w:tcBorders>
            <w:vAlign w:val="center"/>
          </w:tcPr>
          <w:p w14:paraId="5B952F27" w14:textId="77777777" w:rsidR="00CA1734" w:rsidRPr="00950EDF" w:rsidRDefault="00CA1734" w:rsidP="005369A1">
            <w:pPr>
              <w:pStyle w:val="Bezriadkovania"/>
              <w:jc w:val="right"/>
              <w:rPr>
                <w:rFonts w:ascii="Segoe UI" w:hAnsi="Segoe UI" w:cs="Segoe UI"/>
                <w:sz w:val="18"/>
                <w:szCs w:val="18"/>
              </w:rPr>
            </w:pPr>
          </w:p>
        </w:tc>
        <w:tc>
          <w:tcPr>
            <w:tcW w:w="1132" w:type="dxa"/>
            <w:tcBorders>
              <w:top w:val="single" w:sz="4" w:space="0" w:color="314364" w:themeColor="text2"/>
            </w:tcBorders>
          </w:tcPr>
          <w:p w14:paraId="053EC097" w14:textId="77777777" w:rsidR="00CA1734" w:rsidRPr="00950EDF" w:rsidRDefault="00CA1734" w:rsidP="005369A1">
            <w:pPr>
              <w:pStyle w:val="Bezriadkovania"/>
              <w:jc w:val="right"/>
              <w:rPr>
                <w:rFonts w:ascii="Segoe UI" w:hAnsi="Segoe UI" w:cs="Segoe UI"/>
                <w:sz w:val="18"/>
                <w:szCs w:val="18"/>
              </w:rPr>
            </w:pPr>
          </w:p>
        </w:tc>
      </w:tr>
      <w:tr w:rsidR="00CA1734" w:rsidRPr="00950EDF" w14:paraId="2D47F9FB" w14:textId="77777777" w:rsidTr="005369A1">
        <w:trPr>
          <w:trHeight w:val="255"/>
        </w:trPr>
        <w:tc>
          <w:tcPr>
            <w:tcW w:w="4678" w:type="dxa"/>
            <w:vAlign w:val="center"/>
          </w:tcPr>
          <w:p w14:paraId="67D34DE5"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Index spotrebiteľských cien (CPI)</w:t>
            </w:r>
          </w:p>
        </w:tc>
        <w:tc>
          <w:tcPr>
            <w:tcW w:w="992" w:type="dxa"/>
            <w:vAlign w:val="center"/>
          </w:tcPr>
          <w:p w14:paraId="306028AD"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10,5</w:t>
            </w:r>
          </w:p>
        </w:tc>
        <w:tc>
          <w:tcPr>
            <w:tcW w:w="1134" w:type="dxa"/>
            <w:vAlign w:val="center"/>
          </w:tcPr>
          <w:p w14:paraId="7405508F"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3,2</w:t>
            </w:r>
          </w:p>
        </w:tc>
        <w:tc>
          <w:tcPr>
            <w:tcW w:w="1134" w:type="dxa"/>
            <w:vAlign w:val="center"/>
          </w:tcPr>
          <w:p w14:paraId="0AF06461"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2,8</w:t>
            </w:r>
          </w:p>
        </w:tc>
        <w:tc>
          <w:tcPr>
            <w:tcW w:w="1132" w:type="dxa"/>
          </w:tcPr>
          <w:p w14:paraId="43479C67"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-0,4</w:t>
            </w:r>
          </w:p>
        </w:tc>
      </w:tr>
      <w:tr w:rsidR="00CA1734" w:rsidRPr="00950EDF" w14:paraId="4ACE2F2F" w14:textId="77777777" w:rsidTr="005369A1">
        <w:trPr>
          <w:trHeight w:val="255"/>
        </w:trPr>
        <w:tc>
          <w:tcPr>
            <w:tcW w:w="4678" w:type="dxa"/>
            <w:tcBorders>
              <w:bottom w:val="single" w:sz="4" w:space="0" w:color="314364" w:themeColor="text2"/>
            </w:tcBorders>
            <w:vAlign w:val="center"/>
          </w:tcPr>
          <w:p w14:paraId="3D4DCE80" w14:textId="77777777" w:rsidR="00CA1734" w:rsidRPr="00950EDF" w:rsidRDefault="00CA1734" w:rsidP="005369A1">
            <w:pPr>
              <w:pStyle w:val="Bezriadkovania"/>
              <w:ind w:firstLine="176"/>
              <w:rPr>
                <w:rFonts w:ascii="Segoe UI" w:hAnsi="Segoe UI" w:cs="Segoe UI"/>
                <w:sz w:val="18"/>
                <w:szCs w:val="18"/>
              </w:rPr>
            </w:pPr>
            <w:r w:rsidRPr="00950EDF">
              <w:rPr>
                <w:rFonts w:ascii="Segoe UI" w:hAnsi="Segoe UI" w:cs="Segoe UI"/>
                <w:sz w:val="18"/>
                <w:szCs w:val="18"/>
              </w:rPr>
              <w:t>Harmonizovaný index spotrebiteľských cien (HICP)</w:t>
            </w:r>
          </w:p>
        </w:tc>
        <w:tc>
          <w:tcPr>
            <w:tcW w:w="992" w:type="dxa"/>
            <w:tcBorders>
              <w:bottom w:val="single" w:sz="4" w:space="0" w:color="314364" w:themeColor="text2"/>
            </w:tcBorders>
            <w:vAlign w:val="center"/>
          </w:tcPr>
          <w:p w14:paraId="6CF7E6CE" w14:textId="77777777" w:rsidR="00CA1734" w:rsidRDefault="00CA1734" w:rsidP="005369A1">
            <w:pPr>
              <w:pStyle w:val="Bezriadkovania"/>
              <w:jc w:val="right"/>
              <w:rPr>
                <w:rFonts w:ascii="Segoe UI" w:hAnsi="Segoe UI" w:cs="Segoe UI"/>
                <w:sz w:val="18"/>
                <w:szCs w:val="18"/>
              </w:rPr>
            </w:pPr>
            <w:r>
              <w:rPr>
                <w:rFonts w:ascii="Segoe UI" w:hAnsi="Segoe UI" w:cs="Segoe UI"/>
                <w:sz w:val="18"/>
                <w:szCs w:val="18"/>
              </w:rPr>
              <w:t>11,0</w:t>
            </w:r>
          </w:p>
        </w:tc>
        <w:tc>
          <w:tcPr>
            <w:tcW w:w="1134" w:type="dxa"/>
            <w:tcBorders>
              <w:bottom w:val="single" w:sz="4" w:space="0" w:color="314364" w:themeColor="text2"/>
            </w:tcBorders>
            <w:vAlign w:val="center"/>
          </w:tcPr>
          <w:p w14:paraId="7D5E52A9"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3,2</w:t>
            </w:r>
          </w:p>
        </w:tc>
        <w:tc>
          <w:tcPr>
            <w:tcW w:w="1134" w:type="dxa"/>
            <w:tcBorders>
              <w:bottom w:val="single" w:sz="4" w:space="0" w:color="314364" w:themeColor="text2"/>
            </w:tcBorders>
            <w:vAlign w:val="center"/>
          </w:tcPr>
          <w:p w14:paraId="269617E7"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3,1</w:t>
            </w:r>
          </w:p>
        </w:tc>
        <w:tc>
          <w:tcPr>
            <w:tcW w:w="1132" w:type="dxa"/>
            <w:tcBorders>
              <w:bottom w:val="single" w:sz="4" w:space="0" w:color="314364" w:themeColor="text2"/>
            </w:tcBorders>
          </w:tcPr>
          <w:p w14:paraId="671FD228" w14:textId="77777777" w:rsidR="00CA1734" w:rsidRPr="00950EDF" w:rsidRDefault="00CA1734" w:rsidP="005369A1">
            <w:pPr>
              <w:pStyle w:val="Bezriadkovania"/>
              <w:jc w:val="right"/>
              <w:rPr>
                <w:rFonts w:ascii="Segoe UI" w:hAnsi="Segoe UI" w:cs="Segoe UI"/>
                <w:sz w:val="18"/>
                <w:szCs w:val="18"/>
              </w:rPr>
            </w:pPr>
            <w:r>
              <w:rPr>
                <w:rFonts w:ascii="Segoe UI" w:hAnsi="Segoe UI" w:cs="Segoe UI"/>
                <w:sz w:val="18"/>
                <w:szCs w:val="18"/>
              </w:rPr>
              <w:t>-0,1</w:t>
            </w:r>
          </w:p>
        </w:tc>
      </w:tr>
    </w:tbl>
    <w:p w14:paraId="62F4F211" w14:textId="68EF88DC" w:rsidR="00CA1734" w:rsidRDefault="00CA1734" w:rsidP="00CA1734">
      <w:pPr>
        <w:pStyle w:val="Zdroj"/>
      </w:pPr>
      <w:r>
        <w:t>Zdroj: MF SR, ŠÚ SR.</w:t>
      </w:r>
      <w:r>
        <w:br/>
        <w:t>S – skutočnosť, R – rozpočet</w:t>
      </w:r>
      <w:r w:rsidR="00C10075">
        <w:t>.</w:t>
      </w:r>
    </w:p>
    <w:p w14:paraId="69F767C4" w14:textId="77777777" w:rsidR="00CA1734" w:rsidRPr="00BB71F6" w:rsidRDefault="00CA1734" w:rsidP="00CA1734">
      <w:pPr>
        <w:pStyle w:val="Zdroj"/>
        <w:rPr>
          <w:i w:val="0"/>
        </w:rPr>
      </w:pPr>
    </w:p>
    <w:p w14:paraId="5354B221" w14:textId="517BAB69" w:rsidR="00CA1734" w:rsidRDefault="00CA1734" w:rsidP="00CA1734">
      <w:pPr>
        <w:pStyle w:val="Popis"/>
        <w:keepNext/>
      </w:pPr>
      <w:r>
        <w:t xml:space="preserve">Tabuľka 2: Porovnanie </w:t>
      </w:r>
      <w:r w:rsidR="00F9414B">
        <w:t xml:space="preserve">prognózy </w:t>
      </w:r>
      <w:r>
        <w:t xml:space="preserve">príjmov </w:t>
      </w:r>
      <w:r w:rsidR="00F9414B">
        <w:t>VS</w:t>
      </w:r>
      <w:r>
        <w:t xml:space="preserve"> v roku 2024 so skutočnosťou (</w:t>
      </w:r>
      <w:r w:rsidRPr="00A8009D">
        <w:t>v tis. eur)</w:t>
      </w:r>
      <w:r>
        <w:t xml:space="preserve"> </w:t>
      </w:r>
    </w:p>
    <w:tbl>
      <w:tblPr>
        <w:tblStyle w:val="Mriekatabuky8"/>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9"/>
        <w:gridCol w:w="1177"/>
        <w:gridCol w:w="1408"/>
        <w:gridCol w:w="1408"/>
        <w:gridCol w:w="1248"/>
      </w:tblGrid>
      <w:tr w:rsidR="00CA1734" w:rsidRPr="00125972" w14:paraId="78A06A8F" w14:textId="77777777" w:rsidTr="005369A1">
        <w:trPr>
          <w:trHeight w:val="255"/>
          <w:tblHeader/>
        </w:trPr>
        <w:tc>
          <w:tcPr>
            <w:tcW w:w="2111" w:type="pct"/>
            <w:shd w:val="clear" w:color="auto" w:fill="314364" w:themeFill="text2"/>
            <w:vAlign w:val="center"/>
          </w:tcPr>
          <w:p w14:paraId="7342735A" w14:textId="77777777" w:rsidR="00CA1734" w:rsidRPr="00125972" w:rsidRDefault="00CA1734" w:rsidP="005369A1">
            <w:pPr>
              <w:spacing w:after="0"/>
              <w:jc w:val="left"/>
              <w:rPr>
                <w:rFonts w:eastAsia="Calibri" w:cs="Segoe UI"/>
                <w:b/>
                <w:color w:val="FFFFFF"/>
                <w:sz w:val="18"/>
                <w:szCs w:val="18"/>
              </w:rPr>
            </w:pPr>
            <w:r w:rsidRPr="00125972">
              <w:rPr>
                <w:rFonts w:eastAsia="Calibri" w:cs="Segoe UI"/>
                <w:b/>
                <w:color w:val="FFFFFF"/>
                <w:sz w:val="18"/>
                <w:szCs w:val="18"/>
              </w:rPr>
              <w:t>Príjmy VS (ESA 2010</w:t>
            </w:r>
            <w:r>
              <w:rPr>
                <w:rFonts w:eastAsia="Calibri" w:cs="Segoe UI"/>
                <w:b/>
                <w:color w:val="FFFFFF"/>
                <w:sz w:val="18"/>
                <w:szCs w:val="18"/>
              </w:rPr>
              <w:t>)</w:t>
            </w:r>
          </w:p>
        </w:tc>
        <w:tc>
          <w:tcPr>
            <w:tcW w:w="649" w:type="pct"/>
            <w:shd w:val="clear" w:color="auto" w:fill="314364" w:themeFill="text2"/>
            <w:vAlign w:val="center"/>
          </w:tcPr>
          <w:p w14:paraId="57503BF4" w14:textId="77777777" w:rsidR="00CA1734" w:rsidRPr="00950EDF" w:rsidRDefault="00CA1734" w:rsidP="005369A1">
            <w:pPr>
              <w:pStyle w:val="Bezriadkovania"/>
              <w:jc w:val="right"/>
              <w:rPr>
                <w:rFonts w:ascii="Segoe UI" w:hAnsi="Segoe UI" w:cs="Segoe UI"/>
                <w:b/>
                <w:color w:val="FFFFFF" w:themeColor="background1"/>
                <w:sz w:val="18"/>
                <w:szCs w:val="18"/>
              </w:rPr>
            </w:pPr>
            <w:r>
              <w:rPr>
                <w:rFonts w:ascii="Segoe UI" w:hAnsi="Segoe UI" w:cs="Segoe UI"/>
                <w:b/>
                <w:color w:val="FFFFFF" w:themeColor="background1"/>
                <w:sz w:val="18"/>
                <w:szCs w:val="18"/>
              </w:rPr>
              <w:t>2023 S</w:t>
            </w:r>
          </w:p>
        </w:tc>
        <w:tc>
          <w:tcPr>
            <w:tcW w:w="776" w:type="pct"/>
            <w:shd w:val="clear" w:color="auto" w:fill="314364" w:themeFill="text2"/>
            <w:vAlign w:val="center"/>
          </w:tcPr>
          <w:p w14:paraId="3C18EE03" w14:textId="77777777" w:rsidR="00CA1734" w:rsidRPr="00950EDF" w:rsidRDefault="00CA1734" w:rsidP="005369A1">
            <w:pPr>
              <w:pStyle w:val="Bezriadkovania"/>
              <w:jc w:val="right"/>
              <w:rPr>
                <w:rFonts w:ascii="Segoe UI" w:hAnsi="Segoe UI" w:cs="Segoe UI"/>
                <w:b/>
                <w:color w:val="FFFFFF" w:themeColor="background1"/>
                <w:sz w:val="18"/>
                <w:szCs w:val="18"/>
              </w:rPr>
            </w:pPr>
            <w:r w:rsidRPr="00950EDF">
              <w:rPr>
                <w:rFonts w:ascii="Segoe UI" w:hAnsi="Segoe UI" w:cs="Segoe UI"/>
                <w:b/>
                <w:color w:val="FFFFFF" w:themeColor="background1"/>
                <w:sz w:val="18"/>
                <w:szCs w:val="18"/>
              </w:rPr>
              <w:t>20</w:t>
            </w:r>
            <w:r>
              <w:rPr>
                <w:rFonts w:ascii="Segoe UI" w:hAnsi="Segoe UI" w:cs="Segoe UI"/>
                <w:b/>
                <w:color w:val="FFFFFF" w:themeColor="background1"/>
                <w:sz w:val="18"/>
                <w:szCs w:val="18"/>
              </w:rPr>
              <w:t>24 R</w:t>
            </w:r>
          </w:p>
        </w:tc>
        <w:tc>
          <w:tcPr>
            <w:tcW w:w="776" w:type="pct"/>
            <w:shd w:val="clear" w:color="auto" w:fill="314364" w:themeFill="text2"/>
            <w:vAlign w:val="center"/>
          </w:tcPr>
          <w:p w14:paraId="236FB1EC" w14:textId="77777777" w:rsidR="00CA1734" w:rsidRPr="00950EDF" w:rsidRDefault="00CA1734" w:rsidP="005369A1">
            <w:pPr>
              <w:pStyle w:val="Bezriadkovania"/>
              <w:jc w:val="right"/>
              <w:rPr>
                <w:rFonts w:ascii="Segoe UI" w:hAnsi="Segoe UI" w:cs="Segoe UI"/>
                <w:b/>
                <w:color w:val="FFFFFF" w:themeColor="background1"/>
                <w:sz w:val="18"/>
                <w:szCs w:val="18"/>
              </w:rPr>
            </w:pPr>
            <w:r>
              <w:rPr>
                <w:rFonts w:ascii="Segoe UI" w:hAnsi="Segoe UI" w:cs="Segoe UI"/>
                <w:b/>
                <w:color w:val="FFFFFF" w:themeColor="background1"/>
                <w:sz w:val="18"/>
                <w:szCs w:val="18"/>
              </w:rPr>
              <w:t>2024 S</w:t>
            </w:r>
          </w:p>
        </w:tc>
        <w:tc>
          <w:tcPr>
            <w:tcW w:w="688" w:type="pct"/>
            <w:shd w:val="clear" w:color="auto" w:fill="314364" w:themeFill="text2"/>
            <w:vAlign w:val="center"/>
          </w:tcPr>
          <w:p w14:paraId="0F09737E" w14:textId="77777777" w:rsidR="00CA1734" w:rsidRPr="00125972" w:rsidRDefault="00CA1734" w:rsidP="005369A1">
            <w:pPr>
              <w:spacing w:after="0"/>
              <w:jc w:val="right"/>
              <w:rPr>
                <w:rFonts w:eastAsia="Calibri" w:cs="Segoe UI"/>
                <w:b/>
                <w:color w:val="FFFFFF"/>
                <w:sz w:val="18"/>
                <w:szCs w:val="18"/>
              </w:rPr>
            </w:pPr>
            <w:r>
              <w:rPr>
                <w:rFonts w:eastAsia="Calibri" w:cs="Segoe UI"/>
                <w:b/>
                <w:color w:val="FFFFFF"/>
                <w:sz w:val="18"/>
                <w:szCs w:val="18"/>
              </w:rPr>
              <w:t>24S - 24R</w:t>
            </w:r>
          </w:p>
        </w:tc>
      </w:tr>
      <w:tr w:rsidR="00CA1734" w:rsidRPr="00125972" w14:paraId="06CF1F3E" w14:textId="77777777" w:rsidTr="005369A1">
        <w:trPr>
          <w:trHeight w:val="255"/>
        </w:trPr>
        <w:tc>
          <w:tcPr>
            <w:tcW w:w="2111" w:type="pct"/>
            <w:tcBorders>
              <w:top w:val="single" w:sz="4" w:space="0" w:color="314364" w:themeColor="text2"/>
            </w:tcBorders>
            <w:vAlign w:val="center"/>
          </w:tcPr>
          <w:p w14:paraId="3D24DC39" w14:textId="77777777" w:rsidR="00CA1734" w:rsidRPr="00125972" w:rsidRDefault="00CA1734" w:rsidP="005369A1">
            <w:pPr>
              <w:spacing w:after="0"/>
              <w:jc w:val="left"/>
              <w:rPr>
                <w:rFonts w:eastAsia="Calibri" w:cs="Segoe UI"/>
                <w:b/>
                <w:sz w:val="18"/>
                <w:szCs w:val="18"/>
              </w:rPr>
            </w:pPr>
            <w:r w:rsidRPr="00125972">
              <w:rPr>
                <w:rFonts w:eastAsia="Calibri" w:cs="Segoe UI"/>
                <w:b/>
                <w:sz w:val="18"/>
                <w:szCs w:val="18"/>
              </w:rPr>
              <w:t>Daňové príjmy</w:t>
            </w:r>
          </w:p>
        </w:tc>
        <w:tc>
          <w:tcPr>
            <w:tcW w:w="649" w:type="pct"/>
            <w:tcBorders>
              <w:top w:val="single" w:sz="4" w:space="0" w:color="314364" w:themeColor="text2"/>
            </w:tcBorders>
            <w:vAlign w:val="center"/>
          </w:tcPr>
          <w:p w14:paraId="4A213C51" w14:textId="77777777" w:rsidR="00CA1734" w:rsidRPr="00200377" w:rsidRDefault="00CA1734" w:rsidP="005369A1">
            <w:pPr>
              <w:spacing w:after="0"/>
              <w:jc w:val="right"/>
              <w:rPr>
                <w:b/>
                <w:bCs/>
                <w:color w:val="000000"/>
                <w:sz w:val="18"/>
                <w:szCs w:val="18"/>
              </w:rPr>
            </w:pPr>
            <w:r w:rsidRPr="00200377">
              <w:rPr>
                <w:b/>
                <w:bCs/>
                <w:color w:val="000000"/>
                <w:sz w:val="18"/>
                <w:szCs w:val="18"/>
              </w:rPr>
              <w:t>23 438 797</w:t>
            </w:r>
          </w:p>
        </w:tc>
        <w:tc>
          <w:tcPr>
            <w:tcW w:w="776" w:type="pct"/>
            <w:tcBorders>
              <w:top w:val="single" w:sz="4" w:space="0" w:color="314364" w:themeColor="text2"/>
            </w:tcBorders>
            <w:vAlign w:val="center"/>
          </w:tcPr>
          <w:p w14:paraId="7813BF72" w14:textId="77777777" w:rsidR="00CA1734" w:rsidRPr="00125972" w:rsidRDefault="00CA1734" w:rsidP="005369A1">
            <w:pPr>
              <w:spacing w:after="0"/>
              <w:jc w:val="right"/>
              <w:rPr>
                <w:rFonts w:eastAsia="Calibri" w:cs="Segoe UI"/>
                <w:b/>
                <w:sz w:val="18"/>
                <w:szCs w:val="18"/>
              </w:rPr>
            </w:pPr>
            <w:r>
              <w:rPr>
                <w:b/>
                <w:bCs/>
                <w:color w:val="000000"/>
                <w:sz w:val="18"/>
                <w:szCs w:val="18"/>
              </w:rPr>
              <w:t>24 531 469</w:t>
            </w:r>
          </w:p>
        </w:tc>
        <w:tc>
          <w:tcPr>
            <w:tcW w:w="776" w:type="pct"/>
            <w:tcBorders>
              <w:top w:val="single" w:sz="4" w:space="0" w:color="314364" w:themeColor="text2"/>
            </w:tcBorders>
            <w:vAlign w:val="center"/>
          </w:tcPr>
          <w:p w14:paraId="28A47852" w14:textId="77777777" w:rsidR="00CA1734" w:rsidRPr="00125972" w:rsidRDefault="00CA1734" w:rsidP="005369A1">
            <w:pPr>
              <w:spacing w:after="0"/>
              <w:jc w:val="right"/>
              <w:rPr>
                <w:rFonts w:eastAsia="Calibri" w:cs="Segoe UI"/>
                <w:b/>
                <w:sz w:val="18"/>
                <w:szCs w:val="18"/>
              </w:rPr>
            </w:pPr>
            <w:r>
              <w:rPr>
                <w:b/>
                <w:bCs/>
                <w:color w:val="000000"/>
                <w:sz w:val="18"/>
                <w:szCs w:val="18"/>
              </w:rPr>
              <w:t>24 585 559</w:t>
            </w:r>
          </w:p>
        </w:tc>
        <w:tc>
          <w:tcPr>
            <w:tcW w:w="688" w:type="pct"/>
            <w:tcBorders>
              <w:top w:val="single" w:sz="4" w:space="0" w:color="314364" w:themeColor="text2"/>
            </w:tcBorders>
            <w:vAlign w:val="center"/>
          </w:tcPr>
          <w:p w14:paraId="48A897AA" w14:textId="77777777" w:rsidR="00CA1734" w:rsidRPr="00125972" w:rsidRDefault="00CA1734" w:rsidP="005369A1">
            <w:pPr>
              <w:spacing w:after="0"/>
              <w:jc w:val="right"/>
              <w:rPr>
                <w:rFonts w:eastAsia="Calibri" w:cs="Segoe UI"/>
                <w:b/>
                <w:sz w:val="18"/>
                <w:szCs w:val="18"/>
              </w:rPr>
            </w:pPr>
            <w:r>
              <w:rPr>
                <w:b/>
                <w:bCs/>
                <w:color w:val="000000"/>
                <w:sz w:val="18"/>
                <w:szCs w:val="18"/>
              </w:rPr>
              <w:t>54 090</w:t>
            </w:r>
          </w:p>
        </w:tc>
      </w:tr>
      <w:tr w:rsidR="00CA1734" w:rsidRPr="00125972" w14:paraId="3DCA0586" w14:textId="77777777" w:rsidTr="005369A1">
        <w:trPr>
          <w:trHeight w:val="255"/>
        </w:trPr>
        <w:tc>
          <w:tcPr>
            <w:tcW w:w="2111" w:type="pct"/>
            <w:vAlign w:val="center"/>
          </w:tcPr>
          <w:p w14:paraId="52EE2FC4"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Daň z príjmov fyzických osôb</w:t>
            </w:r>
          </w:p>
        </w:tc>
        <w:tc>
          <w:tcPr>
            <w:tcW w:w="649" w:type="pct"/>
            <w:vAlign w:val="center"/>
          </w:tcPr>
          <w:p w14:paraId="16AB4C6B" w14:textId="77777777" w:rsidR="00CA1734" w:rsidRPr="00200377" w:rsidRDefault="00CA1734" w:rsidP="005369A1">
            <w:pPr>
              <w:spacing w:after="0"/>
              <w:jc w:val="right"/>
              <w:rPr>
                <w:rFonts w:eastAsia="Times New Roman" w:cs="Times New Roman"/>
                <w:color w:val="000000"/>
                <w:sz w:val="18"/>
                <w:szCs w:val="18"/>
                <w:lang w:eastAsia="sk-SK"/>
              </w:rPr>
            </w:pPr>
            <w:r w:rsidRPr="00200377">
              <w:rPr>
                <w:rFonts w:eastAsia="Times New Roman" w:cs="Times New Roman"/>
                <w:color w:val="000000"/>
                <w:sz w:val="18"/>
                <w:szCs w:val="18"/>
                <w:lang w:eastAsia="sk-SK"/>
              </w:rPr>
              <w:t>4 624 265</w:t>
            </w:r>
          </w:p>
        </w:tc>
        <w:tc>
          <w:tcPr>
            <w:tcW w:w="776" w:type="pct"/>
            <w:vAlign w:val="center"/>
          </w:tcPr>
          <w:p w14:paraId="449F7305" w14:textId="77777777" w:rsidR="00CA1734" w:rsidRPr="00125972" w:rsidRDefault="00CA1734" w:rsidP="005369A1">
            <w:pPr>
              <w:spacing w:after="0"/>
              <w:jc w:val="right"/>
              <w:rPr>
                <w:rFonts w:eastAsia="Calibri" w:cs="Segoe UI"/>
                <w:sz w:val="18"/>
                <w:szCs w:val="18"/>
              </w:rPr>
            </w:pPr>
            <w:r>
              <w:rPr>
                <w:rFonts w:eastAsia="Times New Roman" w:cs="Times New Roman"/>
                <w:color w:val="000000"/>
                <w:sz w:val="18"/>
                <w:szCs w:val="18"/>
                <w:lang w:eastAsia="sk-SK"/>
              </w:rPr>
              <w:t>4 802 550</w:t>
            </w:r>
          </w:p>
        </w:tc>
        <w:tc>
          <w:tcPr>
            <w:tcW w:w="776" w:type="pct"/>
            <w:vAlign w:val="center"/>
          </w:tcPr>
          <w:p w14:paraId="340C71F7" w14:textId="77777777" w:rsidR="00CA1734" w:rsidRPr="00125972" w:rsidRDefault="00CA1734" w:rsidP="005369A1">
            <w:pPr>
              <w:spacing w:after="0"/>
              <w:jc w:val="right"/>
              <w:rPr>
                <w:rFonts w:eastAsia="Calibri" w:cs="Segoe UI"/>
                <w:sz w:val="18"/>
                <w:szCs w:val="18"/>
              </w:rPr>
            </w:pPr>
            <w:r>
              <w:rPr>
                <w:rFonts w:eastAsia="Times New Roman" w:cs="Times New Roman"/>
                <w:color w:val="000000"/>
                <w:sz w:val="18"/>
                <w:szCs w:val="18"/>
                <w:lang w:eastAsia="sk-SK"/>
              </w:rPr>
              <w:t>4 834 193</w:t>
            </w:r>
          </w:p>
        </w:tc>
        <w:tc>
          <w:tcPr>
            <w:tcW w:w="688" w:type="pct"/>
            <w:vAlign w:val="center"/>
          </w:tcPr>
          <w:p w14:paraId="5C7CE0D4" w14:textId="77777777" w:rsidR="00CA1734" w:rsidRPr="00125972" w:rsidRDefault="00CA1734" w:rsidP="005369A1">
            <w:pPr>
              <w:spacing w:after="0"/>
              <w:jc w:val="right"/>
              <w:rPr>
                <w:rFonts w:eastAsia="Calibri" w:cs="Segoe UI"/>
                <w:sz w:val="18"/>
                <w:szCs w:val="18"/>
              </w:rPr>
            </w:pPr>
            <w:r>
              <w:rPr>
                <w:rFonts w:eastAsia="Times New Roman" w:cs="Times New Roman"/>
                <w:color w:val="000000"/>
                <w:sz w:val="18"/>
                <w:szCs w:val="18"/>
                <w:lang w:eastAsia="sk-SK"/>
              </w:rPr>
              <w:t>31 643</w:t>
            </w:r>
          </w:p>
        </w:tc>
      </w:tr>
      <w:tr w:rsidR="00CA1734" w:rsidRPr="00125972" w14:paraId="099CA975" w14:textId="77777777" w:rsidTr="005369A1">
        <w:trPr>
          <w:trHeight w:val="255"/>
        </w:trPr>
        <w:tc>
          <w:tcPr>
            <w:tcW w:w="2111" w:type="pct"/>
            <w:vAlign w:val="center"/>
          </w:tcPr>
          <w:p w14:paraId="0A42BDB9" w14:textId="77777777" w:rsidR="00CA1734" w:rsidRPr="00493DDD" w:rsidRDefault="00CA1734" w:rsidP="00CA1734">
            <w:pPr>
              <w:pStyle w:val="Odsekzoznamu"/>
              <w:numPr>
                <w:ilvl w:val="0"/>
                <w:numId w:val="2"/>
              </w:numPr>
              <w:spacing w:after="0"/>
              <w:jc w:val="left"/>
              <w:rPr>
                <w:rFonts w:eastAsia="Calibri" w:cs="Segoe UI"/>
                <w:sz w:val="18"/>
                <w:szCs w:val="18"/>
              </w:rPr>
            </w:pPr>
            <w:r w:rsidRPr="00493DDD">
              <w:rPr>
                <w:rFonts w:eastAsia="Calibri" w:cs="Segoe UI"/>
                <w:sz w:val="18"/>
                <w:szCs w:val="18"/>
              </w:rPr>
              <w:t>DPFO zo závislej činnosti</w:t>
            </w:r>
          </w:p>
        </w:tc>
        <w:tc>
          <w:tcPr>
            <w:tcW w:w="649" w:type="pct"/>
            <w:vAlign w:val="center"/>
          </w:tcPr>
          <w:p w14:paraId="3D752618" w14:textId="77777777" w:rsidR="00CA1734" w:rsidRPr="00200377" w:rsidRDefault="00CA1734" w:rsidP="005369A1">
            <w:pPr>
              <w:spacing w:after="0"/>
              <w:jc w:val="right"/>
              <w:rPr>
                <w:color w:val="000000"/>
                <w:sz w:val="18"/>
                <w:szCs w:val="18"/>
              </w:rPr>
            </w:pPr>
            <w:r w:rsidRPr="00200377">
              <w:rPr>
                <w:color w:val="000000"/>
                <w:sz w:val="18"/>
                <w:szCs w:val="18"/>
              </w:rPr>
              <w:t>4 436 022</w:t>
            </w:r>
          </w:p>
        </w:tc>
        <w:tc>
          <w:tcPr>
            <w:tcW w:w="776" w:type="pct"/>
            <w:vAlign w:val="center"/>
          </w:tcPr>
          <w:p w14:paraId="52432FEC" w14:textId="77777777" w:rsidR="00CA1734" w:rsidRPr="00125972" w:rsidRDefault="00CA1734" w:rsidP="005369A1">
            <w:pPr>
              <w:spacing w:after="0"/>
              <w:jc w:val="right"/>
              <w:rPr>
                <w:rFonts w:eastAsia="Calibri" w:cs="Segoe UI"/>
                <w:sz w:val="18"/>
                <w:szCs w:val="18"/>
              </w:rPr>
            </w:pPr>
            <w:r>
              <w:rPr>
                <w:color w:val="000000"/>
                <w:sz w:val="18"/>
                <w:szCs w:val="18"/>
              </w:rPr>
              <w:t>4 604 598</w:t>
            </w:r>
          </w:p>
        </w:tc>
        <w:tc>
          <w:tcPr>
            <w:tcW w:w="776" w:type="pct"/>
            <w:vAlign w:val="center"/>
          </w:tcPr>
          <w:p w14:paraId="76925C54" w14:textId="77777777" w:rsidR="00CA1734" w:rsidRPr="00125972" w:rsidRDefault="00CA1734" w:rsidP="005369A1">
            <w:pPr>
              <w:spacing w:after="0"/>
              <w:jc w:val="right"/>
              <w:rPr>
                <w:rFonts w:eastAsia="Calibri" w:cs="Segoe UI"/>
                <w:sz w:val="18"/>
                <w:szCs w:val="18"/>
              </w:rPr>
            </w:pPr>
            <w:r>
              <w:rPr>
                <w:color w:val="000000"/>
                <w:sz w:val="18"/>
                <w:szCs w:val="18"/>
              </w:rPr>
              <w:t>4 696 060</w:t>
            </w:r>
          </w:p>
        </w:tc>
        <w:tc>
          <w:tcPr>
            <w:tcW w:w="688" w:type="pct"/>
            <w:vAlign w:val="center"/>
          </w:tcPr>
          <w:p w14:paraId="67ECFC6C" w14:textId="77777777" w:rsidR="00CA1734" w:rsidRPr="00125972" w:rsidRDefault="00CA1734" w:rsidP="005369A1">
            <w:pPr>
              <w:spacing w:after="0"/>
              <w:jc w:val="right"/>
              <w:rPr>
                <w:rFonts w:eastAsia="Calibri" w:cs="Segoe UI"/>
                <w:sz w:val="18"/>
                <w:szCs w:val="18"/>
              </w:rPr>
            </w:pPr>
            <w:r>
              <w:rPr>
                <w:color w:val="000000"/>
                <w:sz w:val="18"/>
                <w:szCs w:val="18"/>
              </w:rPr>
              <w:t>91 462</w:t>
            </w:r>
          </w:p>
        </w:tc>
      </w:tr>
      <w:tr w:rsidR="00CA1734" w:rsidRPr="00125972" w14:paraId="32283144" w14:textId="77777777" w:rsidTr="005369A1">
        <w:trPr>
          <w:trHeight w:val="255"/>
        </w:trPr>
        <w:tc>
          <w:tcPr>
            <w:tcW w:w="2111" w:type="pct"/>
            <w:vAlign w:val="center"/>
          </w:tcPr>
          <w:p w14:paraId="5A1DA865" w14:textId="77777777" w:rsidR="00CA1734" w:rsidRPr="00493DDD" w:rsidRDefault="00CA1734" w:rsidP="00CA1734">
            <w:pPr>
              <w:pStyle w:val="Odsekzoznamu"/>
              <w:numPr>
                <w:ilvl w:val="0"/>
                <w:numId w:val="2"/>
              </w:numPr>
              <w:spacing w:after="0"/>
              <w:jc w:val="left"/>
              <w:rPr>
                <w:rFonts w:eastAsia="Calibri" w:cs="Segoe UI"/>
                <w:sz w:val="18"/>
                <w:szCs w:val="18"/>
              </w:rPr>
            </w:pPr>
            <w:r w:rsidRPr="00493DDD">
              <w:rPr>
                <w:rFonts w:eastAsia="Calibri" w:cs="Segoe UI"/>
                <w:sz w:val="18"/>
                <w:szCs w:val="18"/>
              </w:rPr>
              <w:t>DPFO z podnikania</w:t>
            </w:r>
          </w:p>
        </w:tc>
        <w:tc>
          <w:tcPr>
            <w:tcW w:w="649" w:type="pct"/>
            <w:vAlign w:val="center"/>
          </w:tcPr>
          <w:p w14:paraId="3ED2220D" w14:textId="77777777" w:rsidR="00CA1734" w:rsidRPr="00200377" w:rsidRDefault="00CA1734" w:rsidP="005369A1">
            <w:pPr>
              <w:spacing w:after="0"/>
              <w:jc w:val="right"/>
              <w:rPr>
                <w:color w:val="000000"/>
                <w:sz w:val="18"/>
                <w:szCs w:val="18"/>
              </w:rPr>
            </w:pPr>
            <w:r w:rsidRPr="00200377">
              <w:rPr>
                <w:color w:val="000000"/>
                <w:sz w:val="18"/>
                <w:szCs w:val="18"/>
              </w:rPr>
              <w:t>188 243</w:t>
            </w:r>
          </w:p>
        </w:tc>
        <w:tc>
          <w:tcPr>
            <w:tcW w:w="776" w:type="pct"/>
            <w:vAlign w:val="center"/>
          </w:tcPr>
          <w:p w14:paraId="1E713420" w14:textId="77777777" w:rsidR="00CA1734" w:rsidRPr="00125972" w:rsidRDefault="00CA1734" w:rsidP="005369A1">
            <w:pPr>
              <w:spacing w:after="0"/>
              <w:jc w:val="right"/>
              <w:rPr>
                <w:rFonts w:eastAsia="Calibri" w:cs="Segoe UI"/>
                <w:sz w:val="18"/>
                <w:szCs w:val="18"/>
              </w:rPr>
            </w:pPr>
            <w:r>
              <w:rPr>
                <w:color w:val="000000"/>
                <w:sz w:val="18"/>
                <w:szCs w:val="18"/>
              </w:rPr>
              <w:t>197 952</w:t>
            </w:r>
          </w:p>
        </w:tc>
        <w:tc>
          <w:tcPr>
            <w:tcW w:w="776" w:type="pct"/>
            <w:vAlign w:val="center"/>
          </w:tcPr>
          <w:p w14:paraId="77E97C93" w14:textId="77777777" w:rsidR="00CA1734" w:rsidRPr="00125972" w:rsidRDefault="00CA1734" w:rsidP="005369A1">
            <w:pPr>
              <w:spacing w:after="0"/>
              <w:jc w:val="right"/>
              <w:rPr>
                <w:rFonts w:eastAsia="Calibri" w:cs="Segoe UI"/>
                <w:sz w:val="18"/>
                <w:szCs w:val="18"/>
              </w:rPr>
            </w:pPr>
            <w:r>
              <w:rPr>
                <w:color w:val="000000"/>
                <w:sz w:val="18"/>
                <w:szCs w:val="18"/>
              </w:rPr>
              <w:t>138 133</w:t>
            </w:r>
          </w:p>
        </w:tc>
        <w:tc>
          <w:tcPr>
            <w:tcW w:w="688" w:type="pct"/>
            <w:vAlign w:val="center"/>
          </w:tcPr>
          <w:p w14:paraId="535D0225" w14:textId="77777777" w:rsidR="00CA1734" w:rsidRPr="00125972" w:rsidRDefault="00CA1734" w:rsidP="005369A1">
            <w:pPr>
              <w:spacing w:after="0"/>
              <w:jc w:val="right"/>
              <w:rPr>
                <w:rFonts w:eastAsia="Calibri" w:cs="Segoe UI"/>
                <w:sz w:val="18"/>
                <w:szCs w:val="18"/>
              </w:rPr>
            </w:pPr>
            <w:r>
              <w:rPr>
                <w:color w:val="000000"/>
                <w:sz w:val="18"/>
                <w:szCs w:val="18"/>
              </w:rPr>
              <w:t>-59 819</w:t>
            </w:r>
          </w:p>
        </w:tc>
      </w:tr>
      <w:tr w:rsidR="00CA1734" w:rsidRPr="00125972" w14:paraId="2F04BB59" w14:textId="77777777" w:rsidTr="005369A1">
        <w:trPr>
          <w:trHeight w:val="255"/>
        </w:trPr>
        <w:tc>
          <w:tcPr>
            <w:tcW w:w="2111" w:type="pct"/>
            <w:vAlign w:val="center"/>
          </w:tcPr>
          <w:p w14:paraId="4AF6BFCA"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 xml:space="preserve">Daň z príjmov právnických osôb </w:t>
            </w:r>
          </w:p>
        </w:tc>
        <w:tc>
          <w:tcPr>
            <w:tcW w:w="649" w:type="pct"/>
            <w:vAlign w:val="center"/>
          </w:tcPr>
          <w:p w14:paraId="77288A29" w14:textId="77777777" w:rsidR="00CA1734" w:rsidRPr="00200377" w:rsidRDefault="00CA1734" w:rsidP="005369A1">
            <w:pPr>
              <w:spacing w:after="0"/>
              <w:jc w:val="right"/>
              <w:rPr>
                <w:color w:val="000000"/>
                <w:sz w:val="18"/>
                <w:szCs w:val="18"/>
              </w:rPr>
            </w:pPr>
            <w:r w:rsidRPr="00200377">
              <w:rPr>
                <w:color w:val="000000"/>
                <w:sz w:val="18"/>
                <w:szCs w:val="18"/>
              </w:rPr>
              <w:t>4 263 250</w:t>
            </w:r>
          </w:p>
        </w:tc>
        <w:tc>
          <w:tcPr>
            <w:tcW w:w="776" w:type="pct"/>
            <w:vAlign w:val="center"/>
          </w:tcPr>
          <w:p w14:paraId="694948AB" w14:textId="77777777" w:rsidR="00CA1734" w:rsidRPr="00125972" w:rsidRDefault="00CA1734" w:rsidP="005369A1">
            <w:pPr>
              <w:spacing w:after="0"/>
              <w:jc w:val="right"/>
              <w:rPr>
                <w:rFonts w:eastAsia="Calibri" w:cs="Segoe UI"/>
                <w:sz w:val="18"/>
                <w:szCs w:val="18"/>
              </w:rPr>
            </w:pPr>
            <w:r>
              <w:rPr>
                <w:color w:val="000000"/>
                <w:sz w:val="18"/>
                <w:szCs w:val="18"/>
              </w:rPr>
              <w:t>4 517 651</w:t>
            </w:r>
          </w:p>
        </w:tc>
        <w:tc>
          <w:tcPr>
            <w:tcW w:w="776" w:type="pct"/>
            <w:vAlign w:val="center"/>
          </w:tcPr>
          <w:p w14:paraId="3B75B90A" w14:textId="77777777" w:rsidR="00CA1734" w:rsidRPr="00125972" w:rsidRDefault="00CA1734" w:rsidP="005369A1">
            <w:pPr>
              <w:spacing w:after="0"/>
              <w:jc w:val="right"/>
              <w:rPr>
                <w:rFonts w:eastAsia="Calibri" w:cs="Segoe UI"/>
                <w:sz w:val="18"/>
                <w:szCs w:val="18"/>
              </w:rPr>
            </w:pPr>
            <w:r>
              <w:rPr>
                <w:color w:val="000000"/>
                <w:sz w:val="18"/>
                <w:szCs w:val="18"/>
              </w:rPr>
              <w:t>4 537 777</w:t>
            </w:r>
          </w:p>
        </w:tc>
        <w:tc>
          <w:tcPr>
            <w:tcW w:w="688" w:type="pct"/>
            <w:vAlign w:val="center"/>
          </w:tcPr>
          <w:p w14:paraId="2E488435" w14:textId="77777777" w:rsidR="00CA1734" w:rsidRPr="00125972" w:rsidRDefault="00CA1734" w:rsidP="005369A1">
            <w:pPr>
              <w:spacing w:after="0"/>
              <w:jc w:val="right"/>
              <w:rPr>
                <w:rFonts w:eastAsia="Calibri" w:cs="Segoe UI"/>
                <w:sz w:val="18"/>
                <w:szCs w:val="18"/>
              </w:rPr>
            </w:pPr>
            <w:r>
              <w:rPr>
                <w:color w:val="000000"/>
                <w:sz w:val="18"/>
                <w:szCs w:val="18"/>
              </w:rPr>
              <w:t>20 126</w:t>
            </w:r>
          </w:p>
        </w:tc>
      </w:tr>
      <w:tr w:rsidR="00CA1734" w:rsidRPr="00125972" w14:paraId="7BFA89BC" w14:textId="77777777" w:rsidTr="005369A1">
        <w:trPr>
          <w:trHeight w:val="255"/>
        </w:trPr>
        <w:tc>
          <w:tcPr>
            <w:tcW w:w="2111" w:type="pct"/>
            <w:vAlign w:val="center"/>
          </w:tcPr>
          <w:p w14:paraId="639413DB"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 xml:space="preserve">Daň z príjmov vyberaná zrážkou </w:t>
            </w:r>
          </w:p>
        </w:tc>
        <w:tc>
          <w:tcPr>
            <w:tcW w:w="649" w:type="pct"/>
            <w:vAlign w:val="center"/>
          </w:tcPr>
          <w:p w14:paraId="42CAA02F" w14:textId="77777777" w:rsidR="00CA1734" w:rsidRPr="00200377" w:rsidRDefault="00CA1734" w:rsidP="005369A1">
            <w:pPr>
              <w:spacing w:after="0"/>
              <w:jc w:val="right"/>
              <w:rPr>
                <w:color w:val="000000"/>
                <w:sz w:val="18"/>
                <w:szCs w:val="18"/>
              </w:rPr>
            </w:pPr>
            <w:r w:rsidRPr="00200377">
              <w:rPr>
                <w:color w:val="000000"/>
                <w:sz w:val="18"/>
                <w:szCs w:val="18"/>
              </w:rPr>
              <w:t>430 574</w:t>
            </w:r>
          </w:p>
        </w:tc>
        <w:tc>
          <w:tcPr>
            <w:tcW w:w="776" w:type="pct"/>
            <w:vAlign w:val="center"/>
          </w:tcPr>
          <w:p w14:paraId="72700CEE" w14:textId="77777777" w:rsidR="00CA1734" w:rsidRPr="00125972" w:rsidRDefault="00CA1734" w:rsidP="005369A1">
            <w:pPr>
              <w:spacing w:after="0"/>
              <w:jc w:val="right"/>
              <w:rPr>
                <w:rFonts w:eastAsia="Calibri" w:cs="Segoe UI"/>
                <w:sz w:val="18"/>
                <w:szCs w:val="18"/>
              </w:rPr>
            </w:pPr>
            <w:r>
              <w:rPr>
                <w:color w:val="000000"/>
                <w:sz w:val="18"/>
                <w:szCs w:val="18"/>
              </w:rPr>
              <w:t>415 070</w:t>
            </w:r>
          </w:p>
        </w:tc>
        <w:tc>
          <w:tcPr>
            <w:tcW w:w="776" w:type="pct"/>
            <w:vAlign w:val="center"/>
          </w:tcPr>
          <w:p w14:paraId="4FACE8D7" w14:textId="77777777" w:rsidR="00CA1734" w:rsidRPr="00125972" w:rsidRDefault="00CA1734" w:rsidP="005369A1">
            <w:pPr>
              <w:spacing w:after="0"/>
              <w:jc w:val="right"/>
              <w:rPr>
                <w:rFonts w:eastAsia="Calibri" w:cs="Segoe UI"/>
                <w:sz w:val="18"/>
                <w:szCs w:val="18"/>
              </w:rPr>
            </w:pPr>
            <w:r>
              <w:rPr>
                <w:color w:val="000000"/>
                <w:sz w:val="18"/>
                <w:szCs w:val="18"/>
              </w:rPr>
              <w:t>529 151</w:t>
            </w:r>
          </w:p>
        </w:tc>
        <w:tc>
          <w:tcPr>
            <w:tcW w:w="688" w:type="pct"/>
            <w:vAlign w:val="center"/>
          </w:tcPr>
          <w:p w14:paraId="376D6CFA" w14:textId="77777777" w:rsidR="00CA1734" w:rsidRPr="00782A92" w:rsidRDefault="00CA1734" w:rsidP="005369A1">
            <w:pPr>
              <w:spacing w:after="0"/>
              <w:jc w:val="right"/>
              <w:rPr>
                <w:rFonts w:eastAsia="Calibri" w:cs="Segoe UI"/>
                <w:sz w:val="18"/>
                <w:szCs w:val="18"/>
              </w:rPr>
            </w:pPr>
            <w:r>
              <w:rPr>
                <w:color w:val="000000"/>
                <w:sz w:val="18"/>
                <w:szCs w:val="18"/>
              </w:rPr>
              <w:t>114 081</w:t>
            </w:r>
          </w:p>
        </w:tc>
      </w:tr>
      <w:tr w:rsidR="00CA1734" w:rsidRPr="00125972" w14:paraId="5FD8A618" w14:textId="77777777" w:rsidTr="005369A1">
        <w:trPr>
          <w:trHeight w:val="255"/>
        </w:trPr>
        <w:tc>
          <w:tcPr>
            <w:tcW w:w="2111" w:type="pct"/>
            <w:vAlign w:val="center"/>
          </w:tcPr>
          <w:p w14:paraId="5582E61C"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Daň z pridanej hodnoty</w:t>
            </w:r>
          </w:p>
        </w:tc>
        <w:tc>
          <w:tcPr>
            <w:tcW w:w="649" w:type="pct"/>
            <w:vAlign w:val="center"/>
          </w:tcPr>
          <w:p w14:paraId="19C2A0E8" w14:textId="77777777" w:rsidR="00CA1734" w:rsidRPr="00200377" w:rsidRDefault="00CA1734" w:rsidP="005369A1">
            <w:pPr>
              <w:spacing w:after="0"/>
              <w:jc w:val="right"/>
              <w:rPr>
                <w:color w:val="000000"/>
                <w:sz w:val="18"/>
                <w:szCs w:val="18"/>
              </w:rPr>
            </w:pPr>
            <w:r w:rsidRPr="00200377">
              <w:rPr>
                <w:color w:val="000000"/>
                <w:sz w:val="18"/>
                <w:szCs w:val="18"/>
              </w:rPr>
              <w:t>9 799 764</w:t>
            </w:r>
          </w:p>
        </w:tc>
        <w:tc>
          <w:tcPr>
            <w:tcW w:w="776" w:type="pct"/>
            <w:vAlign w:val="center"/>
          </w:tcPr>
          <w:p w14:paraId="5AA3AADD" w14:textId="77777777" w:rsidR="00CA1734" w:rsidRPr="00125972" w:rsidRDefault="00CA1734" w:rsidP="005369A1">
            <w:pPr>
              <w:spacing w:after="0"/>
              <w:jc w:val="right"/>
              <w:rPr>
                <w:rFonts w:eastAsia="Calibri" w:cs="Segoe UI"/>
                <w:sz w:val="18"/>
                <w:szCs w:val="18"/>
              </w:rPr>
            </w:pPr>
            <w:r>
              <w:rPr>
                <w:color w:val="000000"/>
                <w:sz w:val="18"/>
                <w:szCs w:val="18"/>
              </w:rPr>
              <w:t>10 081 564</w:t>
            </w:r>
          </w:p>
        </w:tc>
        <w:tc>
          <w:tcPr>
            <w:tcW w:w="776" w:type="pct"/>
            <w:vAlign w:val="center"/>
          </w:tcPr>
          <w:p w14:paraId="53DEBE2B" w14:textId="77777777" w:rsidR="00CA1734" w:rsidRPr="00125972" w:rsidRDefault="00CA1734" w:rsidP="005369A1">
            <w:pPr>
              <w:spacing w:after="0"/>
              <w:jc w:val="right"/>
              <w:rPr>
                <w:rFonts w:eastAsia="Calibri" w:cs="Segoe UI"/>
                <w:sz w:val="18"/>
                <w:szCs w:val="18"/>
              </w:rPr>
            </w:pPr>
            <w:r>
              <w:rPr>
                <w:color w:val="000000"/>
                <w:sz w:val="18"/>
                <w:szCs w:val="18"/>
              </w:rPr>
              <w:t>9 904 422</w:t>
            </w:r>
          </w:p>
        </w:tc>
        <w:tc>
          <w:tcPr>
            <w:tcW w:w="688" w:type="pct"/>
            <w:vAlign w:val="center"/>
          </w:tcPr>
          <w:p w14:paraId="23326851" w14:textId="77777777" w:rsidR="00CA1734" w:rsidRPr="00782A92" w:rsidRDefault="00CA1734" w:rsidP="005369A1">
            <w:pPr>
              <w:spacing w:after="0"/>
              <w:jc w:val="right"/>
              <w:rPr>
                <w:rFonts w:eastAsia="Calibri" w:cs="Segoe UI"/>
                <w:sz w:val="18"/>
                <w:szCs w:val="18"/>
              </w:rPr>
            </w:pPr>
            <w:r>
              <w:rPr>
                <w:color w:val="000000"/>
                <w:sz w:val="18"/>
                <w:szCs w:val="18"/>
              </w:rPr>
              <w:t>-177 142</w:t>
            </w:r>
          </w:p>
        </w:tc>
      </w:tr>
      <w:tr w:rsidR="00CA1734" w:rsidRPr="00125972" w14:paraId="52E42B94" w14:textId="77777777" w:rsidTr="005369A1">
        <w:trPr>
          <w:trHeight w:val="255"/>
        </w:trPr>
        <w:tc>
          <w:tcPr>
            <w:tcW w:w="2111" w:type="pct"/>
            <w:vAlign w:val="center"/>
          </w:tcPr>
          <w:p w14:paraId="1568C92D"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Spotrebné dane</w:t>
            </w:r>
          </w:p>
        </w:tc>
        <w:tc>
          <w:tcPr>
            <w:tcW w:w="649" w:type="pct"/>
            <w:vAlign w:val="center"/>
          </w:tcPr>
          <w:p w14:paraId="6FFA90BF" w14:textId="77777777" w:rsidR="00CA1734" w:rsidRPr="00200377" w:rsidRDefault="00CA1734" w:rsidP="005369A1">
            <w:pPr>
              <w:spacing w:after="0"/>
              <w:jc w:val="right"/>
              <w:rPr>
                <w:color w:val="000000"/>
                <w:sz w:val="18"/>
                <w:szCs w:val="18"/>
              </w:rPr>
            </w:pPr>
            <w:r w:rsidRPr="00200377">
              <w:rPr>
                <w:color w:val="000000"/>
                <w:sz w:val="18"/>
                <w:szCs w:val="18"/>
              </w:rPr>
              <w:t>2 600 048</w:t>
            </w:r>
          </w:p>
        </w:tc>
        <w:tc>
          <w:tcPr>
            <w:tcW w:w="776" w:type="pct"/>
            <w:vAlign w:val="center"/>
          </w:tcPr>
          <w:p w14:paraId="7A8FE193" w14:textId="77777777" w:rsidR="00CA1734" w:rsidRPr="00125972" w:rsidRDefault="00CA1734" w:rsidP="005369A1">
            <w:pPr>
              <w:spacing w:after="0"/>
              <w:jc w:val="right"/>
              <w:rPr>
                <w:rFonts w:eastAsia="Calibri" w:cs="Segoe UI"/>
                <w:sz w:val="18"/>
                <w:szCs w:val="18"/>
              </w:rPr>
            </w:pPr>
            <w:r>
              <w:rPr>
                <w:color w:val="000000"/>
                <w:sz w:val="18"/>
                <w:szCs w:val="18"/>
              </w:rPr>
              <w:t>2 795 455</w:t>
            </w:r>
          </w:p>
        </w:tc>
        <w:tc>
          <w:tcPr>
            <w:tcW w:w="776" w:type="pct"/>
            <w:vAlign w:val="center"/>
          </w:tcPr>
          <w:p w14:paraId="7CCDBDB5" w14:textId="77777777" w:rsidR="00CA1734" w:rsidRPr="00125972" w:rsidRDefault="00CA1734" w:rsidP="005369A1">
            <w:pPr>
              <w:spacing w:after="0"/>
              <w:jc w:val="right"/>
              <w:rPr>
                <w:rFonts w:eastAsia="Calibri" w:cs="Segoe UI"/>
                <w:sz w:val="18"/>
                <w:szCs w:val="18"/>
              </w:rPr>
            </w:pPr>
            <w:r>
              <w:rPr>
                <w:color w:val="000000"/>
                <w:sz w:val="18"/>
                <w:szCs w:val="18"/>
              </w:rPr>
              <w:t>2 700 285</w:t>
            </w:r>
          </w:p>
        </w:tc>
        <w:tc>
          <w:tcPr>
            <w:tcW w:w="688" w:type="pct"/>
            <w:vAlign w:val="center"/>
          </w:tcPr>
          <w:p w14:paraId="7BF3CBF3" w14:textId="77777777" w:rsidR="00CA1734" w:rsidRPr="00125972" w:rsidRDefault="00CA1734" w:rsidP="005369A1">
            <w:pPr>
              <w:spacing w:after="0"/>
              <w:jc w:val="right"/>
              <w:rPr>
                <w:rFonts w:eastAsia="Calibri" w:cs="Segoe UI"/>
                <w:sz w:val="18"/>
                <w:szCs w:val="18"/>
              </w:rPr>
            </w:pPr>
            <w:r>
              <w:rPr>
                <w:color w:val="000000"/>
                <w:sz w:val="18"/>
                <w:szCs w:val="18"/>
              </w:rPr>
              <w:t>-95 170</w:t>
            </w:r>
          </w:p>
        </w:tc>
      </w:tr>
      <w:tr w:rsidR="00CA1734" w:rsidRPr="00125972" w14:paraId="75614C7C" w14:textId="77777777" w:rsidTr="005369A1">
        <w:trPr>
          <w:trHeight w:val="255"/>
        </w:trPr>
        <w:tc>
          <w:tcPr>
            <w:tcW w:w="2111" w:type="pct"/>
            <w:vAlign w:val="center"/>
          </w:tcPr>
          <w:p w14:paraId="1668A1D0" w14:textId="77777777" w:rsidR="00CA1734" w:rsidRPr="00493DDD" w:rsidRDefault="00CA1734" w:rsidP="00CA1734">
            <w:pPr>
              <w:pStyle w:val="Odsekzoznamu"/>
              <w:numPr>
                <w:ilvl w:val="0"/>
                <w:numId w:val="2"/>
              </w:numPr>
              <w:spacing w:after="0"/>
              <w:jc w:val="left"/>
              <w:rPr>
                <w:rFonts w:eastAsia="Calibri" w:cs="Segoe UI"/>
                <w:sz w:val="18"/>
                <w:szCs w:val="18"/>
              </w:rPr>
            </w:pPr>
            <w:r w:rsidRPr="00493DDD">
              <w:rPr>
                <w:rFonts w:eastAsia="Calibri" w:cs="Segoe UI"/>
                <w:sz w:val="18"/>
                <w:szCs w:val="18"/>
              </w:rPr>
              <w:t>Z minerálnych olejov</w:t>
            </w:r>
          </w:p>
        </w:tc>
        <w:tc>
          <w:tcPr>
            <w:tcW w:w="649" w:type="pct"/>
            <w:vAlign w:val="center"/>
          </w:tcPr>
          <w:p w14:paraId="47146242" w14:textId="77777777" w:rsidR="00CA1734" w:rsidRPr="00200377" w:rsidRDefault="00CA1734" w:rsidP="005369A1">
            <w:pPr>
              <w:spacing w:after="0"/>
              <w:jc w:val="right"/>
              <w:rPr>
                <w:color w:val="000000"/>
                <w:sz w:val="18"/>
                <w:szCs w:val="18"/>
              </w:rPr>
            </w:pPr>
            <w:r w:rsidRPr="00200377">
              <w:rPr>
                <w:color w:val="000000"/>
                <w:sz w:val="18"/>
                <w:szCs w:val="18"/>
              </w:rPr>
              <w:t>1 315 052</w:t>
            </w:r>
          </w:p>
        </w:tc>
        <w:tc>
          <w:tcPr>
            <w:tcW w:w="776" w:type="pct"/>
            <w:vAlign w:val="center"/>
          </w:tcPr>
          <w:p w14:paraId="740A5291" w14:textId="77777777" w:rsidR="00CA1734" w:rsidRPr="00125972" w:rsidRDefault="00CA1734" w:rsidP="005369A1">
            <w:pPr>
              <w:spacing w:after="0"/>
              <w:jc w:val="right"/>
              <w:rPr>
                <w:rFonts w:eastAsia="Calibri" w:cs="Segoe UI"/>
                <w:sz w:val="18"/>
                <w:szCs w:val="18"/>
              </w:rPr>
            </w:pPr>
            <w:r>
              <w:rPr>
                <w:color w:val="000000"/>
                <w:sz w:val="18"/>
                <w:szCs w:val="18"/>
              </w:rPr>
              <w:t>1 347 653</w:t>
            </w:r>
          </w:p>
        </w:tc>
        <w:tc>
          <w:tcPr>
            <w:tcW w:w="776" w:type="pct"/>
            <w:vAlign w:val="center"/>
          </w:tcPr>
          <w:p w14:paraId="4B0E87A6" w14:textId="77777777" w:rsidR="00CA1734" w:rsidRPr="00125972" w:rsidRDefault="00CA1734" w:rsidP="005369A1">
            <w:pPr>
              <w:spacing w:after="0"/>
              <w:jc w:val="right"/>
              <w:rPr>
                <w:rFonts w:eastAsia="Calibri" w:cs="Segoe UI"/>
                <w:sz w:val="18"/>
                <w:szCs w:val="18"/>
              </w:rPr>
            </w:pPr>
            <w:r>
              <w:rPr>
                <w:color w:val="000000"/>
                <w:sz w:val="18"/>
                <w:szCs w:val="18"/>
              </w:rPr>
              <w:t>1 352 021</w:t>
            </w:r>
          </w:p>
        </w:tc>
        <w:tc>
          <w:tcPr>
            <w:tcW w:w="688" w:type="pct"/>
            <w:vAlign w:val="center"/>
          </w:tcPr>
          <w:p w14:paraId="0776D8A1" w14:textId="77777777" w:rsidR="00CA1734" w:rsidRPr="00125972" w:rsidRDefault="00CA1734" w:rsidP="005369A1">
            <w:pPr>
              <w:spacing w:after="0"/>
              <w:jc w:val="right"/>
              <w:rPr>
                <w:rFonts w:eastAsia="Calibri" w:cs="Segoe UI"/>
                <w:sz w:val="18"/>
                <w:szCs w:val="18"/>
              </w:rPr>
            </w:pPr>
            <w:r>
              <w:rPr>
                <w:color w:val="000000"/>
                <w:sz w:val="18"/>
                <w:szCs w:val="18"/>
              </w:rPr>
              <w:t>4 368</w:t>
            </w:r>
          </w:p>
        </w:tc>
      </w:tr>
      <w:tr w:rsidR="00CA1734" w:rsidRPr="00125972" w14:paraId="5F941BB0" w14:textId="77777777" w:rsidTr="005369A1">
        <w:trPr>
          <w:trHeight w:val="255"/>
        </w:trPr>
        <w:tc>
          <w:tcPr>
            <w:tcW w:w="2111" w:type="pct"/>
            <w:vAlign w:val="center"/>
          </w:tcPr>
          <w:p w14:paraId="30C03380" w14:textId="77777777" w:rsidR="00CA1734" w:rsidRPr="00493DDD" w:rsidRDefault="00CA1734" w:rsidP="00CA1734">
            <w:pPr>
              <w:pStyle w:val="Odsekzoznamu"/>
              <w:numPr>
                <w:ilvl w:val="0"/>
                <w:numId w:val="2"/>
              </w:numPr>
              <w:spacing w:after="0"/>
              <w:jc w:val="left"/>
              <w:rPr>
                <w:rFonts w:eastAsia="Calibri" w:cs="Segoe UI"/>
                <w:sz w:val="18"/>
                <w:szCs w:val="18"/>
              </w:rPr>
            </w:pPr>
            <w:r w:rsidRPr="00493DDD">
              <w:rPr>
                <w:rFonts w:eastAsia="Calibri" w:cs="Segoe UI"/>
                <w:sz w:val="18"/>
                <w:szCs w:val="18"/>
              </w:rPr>
              <w:t>Z tabaku a tabakových výrobkov</w:t>
            </w:r>
          </w:p>
        </w:tc>
        <w:tc>
          <w:tcPr>
            <w:tcW w:w="649" w:type="pct"/>
            <w:vAlign w:val="center"/>
          </w:tcPr>
          <w:p w14:paraId="5884721E" w14:textId="77777777" w:rsidR="00CA1734" w:rsidRPr="00200377" w:rsidRDefault="00CA1734" w:rsidP="005369A1">
            <w:pPr>
              <w:spacing w:after="0"/>
              <w:jc w:val="right"/>
              <w:rPr>
                <w:color w:val="000000"/>
                <w:sz w:val="18"/>
                <w:szCs w:val="18"/>
              </w:rPr>
            </w:pPr>
            <w:r w:rsidRPr="00200377">
              <w:rPr>
                <w:color w:val="000000"/>
                <w:sz w:val="18"/>
                <w:szCs w:val="18"/>
              </w:rPr>
              <w:t>936 553</w:t>
            </w:r>
          </w:p>
        </w:tc>
        <w:tc>
          <w:tcPr>
            <w:tcW w:w="776" w:type="pct"/>
            <w:vAlign w:val="center"/>
          </w:tcPr>
          <w:p w14:paraId="6C1AC0B6" w14:textId="77777777" w:rsidR="00CA1734" w:rsidRPr="00125972" w:rsidRDefault="00CA1734" w:rsidP="005369A1">
            <w:pPr>
              <w:spacing w:after="0"/>
              <w:jc w:val="right"/>
              <w:rPr>
                <w:rFonts w:eastAsia="Calibri" w:cs="Segoe UI"/>
                <w:sz w:val="18"/>
                <w:szCs w:val="18"/>
              </w:rPr>
            </w:pPr>
            <w:r>
              <w:rPr>
                <w:color w:val="000000"/>
                <w:sz w:val="18"/>
                <w:szCs w:val="18"/>
              </w:rPr>
              <w:t>1 043 240</w:t>
            </w:r>
          </w:p>
        </w:tc>
        <w:tc>
          <w:tcPr>
            <w:tcW w:w="776" w:type="pct"/>
            <w:vAlign w:val="center"/>
          </w:tcPr>
          <w:p w14:paraId="596001D3" w14:textId="77777777" w:rsidR="00CA1734" w:rsidRPr="00125972" w:rsidRDefault="00CA1734" w:rsidP="005369A1">
            <w:pPr>
              <w:spacing w:after="0"/>
              <w:jc w:val="right"/>
              <w:rPr>
                <w:rFonts w:eastAsia="Calibri" w:cs="Segoe UI"/>
                <w:sz w:val="18"/>
                <w:szCs w:val="18"/>
              </w:rPr>
            </w:pPr>
            <w:r>
              <w:rPr>
                <w:color w:val="000000"/>
                <w:sz w:val="18"/>
                <w:szCs w:val="18"/>
              </w:rPr>
              <w:t>1 021 079</w:t>
            </w:r>
          </w:p>
        </w:tc>
        <w:tc>
          <w:tcPr>
            <w:tcW w:w="688" w:type="pct"/>
            <w:vAlign w:val="center"/>
          </w:tcPr>
          <w:p w14:paraId="5332D14B" w14:textId="77777777" w:rsidR="00CA1734" w:rsidRPr="00125972" w:rsidRDefault="00CA1734" w:rsidP="005369A1">
            <w:pPr>
              <w:spacing w:after="0"/>
              <w:jc w:val="right"/>
              <w:rPr>
                <w:rFonts w:eastAsia="Calibri" w:cs="Segoe UI"/>
                <w:sz w:val="18"/>
                <w:szCs w:val="18"/>
              </w:rPr>
            </w:pPr>
            <w:r>
              <w:rPr>
                <w:color w:val="000000"/>
                <w:sz w:val="18"/>
                <w:szCs w:val="18"/>
              </w:rPr>
              <w:t>-22 161</w:t>
            </w:r>
          </w:p>
        </w:tc>
      </w:tr>
      <w:tr w:rsidR="00CA1734" w:rsidRPr="00125972" w14:paraId="5E8FBF1F" w14:textId="77777777" w:rsidTr="005369A1">
        <w:trPr>
          <w:trHeight w:val="255"/>
        </w:trPr>
        <w:tc>
          <w:tcPr>
            <w:tcW w:w="2111" w:type="pct"/>
            <w:vAlign w:val="center"/>
          </w:tcPr>
          <w:p w14:paraId="4FF708ED"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Dane z majetku (nehnuteľnosti)</w:t>
            </w:r>
          </w:p>
        </w:tc>
        <w:tc>
          <w:tcPr>
            <w:tcW w:w="649" w:type="pct"/>
            <w:vAlign w:val="center"/>
          </w:tcPr>
          <w:p w14:paraId="531E4BB5" w14:textId="77777777" w:rsidR="00CA1734" w:rsidRPr="00200377" w:rsidRDefault="00CA1734" w:rsidP="005369A1">
            <w:pPr>
              <w:spacing w:after="0"/>
              <w:jc w:val="right"/>
              <w:rPr>
                <w:color w:val="000000"/>
                <w:sz w:val="18"/>
                <w:szCs w:val="18"/>
              </w:rPr>
            </w:pPr>
            <w:r w:rsidRPr="00200377">
              <w:rPr>
                <w:color w:val="000000"/>
                <w:sz w:val="18"/>
                <w:szCs w:val="18"/>
              </w:rPr>
              <w:t>496 602</w:t>
            </w:r>
          </w:p>
        </w:tc>
        <w:tc>
          <w:tcPr>
            <w:tcW w:w="776" w:type="pct"/>
            <w:vAlign w:val="center"/>
          </w:tcPr>
          <w:p w14:paraId="4C4B2FE7" w14:textId="77777777" w:rsidR="00CA1734" w:rsidRPr="00125972" w:rsidRDefault="00CA1734" w:rsidP="005369A1">
            <w:pPr>
              <w:spacing w:after="0"/>
              <w:jc w:val="right"/>
              <w:rPr>
                <w:rFonts w:eastAsia="Calibri" w:cs="Segoe UI"/>
                <w:sz w:val="18"/>
                <w:szCs w:val="18"/>
              </w:rPr>
            </w:pPr>
            <w:r>
              <w:rPr>
                <w:color w:val="000000"/>
                <w:sz w:val="18"/>
                <w:szCs w:val="18"/>
              </w:rPr>
              <w:t>512 041</w:t>
            </w:r>
          </w:p>
        </w:tc>
        <w:tc>
          <w:tcPr>
            <w:tcW w:w="776" w:type="pct"/>
            <w:vAlign w:val="center"/>
          </w:tcPr>
          <w:p w14:paraId="7B797FE4" w14:textId="77777777" w:rsidR="00CA1734" w:rsidRPr="00125972" w:rsidRDefault="00CA1734" w:rsidP="005369A1">
            <w:pPr>
              <w:spacing w:after="0"/>
              <w:jc w:val="right"/>
              <w:rPr>
                <w:rFonts w:eastAsia="Calibri" w:cs="Segoe UI"/>
                <w:sz w:val="18"/>
                <w:szCs w:val="18"/>
              </w:rPr>
            </w:pPr>
            <w:r>
              <w:rPr>
                <w:color w:val="000000"/>
                <w:sz w:val="18"/>
                <w:szCs w:val="18"/>
              </w:rPr>
              <w:t>618 717</w:t>
            </w:r>
          </w:p>
        </w:tc>
        <w:tc>
          <w:tcPr>
            <w:tcW w:w="688" w:type="pct"/>
            <w:vAlign w:val="center"/>
          </w:tcPr>
          <w:p w14:paraId="7F2C38E6" w14:textId="77777777" w:rsidR="00CA1734" w:rsidRPr="00125972" w:rsidRDefault="00CA1734" w:rsidP="005369A1">
            <w:pPr>
              <w:spacing w:after="0"/>
              <w:jc w:val="right"/>
              <w:rPr>
                <w:rFonts w:eastAsia="Calibri" w:cs="Segoe UI"/>
                <w:sz w:val="18"/>
                <w:szCs w:val="18"/>
              </w:rPr>
            </w:pPr>
            <w:r>
              <w:rPr>
                <w:color w:val="000000"/>
                <w:sz w:val="18"/>
                <w:szCs w:val="18"/>
              </w:rPr>
              <w:t>106 676</w:t>
            </w:r>
          </w:p>
        </w:tc>
      </w:tr>
      <w:tr w:rsidR="00CA1734" w:rsidRPr="00125972" w14:paraId="4326DCA5" w14:textId="77777777" w:rsidTr="005369A1">
        <w:trPr>
          <w:trHeight w:val="255"/>
        </w:trPr>
        <w:tc>
          <w:tcPr>
            <w:tcW w:w="2111" w:type="pct"/>
            <w:vAlign w:val="center"/>
          </w:tcPr>
          <w:p w14:paraId="4BA3F3EF"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Dane z medzinárodného obchodu</w:t>
            </w:r>
          </w:p>
        </w:tc>
        <w:tc>
          <w:tcPr>
            <w:tcW w:w="649" w:type="pct"/>
            <w:vAlign w:val="center"/>
          </w:tcPr>
          <w:p w14:paraId="6BD1F256" w14:textId="77777777" w:rsidR="00CA1734" w:rsidRPr="00200377" w:rsidRDefault="00CA1734" w:rsidP="005369A1">
            <w:pPr>
              <w:spacing w:after="0"/>
              <w:jc w:val="right"/>
              <w:rPr>
                <w:color w:val="000000"/>
                <w:sz w:val="18"/>
                <w:szCs w:val="18"/>
              </w:rPr>
            </w:pPr>
            <w:r w:rsidRPr="00200377">
              <w:rPr>
                <w:color w:val="000000"/>
                <w:sz w:val="18"/>
                <w:szCs w:val="18"/>
              </w:rPr>
              <w:t>37 917</w:t>
            </w:r>
          </w:p>
        </w:tc>
        <w:tc>
          <w:tcPr>
            <w:tcW w:w="776" w:type="pct"/>
            <w:vAlign w:val="center"/>
          </w:tcPr>
          <w:p w14:paraId="704AB743" w14:textId="77777777" w:rsidR="00CA1734" w:rsidRPr="00125972" w:rsidRDefault="00CA1734" w:rsidP="005369A1">
            <w:pPr>
              <w:spacing w:after="0"/>
              <w:jc w:val="right"/>
              <w:rPr>
                <w:rFonts w:eastAsia="Calibri" w:cs="Segoe UI"/>
                <w:sz w:val="18"/>
                <w:szCs w:val="18"/>
              </w:rPr>
            </w:pPr>
            <w:r>
              <w:rPr>
                <w:color w:val="000000"/>
                <w:sz w:val="18"/>
                <w:szCs w:val="18"/>
              </w:rPr>
              <w:t>41 724</w:t>
            </w:r>
          </w:p>
        </w:tc>
        <w:tc>
          <w:tcPr>
            <w:tcW w:w="776" w:type="pct"/>
            <w:vAlign w:val="center"/>
          </w:tcPr>
          <w:p w14:paraId="7D658670" w14:textId="77777777" w:rsidR="00CA1734" w:rsidRPr="00125972" w:rsidRDefault="00CA1734" w:rsidP="005369A1">
            <w:pPr>
              <w:spacing w:after="0"/>
              <w:jc w:val="right"/>
              <w:rPr>
                <w:rFonts w:eastAsia="Calibri" w:cs="Segoe UI"/>
                <w:sz w:val="18"/>
                <w:szCs w:val="18"/>
              </w:rPr>
            </w:pPr>
            <w:r>
              <w:rPr>
                <w:color w:val="000000"/>
                <w:sz w:val="18"/>
                <w:szCs w:val="18"/>
              </w:rPr>
              <w:t>36 828</w:t>
            </w:r>
          </w:p>
        </w:tc>
        <w:tc>
          <w:tcPr>
            <w:tcW w:w="688" w:type="pct"/>
            <w:vAlign w:val="center"/>
          </w:tcPr>
          <w:p w14:paraId="3AE375B1" w14:textId="77777777" w:rsidR="00CA1734" w:rsidRPr="00125972" w:rsidRDefault="00CA1734" w:rsidP="005369A1">
            <w:pPr>
              <w:spacing w:after="0"/>
              <w:jc w:val="right"/>
              <w:rPr>
                <w:rFonts w:eastAsia="Calibri" w:cs="Segoe UI"/>
                <w:sz w:val="18"/>
                <w:szCs w:val="18"/>
              </w:rPr>
            </w:pPr>
            <w:r>
              <w:rPr>
                <w:color w:val="000000"/>
                <w:sz w:val="18"/>
                <w:szCs w:val="18"/>
              </w:rPr>
              <w:t>-4 896</w:t>
            </w:r>
          </w:p>
        </w:tc>
      </w:tr>
      <w:tr w:rsidR="00CA1734" w:rsidRPr="00125972" w14:paraId="206346FF" w14:textId="77777777" w:rsidTr="005369A1">
        <w:trPr>
          <w:trHeight w:val="255"/>
        </w:trPr>
        <w:tc>
          <w:tcPr>
            <w:tcW w:w="2111" w:type="pct"/>
            <w:tcBorders>
              <w:bottom w:val="single" w:sz="4" w:space="0" w:color="314364" w:themeColor="text2"/>
            </w:tcBorders>
            <w:vAlign w:val="center"/>
          </w:tcPr>
          <w:p w14:paraId="44EB7B82"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Ostatné dane a poplatky</w:t>
            </w:r>
          </w:p>
        </w:tc>
        <w:tc>
          <w:tcPr>
            <w:tcW w:w="649" w:type="pct"/>
            <w:tcBorders>
              <w:bottom w:val="single" w:sz="4" w:space="0" w:color="314364" w:themeColor="text2"/>
            </w:tcBorders>
            <w:vAlign w:val="center"/>
          </w:tcPr>
          <w:p w14:paraId="18EE14B4" w14:textId="77777777" w:rsidR="00CA1734" w:rsidRPr="00200377" w:rsidRDefault="00CA1734" w:rsidP="005369A1">
            <w:pPr>
              <w:spacing w:after="0"/>
              <w:jc w:val="right"/>
              <w:rPr>
                <w:color w:val="000000"/>
                <w:sz w:val="18"/>
                <w:szCs w:val="18"/>
              </w:rPr>
            </w:pPr>
            <w:r w:rsidRPr="00200377">
              <w:rPr>
                <w:color w:val="000000"/>
                <w:sz w:val="18"/>
                <w:szCs w:val="18"/>
              </w:rPr>
              <w:t>1 186 379</w:t>
            </w:r>
          </w:p>
        </w:tc>
        <w:tc>
          <w:tcPr>
            <w:tcW w:w="776" w:type="pct"/>
            <w:tcBorders>
              <w:bottom w:val="single" w:sz="4" w:space="0" w:color="314364" w:themeColor="text2"/>
            </w:tcBorders>
            <w:vAlign w:val="center"/>
          </w:tcPr>
          <w:p w14:paraId="009CF524" w14:textId="77777777" w:rsidR="00CA1734" w:rsidRPr="00125972" w:rsidRDefault="00CA1734" w:rsidP="005369A1">
            <w:pPr>
              <w:spacing w:after="0"/>
              <w:jc w:val="right"/>
              <w:rPr>
                <w:rFonts w:eastAsia="Calibri" w:cs="Segoe UI"/>
                <w:sz w:val="18"/>
                <w:szCs w:val="18"/>
              </w:rPr>
            </w:pPr>
            <w:r>
              <w:rPr>
                <w:color w:val="000000"/>
                <w:sz w:val="18"/>
                <w:szCs w:val="18"/>
              </w:rPr>
              <w:t>1 365 414</w:t>
            </w:r>
          </w:p>
        </w:tc>
        <w:tc>
          <w:tcPr>
            <w:tcW w:w="776" w:type="pct"/>
            <w:tcBorders>
              <w:bottom w:val="single" w:sz="4" w:space="0" w:color="314364" w:themeColor="text2"/>
            </w:tcBorders>
            <w:vAlign w:val="center"/>
          </w:tcPr>
          <w:p w14:paraId="20751EF3" w14:textId="77777777" w:rsidR="00CA1734" w:rsidRPr="00125972" w:rsidRDefault="00CA1734" w:rsidP="005369A1">
            <w:pPr>
              <w:spacing w:after="0"/>
              <w:jc w:val="right"/>
              <w:rPr>
                <w:rFonts w:eastAsia="Calibri" w:cs="Segoe UI"/>
                <w:sz w:val="18"/>
                <w:szCs w:val="18"/>
              </w:rPr>
            </w:pPr>
            <w:r>
              <w:rPr>
                <w:color w:val="000000"/>
                <w:sz w:val="18"/>
                <w:szCs w:val="18"/>
              </w:rPr>
              <w:t>1 424 186</w:t>
            </w:r>
          </w:p>
        </w:tc>
        <w:tc>
          <w:tcPr>
            <w:tcW w:w="688" w:type="pct"/>
            <w:tcBorders>
              <w:bottom w:val="single" w:sz="4" w:space="0" w:color="314364" w:themeColor="text2"/>
            </w:tcBorders>
            <w:vAlign w:val="center"/>
          </w:tcPr>
          <w:p w14:paraId="483124F3" w14:textId="77777777" w:rsidR="00CA1734" w:rsidRPr="00125972" w:rsidRDefault="00CA1734" w:rsidP="005369A1">
            <w:pPr>
              <w:spacing w:after="0"/>
              <w:jc w:val="right"/>
              <w:rPr>
                <w:rFonts w:eastAsia="Calibri" w:cs="Segoe UI"/>
                <w:sz w:val="18"/>
                <w:szCs w:val="18"/>
              </w:rPr>
            </w:pPr>
            <w:r>
              <w:rPr>
                <w:color w:val="000000"/>
                <w:sz w:val="18"/>
                <w:szCs w:val="18"/>
              </w:rPr>
              <w:t>58 772</w:t>
            </w:r>
          </w:p>
        </w:tc>
      </w:tr>
      <w:tr w:rsidR="00CA1734" w:rsidRPr="00125972" w14:paraId="085519A3" w14:textId="77777777" w:rsidTr="005369A1">
        <w:trPr>
          <w:trHeight w:val="255"/>
        </w:trPr>
        <w:tc>
          <w:tcPr>
            <w:tcW w:w="2111" w:type="pct"/>
            <w:tcBorders>
              <w:top w:val="single" w:sz="4" w:space="0" w:color="314364" w:themeColor="text2"/>
            </w:tcBorders>
            <w:vAlign w:val="center"/>
          </w:tcPr>
          <w:p w14:paraId="1BA77629" w14:textId="77777777" w:rsidR="00CA1734" w:rsidRPr="00125972" w:rsidRDefault="00CA1734" w:rsidP="005369A1">
            <w:pPr>
              <w:spacing w:after="0"/>
              <w:jc w:val="left"/>
              <w:rPr>
                <w:rFonts w:eastAsia="Calibri" w:cs="Segoe UI"/>
                <w:b/>
                <w:sz w:val="18"/>
                <w:szCs w:val="18"/>
              </w:rPr>
            </w:pPr>
            <w:r w:rsidRPr="004516D3">
              <w:rPr>
                <w:rFonts w:eastAsia="Calibri" w:cs="Segoe UI"/>
                <w:b/>
                <w:sz w:val="18"/>
                <w:szCs w:val="18"/>
              </w:rPr>
              <w:t>Fondy sociálneho a zdravotného poistenia</w:t>
            </w:r>
          </w:p>
        </w:tc>
        <w:tc>
          <w:tcPr>
            <w:tcW w:w="649" w:type="pct"/>
            <w:tcBorders>
              <w:top w:val="single" w:sz="4" w:space="0" w:color="314364" w:themeColor="text2"/>
            </w:tcBorders>
            <w:vAlign w:val="center"/>
          </w:tcPr>
          <w:p w14:paraId="026CCE5A" w14:textId="77777777" w:rsidR="00CA1734" w:rsidRPr="00200377" w:rsidRDefault="00CA1734" w:rsidP="005369A1">
            <w:pPr>
              <w:spacing w:after="0"/>
              <w:jc w:val="right"/>
              <w:rPr>
                <w:b/>
                <w:bCs/>
                <w:color w:val="000000"/>
                <w:sz w:val="18"/>
                <w:szCs w:val="18"/>
              </w:rPr>
            </w:pPr>
            <w:r w:rsidRPr="00200377">
              <w:rPr>
                <w:b/>
                <w:bCs/>
                <w:color w:val="000000"/>
                <w:sz w:val="18"/>
                <w:szCs w:val="18"/>
              </w:rPr>
              <w:t>15 340 057</w:t>
            </w:r>
          </w:p>
        </w:tc>
        <w:tc>
          <w:tcPr>
            <w:tcW w:w="776" w:type="pct"/>
            <w:tcBorders>
              <w:top w:val="single" w:sz="4" w:space="0" w:color="314364" w:themeColor="text2"/>
            </w:tcBorders>
            <w:vAlign w:val="center"/>
          </w:tcPr>
          <w:p w14:paraId="233502CD" w14:textId="77777777" w:rsidR="00CA1734" w:rsidRPr="00125972" w:rsidRDefault="00CA1734" w:rsidP="005369A1">
            <w:pPr>
              <w:spacing w:after="0"/>
              <w:jc w:val="right"/>
              <w:rPr>
                <w:rFonts w:eastAsia="Calibri" w:cs="Segoe UI"/>
                <w:b/>
                <w:sz w:val="18"/>
                <w:szCs w:val="18"/>
              </w:rPr>
            </w:pPr>
            <w:r>
              <w:rPr>
                <w:b/>
                <w:bCs/>
                <w:color w:val="000000"/>
                <w:sz w:val="18"/>
                <w:szCs w:val="18"/>
              </w:rPr>
              <w:t>17 279 116</w:t>
            </w:r>
          </w:p>
        </w:tc>
        <w:tc>
          <w:tcPr>
            <w:tcW w:w="776" w:type="pct"/>
            <w:tcBorders>
              <w:top w:val="single" w:sz="4" w:space="0" w:color="314364" w:themeColor="text2"/>
            </w:tcBorders>
            <w:vAlign w:val="center"/>
          </w:tcPr>
          <w:p w14:paraId="43B93D7A" w14:textId="77777777" w:rsidR="00CA1734" w:rsidRPr="00125972" w:rsidRDefault="00CA1734" w:rsidP="005369A1">
            <w:pPr>
              <w:spacing w:after="0"/>
              <w:jc w:val="right"/>
              <w:rPr>
                <w:rFonts w:eastAsia="Calibri" w:cs="Segoe UI"/>
                <w:b/>
                <w:sz w:val="18"/>
                <w:szCs w:val="18"/>
              </w:rPr>
            </w:pPr>
            <w:r>
              <w:rPr>
                <w:b/>
                <w:bCs/>
                <w:color w:val="000000"/>
                <w:sz w:val="18"/>
                <w:szCs w:val="18"/>
              </w:rPr>
              <w:t>17 285 015</w:t>
            </w:r>
          </w:p>
        </w:tc>
        <w:tc>
          <w:tcPr>
            <w:tcW w:w="688" w:type="pct"/>
            <w:tcBorders>
              <w:top w:val="single" w:sz="4" w:space="0" w:color="314364" w:themeColor="text2"/>
            </w:tcBorders>
            <w:vAlign w:val="center"/>
          </w:tcPr>
          <w:p w14:paraId="34785B58" w14:textId="77777777" w:rsidR="00CA1734" w:rsidRPr="00125972" w:rsidRDefault="00CA1734" w:rsidP="005369A1">
            <w:pPr>
              <w:spacing w:after="0"/>
              <w:jc w:val="right"/>
              <w:rPr>
                <w:rFonts w:eastAsia="Calibri" w:cs="Segoe UI"/>
                <w:b/>
                <w:sz w:val="18"/>
                <w:szCs w:val="18"/>
              </w:rPr>
            </w:pPr>
            <w:r>
              <w:rPr>
                <w:b/>
                <w:bCs/>
                <w:color w:val="000000"/>
                <w:sz w:val="18"/>
                <w:szCs w:val="18"/>
              </w:rPr>
              <w:t>5 899</w:t>
            </w:r>
          </w:p>
        </w:tc>
      </w:tr>
      <w:tr w:rsidR="00CA1734" w:rsidRPr="00125972" w14:paraId="3000500D" w14:textId="77777777" w:rsidTr="005369A1">
        <w:trPr>
          <w:trHeight w:val="255"/>
        </w:trPr>
        <w:tc>
          <w:tcPr>
            <w:tcW w:w="2111" w:type="pct"/>
            <w:vAlign w:val="center"/>
          </w:tcPr>
          <w:p w14:paraId="43C52D73"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Sociálna poisťovňa</w:t>
            </w:r>
          </w:p>
        </w:tc>
        <w:tc>
          <w:tcPr>
            <w:tcW w:w="649" w:type="pct"/>
            <w:vAlign w:val="center"/>
          </w:tcPr>
          <w:p w14:paraId="7E6D6732" w14:textId="77777777" w:rsidR="00CA1734" w:rsidRPr="00200377" w:rsidRDefault="00CA1734" w:rsidP="005369A1">
            <w:pPr>
              <w:spacing w:after="0"/>
              <w:jc w:val="right"/>
              <w:rPr>
                <w:color w:val="000000"/>
                <w:sz w:val="18"/>
                <w:szCs w:val="18"/>
              </w:rPr>
            </w:pPr>
            <w:r w:rsidRPr="00200377">
              <w:rPr>
                <w:color w:val="000000"/>
                <w:sz w:val="18"/>
                <w:szCs w:val="18"/>
              </w:rPr>
              <w:t>10 135 747</w:t>
            </w:r>
          </w:p>
        </w:tc>
        <w:tc>
          <w:tcPr>
            <w:tcW w:w="776" w:type="pct"/>
            <w:vAlign w:val="center"/>
          </w:tcPr>
          <w:p w14:paraId="461CE1E0" w14:textId="77777777" w:rsidR="00CA1734" w:rsidRPr="00125972" w:rsidRDefault="00CA1734" w:rsidP="005369A1">
            <w:pPr>
              <w:spacing w:after="0"/>
              <w:jc w:val="right"/>
              <w:rPr>
                <w:rFonts w:eastAsia="Calibri" w:cs="Segoe UI"/>
                <w:sz w:val="18"/>
                <w:szCs w:val="18"/>
              </w:rPr>
            </w:pPr>
            <w:r>
              <w:rPr>
                <w:color w:val="000000"/>
                <w:sz w:val="18"/>
                <w:szCs w:val="18"/>
              </w:rPr>
              <w:t>11 300 511</w:t>
            </w:r>
          </w:p>
        </w:tc>
        <w:tc>
          <w:tcPr>
            <w:tcW w:w="776" w:type="pct"/>
            <w:vAlign w:val="center"/>
          </w:tcPr>
          <w:p w14:paraId="5D1219D4" w14:textId="77777777" w:rsidR="00CA1734" w:rsidRPr="00125972" w:rsidRDefault="00CA1734" w:rsidP="005369A1">
            <w:pPr>
              <w:spacing w:after="0"/>
              <w:jc w:val="right"/>
              <w:rPr>
                <w:rFonts w:eastAsia="Calibri" w:cs="Segoe UI"/>
                <w:sz w:val="18"/>
                <w:szCs w:val="18"/>
              </w:rPr>
            </w:pPr>
            <w:r>
              <w:rPr>
                <w:color w:val="000000"/>
                <w:sz w:val="18"/>
                <w:szCs w:val="18"/>
              </w:rPr>
              <w:t>11 327 035</w:t>
            </w:r>
          </w:p>
        </w:tc>
        <w:tc>
          <w:tcPr>
            <w:tcW w:w="688" w:type="pct"/>
            <w:vAlign w:val="center"/>
          </w:tcPr>
          <w:p w14:paraId="1A75B07C" w14:textId="77777777" w:rsidR="00CA1734" w:rsidRPr="00125972" w:rsidRDefault="00CA1734" w:rsidP="005369A1">
            <w:pPr>
              <w:spacing w:after="0"/>
              <w:jc w:val="right"/>
              <w:rPr>
                <w:rFonts w:eastAsia="Calibri" w:cs="Segoe UI"/>
                <w:sz w:val="18"/>
                <w:szCs w:val="18"/>
              </w:rPr>
            </w:pPr>
            <w:r>
              <w:rPr>
                <w:color w:val="000000"/>
                <w:sz w:val="18"/>
                <w:szCs w:val="18"/>
              </w:rPr>
              <w:t>26 524</w:t>
            </w:r>
          </w:p>
        </w:tc>
      </w:tr>
      <w:tr w:rsidR="00CA1734" w:rsidRPr="00125972" w14:paraId="26D71DD5" w14:textId="77777777" w:rsidTr="005369A1">
        <w:trPr>
          <w:trHeight w:val="255"/>
        </w:trPr>
        <w:tc>
          <w:tcPr>
            <w:tcW w:w="2111" w:type="pct"/>
            <w:tcBorders>
              <w:bottom w:val="single" w:sz="4" w:space="0" w:color="314364" w:themeColor="text2"/>
            </w:tcBorders>
            <w:vAlign w:val="center"/>
          </w:tcPr>
          <w:p w14:paraId="170BD5BF" w14:textId="77777777" w:rsidR="00CA1734" w:rsidRPr="00125972" w:rsidRDefault="00CA1734" w:rsidP="005369A1">
            <w:pPr>
              <w:spacing w:after="0"/>
              <w:jc w:val="left"/>
              <w:rPr>
                <w:rFonts w:eastAsia="Calibri" w:cs="Segoe UI"/>
                <w:sz w:val="18"/>
                <w:szCs w:val="18"/>
              </w:rPr>
            </w:pPr>
            <w:r w:rsidRPr="00125972">
              <w:rPr>
                <w:rFonts w:eastAsia="Calibri" w:cs="Segoe UI"/>
                <w:sz w:val="18"/>
                <w:szCs w:val="18"/>
              </w:rPr>
              <w:t>Zdravotné poisťovne</w:t>
            </w:r>
          </w:p>
        </w:tc>
        <w:tc>
          <w:tcPr>
            <w:tcW w:w="649" w:type="pct"/>
            <w:tcBorders>
              <w:bottom w:val="single" w:sz="4" w:space="0" w:color="314364" w:themeColor="text2"/>
            </w:tcBorders>
            <w:vAlign w:val="center"/>
          </w:tcPr>
          <w:p w14:paraId="3C13BDC1" w14:textId="77777777" w:rsidR="00CA1734" w:rsidRPr="00200377" w:rsidRDefault="00CA1734" w:rsidP="005369A1">
            <w:pPr>
              <w:spacing w:after="0"/>
              <w:jc w:val="right"/>
              <w:rPr>
                <w:color w:val="000000"/>
                <w:sz w:val="18"/>
                <w:szCs w:val="18"/>
              </w:rPr>
            </w:pPr>
            <w:r w:rsidRPr="00200377">
              <w:rPr>
                <w:color w:val="000000"/>
                <w:sz w:val="18"/>
                <w:szCs w:val="18"/>
              </w:rPr>
              <w:t>5 204 310</w:t>
            </w:r>
          </w:p>
        </w:tc>
        <w:tc>
          <w:tcPr>
            <w:tcW w:w="776" w:type="pct"/>
            <w:tcBorders>
              <w:bottom w:val="single" w:sz="4" w:space="0" w:color="314364" w:themeColor="text2"/>
            </w:tcBorders>
            <w:vAlign w:val="center"/>
          </w:tcPr>
          <w:p w14:paraId="5C6365E2" w14:textId="77777777" w:rsidR="00CA1734" w:rsidRPr="00125972" w:rsidRDefault="00CA1734" w:rsidP="005369A1">
            <w:pPr>
              <w:spacing w:after="0"/>
              <w:jc w:val="right"/>
              <w:rPr>
                <w:rFonts w:eastAsia="Calibri" w:cs="Segoe UI"/>
                <w:sz w:val="18"/>
                <w:szCs w:val="18"/>
              </w:rPr>
            </w:pPr>
            <w:r>
              <w:rPr>
                <w:color w:val="000000"/>
                <w:sz w:val="18"/>
                <w:szCs w:val="18"/>
              </w:rPr>
              <w:t>5 978 605</w:t>
            </w:r>
          </w:p>
        </w:tc>
        <w:tc>
          <w:tcPr>
            <w:tcW w:w="776" w:type="pct"/>
            <w:tcBorders>
              <w:bottom w:val="single" w:sz="4" w:space="0" w:color="314364" w:themeColor="text2"/>
            </w:tcBorders>
            <w:vAlign w:val="center"/>
          </w:tcPr>
          <w:p w14:paraId="6C4887F5" w14:textId="77777777" w:rsidR="00CA1734" w:rsidRPr="00125972" w:rsidRDefault="00CA1734" w:rsidP="005369A1">
            <w:pPr>
              <w:spacing w:after="0"/>
              <w:jc w:val="right"/>
              <w:rPr>
                <w:rFonts w:eastAsia="Calibri" w:cs="Segoe UI"/>
                <w:sz w:val="18"/>
                <w:szCs w:val="18"/>
              </w:rPr>
            </w:pPr>
            <w:r>
              <w:rPr>
                <w:color w:val="000000"/>
                <w:sz w:val="18"/>
                <w:szCs w:val="18"/>
              </w:rPr>
              <w:t>5 957 980</w:t>
            </w:r>
          </w:p>
        </w:tc>
        <w:tc>
          <w:tcPr>
            <w:tcW w:w="688" w:type="pct"/>
            <w:tcBorders>
              <w:bottom w:val="single" w:sz="4" w:space="0" w:color="314364" w:themeColor="text2"/>
            </w:tcBorders>
            <w:vAlign w:val="center"/>
          </w:tcPr>
          <w:p w14:paraId="3594C1AF" w14:textId="77777777" w:rsidR="00CA1734" w:rsidRPr="00125972" w:rsidRDefault="00CA1734" w:rsidP="005369A1">
            <w:pPr>
              <w:spacing w:after="0"/>
              <w:jc w:val="right"/>
              <w:rPr>
                <w:rFonts w:eastAsia="Calibri" w:cs="Segoe UI"/>
                <w:sz w:val="18"/>
                <w:szCs w:val="18"/>
              </w:rPr>
            </w:pPr>
            <w:r>
              <w:rPr>
                <w:color w:val="000000"/>
                <w:sz w:val="18"/>
                <w:szCs w:val="18"/>
              </w:rPr>
              <w:t>-20 625</w:t>
            </w:r>
          </w:p>
        </w:tc>
      </w:tr>
      <w:tr w:rsidR="00CA1734" w:rsidRPr="00125972" w14:paraId="3124BC4B" w14:textId="77777777" w:rsidTr="005369A1">
        <w:trPr>
          <w:trHeight w:val="255"/>
        </w:trPr>
        <w:tc>
          <w:tcPr>
            <w:tcW w:w="2111" w:type="pct"/>
            <w:tcBorders>
              <w:top w:val="single" w:sz="4" w:space="0" w:color="314364" w:themeColor="text2"/>
              <w:bottom w:val="single" w:sz="4" w:space="0" w:color="314364" w:themeColor="text2"/>
            </w:tcBorders>
            <w:vAlign w:val="center"/>
          </w:tcPr>
          <w:p w14:paraId="25A04441" w14:textId="77777777" w:rsidR="00CA1734" w:rsidRPr="00125972" w:rsidRDefault="00CA1734" w:rsidP="005369A1">
            <w:pPr>
              <w:spacing w:after="0"/>
              <w:ind w:right="-109"/>
              <w:jc w:val="left"/>
              <w:rPr>
                <w:rFonts w:eastAsia="Calibri" w:cs="Segoe UI"/>
                <w:b/>
                <w:sz w:val="18"/>
                <w:szCs w:val="18"/>
              </w:rPr>
            </w:pPr>
            <w:r w:rsidRPr="00125972">
              <w:rPr>
                <w:rFonts w:eastAsia="Calibri" w:cs="Segoe UI"/>
                <w:b/>
                <w:sz w:val="18"/>
                <w:szCs w:val="18"/>
              </w:rPr>
              <w:t>Spolu daňové a odvodové príjmy</w:t>
            </w:r>
          </w:p>
        </w:tc>
        <w:tc>
          <w:tcPr>
            <w:tcW w:w="649" w:type="pct"/>
            <w:tcBorders>
              <w:top w:val="single" w:sz="4" w:space="0" w:color="314364" w:themeColor="text2"/>
              <w:bottom w:val="single" w:sz="4" w:space="0" w:color="314364" w:themeColor="text2"/>
            </w:tcBorders>
            <w:vAlign w:val="center"/>
          </w:tcPr>
          <w:p w14:paraId="10673D38" w14:textId="77777777" w:rsidR="00CA1734" w:rsidRPr="00200377" w:rsidRDefault="00CA1734" w:rsidP="005369A1">
            <w:pPr>
              <w:spacing w:after="0"/>
              <w:jc w:val="right"/>
              <w:rPr>
                <w:b/>
                <w:bCs/>
                <w:color w:val="000000"/>
                <w:sz w:val="18"/>
                <w:szCs w:val="18"/>
              </w:rPr>
            </w:pPr>
            <w:r w:rsidRPr="00200377">
              <w:rPr>
                <w:b/>
                <w:bCs/>
                <w:color w:val="000000"/>
                <w:sz w:val="18"/>
                <w:szCs w:val="18"/>
              </w:rPr>
              <w:t>38 778 854</w:t>
            </w:r>
          </w:p>
        </w:tc>
        <w:tc>
          <w:tcPr>
            <w:tcW w:w="776" w:type="pct"/>
            <w:tcBorders>
              <w:top w:val="single" w:sz="4" w:space="0" w:color="314364" w:themeColor="text2"/>
              <w:bottom w:val="single" w:sz="4" w:space="0" w:color="314364" w:themeColor="text2"/>
            </w:tcBorders>
            <w:vAlign w:val="center"/>
          </w:tcPr>
          <w:p w14:paraId="63A44B62" w14:textId="77777777" w:rsidR="00CA1734" w:rsidRPr="00125972" w:rsidRDefault="00CA1734" w:rsidP="005369A1">
            <w:pPr>
              <w:spacing w:after="0"/>
              <w:jc w:val="right"/>
              <w:rPr>
                <w:rFonts w:eastAsia="Calibri" w:cs="Segoe UI"/>
                <w:b/>
                <w:sz w:val="18"/>
                <w:szCs w:val="18"/>
              </w:rPr>
            </w:pPr>
            <w:r>
              <w:rPr>
                <w:b/>
                <w:bCs/>
                <w:color w:val="000000"/>
                <w:sz w:val="18"/>
                <w:szCs w:val="18"/>
              </w:rPr>
              <w:t>41 810 585</w:t>
            </w:r>
          </w:p>
        </w:tc>
        <w:tc>
          <w:tcPr>
            <w:tcW w:w="776" w:type="pct"/>
            <w:tcBorders>
              <w:top w:val="single" w:sz="4" w:space="0" w:color="314364" w:themeColor="text2"/>
              <w:bottom w:val="single" w:sz="4" w:space="0" w:color="314364" w:themeColor="text2"/>
            </w:tcBorders>
            <w:vAlign w:val="center"/>
          </w:tcPr>
          <w:p w14:paraId="30ECD7BA" w14:textId="77777777" w:rsidR="00CA1734" w:rsidRPr="00125972" w:rsidRDefault="00CA1734" w:rsidP="005369A1">
            <w:pPr>
              <w:spacing w:after="0"/>
              <w:jc w:val="right"/>
              <w:rPr>
                <w:rFonts w:eastAsia="Calibri" w:cs="Segoe UI"/>
                <w:b/>
                <w:sz w:val="18"/>
                <w:szCs w:val="18"/>
              </w:rPr>
            </w:pPr>
            <w:r>
              <w:rPr>
                <w:b/>
                <w:bCs/>
                <w:color w:val="000000"/>
                <w:sz w:val="18"/>
                <w:szCs w:val="18"/>
              </w:rPr>
              <w:t>41 870 574</w:t>
            </w:r>
          </w:p>
        </w:tc>
        <w:tc>
          <w:tcPr>
            <w:tcW w:w="688" w:type="pct"/>
            <w:tcBorders>
              <w:top w:val="single" w:sz="4" w:space="0" w:color="314364" w:themeColor="text2"/>
              <w:bottom w:val="single" w:sz="4" w:space="0" w:color="314364" w:themeColor="text2"/>
            </w:tcBorders>
            <w:vAlign w:val="center"/>
          </w:tcPr>
          <w:p w14:paraId="091CCE58" w14:textId="77777777" w:rsidR="00CA1734" w:rsidRPr="00125972" w:rsidRDefault="00CA1734" w:rsidP="005369A1">
            <w:pPr>
              <w:spacing w:after="0"/>
              <w:jc w:val="right"/>
              <w:rPr>
                <w:rFonts w:eastAsia="Calibri" w:cs="Segoe UI"/>
                <w:b/>
                <w:sz w:val="18"/>
                <w:szCs w:val="18"/>
              </w:rPr>
            </w:pPr>
            <w:r>
              <w:rPr>
                <w:b/>
                <w:bCs/>
                <w:color w:val="000000"/>
                <w:sz w:val="18"/>
                <w:szCs w:val="18"/>
              </w:rPr>
              <w:t>59 989</w:t>
            </w:r>
          </w:p>
        </w:tc>
      </w:tr>
    </w:tbl>
    <w:p w14:paraId="6958572B" w14:textId="7B2474BD" w:rsidR="00CA1734" w:rsidRDefault="00CA1734" w:rsidP="00CA1734">
      <w:pPr>
        <w:pStyle w:val="Zdroj"/>
      </w:pPr>
      <w:r>
        <w:t>Zdroj: MF SR.</w:t>
      </w:r>
      <w:r>
        <w:br/>
        <w:t>S – skutočnosť, R – rozpočet</w:t>
      </w:r>
      <w:r w:rsidR="00C10075">
        <w:t>.</w:t>
      </w:r>
    </w:p>
    <w:p w14:paraId="2438D62F" w14:textId="77777777" w:rsidR="008A4BCF" w:rsidRDefault="008A4BCF" w:rsidP="008A4BCF">
      <w:pPr>
        <w:pStyle w:val="Zdroj"/>
      </w:pPr>
      <w:r>
        <w:br w:type="page"/>
      </w:r>
    </w:p>
    <w:p w14:paraId="2D10597E" w14:textId="123A2131" w:rsidR="00605DE7" w:rsidRPr="00BA10F2" w:rsidRDefault="00605DE7" w:rsidP="00605DE7">
      <w:pPr>
        <w:keepNext/>
        <w:spacing w:after="0" w:line="240" w:lineRule="auto"/>
        <w:rPr>
          <w:rFonts w:eastAsia="Calibri" w:cs="Times New Roman"/>
          <w:b/>
          <w:iCs/>
          <w:color w:val="314364"/>
          <w:szCs w:val="18"/>
        </w:rPr>
      </w:pPr>
      <w:r w:rsidRPr="00BA10F2">
        <w:rPr>
          <w:rFonts w:eastAsia="Calibri" w:cs="Times New Roman"/>
          <w:b/>
          <w:iCs/>
          <w:color w:val="314364"/>
          <w:szCs w:val="18"/>
        </w:rPr>
        <w:lastRenderedPageBreak/>
        <w:t xml:space="preserve">Tabuľka 3: Maastrichtský dlh </w:t>
      </w:r>
      <w:r w:rsidR="00F9414B">
        <w:rPr>
          <w:rFonts w:eastAsia="Calibri" w:cs="Times New Roman"/>
          <w:b/>
          <w:iCs/>
          <w:color w:val="314364"/>
          <w:szCs w:val="18"/>
        </w:rPr>
        <w:t>VS</w:t>
      </w:r>
      <w:r w:rsidRPr="00BA10F2">
        <w:rPr>
          <w:rFonts w:eastAsia="Calibri" w:cs="Times New Roman"/>
          <w:b/>
          <w:iCs/>
          <w:color w:val="314364"/>
          <w:szCs w:val="18"/>
        </w:rPr>
        <w:t xml:space="preserve"> podľa jednotlivých subjektov (v tis. eur)</w:t>
      </w:r>
    </w:p>
    <w:tbl>
      <w:tblPr>
        <w:tblW w:w="5037" w:type="pct"/>
        <w:tblCellMar>
          <w:left w:w="70" w:type="dxa"/>
          <w:right w:w="70" w:type="dxa"/>
        </w:tblCellMar>
        <w:tblLook w:val="04A0" w:firstRow="1" w:lastRow="0" w:firstColumn="1" w:lastColumn="0" w:noHBand="0" w:noVBand="1"/>
      </w:tblPr>
      <w:tblGrid>
        <w:gridCol w:w="5258"/>
        <w:gridCol w:w="1068"/>
        <w:gridCol w:w="1068"/>
        <w:gridCol w:w="965"/>
        <w:gridCol w:w="778"/>
      </w:tblGrid>
      <w:tr w:rsidR="00605DE7" w:rsidRPr="00BA10F2" w14:paraId="0B84FB53" w14:textId="77777777" w:rsidTr="00951EA0">
        <w:trPr>
          <w:trHeight w:val="283"/>
          <w:tblHeader/>
        </w:trPr>
        <w:tc>
          <w:tcPr>
            <w:tcW w:w="2877" w:type="pct"/>
            <w:shd w:val="clear" w:color="auto" w:fill="314364"/>
            <w:vAlign w:val="center"/>
            <w:hideMark/>
          </w:tcPr>
          <w:p w14:paraId="6745FDA7" w14:textId="77777777" w:rsidR="00605DE7" w:rsidRPr="00BA10F2" w:rsidRDefault="00605DE7" w:rsidP="00951EA0">
            <w:pPr>
              <w:spacing w:after="0" w:line="240" w:lineRule="auto"/>
              <w:rPr>
                <w:rFonts w:eastAsia="Times New Roman" w:cs="Segoe UI"/>
                <w:b/>
                <w:bCs/>
                <w:color w:val="FFFFFF"/>
                <w:sz w:val="18"/>
                <w:szCs w:val="18"/>
              </w:rPr>
            </w:pPr>
            <w:r w:rsidRPr="00BA10F2">
              <w:rPr>
                <w:rFonts w:eastAsia="Times New Roman" w:cs="Segoe UI"/>
                <w:b/>
                <w:bCs/>
                <w:color w:val="FFFFFF"/>
                <w:sz w:val="18"/>
                <w:szCs w:val="18"/>
              </w:rPr>
              <w:t>Subjekty verejnej správy</w:t>
            </w:r>
          </w:p>
        </w:tc>
        <w:tc>
          <w:tcPr>
            <w:tcW w:w="584" w:type="pct"/>
            <w:shd w:val="clear" w:color="auto" w:fill="314364"/>
            <w:vAlign w:val="center"/>
          </w:tcPr>
          <w:p w14:paraId="0320E96E" w14:textId="77777777" w:rsidR="00605DE7" w:rsidRPr="00BA10F2" w:rsidRDefault="00605DE7" w:rsidP="00951EA0">
            <w:pPr>
              <w:spacing w:after="0" w:line="240" w:lineRule="auto"/>
              <w:jc w:val="center"/>
              <w:rPr>
                <w:rFonts w:eastAsia="Times New Roman" w:cs="Segoe UI"/>
                <w:b/>
                <w:bCs/>
                <w:color w:val="FFFFFF"/>
                <w:sz w:val="18"/>
                <w:szCs w:val="18"/>
              </w:rPr>
            </w:pPr>
            <w:r>
              <w:rPr>
                <w:rFonts w:eastAsia="Times New Roman" w:cs="Segoe UI"/>
                <w:b/>
                <w:bCs/>
                <w:color w:val="FFFFFF"/>
                <w:sz w:val="18"/>
                <w:szCs w:val="18"/>
              </w:rPr>
              <w:t>2023</w:t>
            </w:r>
            <w:r w:rsidRPr="00BA10F2">
              <w:rPr>
                <w:rFonts w:eastAsia="Times New Roman" w:cs="Segoe UI"/>
                <w:b/>
                <w:bCs/>
                <w:color w:val="FFFFFF"/>
                <w:sz w:val="18"/>
                <w:szCs w:val="18"/>
              </w:rPr>
              <w:t xml:space="preserve"> S</w:t>
            </w:r>
          </w:p>
        </w:tc>
        <w:tc>
          <w:tcPr>
            <w:tcW w:w="584" w:type="pct"/>
            <w:shd w:val="clear" w:color="auto" w:fill="314364"/>
            <w:vAlign w:val="center"/>
          </w:tcPr>
          <w:p w14:paraId="20A7DACF" w14:textId="77777777" w:rsidR="00605DE7" w:rsidRPr="00BA10F2" w:rsidRDefault="00605DE7" w:rsidP="00951EA0">
            <w:pPr>
              <w:spacing w:after="0" w:line="240" w:lineRule="auto"/>
              <w:jc w:val="center"/>
              <w:rPr>
                <w:rFonts w:eastAsia="Times New Roman" w:cs="Segoe UI"/>
                <w:b/>
                <w:bCs/>
                <w:color w:val="FFFFFF"/>
                <w:sz w:val="18"/>
                <w:szCs w:val="18"/>
              </w:rPr>
            </w:pPr>
            <w:r>
              <w:rPr>
                <w:rFonts w:eastAsia="Times New Roman" w:cs="Segoe UI"/>
                <w:b/>
                <w:bCs/>
                <w:color w:val="FFFFFF"/>
                <w:sz w:val="18"/>
                <w:szCs w:val="18"/>
              </w:rPr>
              <w:t>2024</w:t>
            </w:r>
            <w:r w:rsidRPr="00BA10F2">
              <w:rPr>
                <w:rFonts w:eastAsia="Times New Roman" w:cs="Segoe UI"/>
                <w:b/>
                <w:bCs/>
                <w:color w:val="FFFFFF"/>
                <w:sz w:val="18"/>
                <w:szCs w:val="18"/>
              </w:rPr>
              <w:t xml:space="preserve"> S</w:t>
            </w:r>
          </w:p>
        </w:tc>
        <w:tc>
          <w:tcPr>
            <w:tcW w:w="528" w:type="pct"/>
            <w:shd w:val="clear" w:color="auto" w:fill="314364"/>
            <w:vAlign w:val="center"/>
          </w:tcPr>
          <w:p w14:paraId="6281F35E" w14:textId="77777777" w:rsidR="00605DE7" w:rsidRPr="00BA10F2" w:rsidRDefault="00605DE7" w:rsidP="00951EA0">
            <w:pPr>
              <w:spacing w:after="0" w:line="240" w:lineRule="auto"/>
              <w:jc w:val="center"/>
              <w:rPr>
                <w:rFonts w:eastAsia="Times New Roman" w:cs="Segoe UI"/>
                <w:b/>
                <w:bCs/>
                <w:color w:val="FFFFFF"/>
                <w:sz w:val="18"/>
                <w:szCs w:val="18"/>
              </w:rPr>
            </w:pPr>
            <w:r>
              <w:rPr>
                <w:rFonts w:eastAsia="Times New Roman" w:cs="Segoe UI"/>
                <w:b/>
                <w:bCs/>
                <w:color w:val="FFFFFF"/>
                <w:sz w:val="18"/>
                <w:szCs w:val="18"/>
              </w:rPr>
              <w:t>24S-23</w:t>
            </w:r>
            <w:r w:rsidRPr="00BA10F2">
              <w:rPr>
                <w:rFonts w:eastAsia="Times New Roman" w:cs="Segoe UI"/>
                <w:b/>
                <w:bCs/>
                <w:color w:val="FFFFFF"/>
                <w:sz w:val="18"/>
                <w:szCs w:val="18"/>
              </w:rPr>
              <w:t>S</w:t>
            </w:r>
          </w:p>
        </w:tc>
        <w:tc>
          <w:tcPr>
            <w:tcW w:w="426" w:type="pct"/>
            <w:shd w:val="clear" w:color="auto" w:fill="314364"/>
            <w:vAlign w:val="center"/>
          </w:tcPr>
          <w:p w14:paraId="2E624886" w14:textId="77777777" w:rsidR="00605DE7" w:rsidRPr="00BA10F2" w:rsidRDefault="00605DE7" w:rsidP="00951EA0">
            <w:pPr>
              <w:spacing w:after="0" w:line="240" w:lineRule="auto"/>
              <w:jc w:val="center"/>
              <w:rPr>
                <w:rFonts w:eastAsia="Times New Roman" w:cs="Segoe UI"/>
                <w:b/>
                <w:bCs/>
                <w:color w:val="FFFFFF"/>
                <w:sz w:val="18"/>
                <w:szCs w:val="18"/>
              </w:rPr>
            </w:pPr>
            <w:proofErr w:type="spellStart"/>
            <w:r w:rsidRPr="00BA10F2">
              <w:rPr>
                <w:rFonts w:eastAsia="Times New Roman" w:cs="Segoe UI"/>
                <w:b/>
                <w:bCs/>
                <w:color w:val="FFFFFF"/>
                <w:sz w:val="18"/>
                <w:szCs w:val="18"/>
              </w:rPr>
              <w:t>YoY</w:t>
            </w:r>
            <w:proofErr w:type="spellEnd"/>
          </w:p>
        </w:tc>
      </w:tr>
      <w:tr w:rsidR="00605DE7" w:rsidRPr="00BA10F2" w14:paraId="16CAD32B" w14:textId="77777777" w:rsidTr="00951EA0">
        <w:trPr>
          <w:trHeight w:val="283"/>
        </w:trPr>
        <w:tc>
          <w:tcPr>
            <w:tcW w:w="2877" w:type="pct"/>
            <w:shd w:val="clear" w:color="auto" w:fill="auto"/>
            <w:noWrap/>
            <w:vAlign w:val="bottom"/>
            <w:hideMark/>
          </w:tcPr>
          <w:p w14:paraId="07AA4CF0" w14:textId="77777777" w:rsidR="00605DE7" w:rsidRPr="00BA10F2" w:rsidRDefault="00605DE7" w:rsidP="00951EA0">
            <w:pPr>
              <w:spacing w:after="0" w:line="240" w:lineRule="auto"/>
              <w:rPr>
                <w:rFonts w:eastAsia="Times New Roman" w:cs="Segoe UI"/>
                <w:b/>
                <w:bCs/>
                <w:sz w:val="18"/>
                <w:szCs w:val="18"/>
              </w:rPr>
            </w:pPr>
            <w:r w:rsidRPr="00BA10F2">
              <w:rPr>
                <w:rFonts w:eastAsia="Times New Roman" w:cs="Segoe UI"/>
                <w:b/>
                <w:bCs/>
                <w:sz w:val="18"/>
                <w:szCs w:val="18"/>
              </w:rPr>
              <w:t>Ústredná správa</w:t>
            </w:r>
          </w:p>
        </w:tc>
        <w:tc>
          <w:tcPr>
            <w:tcW w:w="584" w:type="pct"/>
            <w:tcBorders>
              <w:top w:val="nil"/>
              <w:left w:val="nil"/>
              <w:bottom w:val="nil"/>
              <w:right w:val="nil"/>
            </w:tcBorders>
            <w:shd w:val="clear" w:color="auto" w:fill="auto"/>
            <w:noWrap/>
            <w:vAlign w:val="center"/>
          </w:tcPr>
          <w:p w14:paraId="2B5645FE" w14:textId="77777777" w:rsidR="00605DE7" w:rsidRPr="00BA10F2" w:rsidRDefault="00605DE7" w:rsidP="00951EA0">
            <w:pPr>
              <w:spacing w:after="0" w:line="240" w:lineRule="auto"/>
              <w:rPr>
                <w:rFonts w:eastAsia="Times New Roman" w:cs="Segoe UI"/>
                <w:sz w:val="18"/>
                <w:szCs w:val="18"/>
              </w:rPr>
            </w:pPr>
          </w:p>
        </w:tc>
        <w:tc>
          <w:tcPr>
            <w:tcW w:w="584" w:type="pct"/>
            <w:shd w:val="clear" w:color="auto" w:fill="auto"/>
            <w:noWrap/>
            <w:vAlign w:val="bottom"/>
          </w:tcPr>
          <w:p w14:paraId="27C7DA98" w14:textId="77777777" w:rsidR="00605DE7" w:rsidRPr="00BA10F2" w:rsidRDefault="00605DE7" w:rsidP="00951EA0">
            <w:pPr>
              <w:spacing w:after="0" w:line="240" w:lineRule="auto"/>
              <w:rPr>
                <w:rFonts w:eastAsia="Times New Roman" w:cs="Segoe UI"/>
                <w:sz w:val="18"/>
                <w:szCs w:val="18"/>
              </w:rPr>
            </w:pPr>
          </w:p>
        </w:tc>
        <w:tc>
          <w:tcPr>
            <w:tcW w:w="528" w:type="pct"/>
            <w:shd w:val="clear" w:color="auto" w:fill="auto"/>
            <w:noWrap/>
            <w:vAlign w:val="bottom"/>
          </w:tcPr>
          <w:p w14:paraId="3919D156" w14:textId="77777777" w:rsidR="00605DE7" w:rsidRPr="00BA10F2" w:rsidRDefault="00605DE7" w:rsidP="00951EA0">
            <w:pPr>
              <w:spacing w:after="0" w:line="240" w:lineRule="auto"/>
              <w:rPr>
                <w:rFonts w:eastAsia="Times New Roman" w:cs="Segoe UI"/>
                <w:sz w:val="18"/>
                <w:szCs w:val="18"/>
              </w:rPr>
            </w:pPr>
          </w:p>
        </w:tc>
        <w:tc>
          <w:tcPr>
            <w:tcW w:w="426" w:type="pct"/>
            <w:shd w:val="clear" w:color="auto" w:fill="auto"/>
            <w:noWrap/>
            <w:vAlign w:val="bottom"/>
          </w:tcPr>
          <w:p w14:paraId="2E809B19" w14:textId="77777777" w:rsidR="00605DE7" w:rsidRPr="00BA10F2" w:rsidRDefault="00605DE7" w:rsidP="00951EA0">
            <w:pPr>
              <w:spacing w:after="0" w:line="240" w:lineRule="auto"/>
              <w:rPr>
                <w:rFonts w:eastAsia="Times New Roman" w:cs="Segoe UI"/>
                <w:sz w:val="18"/>
                <w:szCs w:val="18"/>
              </w:rPr>
            </w:pPr>
          </w:p>
        </w:tc>
      </w:tr>
      <w:tr w:rsidR="00605DE7" w:rsidRPr="00BA10F2" w14:paraId="22414340" w14:textId="77777777" w:rsidTr="00951EA0">
        <w:trPr>
          <w:trHeight w:val="283"/>
        </w:trPr>
        <w:tc>
          <w:tcPr>
            <w:tcW w:w="2877" w:type="pct"/>
            <w:tcBorders>
              <w:top w:val="nil"/>
              <w:left w:val="nil"/>
              <w:bottom w:val="nil"/>
              <w:right w:val="nil"/>
            </w:tcBorders>
            <w:shd w:val="clear" w:color="auto" w:fill="auto"/>
            <w:noWrap/>
            <w:vAlign w:val="center"/>
            <w:hideMark/>
          </w:tcPr>
          <w:p w14:paraId="7E13DE3A" w14:textId="77777777" w:rsidR="00605DE7" w:rsidRPr="00135A56" w:rsidRDefault="00605DE7" w:rsidP="00605DE7">
            <w:pPr>
              <w:numPr>
                <w:ilvl w:val="0"/>
                <w:numId w:val="3"/>
              </w:numPr>
              <w:spacing w:after="0" w:line="240" w:lineRule="auto"/>
              <w:contextualSpacing/>
              <w:rPr>
                <w:rFonts w:eastAsia="Times New Roman" w:cs="Segoe UI"/>
                <w:sz w:val="18"/>
                <w:szCs w:val="18"/>
                <w:lang w:eastAsia="sk-SK"/>
              </w:rPr>
            </w:pPr>
            <w:r>
              <w:rPr>
                <w:rFonts w:eastAsia="Times New Roman" w:cs="Segoe UI"/>
                <w:sz w:val="18"/>
                <w:szCs w:val="18"/>
                <w:lang w:eastAsia="sk-SK"/>
              </w:rPr>
              <w:t>Štátny dlh*</w:t>
            </w:r>
          </w:p>
        </w:tc>
        <w:tc>
          <w:tcPr>
            <w:tcW w:w="584" w:type="pct"/>
            <w:tcBorders>
              <w:top w:val="nil"/>
              <w:left w:val="nil"/>
              <w:bottom w:val="nil"/>
              <w:right w:val="nil"/>
            </w:tcBorders>
            <w:shd w:val="clear" w:color="auto" w:fill="auto"/>
            <w:noWrap/>
            <w:vAlign w:val="center"/>
          </w:tcPr>
          <w:p w14:paraId="5B414D75"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66 540 942</w:t>
            </w:r>
          </w:p>
        </w:tc>
        <w:tc>
          <w:tcPr>
            <w:tcW w:w="584" w:type="pct"/>
            <w:tcBorders>
              <w:top w:val="nil"/>
              <w:left w:val="nil"/>
              <w:bottom w:val="nil"/>
              <w:right w:val="nil"/>
            </w:tcBorders>
            <w:shd w:val="clear" w:color="auto" w:fill="auto"/>
            <w:noWrap/>
            <w:vAlign w:val="center"/>
          </w:tcPr>
          <w:p w14:paraId="73455B0A"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75 320 226</w:t>
            </w:r>
          </w:p>
        </w:tc>
        <w:tc>
          <w:tcPr>
            <w:tcW w:w="528" w:type="pct"/>
            <w:tcBorders>
              <w:top w:val="nil"/>
              <w:left w:val="nil"/>
              <w:bottom w:val="nil"/>
              <w:right w:val="nil"/>
            </w:tcBorders>
            <w:shd w:val="clear" w:color="auto" w:fill="auto"/>
            <w:noWrap/>
            <w:vAlign w:val="center"/>
          </w:tcPr>
          <w:p w14:paraId="46C2912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8 779 284</w:t>
            </w:r>
          </w:p>
        </w:tc>
        <w:tc>
          <w:tcPr>
            <w:tcW w:w="426" w:type="pct"/>
            <w:tcBorders>
              <w:top w:val="nil"/>
              <w:left w:val="nil"/>
              <w:bottom w:val="nil"/>
              <w:right w:val="nil"/>
            </w:tcBorders>
            <w:shd w:val="clear" w:color="auto" w:fill="auto"/>
            <w:noWrap/>
            <w:vAlign w:val="center"/>
          </w:tcPr>
          <w:p w14:paraId="3147958E"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88,3</w:t>
            </w:r>
          </w:p>
        </w:tc>
      </w:tr>
      <w:tr w:rsidR="00605DE7" w:rsidRPr="00BA10F2" w14:paraId="32B61655" w14:textId="77777777" w:rsidTr="00951EA0">
        <w:trPr>
          <w:trHeight w:val="283"/>
        </w:trPr>
        <w:tc>
          <w:tcPr>
            <w:tcW w:w="2877" w:type="pct"/>
            <w:tcBorders>
              <w:top w:val="nil"/>
              <w:left w:val="nil"/>
              <w:bottom w:val="nil"/>
              <w:right w:val="nil"/>
            </w:tcBorders>
            <w:shd w:val="clear" w:color="auto" w:fill="auto"/>
            <w:noWrap/>
            <w:vAlign w:val="center"/>
            <w:hideMark/>
          </w:tcPr>
          <w:p w14:paraId="3CBDBFD9" w14:textId="77777777" w:rsidR="00605DE7" w:rsidRPr="00135A56" w:rsidRDefault="00605DE7" w:rsidP="00605DE7">
            <w:pPr>
              <w:numPr>
                <w:ilvl w:val="0"/>
                <w:numId w:val="3"/>
              </w:numPr>
              <w:spacing w:after="0" w:line="240" w:lineRule="auto"/>
              <w:contextualSpacing/>
              <w:rPr>
                <w:rFonts w:eastAsia="Times New Roman" w:cs="Segoe UI"/>
                <w:sz w:val="18"/>
                <w:szCs w:val="18"/>
                <w:lang w:eastAsia="sk-SK"/>
              </w:rPr>
            </w:pPr>
            <w:r w:rsidRPr="00135A56">
              <w:rPr>
                <w:rFonts w:eastAsia="Times New Roman" w:cs="Segoe UI"/>
                <w:sz w:val="18"/>
                <w:szCs w:val="18"/>
                <w:lang w:eastAsia="sk-SK"/>
              </w:rPr>
              <w:t>Príspevkové organizácie ústrednej správy</w:t>
            </w:r>
          </w:p>
        </w:tc>
        <w:tc>
          <w:tcPr>
            <w:tcW w:w="584" w:type="pct"/>
            <w:tcBorders>
              <w:top w:val="nil"/>
              <w:left w:val="nil"/>
              <w:bottom w:val="nil"/>
              <w:right w:val="nil"/>
            </w:tcBorders>
            <w:shd w:val="clear" w:color="auto" w:fill="auto"/>
            <w:noWrap/>
            <w:vAlign w:val="center"/>
          </w:tcPr>
          <w:p w14:paraId="5675BA41"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618</w:t>
            </w:r>
          </w:p>
        </w:tc>
        <w:tc>
          <w:tcPr>
            <w:tcW w:w="584" w:type="pct"/>
            <w:tcBorders>
              <w:top w:val="nil"/>
              <w:left w:val="nil"/>
              <w:bottom w:val="nil"/>
              <w:right w:val="nil"/>
            </w:tcBorders>
            <w:shd w:val="clear" w:color="auto" w:fill="auto"/>
            <w:noWrap/>
            <w:vAlign w:val="center"/>
          </w:tcPr>
          <w:p w14:paraId="7D7721F5"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469</w:t>
            </w:r>
          </w:p>
        </w:tc>
        <w:tc>
          <w:tcPr>
            <w:tcW w:w="528" w:type="pct"/>
            <w:tcBorders>
              <w:top w:val="nil"/>
              <w:left w:val="nil"/>
              <w:bottom w:val="nil"/>
              <w:right w:val="nil"/>
            </w:tcBorders>
            <w:shd w:val="clear" w:color="auto" w:fill="auto"/>
            <w:noWrap/>
            <w:vAlign w:val="center"/>
          </w:tcPr>
          <w:p w14:paraId="5E5EA5BE"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-149</w:t>
            </w:r>
          </w:p>
        </w:tc>
        <w:tc>
          <w:tcPr>
            <w:tcW w:w="426" w:type="pct"/>
            <w:tcBorders>
              <w:top w:val="nil"/>
              <w:left w:val="nil"/>
              <w:bottom w:val="nil"/>
              <w:right w:val="nil"/>
            </w:tcBorders>
            <w:shd w:val="clear" w:color="auto" w:fill="auto"/>
            <w:noWrap/>
            <w:vAlign w:val="center"/>
          </w:tcPr>
          <w:p w14:paraId="7009600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131,8</w:t>
            </w:r>
          </w:p>
        </w:tc>
      </w:tr>
      <w:tr w:rsidR="00605DE7" w:rsidRPr="00BA10F2" w14:paraId="09F67283" w14:textId="77777777" w:rsidTr="00951EA0">
        <w:trPr>
          <w:trHeight w:val="283"/>
        </w:trPr>
        <w:tc>
          <w:tcPr>
            <w:tcW w:w="2877" w:type="pct"/>
            <w:tcBorders>
              <w:top w:val="nil"/>
              <w:left w:val="nil"/>
              <w:bottom w:val="nil"/>
              <w:right w:val="nil"/>
            </w:tcBorders>
            <w:shd w:val="clear" w:color="auto" w:fill="auto"/>
            <w:noWrap/>
            <w:vAlign w:val="center"/>
            <w:hideMark/>
          </w:tcPr>
          <w:p w14:paraId="0E838570" w14:textId="77777777" w:rsidR="00605DE7" w:rsidRPr="00135A56" w:rsidRDefault="00605DE7" w:rsidP="00605DE7">
            <w:pPr>
              <w:numPr>
                <w:ilvl w:val="0"/>
                <w:numId w:val="3"/>
              </w:numPr>
              <w:spacing w:after="0" w:line="240" w:lineRule="auto"/>
              <w:contextualSpacing/>
              <w:rPr>
                <w:rFonts w:eastAsia="Times New Roman" w:cs="Segoe UI"/>
                <w:sz w:val="18"/>
                <w:szCs w:val="18"/>
                <w:lang w:eastAsia="sk-SK"/>
              </w:rPr>
            </w:pPr>
            <w:r w:rsidRPr="00135A56">
              <w:rPr>
                <w:rFonts w:eastAsia="Times New Roman" w:cs="Segoe UI"/>
                <w:sz w:val="18"/>
                <w:szCs w:val="18"/>
                <w:lang w:eastAsia="sk-SK"/>
              </w:rPr>
              <w:t>Slovenská záručná a rozvojová banka, a. s.</w:t>
            </w:r>
          </w:p>
        </w:tc>
        <w:tc>
          <w:tcPr>
            <w:tcW w:w="584" w:type="pct"/>
            <w:tcBorders>
              <w:top w:val="nil"/>
              <w:left w:val="nil"/>
              <w:bottom w:val="nil"/>
              <w:right w:val="nil"/>
            </w:tcBorders>
            <w:shd w:val="clear" w:color="auto" w:fill="auto"/>
            <w:noWrap/>
            <w:vAlign w:val="center"/>
          </w:tcPr>
          <w:p w14:paraId="66A2C2E5"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240 167</w:t>
            </w:r>
          </w:p>
        </w:tc>
        <w:tc>
          <w:tcPr>
            <w:tcW w:w="584" w:type="pct"/>
            <w:tcBorders>
              <w:top w:val="nil"/>
              <w:left w:val="nil"/>
              <w:bottom w:val="nil"/>
              <w:right w:val="nil"/>
            </w:tcBorders>
            <w:shd w:val="clear" w:color="auto" w:fill="auto"/>
            <w:noWrap/>
            <w:vAlign w:val="center"/>
          </w:tcPr>
          <w:p w14:paraId="0D1BC7A7"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249 697</w:t>
            </w:r>
          </w:p>
        </w:tc>
        <w:tc>
          <w:tcPr>
            <w:tcW w:w="528" w:type="pct"/>
            <w:tcBorders>
              <w:top w:val="nil"/>
              <w:left w:val="nil"/>
              <w:bottom w:val="nil"/>
              <w:right w:val="nil"/>
            </w:tcBorders>
            <w:shd w:val="clear" w:color="auto" w:fill="auto"/>
            <w:noWrap/>
            <w:vAlign w:val="center"/>
          </w:tcPr>
          <w:p w14:paraId="7DC6F9D3"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9 530</w:t>
            </w:r>
          </w:p>
        </w:tc>
        <w:tc>
          <w:tcPr>
            <w:tcW w:w="426" w:type="pct"/>
            <w:tcBorders>
              <w:top w:val="nil"/>
              <w:left w:val="nil"/>
              <w:bottom w:val="nil"/>
              <w:right w:val="nil"/>
            </w:tcBorders>
            <w:shd w:val="clear" w:color="auto" w:fill="auto"/>
            <w:noWrap/>
            <w:vAlign w:val="center"/>
          </w:tcPr>
          <w:p w14:paraId="556B21A4"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96,2</w:t>
            </w:r>
          </w:p>
        </w:tc>
      </w:tr>
      <w:tr w:rsidR="00605DE7" w:rsidRPr="00BA10F2" w14:paraId="55B26D60" w14:textId="77777777" w:rsidTr="00951EA0">
        <w:trPr>
          <w:trHeight w:val="283"/>
        </w:trPr>
        <w:tc>
          <w:tcPr>
            <w:tcW w:w="2877" w:type="pct"/>
            <w:tcBorders>
              <w:top w:val="nil"/>
              <w:left w:val="nil"/>
              <w:bottom w:val="nil"/>
              <w:right w:val="nil"/>
            </w:tcBorders>
            <w:shd w:val="clear" w:color="auto" w:fill="auto"/>
            <w:noWrap/>
            <w:vAlign w:val="center"/>
            <w:hideMark/>
          </w:tcPr>
          <w:p w14:paraId="4E93CE93" w14:textId="77777777" w:rsidR="00605DE7" w:rsidRPr="00135A56" w:rsidRDefault="00605DE7" w:rsidP="00605DE7">
            <w:pPr>
              <w:numPr>
                <w:ilvl w:val="0"/>
                <w:numId w:val="3"/>
              </w:numPr>
              <w:spacing w:after="0" w:line="240" w:lineRule="auto"/>
              <w:contextualSpacing/>
              <w:rPr>
                <w:rFonts w:eastAsia="Times New Roman" w:cs="Segoe UI"/>
                <w:sz w:val="18"/>
                <w:szCs w:val="18"/>
                <w:lang w:eastAsia="sk-SK"/>
              </w:rPr>
            </w:pPr>
            <w:r w:rsidRPr="00135A56">
              <w:rPr>
                <w:rFonts w:eastAsia="Times New Roman" w:cs="Segoe UI"/>
                <w:sz w:val="18"/>
                <w:szCs w:val="18"/>
                <w:lang w:eastAsia="sk-SK"/>
              </w:rPr>
              <w:t>Exportno-importná banka SR</w:t>
            </w:r>
          </w:p>
        </w:tc>
        <w:tc>
          <w:tcPr>
            <w:tcW w:w="584" w:type="pct"/>
            <w:tcBorders>
              <w:top w:val="nil"/>
              <w:left w:val="nil"/>
              <w:bottom w:val="nil"/>
              <w:right w:val="nil"/>
            </w:tcBorders>
            <w:shd w:val="clear" w:color="auto" w:fill="auto"/>
            <w:noWrap/>
            <w:vAlign w:val="center"/>
          </w:tcPr>
          <w:p w14:paraId="1768C614"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188 156</w:t>
            </w:r>
          </w:p>
        </w:tc>
        <w:tc>
          <w:tcPr>
            <w:tcW w:w="584" w:type="pct"/>
            <w:tcBorders>
              <w:top w:val="nil"/>
              <w:left w:val="nil"/>
              <w:bottom w:val="nil"/>
              <w:right w:val="nil"/>
            </w:tcBorders>
            <w:shd w:val="clear" w:color="auto" w:fill="auto"/>
            <w:noWrap/>
            <w:vAlign w:val="center"/>
          </w:tcPr>
          <w:p w14:paraId="2983BD97"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245 412</w:t>
            </w:r>
          </w:p>
        </w:tc>
        <w:tc>
          <w:tcPr>
            <w:tcW w:w="528" w:type="pct"/>
            <w:tcBorders>
              <w:top w:val="nil"/>
              <w:left w:val="nil"/>
              <w:bottom w:val="nil"/>
              <w:right w:val="nil"/>
            </w:tcBorders>
            <w:shd w:val="clear" w:color="auto" w:fill="auto"/>
            <w:noWrap/>
            <w:vAlign w:val="center"/>
          </w:tcPr>
          <w:p w14:paraId="3E0D18E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57 256</w:t>
            </w:r>
          </w:p>
        </w:tc>
        <w:tc>
          <w:tcPr>
            <w:tcW w:w="426" w:type="pct"/>
            <w:tcBorders>
              <w:top w:val="nil"/>
              <w:left w:val="nil"/>
              <w:bottom w:val="nil"/>
              <w:right w:val="nil"/>
            </w:tcBorders>
            <w:shd w:val="clear" w:color="auto" w:fill="auto"/>
            <w:noWrap/>
            <w:vAlign w:val="center"/>
          </w:tcPr>
          <w:p w14:paraId="178147F6"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76,7</w:t>
            </w:r>
          </w:p>
        </w:tc>
      </w:tr>
      <w:tr w:rsidR="00605DE7" w:rsidRPr="00BA10F2" w14:paraId="4D0D247B" w14:textId="77777777" w:rsidTr="00951EA0">
        <w:trPr>
          <w:trHeight w:val="283"/>
        </w:trPr>
        <w:tc>
          <w:tcPr>
            <w:tcW w:w="2877" w:type="pct"/>
            <w:tcBorders>
              <w:top w:val="nil"/>
              <w:left w:val="nil"/>
              <w:bottom w:val="nil"/>
              <w:right w:val="nil"/>
            </w:tcBorders>
            <w:shd w:val="clear" w:color="auto" w:fill="auto"/>
            <w:noWrap/>
            <w:vAlign w:val="center"/>
            <w:hideMark/>
          </w:tcPr>
          <w:p w14:paraId="391AE0E1" w14:textId="77777777" w:rsidR="00605DE7" w:rsidRPr="00135A56" w:rsidRDefault="00605DE7" w:rsidP="00605DE7">
            <w:pPr>
              <w:numPr>
                <w:ilvl w:val="0"/>
                <w:numId w:val="3"/>
              </w:numPr>
              <w:spacing w:after="0" w:line="240" w:lineRule="auto"/>
              <w:contextualSpacing/>
              <w:rPr>
                <w:rFonts w:eastAsia="Times New Roman" w:cs="Segoe UI"/>
                <w:sz w:val="18"/>
                <w:szCs w:val="18"/>
                <w:lang w:eastAsia="sk-SK"/>
              </w:rPr>
            </w:pPr>
            <w:r w:rsidRPr="00135A56">
              <w:rPr>
                <w:rFonts w:eastAsia="Times New Roman" w:cs="Segoe UI"/>
                <w:sz w:val="18"/>
                <w:szCs w:val="18"/>
                <w:lang w:eastAsia="sk-SK"/>
              </w:rPr>
              <w:t>Obchodné spoločnosti štátu</w:t>
            </w:r>
          </w:p>
        </w:tc>
        <w:tc>
          <w:tcPr>
            <w:tcW w:w="584" w:type="pct"/>
            <w:tcBorders>
              <w:top w:val="nil"/>
              <w:left w:val="nil"/>
              <w:bottom w:val="nil"/>
              <w:right w:val="nil"/>
            </w:tcBorders>
            <w:shd w:val="clear" w:color="auto" w:fill="auto"/>
            <w:noWrap/>
            <w:vAlign w:val="center"/>
          </w:tcPr>
          <w:p w14:paraId="5731EBE2"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491 495</w:t>
            </w:r>
          </w:p>
        </w:tc>
        <w:tc>
          <w:tcPr>
            <w:tcW w:w="584" w:type="pct"/>
            <w:tcBorders>
              <w:top w:val="nil"/>
              <w:left w:val="nil"/>
              <w:bottom w:val="nil"/>
              <w:right w:val="nil"/>
            </w:tcBorders>
            <w:shd w:val="clear" w:color="auto" w:fill="auto"/>
            <w:noWrap/>
            <w:vAlign w:val="center"/>
          </w:tcPr>
          <w:p w14:paraId="31331644"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445 097</w:t>
            </w:r>
          </w:p>
        </w:tc>
        <w:tc>
          <w:tcPr>
            <w:tcW w:w="528" w:type="pct"/>
            <w:tcBorders>
              <w:top w:val="nil"/>
              <w:left w:val="nil"/>
              <w:bottom w:val="nil"/>
              <w:right w:val="nil"/>
            </w:tcBorders>
            <w:shd w:val="clear" w:color="auto" w:fill="auto"/>
            <w:noWrap/>
            <w:vAlign w:val="center"/>
          </w:tcPr>
          <w:p w14:paraId="0FEA0E64"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-46 398</w:t>
            </w:r>
          </w:p>
        </w:tc>
        <w:tc>
          <w:tcPr>
            <w:tcW w:w="426" w:type="pct"/>
            <w:tcBorders>
              <w:top w:val="nil"/>
              <w:left w:val="nil"/>
              <w:bottom w:val="nil"/>
              <w:right w:val="nil"/>
            </w:tcBorders>
            <w:shd w:val="clear" w:color="auto" w:fill="auto"/>
            <w:noWrap/>
            <w:vAlign w:val="center"/>
          </w:tcPr>
          <w:p w14:paraId="2136C415"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110,4</w:t>
            </w:r>
          </w:p>
        </w:tc>
      </w:tr>
      <w:tr w:rsidR="00605DE7" w:rsidRPr="00BA10F2" w14:paraId="21107013" w14:textId="77777777" w:rsidTr="00951EA0">
        <w:trPr>
          <w:trHeight w:val="283"/>
        </w:trPr>
        <w:tc>
          <w:tcPr>
            <w:tcW w:w="2877" w:type="pct"/>
            <w:tcBorders>
              <w:top w:val="nil"/>
              <w:left w:val="nil"/>
              <w:bottom w:val="nil"/>
              <w:right w:val="nil"/>
            </w:tcBorders>
            <w:shd w:val="clear" w:color="auto" w:fill="auto"/>
            <w:noWrap/>
            <w:vAlign w:val="center"/>
          </w:tcPr>
          <w:p w14:paraId="0C3D6E22" w14:textId="77777777" w:rsidR="00605DE7" w:rsidRPr="00135A56" w:rsidRDefault="00605DE7" w:rsidP="00605DE7">
            <w:pPr>
              <w:numPr>
                <w:ilvl w:val="0"/>
                <w:numId w:val="3"/>
              </w:numPr>
              <w:spacing w:after="0" w:line="240" w:lineRule="auto"/>
              <w:contextualSpacing/>
              <w:rPr>
                <w:rFonts w:eastAsia="Times New Roman" w:cs="Segoe UI"/>
                <w:sz w:val="18"/>
                <w:szCs w:val="18"/>
                <w:lang w:eastAsia="sk-SK"/>
              </w:rPr>
            </w:pPr>
            <w:r w:rsidRPr="00135A56">
              <w:rPr>
                <w:rFonts w:eastAsia="Times New Roman" w:cs="Segoe UI"/>
                <w:sz w:val="18"/>
                <w:szCs w:val="18"/>
                <w:lang w:eastAsia="sk-SK"/>
              </w:rPr>
              <w:t>Verejné vysoké školy</w:t>
            </w:r>
          </w:p>
        </w:tc>
        <w:tc>
          <w:tcPr>
            <w:tcW w:w="584" w:type="pct"/>
            <w:tcBorders>
              <w:top w:val="nil"/>
              <w:left w:val="nil"/>
              <w:bottom w:val="nil"/>
              <w:right w:val="nil"/>
            </w:tcBorders>
            <w:shd w:val="clear" w:color="auto" w:fill="auto"/>
            <w:noWrap/>
            <w:vAlign w:val="center"/>
          </w:tcPr>
          <w:p w14:paraId="2BB6D3F6"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10 936</w:t>
            </w:r>
          </w:p>
        </w:tc>
        <w:tc>
          <w:tcPr>
            <w:tcW w:w="584" w:type="pct"/>
            <w:tcBorders>
              <w:top w:val="nil"/>
              <w:left w:val="nil"/>
              <w:bottom w:val="nil"/>
              <w:right w:val="nil"/>
            </w:tcBorders>
            <w:shd w:val="clear" w:color="auto" w:fill="auto"/>
            <w:noWrap/>
            <w:vAlign w:val="center"/>
          </w:tcPr>
          <w:p w14:paraId="1FEE5465"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10 633</w:t>
            </w:r>
          </w:p>
        </w:tc>
        <w:tc>
          <w:tcPr>
            <w:tcW w:w="528" w:type="pct"/>
            <w:tcBorders>
              <w:top w:val="nil"/>
              <w:left w:val="nil"/>
              <w:bottom w:val="nil"/>
              <w:right w:val="nil"/>
            </w:tcBorders>
            <w:shd w:val="clear" w:color="auto" w:fill="auto"/>
            <w:noWrap/>
            <w:vAlign w:val="center"/>
          </w:tcPr>
          <w:p w14:paraId="152859DF"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-303</w:t>
            </w:r>
          </w:p>
        </w:tc>
        <w:tc>
          <w:tcPr>
            <w:tcW w:w="426" w:type="pct"/>
            <w:tcBorders>
              <w:top w:val="nil"/>
              <w:left w:val="nil"/>
              <w:bottom w:val="nil"/>
              <w:right w:val="nil"/>
            </w:tcBorders>
            <w:shd w:val="clear" w:color="auto" w:fill="auto"/>
            <w:noWrap/>
            <w:vAlign w:val="center"/>
          </w:tcPr>
          <w:p w14:paraId="480C75CF"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102,8</w:t>
            </w:r>
          </w:p>
        </w:tc>
      </w:tr>
      <w:tr w:rsidR="00605DE7" w:rsidRPr="00BA10F2" w14:paraId="518BFE0E" w14:textId="77777777" w:rsidTr="00951EA0">
        <w:trPr>
          <w:trHeight w:val="283"/>
        </w:trPr>
        <w:tc>
          <w:tcPr>
            <w:tcW w:w="2877" w:type="pct"/>
            <w:tcBorders>
              <w:top w:val="nil"/>
              <w:left w:val="nil"/>
              <w:bottom w:val="nil"/>
              <w:right w:val="nil"/>
            </w:tcBorders>
            <w:shd w:val="clear" w:color="auto" w:fill="auto"/>
            <w:noWrap/>
            <w:vAlign w:val="center"/>
            <w:hideMark/>
          </w:tcPr>
          <w:p w14:paraId="0EA855A2" w14:textId="77777777" w:rsidR="00605DE7" w:rsidRPr="00135A56" w:rsidRDefault="00605DE7" w:rsidP="00605DE7">
            <w:pPr>
              <w:numPr>
                <w:ilvl w:val="0"/>
                <w:numId w:val="3"/>
              </w:numPr>
              <w:spacing w:after="0" w:line="240" w:lineRule="auto"/>
              <w:contextualSpacing/>
              <w:rPr>
                <w:rFonts w:eastAsia="Times New Roman" w:cs="Segoe UI"/>
                <w:sz w:val="18"/>
                <w:szCs w:val="18"/>
                <w:lang w:eastAsia="sk-SK"/>
              </w:rPr>
            </w:pPr>
            <w:r w:rsidRPr="00135A56">
              <w:rPr>
                <w:rFonts w:eastAsia="Times New Roman" w:cs="Segoe UI"/>
                <w:sz w:val="18"/>
                <w:szCs w:val="18"/>
                <w:lang w:eastAsia="sk-SK"/>
              </w:rPr>
              <w:t>Verejné výskumné inštitúcie</w:t>
            </w:r>
          </w:p>
        </w:tc>
        <w:tc>
          <w:tcPr>
            <w:tcW w:w="584" w:type="pct"/>
            <w:tcBorders>
              <w:top w:val="nil"/>
              <w:left w:val="nil"/>
              <w:bottom w:val="nil"/>
              <w:right w:val="nil"/>
            </w:tcBorders>
            <w:shd w:val="clear" w:color="auto" w:fill="auto"/>
            <w:noWrap/>
            <w:vAlign w:val="center"/>
          </w:tcPr>
          <w:p w14:paraId="6AE9DB53"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2 424</w:t>
            </w:r>
          </w:p>
        </w:tc>
        <w:tc>
          <w:tcPr>
            <w:tcW w:w="584" w:type="pct"/>
            <w:tcBorders>
              <w:top w:val="nil"/>
              <w:left w:val="nil"/>
              <w:bottom w:val="nil"/>
              <w:right w:val="nil"/>
            </w:tcBorders>
            <w:shd w:val="clear" w:color="auto" w:fill="auto"/>
            <w:noWrap/>
            <w:vAlign w:val="center"/>
          </w:tcPr>
          <w:p w14:paraId="288FF730"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116</w:t>
            </w:r>
          </w:p>
        </w:tc>
        <w:tc>
          <w:tcPr>
            <w:tcW w:w="528" w:type="pct"/>
            <w:tcBorders>
              <w:top w:val="nil"/>
              <w:left w:val="nil"/>
              <w:bottom w:val="nil"/>
              <w:right w:val="nil"/>
            </w:tcBorders>
            <w:shd w:val="clear" w:color="auto" w:fill="auto"/>
            <w:noWrap/>
            <w:vAlign w:val="center"/>
          </w:tcPr>
          <w:p w14:paraId="360AC5FA"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-2 308</w:t>
            </w:r>
          </w:p>
        </w:tc>
        <w:tc>
          <w:tcPr>
            <w:tcW w:w="426" w:type="pct"/>
            <w:tcBorders>
              <w:top w:val="nil"/>
              <w:left w:val="nil"/>
              <w:bottom w:val="nil"/>
              <w:right w:val="nil"/>
            </w:tcBorders>
            <w:shd w:val="clear" w:color="auto" w:fill="auto"/>
            <w:noWrap/>
            <w:vAlign w:val="center"/>
          </w:tcPr>
          <w:p w14:paraId="5659E3FB"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2089,7</w:t>
            </w:r>
          </w:p>
        </w:tc>
      </w:tr>
      <w:tr w:rsidR="00605DE7" w:rsidRPr="00BA10F2" w14:paraId="66C9C451" w14:textId="77777777" w:rsidTr="00951EA0">
        <w:trPr>
          <w:trHeight w:val="283"/>
        </w:trPr>
        <w:tc>
          <w:tcPr>
            <w:tcW w:w="2877" w:type="pct"/>
            <w:tcBorders>
              <w:top w:val="nil"/>
              <w:left w:val="nil"/>
              <w:bottom w:val="nil"/>
              <w:right w:val="nil"/>
            </w:tcBorders>
            <w:shd w:val="clear" w:color="auto" w:fill="auto"/>
            <w:noWrap/>
            <w:vAlign w:val="center"/>
            <w:hideMark/>
          </w:tcPr>
          <w:p w14:paraId="029E522E" w14:textId="77777777" w:rsidR="00605DE7" w:rsidRPr="00135A56" w:rsidRDefault="00605DE7" w:rsidP="00605DE7">
            <w:pPr>
              <w:numPr>
                <w:ilvl w:val="0"/>
                <w:numId w:val="3"/>
              </w:numPr>
              <w:spacing w:after="0" w:line="240" w:lineRule="auto"/>
              <w:contextualSpacing/>
              <w:rPr>
                <w:rFonts w:eastAsia="Times New Roman" w:cs="Segoe UI"/>
                <w:sz w:val="18"/>
                <w:szCs w:val="18"/>
                <w:lang w:eastAsia="sk-SK"/>
              </w:rPr>
            </w:pPr>
            <w:r w:rsidRPr="00135A56">
              <w:rPr>
                <w:rFonts w:eastAsia="Times New Roman" w:cs="Segoe UI"/>
                <w:sz w:val="18"/>
                <w:szCs w:val="18"/>
                <w:lang w:eastAsia="sk-SK"/>
              </w:rPr>
              <w:t>Zdravotnícke zariadenia ústrednej správy</w:t>
            </w:r>
          </w:p>
        </w:tc>
        <w:tc>
          <w:tcPr>
            <w:tcW w:w="584" w:type="pct"/>
            <w:tcBorders>
              <w:top w:val="nil"/>
              <w:left w:val="nil"/>
              <w:bottom w:val="nil"/>
              <w:right w:val="nil"/>
            </w:tcBorders>
            <w:shd w:val="clear" w:color="auto" w:fill="auto"/>
            <w:noWrap/>
            <w:vAlign w:val="center"/>
          </w:tcPr>
          <w:p w14:paraId="0EC36231"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187 057</w:t>
            </w:r>
          </w:p>
        </w:tc>
        <w:tc>
          <w:tcPr>
            <w:tcW w:w="584" w:type="pct"/>
            <w:tcBorders>
              <w:top w:val="nil"/>
              <w:left w:val="nil"/>
              <w:bottom w:val="nil"/>
              <w:right w:val="nil"/>
            </w:tcBorders>
            <w:shd w:val="clear" w:color="auto" w:fill="auto"/>
            <w:noWrap/>
            <w:vAlign w:val="center"/>
          </w:tcPr>
          <w:p w14:paraId="789A9D1C"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150 056</w:t>
            </w:r>
          </w:p>
        </w:tc>
        <w:tc>
          <w:tcPr>
            <w:tcW w:w="528" w:type="pct"/>
            <w:tcBorders>
              <w:top w:val="nil"/>
              <w:left w:val="nil"/>
              <w:bottom w:val="nil"/>
              <w:right w:val="nil"/>
            </w:tcBorders>
            <w:shd w:val="clear" w:color="auto" w:fill="auto"/>
            <w:noWrap/>
            <w:vAlign w:val="center"/>
          </w:tcPr>
          <w:p w14:paraId="5E8A2B90"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-37 001</w:t>
            </w:r>
          </w:p>
        </w:tc>
        <w:tc>
          <w:tcPr>
            <w:tcW w:w="426" w:type="pct"/>
            <w:tcBorders>
              <w:top w:val="nil"/>
              <w:left w:val="nil"/>
              <w:bottom w:val="nil"/>
              <w:right w:val="nil"/>
            </w:tcBorders>
            <w:shd w:val="clear" w:color="auto" w:fill="auto"/>
            <w:noWrap/>
            <w:vAlign w:val="center"/>
          </w:tcPr>
          <w:p w14:paraId="75B61ED5"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124,7</w:t>
            </w:r>
          </w:p>
        </w:tc>
      </w:tr>
      <w:tr w:rsidR="00605DE7" w:rsidRPr="00BA10F2" w14:paraId="45AE3A45" w14:textId="77777777" w:rsidTr="00951EA0">
        <w:trPr>
          <w:trHeight w:val="283"/>
        </w:trPr>
        <w:tc>
          <w:tcPr>
            <w:tcW w:w="2877" w:type="pct"/>
            <w:tcBorders>
              <w:top w:val="nil"/>
              <w:left w:val="nil"/>
              <w:bottom w:val="nil"/>
              <w:right w:val="nil"/>
            </w:tcBorders>
            <w:shd w:val="clear" w:color="auto" w:fill="auto"/>
            <w:noWrap/>
            <w:vAlign w:val="center"/>
            <w:hideMark/>
          </w:tcPr>
          <w:p w14:paraId="657D49D7" w14:textId="77777777" w:rsidR="00605DE7" w:rsidRPr="00135A56" w:rsidRDefault="00605DE7" w:rsidP="00605DE7">
            <w:pPr>
              <w:numPr>
                <w:ilvl w:val="0"/>
                <w:numId w:val="3"/>
              </w:numPr>
              <w:spacing w:after="0" w:line="240" w:lineRule="auto"/>
              <w:contextualSpacing/>
              <w:rPr>
                <w:rFonts w:eastAsia="Times New Roman" w:cs="Segoe UI"/>
                <w:sz w:val="18"/>
                <w:szCs w:val="18"/>
                <w:lang w:eastAsia="sk-SK"/>
              </w:rPr>
            </w:pPr>
            <w:r w:rsidRPr="00135A56">
              <w:rPr>
                <w:rFonts w:eastAsia="Times New Roman" w:cs="Segoe UI"/>
                <w:sz w:val="18"/>
                <w:szCs w:val="18"/>
                <w:lang w:eastAsia="sk-SK"/>
              </w:rPr>
              <w:t>Agentúra pre núdzové zásoby ropy a ropných výrobkov</w:t>
            </w:r>
          </w:p>
        </w:tc>
        <w:tc>
          <w:tcPr>
            <w:tcW w:w="584" w:type="pct"/>
            <w:tcBorders>
              <w:top w:val="nil"/>
              <w:left w:val="nil"/>
              <w:bottom w:val="nil"/>
              <w:right w:val="nil"/>
            </w:tcBorders>
            <w:shd w:val="clear" w:color="auto" w:fill="auto"/>
            <w:noWrap/>
            <w:vAlign w:val="center"/>
          </w:tcPr>
          <w:p w14:paraId="1286A4F6"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220 348</w:t>
            </w:r>
          </w:p>
        </w:tc>
        <w:tc>
          <w:tcPr>
            <w:tcW w:w="584" w:type="pct"/>
            <w:tcBorders>
              <w:top w:val="nil"/>
              <w:left w:val="nil"/>
              <w:bottom w:val="nil"/>
              <w:right w:val="nil"/>
            </w:tcBorders>
            <w:shd w:val="clear" w:color="auto" w:fill="auto"/>
            <w:noWrap/>
            <w:vAlign w:val="center"/>
          </w:tcPr>
          <w:p w14:paraId="52731B67"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147 253</w:t>
            </w:r>
          </w:p>
        </w:tc>
        <w:tc>
          <w:tcPr>
            <w:tcW w:w="528" w:type="pct"/>
            <w:tcBorders>
              <w:top w:val="nil"/>
              <w:left w:val="nil"/>
              <w:bottom w:val="nil"/>
              <w:right w:val="nil"/>
            </w:tcBorders>
            <w:shd w:val="clear" w:color="auto" w:fill="auto"/>
            <w:noWrap/>
            <w:vAlign w:val="center"/>
          </w:tcPr>
          <w:p w14:paraId="24EF1470"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-73 095</w:t>
            </w:r>
          </w:p>
        </w:tc>
        <w:tc>
          <w:tcPr>
            <w:tcW w:w="426" w:type="pct"/>
            <w:tcBorders>
              <w:top w:val="nil"/>
              <w:left w:val="nil"/>
              <w:bottom w:val="nil"/>
              <w:right w:val="nil"/>
            </w:tcBorders>
            <w:shd w:val="clear" w:color="auto" w:fill="auto"/>
            <w:noWrap/>
            <w:vAlign w:val="center"/>
          </w:tcPr>
          <w:p w14:paraId="02EFD440"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149,6</w:t>
            </w:r>
          </w:p>
        </w:tc>
      </w:tr>
      <w:tr w:rsidR="00605DE7" w:rsidRPr="00BA10F2" w14:paraId="6BF0C08D" w14:textId="77777777" w:rsidTr="00951EA0">
        <w:trPr>
          <w:trHeight w:val="283"/>
        </w:trPr>
        <w:tc>
          <w:tcPr>
            <w:tcW w:w="2877" w:type="pct"/>
            <w:shd w:val="clear" w:color="auto" w:fill="auto"/>
            <w:noWrap/>
            <w:vAlign w:val="bottom"/>
            <w:hideMark/>
          </w:tcPr>
          <w:p w14:paraId="47FE4A8D" w14:textId="77777777" w:rsidR="00605DE7" w:rsidRPr="00BA10F2" w:rsidRDefault="00605DE7" w:rsidP="00951EA0">
            <w:pPr>
              <w:spacing w:after="0" w:line="240" w:lineRule="auto"/>
              <w:rPr>
                <w:rFonts w:eastAsia="Times New Roman" w:cs="Segoe UI"/>
                <w:b/>
                <w:bCs/>
                <w:sz w:val="18"/>
                <w:szCs w:val="18"/>
              </w:rPr>
            </w:pPr>
            <w:r w:rsidRPr="00BA10F2">
              <w:rPr>
                <w:rFonts w:eastAsia="Times New Roman" w:cs="Segoe UI"/>
                <w:b/>
                <w:bCs/>
                <w:sz w:val="18"/>
                <w:szCs w:val="18"/>
              </w:rPr>
              <w:t>Územná samospráva</w:t>
            </w:r>
          </w:p>
        </w:tc>
        <w:tc>
          <w:tcPr>
            <w:tcW w:w="584" w:type="pct"/>
            <w:tcBorders>
              <w:top w:val="nil"/>
              <w:left w:val="nil"/>
              <w:bottom w:val="nil"/>
              <w:right w:val="nil"/>
            </w:tcBorders>
            <w:shd w:val="clear" w:color="auto" w:fill="auto"/>
            <w:noWrap/>
            <w:vAlign w:val="center"/>
          </w:tcPr>
          <w:p w14:paraId="017ED9C5" w14:textId="77777777" w:rsidR="00605DE7" w:rsidRPr="00BA10F2" w:rsidRDefault="00605DE7" w:rsidP="00951EA0">
            <w:pPr>
              <w:spacing w:after="0" w:line="240" w:lineRule="auto"/>
              <w:rPr>
                <w:rFonts w:eastAsia="Times New Roman" w:cs="Segoe UI"/>
                <w:sz w:val="18"/>
                <w:szCs w:val="18"/>
              </w:rPr>
            </w:pPr>
          </w:p>
        </w:tc>
        <w:tc>
          <w:tcPr>
            <w:tcW w:w="584" w:type="pct"/>
            <w:tcBorders>
              <w:top w:val="nil"/>
              <w:left w:val="nil"/>
              <w:bottom w:val="nil"/>
              <w:right w:val="nil"/>
            </w:tcBorders>
            <w:shd w:val="clear" w:color="auto" w:fill="auto"/>
            <w:noWrap/>
            <w:vAlign w:val="center"/>
          </w:tcPr>
          <w:p w14:paraId="7A75062C" w14:textId="77777777" w:rsidR="00605DE7" w:rsidRPr="00BA10F2" w:rsidRDefault="00605DE7" w:rsidP="00951EA0">
            <w:pPr>
              <w:spacing w:after="0" w:line="240" w:lineRule="auto"/>
              <w:rPr>
                <w:rFonts w:eastAsia="Times New Roman" w:cs="Segoe UI"/>
                <w:sz w:val="18"/>
                <w:szCs w:val="18"/>
              </w:rPr>
            </w:pPr>
          </w:p>
        </w:tc>
        <w:tc>
          <w:tcPr>
            <w:tcW w:w="528" w:type="pct"/>
            <w:tcBorders>
              <w:top w:val="nil"/>
              <w:left w:val="nil"/>
              <w:bottom w:val="nil"/>
              <w:right w:val="nil"/>
            </w:tcBorders>
            <w:shd w:val="clear" w:color="auto" w:fill="auto"/>
            <w:noWrap/>
            <w:vAlign w:val="center"/>
          </w:tcPr>
          <w:p w14:paraId="767ABB3F" w14:textId="77777777" w:rsidR="00605DE7" w:rsidRPr="00BA10F2" w:rsidRDefault="00605DE7" w:rsidP="00951EA0">
            <w:pPr>
              <w:spacing w:after="0" w:line="240" w:lineRule="auto"/>
              <w:rPr>
                <w:rFonts w:eastAsia="Times New Roman" w:cs="Segoe UI"/>
                <w:sz w:val="18"/>
                <w:szCs w:val="18"/>
              </w:rPr>
            </w:pPr>
          </w:p>
        </w:tc>
        <w:tc>
          <w:tcPr>
            <w:tcW w:w="426" w:type="pct"/>
            <w:tcBorders>
              <w:top w:val="nil"/>
              <w:left w:val="nil"/>
              <w:bottom w:val="nil"/>
              <w:right w:val="nil"/>
            </w:tcBorders>
            <w:shd w:val="clear" w:color="auto" w:fill="auto"/>
            <w:noWrap/>
            <w:vAlign w:val="center"/>
          </w:tcPr>
          <w:p w14:paraId="5D6E4F9A" w14:textId="77777777" w:rsidR="00605DE7" w:rsidRPr="00BA10F2" w:rsidRDefault="00605DE7" w:rsidP="00951EA0">
            <w:pPr>
              <w:spacing w:after="0" w:line="240" w:lineRule="auto"/>
              <w:rPr>
                <w:rFonts w:eastAsia="Times New Roman" w:cs="Segoe UI"/>
                <w:sz w:val="18"/>
                <w:szCs w:val="18"/>
              </w:rPr>
            </w:pPr>
          </w:p>
        </w:tc>
      </w:tr>
      <w:tr w:rsidR="00605DE7" w:rsidRPr="00135A56" w14:paraId="5502FC1A" w14:textId="77777777" w:rsidTr="00951EA0">
        <w:trPr>
          <w:trHeight w:val="283"/>
        </w:trPr>
        <w:tc>
          <w:tcPr>
            <w:tcW w:w="2877" w:type="pct"/>
            <w:shd w:val="clear" w:color="auto" w:fill="auto"/>
            <w:noWrap/>
            <w:vAlign w:val="bottom"/>
            <w:hideMark/>
          </w:tcPr>
          <w:p w14:paraId="0E17D9DC" w14:textId="77777777" w:rsidR="00605DE7" w:rsidRPr="00BA10F2" w:rsidRDefault="00605DE7" w:rsidP="00605DE7">
            <w:pPr>
              <w:numPr>
                <w:ilvl w:val="0"/>
                <w:numId w:val="3"/>
              </w:numPr>
              <w:spacing w:after="0" w:line="240" w:lineRule="auto"/>
              <w:contextualSpacing/>
              <w:rPr>
                <w:rFonts w:eastAsia="Times New Roman" w:cs="Segoe UI"/>
                <w:sz w:val="18"/>
                <w:szCs w:val="18"/>
                <w:lang w:eastAsia="sk-SK"/>
              </w:rPr>
            </w:pPr>
            <w:r w:rsidRPr="00BA10F2">
              <w:rPr>
                <w:rFonts w:eastAsia="Times New Roman" w:cs="Segoe UI"/>
                <w:sz w:val="18"/>
                <w:szCs w:val="18"/>
                <w:lang w:eastAsia="sk-SK"/>
              </w:rPr>
              <w:t>Obce a ich rozpočtové organizácie</w:t>
            </w:r>
          </w:p>
        </w:tc>
        <w:tc>
          <w:tcPr>
            <w:tcW w:w="584" w:type="pct"/>
            <w:tcBorders>
              <w:top w:val="nil"/>
              <w:left w:val="nil"/>
              <w:bottom w:val="nil"/>
              <w:right w:val="nil"/>
            </w:tcBorders>
            <w:shd w:val="clear" w:color="auto" w:fill="auto"/>
            <w:noWrap/>
          </w:tcPr>
          <w:p w14:paraId="440D917B"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1 833 794</w:t>
            </w:r>
          </w:p>
        </w:tc>
        <w:tc>
          <w:tcPr>
            <w:tcW w:w="584" w:type="pct"/>
            <w:tcBorders>
              <w:top w:val="nil"/>
              <w:left w:val="nil"/>
              <w:bottom w:val="nil"/>
              <w:right w:val="nil"/>
            </w:tcBorders>
            <w:shd w:val="clear" w:color="auto" w:fill="auto"/>
            <w:noWrap/>
          </w:tcPr>
          <w:p w14:paraId="5792FD3D"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1 855 142</w:t>
            </w:r>
          </w:p>
        </w:tc>
        <w:tc>
          <w:tcPr>
            <w:tcW w:w="528" w:type="pct"/>
            <w:tcBorders>
              <w:top w:val="nil"/>
              <w:left w:val="nil"/>
              <w:bottom w:val="nil"/>
              <w:right w:val="nil"/>
            </w:tcBorders>
            <w:shd w:val="clear" w:color="auto" w:fill="auto"/>
            <w:noWrap/>
          </w:tcPr>
          <w:p w14:paraId="3D09FA0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21 348</w:t>
            </w:r>
          </w:p>
        </w:tc>
        <w:tc>
          <w:tcPr>
            <w:tcW w:w="426" w:type="pct"/>
            <w:tcBorders>
              <w:top w:val="nil"/>
              <w:left w:val="nil"/>
              <w:bottom w:val="nil"/>
              <w:right w:val="nil"/>
            </w:tcBorders>
            <w:shd w:val="clear" w:color="auto" w:fill="auto"/>
            <w:noWrap/>
          </w:tcPr>
          <w:p w14:paraId="42C9DBD3"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98,8</w:t>
            </w:r>
          </w:p>
        </w:tc>
      </w:tr>
      <w:tr w:rsidR="00605DE7" w:rsidRPr="00135A56" w14:paraId="2AA55C47" w14:textId="77777777" w:rsidTr="00951EA0">
        <w:trPr>
          <w:trHeight w:val="283"/>
        </w:trPr>
        <w:tc>
          <w:tcPr>
            <w:tcW w:w="2877" w:type="pct"/>
            <w:shd w:val="clear" w:color="auto" w:fill="auto"/>
            <w:noWrap/>
            <w:vAlign w:val="bottom"/>
            <w:hideMark/>
          </w:tcPr>
          <w:p w14:paraId="6E8E521A" w14:textId="77777777" w:rsidR="00605DE7" w:rsidRPr="00BA10F2" w:rsidRDefault="00605DE7" w:rsidP="00605DE7">
            <w:pPr>
              <w:numPr>
                <w:ilvl w:val="0"/>
                <w:numId w:val="3"/>
              </w:numPr>
              <w:spacing w:after="0" w:line="240" w:lineRule="auto"/>
              <w:contextualSpacing/>
              <w:rPr>
                <w:rFonts w:eastAsia="Times New Roman" w:cs="Segoe UI"/>
                <w:sz w:val="18"/>
                <w:szCs w:val="18"/>
                <w:lang w:eastAsia="sk-SK"/>
              </w:rPr>
            </w:pPr>
            <w:r w:rsidRPr="00BA10F2">
              <w:rPr>
                <w:rFonts w:eastAsia="Times New Roman" w:cs="Segoe UI"/>
                <w:sz w:val="18"/>
                <w:szCs w:val="18"/>
                <w:lang w:eastAsia="sk-SK"/>
              </w:rPr>
              <w:t>Vyššie územné celky a ich rozpočtové organizácie</w:t>
            </w:r>
          </w:p>
        </w:tc>
        <w:tc>
          <w:tcPr>
            <w:tcW w:w="584" w:type="pct"/>
            <w:tcBorders>
              <w:top w:val="nil"/>
              <w:left w:val="nil"/>
              <w:bottom w:val="nil"/>
              <w:right w:val="nil"/>
            </w:tcBorders>
            <w:shd w:val="clear" w:color="auto" w:fill="auto"/>
            <w:noWrap/>
          </w:tcPr>
          <w:p w14:paraId="64F0956C"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701 518</w:t>
            </w:r>
          </w:p>
        </w:tc>
        <w:tc>
          <w:tcPr>
            <w:tcW w:w="584" w:type="pct"/>
            <w:tcBorders>
              <w:top w:val="nil"/>
              <w:left w:val="nil"/>
              <w:bottom w:val="nil"/>
              <w:right w:val="nil"/>
            </w:tcBorders>
            <w:shd w:val="clear" w:color="auto" w:fill="auto"/>
            <w:noWrap/>
          </w:tcPr>
          <w:p w14:paraId="7CA13250"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652 106</w:t>
            </w:r>
          </w:p>
        </w:tc>
        <w:tc>
          <w:tcPr>
            <w:tcW w:w="528" w:type="pct"/>
            <w:tcBorders>
              <w:top w:val="nil"/>
              <w:left w:val="nil"/>
              <w:bottom w:val="nil"/>
              <w:right w:val="nil"/>
            </w:tcBorders>
            <w:shd w:val="clear" w:color="auto" w:fill="auto"/>
            <w:noWrap/>
          </w:tcPr>
          <w:p w14:paraId="4F141E59"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-49 412</w:t>
            </w:r>
          </w:p>
        </w:tc>
        <w:tc>
          <w:tcPr>
            <w:tcW w:w="426" w:type="pct"/>
            <w:tcBorders>
              <w:top w:val="nil"/>
              <w:left w:val="nil"/>
              <w:bottom w:val="nil"/>
              <w:right w:val="nil"/>
            </w:tcBorders>
            <w:shd w:val="clear" w:color="auto" w:fill="auto"/>
            <w:noWrap/>
          </w:tcPr>
          <w:p w14:paraId="51DD1CC4"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107,6</w:t>
            </w:r>
          </w:p>
        </w:tc>
      </w:tr>
      <w:tr w:rsidR="00605DE7" w:rsidRPr="00135A56" w14:paraId="3A4E0440" w14:textId="77777777" w:rsidTr="00951EA0">
        <w:trPr>
          <w:trHeight w:val="283"/>
        </w:trPr>
        <w:tc>
          <w:tcPr>
            <w:tcW w:w="2877" w:type="pct"/>
            <w:shd w:val="clear" w:color="auto" w:fill="auto"/>
            <w:noWrap/>
            <w:vAlign w:val="bottom"/>
            <w:hideMark/>
          </w:tcPr>
          <w:p w14:paraId="24D1D7CD" w14:textId="77777777" w:rsidR="00605DE7" w:rsidRPr="00BA10F2" w:rsidRDefault="00605DE7" w:rsidP="00605DE7">
            <w:pPr>
              <w:numPr>
                <w:ilvl w:val="0"/>
                <w:numId w:val="3"/>
              </w:numPr>
              <w:spacing w:after="0" w:line="240" w:lineRule="auto"/>
              <w:contextualSpacing/>
              <w:rPr>
                <w:rFonts w:eastAsia="Times New Roman" w:cs="Segoe UI"/>
                <w:sz w:val="18"/>
                <w:szCs w:val="18"/>
                <w:lang w:eastAsia="sk-SK"/>
              </w:rPr>
            </w:pPr>
            <w:r w:rsidRPr="00BA10F2">
              <w:rPr>
                <w:rFonts w:eastAsia="Times New Roman" w:cs="Segoe UI"/>
                <w:sz w:val="18"/>
                <w:szCs w:val="18"/>
                <w:lang w:eastAsia="sk-SK"/>
              </w:rPr>
              <w:t>Príspevkové organizácie obcí</w:t>
            </w:r>
          </w:p>
        </w:tc>
        <w:tc>
          <w:tcPr>
            <w:tcW w:w="584" w:type="pct"/>
            <w:tcBorders>
              <w:top w:val="nil"/>
              <w:left w:val="nil"/>
              <w:bottom w:val="nil"/>
              <w:right w:val="nil"/>
            </w:tcBorders>
            <w:shd w:val="clear" w:color="auto" w:fill="auto"/>
            <w:noWrap/>
          </w:tcPr>
          <w:p w14:paraId="21509C4E"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2 849</w:t>
            </w:r>
          </w:p>
        </w:tc>
        <w:tc>
          <w:tcPr>
            <w:tcW w:w="584" w:type="pct"/>
            <w:tcBorders>
              <w:top w:val="nil"/>
              <w:left w:val="nil"/>
              <w:bottom w:val="nil"/>
              <w:right w:val="nil"/>
            </w:tcBorders>
            <w:shd w:val="clear" w:color="auto" w:fill="auto"/>
            <w:noWrap/>
          </w:tcPr>
          <w:p w14:paraId="2C89251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2 686</w:t>
            </w:r>
          </w:p>
        </w:tc>
        <w:tc>
          <w:tcPr>
            <w:tcW w:w="528" w:type="pct"/>
            <w:tcBorders>
              <w:top w:val="nil"/>
              <w:left w:val="nil"/>
              <w:bottom w:val="nil"/>
              <w:right w:val="nil"/>
            </w:tcBorders>
            <w:shd w:val="clear" w:color="auto" w:fill="auto"/>
            <w:noWrap/>
          </w:tcPr>
          <w:p w14:paraId="2460CB82"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-163</w:t>
            </w:r>
          </w:p>
        </w:tc>
        <w:tc>
          <w:tcPr>
            <w:tcW w:w="426" w:type="pct"/>
            <w:tcBorders>
              <w:top w:val="nil"/>
              <w:left w:val="nil"/>
              <w:bottom w:val="nil"/>
              <w:right w:val="nil"/>
            </w:tcBorders>
            <w:shd w:val="clear" w:color="auto" w:fill="auto"/>
            <w:noWrap/>
          </w:tcPr>
          <w:p w14:paraId="306C0023"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106,1</w:t>
            </w:r>
          </w:p>
        </w:tc>
      </w:tr>
      <w:tr w:rsidR="00605DE7" w:rsidRPr="00135A56" w14:paraId="70356441" w14:textId="77777777" w:rsidTr="00951EA0">
        <w:trPr>
          <w:trHeight w:val="283"/>
        </w:trPr>
        <w:tc>
          <w:tcPr>
            <w:tcW w:w="2877" w:type="pct"/>
            <w:shd w:val="clear" w:color="auto" w:fill="auto"/>
            <w:noWrap/>
            <w:vAlign w:val="bottom"/>
            <w:hideMark/>
          </w:tcPr>
          <w:p w14:paraId="5E05D44E" w14:textId="77777777" w:rsidR="00605DE7" w:rsidRPr="00BA10F2" w:rsidRDefault="00605DE7" w:rsidP="00605DE7">
            <w:pPr>
              <w:numPr>
                <w:ilvl w:val="0"/>
                <w:numId w:val="3"/>
              </w:numPr>
              <w:spacing w:after="0" w:line="240" w:lineRule="auto"/>
              <w:contextualSpacing/>
              <w:rPr>
                <w:rFonts w:eastAsia="Times New Roman" w:cs="Segoe UI"/>
                <w:sz w:val="18"/>
                <w:szCs w:val="18"/>
                <w:lang w:eastAsia="sk-SK"/>
              </w:rPr>
            </w:pPr>
            <w:r w:rsidRPr="00BA10F2">
              <w:rPr>
                <w:rFonts w:eastAsia="Times New Roman" w:cs="Segoe UI"/>
                <w:sz w:val="18"/>
                <w:szCs w:val="18"/>
                <w:lang w:eastAsia="sk-SK"/>
              </w:rPr>
              <w:t>Príspevkové organizácie VÚC</w:t>
            </w:r>
          </w:p>
        </w:tc>
        <w:tc>
          <w:tcPr>
            <w:tcW w:w="584" w:type="pct"/>
            <w:tcBorders>
              <w:top w:val="nil"/>
              <w:left w:val="nil"/>
              <w:bottom w:val="nil"/>
              <w:right w:val="nil"/>
            </w:tcBorders>
            <w:shd w:val="clear" w:color="auto" w:fill="auto"/>
            <w:noWrap/>
          </w:tcPr>
          <w:p w14:paraId="20AE9200"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1 345</w:t>
            </w:r>
          </w:p>
        </w:tc>
        <w:tc>
          <w:tcPr>
            <w:tcW w:w="584" w:type="pct"/>
            <w:tcBorders>
              <w:top w:val="nil"/>
              <w:left w:val="nil"/>
              <w:bottom w:val="nil"/>
              <w:right w:val="nil"/>
            </w:tcBorders>
            <w:shd w:val="clear" w:color="auto" w:fill="auto"/>
            <w:noWrap/>
          </w:tcPr>
          <w:p w14:paraId="6423BF6C"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1 544</w:t>
            </w:r>
          </w:p>
        </w:tc>
        <w:tc>
          <w:tcPr>
            <w:tcW w:w="528" w:type="pct"/>
            <w:tcBorders>
              <w:top w:val="nil"/>
              <w:left w:val="nil"/>
              <w:bottom w:val="nil"/>
              <w:right w:val="nil"/>
            </w:tcBorders>
            <w:shd w:val="clear" w:color="auto" w:fill="auto"/>
            <w:noWrap/>
          </w:tcPr>
          <w:p w14:paraId="4A737FA1"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199</w:t>
            </w:r>
          </w:p>
        </w:tc>
        <w:tc>
          <w:tcPr>
            <w:tcW w:w="426" w:type="pct"/>
            <w:tcBorders>
              <w:top w:val="nil"/>
              <w:left w:val="nil"/>
              <w:bottom w:val="nil"/>
              <w:right w:val="nil"/>
            </w:tcBorders>
            <w:shd w:val="clear" w:color="auto" w:fill="auto"/>
            <w:noWrap/>
          </w:tcPr>
          <w:p w14:paraId="4BF424D2"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87,1</w:t>
            </w:r>
          </w:p>
        </w:tc>
      </w:tr>
      <w:tr w:rsidR="00605DE7" w:rsidRPr="00135A56" w14:paraId="60C3E520" w14:textId="77777777" w:rsidTr="00951EA0">
        <w:trPr>
          <w:trHeight w:val="283"/>
        </w:trPr>
        <w:tc>
          <w:tcPr>
            <w:tcW w:w="2877" w:type="pct"/>
            <w:shd w:val="clear" w:color="auto" w:fill="auto"/>
            <w:noWrap/>
            <w:vAlign w:val="bottom"/>
            <w:hideMark/>
          </w:tcPr>
          <w:p w14:paraId="4B53F4E5" w14:textId="77777777" w:rsidR="00605DE7" w:rsidRPr="00BA10F2" w:rsidRDefault="00605DE7" w:rsidP="00605DE7">
            <w:pPr>
              <w:numPr>
                <w:ilvl w:val="0"/>
                <w:numId w:val="3"/>
              </w:numPr>
              <w:spacing w:after="0" w:line="240" w:lineRule="auto"/>
              <w:contextualSpacing/>
              <w:rPr>
                <w:rFonts w:eastAsia="Times New Roman" w:cs="Segoe UI"/>
                <w:sz w:val="18"/>
                <w:szCs w:val="18"/>
                <w:lang w:eastAsia="sk-SK"/>
              </w:rPr>
            </w:pPr>
            <w:r w:rsidRPr="00BA10F2">
              <w:rPr>
                <w:rFonts w:eastAsia="Times New Roman" w:cs="Segoe UI"/>
                <w:sz w:val="18"/>
                <w:szCs w:val="18"/>
                <w:lang w:eastAsia="sk-SK"/>
              </w:rPr>
              <w:t>Dopravné podniky</w:t>
            </w:r>
          </w:p>
        </w:tc>
        <w:tc>
          <w:tcPr>
            <w:tcW w:w="584" w:type="pct"/>
            <w:tcBorders>
              <w:top w:val="nil"/>
              <w:left w:val="nil"/>
              <w:bottom w:val="nil"/>
              <w:right w:val="nil"/>
            </w:tcBorders>
            <w:shd w:val="clear" w:color="auto" w:fill="auto"/>
            <w:noWrap/>
          </w:tcPr>
          <w:p w14:paraId="6EE6C297"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97 120</w:t>
            </w:r>
          </w:p>
        </w:tc>
        <w:tc>
          <w:tcPr>
            <w:tcW w:w="584" w:type="pct"/>
            <w:tcBorders>
              <w:top w:val="nil"/>
              <w:left w:val="nil"/>
              <w:bottom w:val="nil"/>
              <w:right w:val="nil"/>
            </w:tcBorders>
            <w:shd w:val="clear" w:color="auto" w:fill="auto"/>
            <w:noWrap/>
          </w:tcPr>
          <w:p w14:paraId="25C40D0C"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90 938</w:t>
            </w:r>
          </w:p>
        </w:tc>
        <w:tc>
          <w:tcPr>
            <w:tcW w:w="528" w:type="pct"/>
            <w:tcBorders>
              <w:top w:val="nil"/>
              <w:left w:val="nil"/>
              <w:bottom w:val="nil"/>
              <w:right w:val="nil"/>
            </w:tcBorders>
            <w:shd w:val="clear" w:color="auto" w:fill="auto"/>
            <w:noWrap/>
          </w:tcPr>
          <w:p w14:paraId="6D35584D"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-6 182</w:t>
            </w:r>
          </w:p>
        </w:tc>
        <w:tc>
          <w:tcPr>
            <w:tcW w:w="426" w:type="pct"/>
            <w:tcBorders>
              <w:top w:val="nil"/>
              <w:left w:val="nil"/>
              <w:bottom w:val="nil"/>
              <w:right w:val="nil"/>
            </w:tcBorders>
            <w:shd w:val="clear" w:color="auto" w:fill="auto"/>
            <w:noWrap/>
          </w:tcPr>
          <w:p w14:paraId="32898519"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106,8</w:t>
            </w:r>
          </w:p>
        </w:tc>
      </w:tr>
      <w:tr w:rsidR="00605DE7" w:rsidRPr="00135A56" w14:paraId="1F709669" w14:textId="77777777" w:rsidTr="00951EA0">
        <w:trPr>
          <w:trHeight w:val="283"/>
        </w:trPr>
        <w:tc>
          <w:tcPr>
            <w:tcW w:w="2877" w:type="pct"/>
            <w:shd w:val="clear" w:color="auto" w:fill="auto"/>
            <w:noWrap/>
            <w:vAlign w:val="bottom"/>
            <w:hideMark/>
          </w:tcPr>
          <w:p w14:paraId="5639DCAF" w14:textId="77777777" w:rsidR="00605DE7" w:rsidRPr="00BA10F2" w:rsidRDefault="00605DE7" w:rsidP="00605DE7">
            <w:pPr>
              <w:numPr>
                <w:ilvl w:val="0"/>
                <w:numId w:val="3"/>
              </w:numPr>
              <w:spacing w:after="0" w:line="240" w:lineRule="auto"/>
              <w:contextualSpacing/>
              <w:rPr>
                <w:rFonts w:eastAsia="Times New Roman" w:cs="Segoe UI"/>
                <w:sz w:val="18"/>
                <w:szCs w:val="18"/>
                <w:lang w:eastAsia="sk-SK"/>
              </w:rPr>
            </w:pPr>
            <w:r w:rsidRPr="00BA10F2">
              <w:rPr>
                <w:rFonts w:eastAsia="Times New Roman" w:cs="Segoe UI"/>
                <w:sz w:val="18"/>
                <w:szCs w:val="18"/>
                <w:lang w:eastAsia="sk-SK"/>
              </w:rPr>
              <w:t>Zdravotnícke zariadenia miestnej samosprávy</w:t>
            </w:r>
          </w:p>
        </w:tc>
        <w:tc>
          <w:tcPr>
            <w:tcW w:w="584" w:type="pct"/>
            <w:tcBorders>
              <w:top w:val="nil"/>
              <w:left w:val="nil"/>
              <w:bottom w:val="nil"/>
              <w:right w:val="nil"/>
            </w:tcBorders>
            <w:shd w:val="clear" w:color="auto" w:fill="auto"/>
            <w:noWrap/>
          </w:tcPr>
          <w:p w14:paraId="04D3FA2C"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3 147</w:t>
            </w:r>
          </w:p>
        </w:tc>
        <w:tc>
          <w:tcPr>
            <w:tcW w:w="584" w:type="pct"/>
            <w:tcBorders>
              <w:top w:val="nil"/>
              <w:left w:val="nil"/>
              <w:bottom w:val="nil"/>
              <w:right w:val="nil"/>
            </w:tcBorders>
            <w:shd w:val="clear" w:color="auto" w:fill="auto"/>
            <w:noWrap/>
          </w:tcPr>
          <w:p w14:paraId="5331203B"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2 988</w:t>
            </w:r>
          </w:p>
        </w:tc>
        <w:tc>
          <w:tcPr>
            <w:tcW w:w="528" w:type="pct"/>
            <w:tcBorders>
              <w:top w:val="nil"/>
              <w:left w:val="nil"/>
              <w:bottom w:val="nil"/>
              <w:right w:val="nil"/>
            </w:tcBorders>
            <w:shd w:val="clear" w:color="auto" w:fill="auto"/>
            <w:noWrap/>
          </w:tcPr>
          <w:p w14:paraId="1EAE64C2"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-159</w:t>
            </w:r>
          </w:p>
        </w:tc>
        <w:tc>
          <w:tcPr>
            <w:tcW w:w="426" w:type="pct"/>
            <w:tcBorders>
              <w:top w:val="nil"/>
              <w:left w:val="nil"/>
              <w:bottom w:val="nil"/>
              <w:right w:val="nil"/>
            </w:tcBorders>
            <w:shd w:val="clear" w:color="auto" w:fill="auto"/>
            <w:noWrap/>
          </w:tcPr>
          <w:p w14:paraId="235C1A7B"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105,3</w:t>
            </w:r>
          </w:p>
        </w:tc>
      </w:tr>
      <w:tr w:rsidR="00605DE7" w:rsidRPr="00135A56" w14:paraId="47EE54E2" w14:textId="77777777" w:rsidTr="00951EA0">
        <w:trPr>
          <w:trHeight w:val="283"/>
        </w:trPr>
        <w:tc>
          <w:tcPr>
            <w:tcW w:w="2877" w:type="pct"/>
            <w:shd w:val="clear" w:color="auto" w:fill="auto"/>
            <w:noWrap/>
            <w:vAlign w:val="bottom"/>
            <w:hideMark/>
          </w:tcPr>
          <w:p w14:paraId="3D46F6B0" w14:textId="77777777" w:rsidR="00605DE7" w:rsidRPr="00BA10F2" w:rsidRDefault="00605DE7" w:rsidP="00605DE7">
            <w:pPr>
              <w:numPr>
                <w:ilvl w:val="0"/>
                <w:numId w:val="3"/>
              </w:numPr>
              <w:spacing w:after="0" w:line="240" w:lineRule="auto"/>
              <w:contextualSpacing/>
              <w:rPr>
                <w:rFonts w:eastAsia="Times New Roman" w:cs="Segoe UI"/>
                <w:sz w:val="18"/>
                <w:szCs w:val="18"/>
                <w:lang w:eastAsia="sk-SK"/>
              </w:rPr>
            </w:pPr>
            <w:r w:rsidRPr="00BA10F2">
              <w:rPr>
                <w:rFonts w:eastAsia="Times New Roman" w:cs="Segoe UI"/>
                <w:sz w:val="18"/>
                <w:szCs w:val="18"/>
                <w:lang w:eastAsia="sk-SK"/>
              </w:rPr>
              <w:t>Ostatné subjekty miestnej samosprávy</w:t>
            </w:r>
          </w:p>
        </w:tc>
        <w:tc>
          <w:tcPr>
            <w:tcW w:w="584" w:type="pct"/>
            <w:tcBorders>
              <w:top w:val="nil"/>
              <w:left w:val="nil"/>
              <w:bottom w:val="nil"/>
              <w:right w:val="nil"/>
            </w:tcBorders>
            <w:shd w:val="clear" w:color="auto" w:fill="auto"/>
            <w:noWrap/>
          </w:tcPr>
          <w:p w14:paraId="66728EC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20 567</w:t>
            </w:r>
          </w:p>
        </w:tc>
        <w:tc>
          <w:tcPr>
            <w:tcW w:w="584" w:type="pct"/>
            <w:tcBorders>
              <w:top w:val="nil"/>
              <w:left w:val="nil"/>
              <w:bottom w:val="nil"/>
              <w:right w:val="nil"/>
            </w:tcBorders>
            <w:shd w:val="clear" w:color="auto" w:fill="auto"/>
            <w:noWrap/>
          </w:tcPr>
          <w:p w14:paraId="53DC8E7C"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20 567</w:t>
            </w:r>
          </w:p>
        </w:tc>
        <w:tc>
          <w:tcPr>
            <w:tcW w:w="528" w:type="pct"/>
            <w:tcBorders>
              <w:top w:val="nil"/>
              <w:left w:val="nil"/>
              <w:bottom w:val="nil"/>
              <w:right w:val="nil"/>
            </w:tcBorders>
            <w:shd w:val="clear" w:color="auto" w:fill="auto"/>
            <w:noWrap/>
          </w:tcPr>
          <w:p w14:paraId="4F53003D"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0</w:t>
            </w:r>
          </w:p>
        </w:tc>
        <w:tc>
          <w:tcPr>
            <w:tcW w:w="426" w:type="pct"/>
            <w:tcBorders>
              <w:top w:val="nil"/>
              <w:left w:val="nil"/>
              <w:bottom w:val="nil"/>
              <w:right w:val="nil"/>
            </w:tcBorders>
            <w:shd w:val="clear" w:color="auto" w:fill="auto"/>
            <w:noWrap/>
          </w:tcPr>
          <w:p w14:paraId="3E3D122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100,0</w:t>
            </w:r>
          </w:p>
        </w:tc>
      </w:tr>
      <w:tr w:rsidR="00605DE7" w:rsidRPr="00BA10F2" w14:paraId="26CBB7DF" w14:textId="77777777" w:rsidTr="00951EA0">
        <w:trPr>
          <w:trHeight w:val="283"/>
        </w:trPr>
        <w:tc>
          <w:tcPr>
            <w:tcW w:w="2877" w:type="pct"/>
            <w:shd w:val="clear" w:color="auto" w:fill="auto"/>
            <w:noWrap/>
            <w:vAlign w:val="bottom"/>
            <w:hideMark/>
          </w:tcPr>
          <w:p w14:paraId="1D3B3F77" w14:textId="77777777" w:rsidR="00605DE7" w:rsidRPr="00BA10F2" w:rsidRDefault="00605DE7" w:rsidP="00951EA0">
            <w:pPr>
              <w:spacing w:after="0" w:line="240" w:lineRule="auto"/>
              <w:rPr>
                <w:rFonts w:eastAsia="Times New Roman" w:cs="Segoe UI"/>
                <w:b/>
                <w:bCs/>
                <w:sz w:val="18"/>
                <w:szCs w:val="18"/>
              </w:rPr>
            </w:pPr>
            <w:r w:rsidRPr="00BA10F2">
              <w:rPr>
                <w:rFonts w:eastAsia="Times New Roman" w:cs="Segoe UI"/>
                <w:b/>
                <w:bCs/>
                <w:sz w:val="18"/>
                <w:szCs w:val="18"/>
              </w:rPr>
              <w:t>Fondy sociálneho zabezpečenia</w:t>
            </w:r>
          </w:p>
        </w:tc>
        <w:tc>
          <w:tcPr>
            <w:tcW w:w="584" w:type="pct"/>
            <w:tcBorders>
              <w:top w:val="nil"/>
              <w:left w:val="nil"/>
              <w:bottom w:val="nil"/>
              <w:right w:val="nil"/>
            </w:tcBorders>
            <w:shd w:val="clear" w:color="auto" w:fill="auto"/>
            <w:noWrap/>
            <w:vAlign w:val="center"/>
          </w:tcPr>
          <w:p w14:paraId="04FE7826" w14:textId="77777777" w:rsidR="00605DE7" w:rsidRPr="00BA10F2" w:rsidRDefault="00605DE7" w:rsidP="00951EA0">
            <w:pPr>
              <w:spacing w:after="0" w:line="240" w:lineRule="auto"/>
              <w:rPr>
                <w:rFonts w:eastAsia="Times New Roman" w:cs="Segoe UI"/>
                <w:sz w:val="18"/>
                <w:szCs w:val="18"/>
              </w:rPr>
            </w:pPr>
          </w:p>
        </w:tc>
        <w:tc>
          <w:tcPr>
            <w:tcW w:w="584" w:type="pct"/>
            <w:tcBorders>
              <w:top w:val="nil"/>
              <w:left w:val="nil"/>
              <w:bottom w:val="nil"/>
              <w:right w:val="nil"/>
            </w:tcBorders>
            <w:shd w:val="clear" w:color="auto" w:fill="auto"/>
            <w:noWrap/>
            <w:vAlign w:val="bottom"/>
          </w:tcPr>
          <w:p w14:paraId="3153FAF5" w14:textId="77777777" w:rsidR="00605DE7" w:rsidRPr="00BA10F2" w:rsidRDefault="00605DE7" w:rsidP="00951EA0">
            <w:pPr>
              <w:spacing w:after="0" w:line="240" w:lineRule="auto"/>
              <w:rPr>
                <w:rFonts w:eastAsia="Times New Roman" w:cs="Segoe UI"/>
                <w:sz w:val="18"/>
                <w:szCs w:val="18"/>
              </w:rPr>
            </w:pPr>
          </w:p>
        </w:tc>
        <w:tc>
          <w:tcPr>
            <w:tcW w:w="528" w:type="pct"/>
            <w:tcBorders>
              <w:top w:val="nil"/>
              <w:left w:val="nil"/>
              <w:bottom w:val="nil"/>
              <w:right w:val="nil"/>
            </w:tcBorders>
            <w:shd w:val="clear" w:color="auto" w:fill="auto"/>
            <w:noWrap/>
            <w:vAlign w:val="center"/>
          </w:tcPr>
          <w:p w14:paraId="7DCF68D5" w14:textId="77777777" w:rsidR="00605DE7" w:rsidRPr="00BA10F2" w:rsidRDefault="00605DE7" w:rsidP="00951EA0">
            <w:pPr>
              <w:spacing w:after="0" w:line="240" w:lineRule="auto"/>
              <w:rPr>
                <w:rFonts w:eastAsia="Times New Roman" w:cs="Segoe UI"/>
                <w:sz w:val="18"/>
                <w:szCs w:val="18"/>
              </w:rPr>
            </w:pPr>
          </w:p>
        </w:tc>
        <w:tc>
          <w:tcPr>
            <w:tcW w:w="426" w:type="pct"/>
            <w:tcBorders>
              <w:top w:val="nil"/>
              <w:left w:val="nil"/>
              <w:bottom w:val="nil"/>
              <w:right w:val="nil"/>
            </w:tcBorders>
            <w:shd w:val="clear" w:color="auto" w:fill="auto"/>
            <w:noWrap/>
            <w:vAlign w:val="center"/>
          </w:tcPr>
          <w:p w14:paraId="18F5BFCC" w14:textId="77777777" w:rsidR="00605DE7" w:rsidRPr="00BA10F2" w:rsidRDefault="00605DE7" w:rsidP="00951EA0">
            <w:pPr>
              <w:spacing w:after="0" w:line="240" w:lineRule="auto"/>
              <w:rPr>
                <w:rFonts w:eastAsia="Times New Roman" w:cs="Segoe UI"/>
                <w:sz w:val="18"/>
                <w:szCs w:val="18"/>
              </w:rPr>
            </w:pPr>
          </w:p>
        </w:tc>
      </w:tr>
      <w:tr w:rsidR="00605DE7" w:rsidRPr="00135A56" w14:paraId="2473CEAF" w14:textId="77777777" w:rsidTr="00951EA0">
        <w:trPr>
          <w:trHeight w:val="283"/>
        </w:trPr>
        <w:tc>
          <w:tcPr>
            <w:tcW w:w="2877" w:type="pct"/>
            <w:shd w:val="clear" w:color="auto" w:fill="auto"/>
            <w:noWrap/>
            <w:vAlign w:val="bottom"/>
            <w:hideMark/>
          </w:tcPr>
          <w:p w14:paraId="7059B9C7" w14:textId="77777777" w:rsidR="00605DE7" w:rsidRPr="00BA10F2" w:rsidRDefault="00605DE7" w:rsidP="00605DE7">
            <w:pPr>
              <w:numPr>
                <w:ilvl w:val="0"/>
                <w:numId w:val="3"/>
              </w:numPr>
              <w:spacing w:after="0" w:line="240" w:lineRule="auto"/>
              <w:contextualSpacing/>
              <w:rPr>
                <w:rFonts w:eastAsia="Times New Roman" w:cs="Segoe UI"/>
                <w:sz w:val="18"/>
                <w:szCs w:val="18"/>
                <w:lang w:eastAsia="sk-SK"/>
              </w:rPr>
            </w:pPr>
            <w:r w:rsidRPr="00BA10F2">
              <w:rPr>
                <w:rFonts w:eastAsia="Times New Roman" w:cs="Segoe UI"/>
                <w:sz w:val="18"/>
                <w:szCs w:val="18"/>
                <w:lang w:eastAsia="sk-SK"/>
              </w:rPr>
              <w:t>Sociálna poisťovňa</w:t>
            </w:r>
          </w:p>
        </w:tc>
        <w:tc>
          <w:tcPr>
            <w:tcW w:w="584" w:type="pct"/>
            <w:tcBorders>
              <w:top w:val="nil"/>
              <w:left w:val="nil"/>
              <w:bottom w:val="nil"/>
              <w:right w:val="nil"/>
            </w:tcBorders>
            <w:shd w:val="clear" w:color="auto" w:fill="auto"/>
            <w:noWrap/>
            <w:vAlign w:val="center"/>
          </w:tcPr>
          <w:p w14:paraId="3D390A5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466</w:t>
            </w:r>
          </w:p>
        </w:tc>
        <w:tc>
          <w:tcPr>
            <w:tcW w:w="584" w:type="pct"/>
            <w:tcBorders>
              <w:top w:val="nil"/>
              <w:left w:val="nil"/>
              <w:bottom w:val="nil"/>
              <w:right w:val="nil"/>
            </w:tcBorders>
            <w:shd w:val="clear" w:color="auto" w:fill="auto"/>
            <w:noWrap/>
            <w:vAlign w:val="center"/>
          </w:tcPr>
          <w:p w14:paraId="504E9FF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1 012</w:t>
            </w:r>
          </w:p>
        </w:tc>
        <w:tc>
          <w:tcPr>
            <w:tcW w:w="528" w:type="pct"/>
            <w:tcBorders>
              <w:top w:val="nil"/>
              <w:left w:val="nil"/>
              <w:bottom w:val="nil"/>
              <w:right w:val="nil"/>
            </w:tcBorders>
            <w:shd w:val="clear" w:color="auto" w:fill="auto"/>
            <w:noWrap/>
            <w:vAlign w:val="center"/>
          </w:tcPr>
          <w:p w14:paraId="735BCA4D"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546</w:t>
            </w:r>
          </w:p>
        </w:tc>
        <w:tc>
          <w:tcPr>
            <w:tcW w:w="426" w:type="pct"/>
            <w:tcBorders>
              <w:top w:val="nil"/>
              <w:left w:val="nil"/>
              <w:bottom w:val="nil"/>
              <w:right w:val="nil"/>
            </w:tcBorders>
            <w:shd w:val="clear" w:color="auto" w:fill="auto"/>
            <w:noWrap/>
            <w:vAlign w:val="center"/>
          </w:tcPr>
          <w:p w14:paraId="236CEAAE"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46,0</w:t>
            </w:r>
          </w:p>
        </w:tc>
      </w:tr>
      <w:tr w:rsidR="00605DE7" w:rsidRPr="00135A56" w14:paraId="481CADF0" w14:textId="77777777" w:rsidTr="00951EA0">
        <w:trPr>
          <w:trHeight w:val="283"/>
        </w:trPr>
        <w:tc>
          <w:tcPr>
            <w:tcW w:w="2877" w:type="pct"/>
            <w:shd w:val="clear" w:color="auto" w:fill="auto"/>
            <w:noWrap/>
            <w:vAlign w:val="bottom"/>
            <w:hideMark/>
          </w:tcPr>
          <w:p w14:paraId="09CCCF44" w14:textId="77777777" w:rsidR="00605DE7" w:rsidRPr="00BA10F2" w:rsidRDefault="00605DE7" w:rsidP="00605DE7">
            <w:pPr>
              <w:numPr>
                <w:ilvl w:val="0"/>
                <w:numId w:val="3"/>
              </w:numPr>
              <w:spacing w:after="0" w:line="240" w:lineRule="auto"/>
              <w:contextualSpacing/>
              <w:rPr>
                <w:rFonts w:eastAsia="Times New Roman" w:cs="Segoe UI"/>
                <w:sz w:val="18"/>
                <w:szCs w:val="18"/>
                <w:lang w:eastAsia="sk-SK"/>
              </w:rPr>
            </w:pPr>
            <w:r w:rsidRPr="00BA10F2">
              <w:rPr>
                <w:rFonts w:eastAsia="Times New Roman" w:cs="Segoe UI"/>
                <w:sz w:val="18"/>
                <w:szCs w:val="18"/>
                <w:lang w:eastAsia="sk-SK"/>
              </w:rPr>
              <w:t>Verejné zdravotné poistenie</w:t>
            </w:r>
          </w:p>
        </w:tc>
        <w:tc>
          <w:tcPr>
            <w:tcW w:w="584" w:type="pct"/>
            <w:tcBorders>
              <w:top w:val="nil"/>
              <w:left w:val="nil"/>
              <w:bottom w:val="nil"/>
              <w:right w:val="nil"/>
            </w:tcBorders>
            <w:shd w:val="clear" w:color="auto" w:fill="auto"/>
            <w:noWrap/>
            <w:vAlign w:val="center"/>
          </w:tcPr>
          <w:p w14:paraId="11382651"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80</w:t>
            </w:r>
          </w:p>
        </w:tc>
        <w:tc>
          <w:tcPr>
            <w:tcW w:w="584" w:type="pct"/>
            <w:tcBorders>
              <w:top w:val="nil"/>
              <w:left w:val="nil"/>
              <w:bottom w:val="nil"/>
              <w:right w:val="nil"/>
            </w:tcBorders>
            <w:shd w:val="clear" w:color="auto" w:fill="auto"/>
            <w:noWrap/>
            <w:vAlign w:val="center"/>
          </w:tcPr>
          <w:p w14:paraId="3222B743"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120</w:t>
            </w:r>
          </w:p>
        </w:tc>
        <w:tc>
          <w:tcPr>
            <w:tcW w:w="528" w:type="pct"/>
            <w:tcBorders>
              <w:top w:val="nil"/>
              <w:left w:val="nil"/>
              <w:bottom w:val="nil"/>
              <w:right w:val="nil"/>
            </w:tcBorders>
            <w:shd w:val="clear" w:color="auto" w:fill="auto"/>
            <w:noWrap/>
            <w:vAlign w:val="center"/>
          </w:tcPr>
          <w:p w14:paraId="78DD43E7"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40</w:t>
            </w:r>
          </w:p>
        </w:tc>
        <w:tc>
          <w:tcPr>
            <w:tcW w:w="426" w:type="pct"/>
            <w:tcBorders>
              <w:top w:val="nil"/>
              <w:left w:val="nil"/>
              <w:bottom w:val="nil"/>
              <w:right w:val="nil"/>
            </w:tcBorders>
            <w:shd w:val="clear" w:color="auto" w:fill="auto"/>
            <w:noWrap/>
            <w:vAlign w:val="center"/>
          </w:tcPr>
          <w:p w14:paraId="5B82E875"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66,7</w:t>
            </w:r>
          </w:p>
        </w:tc>
      </w:tr>
      <w:tr w:rsidR="00605DE7" w:rsidRPr="00135A56" w14:paraId="34A33267" w14:textId="77777777" w:rsidTr="00951EA0">
        <w:trPr>
          <w:trHeight w:val="283"/>
        </w:trPr>
        <w:tc>
          <w:tcPr>
            <w:tcW w:w="2877" w:type="pct"/>
            <w:shd w:val="clear" w:color="auto" w:fill="auto"/>
            <w:noWrap/>
            <w:vAlign w:val="bottom"/>
            <w:hideMark/>
          </w:tcPr>
          <w:p w14:paraId="0F49BD70" w14:textId="77777777" w:rsidR="00605DE7" w:rsidRPr="00BA10F2" w:rsidRDefault="00605DE7" w:rsidP="00951EA0">
            <w:pPr>
              <w:spacing w:after="0" w:line="240" w:lineRule="auto"/>
              <w:rPr>
                <w:rFonts w:eastAsia="Times New Roman" w:cs="Segoe UI"/>
                <w:b/>
                <w:bCs/>
                <w:sz w:val="18"/>
                <w:szCs w:val="18"/>
              </w:rPr>
            </w:pPr>
            <w:r w:rsidRPr="00BA10F2">
              <w:rPr>
                <w:rFonts w:eastAsia="Times New Roman" w:cs="Segoe UI"/>
                <w:b/>
                <w:bCs/>
                <w:sz w:val="18"/>
                <w:szCs w:val="18"/>
              </w:rPr>
              <w:t>Verejná správa spolu</w:t>
            </w:r>
          </w:p>
        </w:tc>
        <w:tc>
          <w:tcPr>
            <w:tcW w:w="584" w:type="pct"/>
            <w:tcBorders>
              <w:top w:val="nil"/>
              <w:left w:val="nil"/>
              <w:right w:val="nil"/>
            </w:tcBorders>
            <w:shd w:val="clear" w:color="auto" w:fill="auto"/>
            <w:noWrap/>
            <w:vAlign w:val="center"/>
          </w:tcPr>
          <w:p w14:paraId="1AF51EB9"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70 556 838</w:t>
            </w:r>
          </w:p>
        </w:tc>
        <w:tc>
          <w:tcPr>
            <w:tcW w:w="584" w:type="pct"/>
            <w:tcBorders>
              <w:top w:val="nil"/>
              <w:left w:val="nil"/>
              <w:right w:val="nil"/>
            </w:tcBorders>
            <w:shd w:val="clear" w:color="auto" w:fill="auto"/>
            <w:noWrap/>
            <w:vAlign w:val="center"/>
          </w:tcPr>
          <w:p w14:paraId="48A8590D"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79 208 060</w:t>
            </w:r>
          </w:p>
        </w:tc>
        <w:tc>
          <w:tcPr>
            <w:tcW w:w="528" w:type="pct"/>
            <w:tcBorders>
              <w:top w:val="nil"/>
              <w:left w:val="nil"/>
              <w:right w:val="nil"/>
            </w:tcBorders>
            <w:shd w:val="clear" w:color="auto" w:fill="auto"/>
            <w:noWrap/>
            <w:vAlign w:val="center"/>
          </w:tcPr>
          <w:p w14:paraId="7D6D2A40"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8 651 222</w:t>
            </w:r>
          </w:p>
        </w:tc>
        <w:tc>
          <w:tcPr>
            <w:tcW w:w="426" w:type="pct"/>
            <w:tcBorders>
              <w:top w:val="nil"/>
              <w:left w:val="nil"/>
              <w:right w:val="nil"/>
            </w:tcBorders>
            <w:shd w:val="clear" w:color="auto" w:fill="auto"/>
            <w:noWrap/>
            <w:vAlign w:val="center"/>
          </w:tcPr>
          <w:p w14:paraId="5FFAD3FB"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89,1</w:t>
            </w:r>
          </w:p>
        </w:tc>
      </w:tr>
      <w:tr w:rsidR="00605DE7" w:rsidRPr="00135A56" w14:paraId="029C510D" w14:textId="77777777" w:rsidTr="00951EA0">
        <w:trPr>
          <w:trHeight w:val="283"/>
        </w:trPr>
        <w:tc>
          <w:tcPr>
            <w:tcW w:w="2877" w:type="pct"/>
            <w:shd w:val="clear" w:color="auto" w:fill="auto"/>
            <w:noWrap/>
            <w:vAlign w:val="bottom"/>
            <w:hideMark/>
          </w:tcPr>
          <w:p w14:paraId="73D17AAC" w14:textId="77777777" w:rsidR="00605DE7" w:rsidRPr="00BA10F2" w:rsidRDefault="00605DE7" w:rsidP="00951EA0">
            <w:pPr>
              <w:spacing w:after="0" w:line="240" w:lineRule="auto"/>
              <w:rPr>
                <w:rFonts w:eastAsia="Times New Roman" w:cs="Segoe UI"/>
                <w:i/>
                <w:iCs/>
                <w:sz w:val="18"/>
                <w:szCs w:val="18"/>
              </w:rPr>
            </w:pPr>
            <w:r w:rsidRPr="00BA10F2">
              <w:rPr>
                <w:rFonts w:eastAsia="Times New Roman" w:cs="Segoe UI"/>
                <w:i/>
                <w:iCs/>
                <w:sz w:val="18"/>
                <w:szCs w:val="18"/>
              </w:rPr>
              <w:t>Konsolidácia</w:t>
            </w:r>
          </w:p>
        </w:tc>
        <w:tc>
          <w:tcPr>
            <w:tcW w:w="584" w:type="pct"/>
            <w:tcBorders>
              <w:top w:val="nil"/>
              <w:left w:val="nil"/>
              <w:bottom w:val="nil"/>
              <w:right w:val="nil"/>
            </w:tcBorders>
            <w:shd w:val="clear" w:color="auto" w:fill="auto"/>
            <w:noWrap/>
            <w:vAlign w:val="center"/>
          </w:tcPr>
          <w:p w14:paraId="465C0FD8"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1 660 629</w:t>
            </w:r>
          </w:p>
        </w:tc>
        <w:tc>
          <w:tcPr>
            <w:tcW w:w="584" w:type="pct"/>
            <w:tcBorders>
              <w:top w:val="nil"/>
              <w:left w:val="nil"/>
              <w:bottom w:val="nil"/>
              <w:right w:val="nil"/>
            </w:tcBorders>
            <w:shd w:val="clear" w:color="auto" w:fill="auto"/>
            <w:noWrap/>
            <w:vAlign w:val="center"/>
          </w:tcPr>
          <w:p w14:paraId="54D8B8F2"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1 559 751</w:t>
            </w:r>
          </w:p>
        </w:tc>
        <w:tc>
          <w:tcPr>
            <w:tcW w:w="528" w:type="pct"/>
            <w:tcBorders>
              <w:top w:val="nil"/>
              <w:left w:val="nil"/>
              <w:bottom w:val="nil"/>
              <w:right w:val="nil"/>
            </w:tcBorders>
            <w:shd w:val="clear" w:color="auto" w:fill="auto"/>
            <w:noWrap/>
            <w:vAlign w:val="center"/>
          </w:tcPr>
          <w:p w14:paraId="193BEFD6"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-100 878</w:t>
            </w:r>
          </w:p>
        </w:tc>
        <w:tc>
          <w:tcPr>
            <w:tcW w:w="426" w:type="pct"/>
            <w:tcBorders>
              <w:top w:val="nil"/>
              <w:left w:val="nil"/>
              <w:bottom w:val="nil"/>
              <w:right w:val="nil"/>
            </w:tcBorders>
            <w:shd w:val="clear" w:color="auto" w:fill="auto"/>
            <w:noWrap/>
            <w:vAlign w:val="center"/>
          </w:tcPr>
          <w:p w14:paraId="2B6CA901" w14:textId="77777777" w:rsidR="00605DE7" w:rsidRPr="00135A56" w:rsidRDefault="00605DE7" w:rsidP="00951EA0">
            <w:pPr>
              <w:spacing w:after="0" w:line="240" w:lineRule="auto"/>
              <w:jc w:val="right"/>
              <w:rPr>
                <w:rFonts w:eastAsia="Calibri" w:cs="Segoe UI"/>
                <w:color w:val="000000"/>
                <w:sz w:val="18"/>
                <w:szCs w:val="18"/>
              </w:rPr>
            </w:pPr>
            <w:r w:rsidRPr="00135A56">
              <w:rPr>
                <w:rFonts w:eastAsia="Calibri" w:cs="Segoe UI"/>
                <w:color w:val="000000"/>
                <w:sz w:val="18"/>
                <w:szCs w:val="18"/>
              </w:rPr>
              <w:t>106,5</w:t>
            </w:r>
          </w:p>
        </w:tc>
      </w:tr>
      <w:tr w:rsidR="00605DE7" w:rsidRPr="00135A56" w14:paraId="7F9D22AC" w14:textId="77777777" w:rsidTr="00951EA0">
        <w:trPr>
          <w:trHeight w:val="283"/>
        </w:trPr>
        <w:tc>
          <w:tcPr>
            <w:tcW w:w="2877" w:type="pct"/>
            <w:shd w:val="clear" w:color="auto" w:fill="auto"/>
            <w:noWrap/>
            <w:vAlign w:val="bottom"/>
            <w:hideMark/>
          </w:tcPr>
          <w:p w14:paraId="41DE105A" w14:textId="77777777" w:rsidR="00605DE7" w:rsidRPr="00BA10F2" w:rsidRDefault="00605DE7" w:rsidP="00951EA0">
            <w:pPr>
              <w:spacing w:after="0" w:line="240" w:lineRule="auto"/>
              <w:rPr>
                <w:rFonts w:eastAsia="Times New Roman" w:cs="Segoe UI"/>
                <w:b/>
                <w:bCs/>
                <w:sz w:val="18"/>
                <w:szCs w:val="18"/>
              </w:rPr>
            </w:pPr>
            <w:r w:rsidRPr="00BA10F2">
              <w:rPr>
                <w:rFonts w:eastAsia="Times New Roman" w:cs="Segoe UI"/>
                <w:b/>
                <w:bCs/>
                <w:sz w:val="18"/>
                <w:szCs w:val="18"/>
              </w:rPr>
              <w:t>Verejná správa spolu konsolidovaná</w:t>
            </w:r>
          </w:p>
        </w:tc>
        <w:tc>
          <w:tcPr>
            <w:tcW w:w="584" w:type="pct"/>
            <w:tcBorders>
              <w:left w:val="nil"/>
              <w:bottom w:val="nil"/>
              <w:right w:val="nil"/>
            </w:tcBorders>
            <w:shd w:val="clear" w:color="auto" w:fill="auto"/>
            <w:noWrap/>
            <w:vAlign w:val="center"/>
          </w:tcPr>
          <w:p w14:paraId="7F26221D"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68 896 209</w:t>
            </w:r>
          </w:p>
        </w:tc>
        <w:tc>
          <w:tcPr>
            <w:tcW w:w="584" w:type="pct"/>
            <w:tcBorders>
              <w:left w:val="nil"/>
              <w:bottom w:val="nil"/>
              <w:right w:val="nil"/>
            </w:tcBorders>
            <w:shd w:val="clear" w:color="auto" w:fill="auto"/>
            <w:noWrap/>
            <w:vAlign w:val="center"/>
          </w:tcPr>
          <w:p w14:paraId="74F7A612"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77 648 309</w:t>
            </w:r>
          </w:p>
        </w:tc>
        <w:tc>
          <w:tcPr>
            <w:tcW w:w="528" w:type="pct"/>
            <w:tcBorders>
              <w:left w:val="nil"/>
              <w:bottom w:val="nil"/>
              <w:right w:val="nil"/>
            </w:tcBorders>
            <w:shd w:val="clear" w:color="auto" w:fill="auto"/>
            <w:noWrap/>
            <w:vAlign w:val="center"/>
          </w:tcPr>
          <w:p w14:paraId="5BAB0456"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8 752 100</w:t>
            </w:r>
          </w:p>
        </w:tc>
        <w:tc>
          <w:tcPr>
            <w:tcW w:w="426" w:type="pct"/>
            <w:tcBorders>
              <w:left w:val="nil"/>
              <w:bottom w:val="nil"/>
              <w:right w:val="nil"/>
            </w:tcBorders>
            <w:shd w:val="clear" w:color="auto" w:fill="auto"/>
            <w:noWrap/>
            <w:vAlign w:val="center"/>
          </w:tcPr>
          <w:p w14:paraId="4AD24490"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88,7</w:t>
            </w:r>
          </w:p>
        </w:tc>
      </w:tr>
      <w:tr w:rsidR="00605DE7" w:rsidRPr="00135A56" w14:paraId="04602682" w14:textId="77777777" w:rsidTr="00951EA0">
        <w:trPr>
          <w:trHeight w:val="283"/>
        </w:trPr>
        <w:tc>
          <w:tcPr>
            <w:tcW w:w="2877" w:type="pct"/>
            <w:tcBorders>
              <w:bottom w:val="single" w:sz="4" w:space="0" w:color="314364"/>
            </w:tcBorders>
            <w:shd w:val="clear" w:color="auto" w:fill="auto"/>
            <w:noWrap/>
            <w:vAlign w:val="bottom"/>
            <w:hideMark/>
          </w:tcPr>
          <w:p w14:paraId="4A4822EF" w14:textId="77777777" w:rsidR="00605DE7" w:rsidRPr="00BA10F2" w:rsidRDefault="00605DE7" w:rsidP="00951EA0">
            <w:pPr>
              <w:spacing w:after="0" w:line="240" w:lineRule="auto"/>
              <w:rPr>
                <w:rFonts w:eastAsia="Times New Roman" w:cs="Segoe UI"/>
                <w:b/>
                <w:bCs/>
                <w:sz w:val="18"/>
                <w:szCs w:val="18"/>
              </w:rPr>
            </w:pPr>
            <w:r w:rsidRPr="00BA10F2">
              <w:rPr>
                <w:rFonts w:eastAsia="Times New Roman" w:cs="Segoe UI"/>
                <w:b/>
                <w:bCs/>
                <w:sz w:val="18"/>
                <w:szCs w:val="18"/>
              </w:rPr>
              <w:t>% z HDP</w:t>
            </w:r>
          </w:p>
        </w:tc>
        <w:tc>
          <w:tcPr>
            <w:tcW w:w="584" w:type="pct"/>
            <w:tcBorders>
              <w:top w:val="nil"/>
              <w:left w:val="nil"/>
              <w:bottom w:val="single" w:sz="8" w:space="0" w:color="auto"/>
              <w:right w:val="nil"/>
            </w:tcBorders>
            <w:shd w:val="clear" w:color="auto" w:fill="auto"/>
            <w:noWrap/>
            <w:vAlign w:val="center"/>
          </w:tcPr>
          <w:p w14:paraId="4C710DCE"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55,6</w:t>
            </w:r>
          </w:p>
        </w:tc>
        <w:tc>
          <w:tcPr>
            <w:tcW w:w="584" w:type="pct"/>
            <w:tcBorders>
              <w:top w:val="nil"/>
              <w:left w:val="nil"/>
              <w:bottom w:val="single" w:sz="8" w:space="0" w:color="auto"/>
              <w:right w:val="nil"/>
            </w:tcBorders>
            <w:shd w:val="clear" w:color="auto" w:fill="auto"/>
            <w:noWrap/>
            <w:vAlign w:val="center"/>
          </w:tcPr>
          <w:p w14:paraId="282B6FA7"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59,3</w:t>
            </w:r>
          </w:p>
        </w:tc>
        <w:tc>
          <w:tcPr>
            <w:tcW w:w="528" w:type="pct"/>
            <w:tcBorders>
              <w:top w:val="nil"/>
              <w:left w:val="nil"/>
              <w:bottom w:val="single" w:sz="8" w:space="0" w:color="auto"/>
              <w:right w:val="nil"/>
            </w:tcBorders>
            <w:shd w:val="clear" w:color="auto" w:fill="auto"/>
            <w:noWrap/>
            <w:vAlign w:val="center"/>
          </w:tcPr>
          <w:p w14:paraId="25672F03"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3,7</w:t>
            </w:r>
          </w:p>
        </w:tc>
        <w:tc>
          <w:tcPr>
            <w:tcW w:w="426" w:type="pct"/>
            <w:tcBorders>
              <w:top w:val="nil"/>
              <w:left w:val="nil"/>
              <w:bottom w:val="single" w:sz="8" w:space="0" w:color="auto"/>
              <w:right w:val="nil"/>
            </w:tcBorders>
            <w:shd w:val="clear" w:color="auto" w:fill="auto"/>
            <w:noWrap/>
            <w:vAlign w:val="center"/>
          </w:tcPr>
          <w:p w14:paraId="02835BA9" w14:textId="77777777" w:rsidR="00605DE7" w:rsidRPr="00135A56" w:rsidRDefault="00605DE7" w:rsidP="00951EA0">
            <w:pPr>
              <w:spacing w:after="0" w:line="240" w:lineRule="auto"/>
              <w:jc w:val="right"/>
              <w:rPr>
                <w:rFonts w:eastAsia="Calibri" w:cs="Segoe UI"/>
                <w:b/>
                <w:color w:val="000000"/>
                <w:sz w:val="18"/>
                <w:szCs w:val="18"/>
              </w:rPr>
            </w:pPr>
            <w:r w:rsidRPr="00135A56">
              <w:rPr>
                <w:rFonts w:eastAsia="Calibri" w:cs="Segoe UI"/>
                <w:b/>
                <w:color w:val="000000"/>
                <w:sz w:val="18"/>
                <w:szCs w:val="18"/>
              </w:rPr>
              <w:t>93,8</w:t>
            </w:r>
          </w:p>
        </w:tc>
      </w:tr>
    </w:tbl>
    <w:p w14:paraId="77B200F9" w14:textId="0B3FF7BF" w:rsidR="00605DE7" w:rsidRPr="00A11B81" w:rsidRDefault="00605DE7" w:rsidP="00605DE7">
      <w:pPr>
        <w:spacing w:after="0" w:line="240" w:lineRule="auto"/>
        <w:jc w:val="left"/>
        <w:rPr>
          <w:rFonts w:eastAsia="Calibri" w:cs="Times New Roman"/>
          <w:i/>
          <w:color w:val="314364"/>
          <w:sz w:val="16"/>
          <w:szCs w:val="16"/>
        </w:rPr>
      </w:pPr>
      <w:r w:rsidRPr="00A11B81">
        <w:rPr>
          <w:rFonts w:eastAsia="Calibri" w:cs="Segoe UI"/>
          <w:i/>
          <w:color w:val="314364"/>
          <w:sz w:val="16"/>
          <w:szCs w:val="16"/>
        </w:rPr>
        <w:t>Zdroj:</w:t>
      </w:r>
      <w:r>
        <w:rPr>
          <w:rFonts w:eastAsia="Calibri" w:cs="Segoe UI"/>
          <w:i/>
          <w:color w:val="314364"/>
          <w:sz w:val="16"/>
          <w:szCs w:val="16"/>
        </w:rPr>
        <w:t xml:space="preserve"> </w:t>
      </w:r>
      <w:r w:rsidRPr="00A11B81">
        <w:rPr>
          <w:rFonts w:eastAsia="Calibri" w:cs="Segoe UI"/>
          <w:i/>
          <w:color w:val="314364"/>
          <w:sz w:val="16"/>
          <w:szCs w:val="16"/>
        </w:rPr>
        <w:t>MF SR.</w:t>
      </w:r>
      <w:r w:rsidRPr="00A11B81">
        <w:rPr>
          <w:rFonts w:eastAsia="Calibri" w:cs="Segoe UI"/>
          <w:i/>
          <w:color w:val="314364"/>
          <w:sz w:val="16"/>
          <w:szCs w:val="16"/>
        </w:rPr>
        <w:br/>
      </w:r>
      <w:r w:rsidRPr="00A11B81">
        <w:rPr>
          <w:rFonts w:eastAsia="Calibri" w:cs="Times New Roman"/>
          <w:i/>
          <w:color w:val="314364"/>
          <w:sz w:val="16"/>
          <w:szCs w:val="16"/>
        </w:rPr>
        <w:t>*) Bez tzv. refinančného systému a záväzkov z vkladov subjektov verejnej správy v Štátnej pokladnici</w:t>
      </w:r>
    </w:p>
    <w:p w14:paraId="02DC46B0" w14:textId="5ACAD6A4" w:rsidR="00605DE7" w:rsidRPr="00A11B81" w:rsidRDefault="00605DE7" w:rsidP="00605DE7">
      <w:pPr>
        <w:spacing w:after="0" w:line="240" w:lineRule="auto"/>
        <w:jc w:val="left"/>
        <w:rPr>
          <w:rFonts w:eastAsia="Calibri" w:cs="Times New Roman"/>
          <w:i/>
          <w:color w:val="314364"/>
          <w:sz w:val="16"/>
          <w:szCs w:val="16"/>
        </w:rPr>
      </w:pPr>
      <w:r w:rsidRPr="00A11B81">
        <w:rPr>
          <w:rFonts w:eastAsia="Calibri" w:cs="Times New Roman"/>
          <w:i/>
          <w:color w:val="314364"/>
          <w:sz w:val="16"/>
          <w:szCs w:val="16"/>
        </w:rPr>
        <w:t xml:space="preserve"> S – skutočnosť, </w:t>
      </w:r>
      <w:proofErr w:type="spellStart"/>
      <w:r w:rsidRPr="00A11B81">
        <w:rPr>
          <w:rFonts w:eastAsia="Calibri" w:cs="Times New Roman"/>
          <w:i/>
          <w:color w:val="314364"/>
          <w:sz w:val="16"/>
          <w:szCs w:val="16"/>
        </w:rPr>
        <w:t>YoY</w:t>
      </w:r>
      <w:proofErr w:type="spellEnd"/>
      <w:r w:rsidRPr="00A11B81">
        <w:rPr>
          <w:rFonts w:eastAsia="Calibri" w:cs="Times New Roman"/>
          <w:i/>
          <w:color w:val="314364"/>
          <w:sz w:val="16"/>
          <w:szCs w:val="16"/>
        </w:rPr>
        <w:t xml:space="preserve"> – medziročná zmena</w:t>
      </w:r>
      <w:r w:rsidR="00C10075">
        <w:rPr>
          <w:rFonts w:eastAsia="Calibri" w:cs="Times New Roman"/>
          <w:i/>
          <w:color w:val="314364"/>
          <w:sz w:val="16"/>
          <w:szCs w:val="16"/>
        </w:rPr>
        <w:t>.</w:t>
      </w:r>
    </w:p>
    <w:p w14:paraId="263A85DA" w14:textId="7E2E131A" w:rsidR="008A4BCF" w:rsidRDefault="008A4BCF" w:rsidP="008A4BCF">
      <w:pPr>
        <w:pStyle w:val="Popis"/>
        <w:keepNext/>
        <w:spacing w:after="120"/>
      </w:pPr>
    </w:p>
    <w:p w14:paraId="33B10082" w14:textId="78CCF754" w:rsidR="00AE42B7" w:rsidRPr="00AE42B7" w:rsidRDefault="00AE42B7" w:rsidP="00AE42B7">
      <w:pPr>
        <w:keepNext/>
        <w:spacing w:after="0"/>
        <w:rPr>
          <w:rFonts w:eastAsia="Calibri" w:cs="Times New Roman"/>
          <w:b/>
          <w:iCs/>
          <w:color w:val="314364"/>
          <w:szCs w:val="18"/>
        </w:rPr>
      </w:pPr>
      <w:r w:rsidRPr="00AE42B7">
        <w:rPr>
          <w:rFonts w:eastAsia="Calibri" w:cs="Times New Roman"/>
          <w:b/>
          <w:iCs/>
          <w:color w:val="314364"/>
          <w:szCs w:val="18"/>
        </w:rPr>
        <w:t>Tabuľka 4: Daňové príjmy ŠR na hotovostnej báze (v tis. eur)</w:t>
      </w:r>
    </w:p>
    <w:tbl>
      <w:tblPr>
        <w:tblW w:w="5000" w:type="pct"/>
        <w:jc w:val="center"/>
        <w:tblCellMar>
          <w:top w:w="28" w:type="dxa"/>
        </w:tblCellMar>
        <w:tblLook w:val="04A0" w:firstRow="1" w:lastRow="0" w:firstColumn="1" w:lastColumn="0" w:noHBand="0" w:noVBand="1"/>
      </w:tblPr>
      <w:tblGrid>
        <w:gridCol w:w="2985"/>
        <w:gridCol w:w="1114"/>
        <w:gridCol w:w="1116"/>
        <w:gridCol w:w="1114"/>
        <w:gridCol w:w="1114"/>
        <w:gridCol w:w="990"/>
        <w:gridCol w:w="637"/>
      </w:tblGrid>
      <w:tr w:rsidR="00AE42B7" w:rsidRPr="004310EE" w14:paraId="11FBDF6B" w14:textId="77777777" w:rsidTr="00FF32F5">
        <w:trPr>
          <w:trHeight w:val="252"/>
          <w:jc w:val="center"/>
        </w:trPr>
        <w:tc>
          <w:tcPr>
            <w:tcW w:w="1646" w:type="pct"/>
            <w:shd w:val="clear" w:color="auto" w:fill="314364"/>
            <w:vAlign w:val="center"/>
          </w:tcPr>
          <w:p w14:paraId="286D5092" w14:textId="77777777" w:rsidR="00AE42B7" w:rsidRPr="004310EE" w:rsidRDefault="00AE42B7" w:rsidP="00FF32F5">
            <w:pPr>
              <w:spacing w:after="0" w:line="259" w:lineRule="auto"/>
              <w:jc w:val="left"/>
              <w:rPr>
                <w:rFonts w:eastAsia="Calibri" w:cs="Segoe UI"/>
                <w:color w:val="000000"/>
                <w:sz w:val="16"/>
                <w:szCs w:val="16"/>
              </w:rPr>
            </w:pPr>
            <w:r w:rsidRPr="004310EE">
              <w:rPr>
                <w:rFonts w:eastAsia="Calibri" w:cs="Segoe UI"/>
                <w:b/>
                <w:bCs/>
                <w:color w:val="FFFFFF"/>
                <w:sz w:val="16"/>
                <w:szCs w:val="16"/>
              </w:rPr>
              <w:t>Ukazovateľ</w:t>
            </w:r>
          </w:p>
        </w:tc>
        <w:tc>
          <w:tcPr>
            <w:tcW w:w="614" w:type="pct"/>
            <w:shd w:val="clear" w:color="auto" w:fill="314364"/>
            <w:vAlign w:val="center"/>
          </w:tcPr>
          <w:p w14:paraId="04B8C69C" w14:textId="77777777" w:rsidR="00AE42B7" w:rsidRPr="004310EE" w:rsidRDefault="00AE42B7" w:rsidP="00FF32F5">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2022 S</w:t>
            </w:r>
          </w:p>
        </w:tc>
        <w:tc>
          <w:tcPr>
            <w:tcW w:w="615" w:type="pct"/>
            <w:shd w:val="clear" w:color="auto" w:fill="314364"/>
            <w:vAlign w:val="center"/>
          </w:tcPr>
          <w:p w14:paraId="3FA812C8" w14:textId="77777777" w:rsidR="00AE42B7" w:rsidRPr="004310EE" w:rsidRDefault="00AE42B7" w:rsidP="00FF32F5">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2023 S</w:t>
            </w:r>
          </w:p>
        </w:tc>
        <w:tc>
          <w:tcPr>
            <w:tcW w:w="614" w:type="pct"/>
            <w:shd w:val="clear" w:color="auto" w:fill="314364"/>
            <w:vAlign w:val="center"/>
          </w:tcPr>
          <w:p w14:paraId="2DE560C5" w14:textId="77777777" w:rsidR="00AE42B7" w:rsidRPr="004310EE" w:rsidRDefault="00AE42B7" w:rsidP="00FF32F5">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2024 R</w:t>
            </w:r>
          </w:p>
        </w:tc>
        <w:tc>
          <w:tcPr>
            <w:tcW w:w="614" w:type="pct"/>
            <w:shd w:val="clear" w:color="auto" w:fill="314364"/>
            <w:vAlign w:val="center"/>
          </w:tcPr>
          <w:p w14:paraId="53BE1E70" w14:textId="77777777" w:rsidR="00AE42B7" w:rsidRPr="004310EE" w:rsidRDefault="00AE42B7" w:rsidP="00FF32F5">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2024 S</w:t>
            </w:r>
          </w:p>
        </w:tc>
        <w:tc>
          <w:tcPr>
            <w:tcW w:w="546" w:type="pct"/>
            <w:shd w:val="clear" w:color="auto" w:fill="314364"/>
            <w:vAlign w:val="center"/>
          </w:tcPr>
          <w:p w14:paraId="3FA2835B" w14:textId="77777777" w:rsidR="00AE42B7" w:rsidRPr="004310EE" w:rsidRDefault="00AE42B7" w:rsidP="00FF32F5">
            <w:pPr>
              <w:spacing w:after="0" w:line="259" w:lineRule="auto"/>
              <w:jc w:val="right"/>
              <w:rPr>
                <w:rFonts w:eastAsia="Calibri" w:cs="Segoe UI"/>
                <w:b/>
                <w:bCs/>
                <w:color w:val="FFFFFF"/>
                <w:sz w:val="16"/>
                <w:szCs w:val="16"/>
              </w:rPr>
            </w:pPr>
            <w:r w:rsidRPr="004310EE">
              <w:rPr>
                <w:rFonts w:eastAsia="Calibri" w:cs="Segoe UI"/>
                <w:b/>
                <w:bCs/>
                <w:color w:val="FFFFFF"/>
                <w:sz w:val="16"/>
                <w:szCs w:val="16"/>
              </w:rPr>
              <w:t>24S-24R</w:t>
            </w:r>
          </w:p>
        </w:tc>
        <w:tc>
          <w:tcPr>
            <w:tcW w:w="352" w:type="pct"/>
            <w:shd w:val="clear" w:color="auto" w:fill="314364"/>
            <w:vAlign w:val="center"/>
          </w:tcPr>
          <w:p w14:paraId="58961DA3" w14:textId="77777777" w:rsidR="00AE42B7" w:rsidRPr="004310EE" w:rsidRDefault="00AE42B7" w:rsidP="00FF32F5">
            <w:pPr>
              <w:spacing w:after="0" w:line="259" w:lineRule="auto"/>
              <w:jc w:val="right"/>
              <w:rPr>
                <w:rFonts w:eastAsia="Calibri" w:cs="Segoe UI"/>
                <w:b/>
                <w:bCs/>
                <w:color w:val="FFFFFF"/>
                <w:sz w:val="16"/>
                <w:szCs w:val="16"/>
              </w:rPr>
            </w:pPr>
            <w:proofErr w:type="spellStart"/>
            <w:r w:rsidRPr="004310EE">
              <w:rPr>
                <w:rFonts w:eastAsia="Calibri" w:cs="Segoe UI"/>
                <w:b/>
                <w:bCs/>
                <w:color w:val="FFFFFF"/>
                <w:sz w:val="16"/>
                <w:szCs w:val="16"/>
              </w:rPr>
              <w:t>YoY</w:t>
            </w:r>
            <w:proofErr w:type="spellEnd"/>
          </w:p>
        </w:tc>
      </w:tr>
      <w:tr w:rsidR="00AE42B7" w:rsidRPr="004310EE" w14:paraId="3E3671C9" w14:textId="77777777" w:rsidTr="00FF32F5">
        <w:trPr>
          <w:trHeight w:val="252"/>
          <w:jc w:val="center"/>
        </w:trPr>
        <w:tc>
          <w:tcPr>
            <w:tcW w:w="1646" w:type="pct"/>
            <w:vAlign w:val="center"/>
          </w:tcPr>
          <w:p w14:paraId="06B6C040" w14:textId="77777777" w:rsidR="00AE42B7" w:rsidRPr="004310EE" w:rsidRDefault="00AE42B7" w:rsidP="00FF32F5">
            <w:pPr>
              <w:spacing w:after="0"/>
              <w:jc w:val="left"/>
              <w:rPr>
                <w:rFonts w:eastAsia="Times New Roman" w:cs="Segoe UI"/>
                <w:b/>
                <w:color w:val="000000"/>
                <w:sz w:val="16"/>
                <w:szCs w:val="16"/>
                <w:lang w:eastAsia="sk-SK"/>
              </w:rPr>
            </w:pPr>
            <w:r w:rsidRPr="004310EE">
              <w:rPr>
                <w:rFonts w:eastAsia="Times New Roman" w:cs="Segoe UI"/>
                <w:b/>
                <w:color w:val="000000"/>
                <w:sz w:val="16"/>
                <w:szCs w:val="16"/>
                <w:lang w:eastAsia="sk-SK"/>
              </w:rPr>
              <w:t>Daňové príjmy spolu</w:t>
            </w:r>
          </w:p>
        </w:tc>
        <w:tc>
          <w:tcPr>
            <w:tcW w:w="614" w:type="pct"/>
            <w:vAlign w:val="center"/>
          </w:tcPr>
          <w:p w14:paraId="2BFA0974" w14:textId="77777777" w:rsidR="00AE42B7" w:rsidRPr="004310EE" w:rsidRDefault="00AE42B7" w:rsidP="00FF32F5">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15 517 036</w:t>
            </w:r>
          </w:p>
        </w:tc>
        <w:tc>
          <w:tcPr>
            <w:tcW w:w="615" w:type="pct"/>
            <w:vAlign w:val="center"/>
          </w:tcPr>
          <w:p w14:paraId="32497571" w14:textId="77777777" w:rsidR="00AE42B7" w:rsidRPr="004310EE" w:rsidRDefault="00AE42B7" w:rsidP="00FF32F5">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17 440 976</w:t>
            </w:r>
          </w:p>
        </w:tc>
        <w:tc>
          <w:tcPr>
            <w:tcW w:w="614" w:type="pct"/>
            <w:vAlign w:val="center"/>
          </w:tcPr>
          <w:p w14:paraId="472B42C6" w14:textId="77777777" w:rsidR="00AE42B7" w:rsidRPr="004310EE" w:rsidRDefault="00AE42B7" w:rsidP="00FF32F5">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18 633 856</w:t>
            </w:r>
          </w:p>
        </w:tc>
        <w:tc>
          <w:tcPr>
            <w:tcW w:w="614" w:type="pct"/>
            <w:vAlign w:val="center"/>
          </w:tcPr>
          <w:p w14:paraId="61AD6DC9" w14:textId="77777777" w:rsidR="00AE42B7" w:rsidRPr="004310EE" w:rsidRDefault="00AE42B7" w:rsidP="00FF32F5">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18 350 788</w:t>
            </w:r>
          </w:p>
        </w:tc>
        <w:tc>
          <w:tcPr>
            <w:tcW w:w="546" w:type="pct"/>
            <w:vAlign w:val="center"/>
          </w:tcPr>
          <w:p w14:paraId="55599947" w14:textId="77777777" w:rsidR="00AE42B7" w:rsidRPr="004310EE" w:rsidRDefault="00AE42B7" w:rsidP="00FF32F5">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-283 068</w:t>
            </w:r>
          </w:p>
        </w:tc>
        <w:tc>
          <w:tcPr>
            <w:tcW w:w="352" w:type="pct"/>
            <w:vAlign w:val="center"/>
          </w:tcPr>
          <w:p w14:paraId="695A09CA" w14:textId="77777777" w:rsidR="00AE42B7" w:rsidRPr="004310EE" w:rsidRDefault="00AE42B7" w:rsidP="00FF32F5">
            <w:pPr>
              <w:spacing w:after="0"/>
              <w:jc w:val="right"/>
              <w:rPr>
                <w:rFonts w:eastAsia="Times New Roman" w:cs="Segoe UI"/>
                <w:b/>
                <w:color w:val="000000"/>
                <w:sz w:val="16"/>
                <w:szCs w:val="16"/>
                <w:lang w:eastAsia="sk-SK"/>
              </w:rPr>
            </w:pPr>
            <w:r w:rsidRPr="004310EE">
              <w:rPr>
                <w:rFonts w:eastAsia="Times New Roman" w:cs="Segoe UI"/>
                <w:b/>
                <w:sz w:val="16"/>
                <w:szCs w:val="16"/>
                <w:lang w:eastAsia="sk-SK"/>
              </w:rPr>
              <w:t>105,2</w:t>
            </w:r>
          </w:p>
        </w:tc>
      </w:tr>
      <w:tr w:rsidR="00AE42B7" w:rsidRPr="004310EE" w14:paraId="5995C7B8" w14:textId="77777777" w:rsidTr="00FF32F5">
        <w:trPr>
          <w:trHeight w:val="252"/>
          <w:jc w:val="center"/>
        </w:trPr>
        <w:tc>
          <w:tcPr>
            <w:tcW w:w="1646" w:type="pct"/>
            <w:vAlign w:val="center"/>
          </w:tcPr>
          <w:p w14:paraId="49B7F8F8" w14:textId="77777777" w:rsidR="00AE42B7" w:rsidRPr="004310EE" w:rsidRDefault="00AE42B7" w:rsidP="00FF32F5">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Dane za tovary a služby</w:t>
            </w:r>
          </w:p>
        </w:tc>
        <w:tc>
          <w:tcPr>
            <w:tcW w:w="614" w:type="pct"/>
            <w:vAlign w:val="center"/>
          </w:tcPr>
          <w:p w14:paraId="31D730D7"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11 330 228</w:t>
            </w:r>
          </w:p>
        </w:tc>
        <w:tc>
          <w:tcPr>
            <w:tcW w:w="615" w:type="pct"/>
            <w:vAlign w:val="center"/>
          </w:tcPr>
          <w:p w14:paraId="27796D6A"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12 450 214</w:t>
            </w:r>
          </w:p>
        </w:tc>
        <w:tc>
          <w:tcPr>
            <w:tcW w:w="614" w:type="pct"/>
            <w:vAlign w:val="center"/>
          </w:tcPr>
          <w:p w14:paraId="78675605"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12 851 474</w:t>
            </w:r>
          </w:p>
        </w:tc>
        <w:tc>
          <w:tcPr>
            <w:tcW w:w="614" w:type="pct"/>
            <w:vAlign w:val="center"/>
          </w:tcPr>
          <w:p w14:paraId="2F5BE7D7"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12 768 440</w:t>
            </w:r>
          </w:p>
        </w:tc>
        <w:tc>
          <w:tcPr>
            <w:tcW w:w="546" w:type="pct"/>
            <w:vAlign w:val="center"/>
          </w:tcPr>
          <w:p w14:paraId="73D9FDD7"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-83 034</w:t>
            </w:r>
          </w:p>
        </w:tc>
        <w:tc>
          <w:tcPr>
            <w:tcW w:w="352" w:type="pct"/>
            <w:vAlign w:val="center"/>
          </w:tcPr>
          <w:p w14:paraId="0CEC200A"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102,6</w:t>
            </w:r>
          </w:p>
        </w:tc>
      </w:tr>
      <w:tr w:rsidR="00AE42B7" w:rsidRPr="004310EE" w14:paraId="0449C7B6" w14:textId="77777777" w:rsidTr="00FF32F5">
        <w:trPr>
          <w:trHeight w:val="252"/>
          <w:jc w:val="center"/>
        </w:trPr>
        <w:tc>
          <w:tcPr>
            <w:tcW w:w="1646" w:type="pct"/>
            <w:vAlign w:val="center"/>
          </w:tcPr>
          <w:p w14:paraId="621BBE80" w14:textId="77777777" w:rsidR="00AE42B7" w:rsidRPr="004310EE" w:rsidRDefault="00AE42B7" w:rsidP="00FF32F5">
            <w:pPr>
              <w:spacing w:after="0"/>
              <w:jc w:val="left"/>
              <w:rPr>
                <w:rFonts w:eastAsia="Times New Roman" w:cs="Segoe UI"/>
                <w:i/>
                <w:color w:val="000000"/>
                <w:sz w:val="16"/>
                <w:szCs w:val="16"/>
                <w:lang w:eastAsia="sk-SK"/>
              </w:rPr>
            </w:pPr>
            <w:r w:rsidRPr="004310EE">
              <w:rPr>
                <w:rFonts w:eastAsia="Times New Roman" w:cs="Segoe UI"/>
                <w:i/>
                <w:color w:val="000000"/>
                <w:sz w:val="16"/>
                <w:szCs w:val="16"/>
                <w:lang w:eastAsia="sk-SK"/>
              </w:rPr>
              <w:t xml:space="preserve">     DPH</w:t>
            </w:r>
          </w:p>
        </w:tc>
        <w:tc>
          <w:tcPr>
            <w:tcW w:w="614" w:type="pct"/>
            <w:vAlign w:val="center"/>
          </w:tcPr>
          <w:p w14:paraId="5D681A7A"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8 584 936</w:t>
            </w:r>
          </w:p>
        </w:tc>
        <w:tc>
          <w:tcPr>
            <w:tcW w:w="615" w:type="pct"/>
            <w:vAlign w:val="center"/>
          </w:tcPr>
          <w:p w14:paraId="7DCC9C53"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9 649 064</w:t>
            </w:r>
          </w:p>
        </w:tc>
        <w:tc>
          <w:tcPr>
            <w:tcW w:w="614" w:type="pct"/>
            <w:vAlign w:val="center"/>
          </w:tcPr>
          <w:p w14:paraId="2D960C79"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9 827 000</w:t>
            </w:r>
          </w:p>
        </w:tc>
        <w:tc>
          <w:tcPr>
            <w:tcW w:w="614" w:type="pct"/>
            <w:vAlign w:val="center"/>
          </w:tcPr>
          <w:p w14:paraId="70693C38"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9 815 372</w:t>
            </w:r>
          </w:p>
        </w:tc>
        <w:tc>
          <w:tcPr>
            <w:tcW w:w="546" w:type="pct"/>
            <w:vAlign w:val="center"/>
          </w:tcPr>
          <w:p w14:paraId="10382E60"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-11 628</w:t>
            </w:r>
          </w:p>
        </w:tc>
        <w:tc>
          <w:tcPr>
            <w:tcW w:w="352" w:type="pct"/>
            <w:vAlign w:val="center"/>
          </w:tcPr>
          <w:p w14:paraId="5657E06E"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101,7</w:t>
            </w:r>
          </w:p>
        </w:tc>
      </w:tr>
      <w:tr w:rsidR="00AE42B7" w:rsidRPr="004310EE" w14:paraId="17CA9C09" w14:textId="77777777" w:rsidTr="00FF32F5">
        <w:trPr>
          <w:trHeight w:val="252"/>
          <w:jc w:val="center"/>
        </w:trPr>
        <w:tc>
          <w:tcPr>
            <w:tcW w:w="1646" w:type="pct"/>
            <w:vAlign w:val="center"/>
          </w:tcPr>
          <w:p w14:paraId="1D7F4C3D" w14:textId="77777777" w:rsidR="00AE42B7" w:rsidRPr="004310EE" w:rsidRDefault="00AE42B7" w:rsidP="00FF32F5">
            <w:pPr>
              <w:spacing w:after="0"/>
              <w:jc w:val="left"/>
              <w:rPr>
                <w:rFonts w:eastAsia="Times New Roman" w:cs="Segoe UI"/>
                <w:i/>
                <w:color w:val="000000"/>
                <w:sz w:val="16"/>
                <w:szCs w:val="16"/>
                <w:lang w:eastAsia="sk-SK"/>
              </w:rPr>
            </w:pPr>
            <w:r w:rsidRPr="004310EE">
              <w:rPr>
                <w:rFonts w:eastAsia="Times New Roman" w:cs="Segoe UI"/>
                <w:i/>
                <w:color w:val="000000"/>
                <w:sz w:val="16"/>
                <w:szCs w:val="16"/>
                <w:lang w:eastAsia="sk-SK"/>
              </w:rPr>
              <w:t xml:space="preserve">     spotrebné dane</w:t>
            </w:r>
          </w:p>
        </w:tc>
        <w:tc>
          <w:tcPr>
            <w:tcW w:w="614" w:type="pct"/>
            <w:vAlign w:val="center"/>
          </w:tcPr>
          <w:p w14:paraId="379C7FB3"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2 524 521</w:t>
            </w:r>
          </w:p>
        </w:tc>
        <w:tc>
          <w:tcPr>
            <w:tcW w:w="615" w:type="pct"/>
            <w:vAlign w:val="center"/>
          </w:tcPr>
          <w:p w14:paraId="09DBD112"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2 565 078</w:t>
            </w:r>
          </w:p>
        </w:tc>
        <w:tc>
          <w:tcPr>
            <w:tcW w:w="614" w:type="pct"/>
            <w:vAlign w:val="center"/>
          </w:tcPr>
          <w:p w14:paraId="50F04740"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2 778 568</w:t>
            </w:r>
          </w:p>
        </w:tc>
        <w:tc>
          <w:tcPr>
            <w:tcW w:w="614" w:type="pct"/>
            <w:vAlign w:val="center"/>
          </w:tcPr>
          <w:p w14:paraId="2CEA466E"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2 701 165</w:t>
            </w:r>
          </w:p>
        </w:tc>
        <w:tc>
          <w:tcPr>
            <w:tcW w:w="546" w:type="pct"/>
            <w:vAlign w:val="center"/>
          </w:tcPr>
          <w:p w14:paraId="329CBE2E"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-77 403</w:t>
            </w:r>
          </w:p>
        </w:tc>
        <w:tc>
          <w:tcPr>
            <w:tcW w:w="352" w:type="pct"/>
            <w:vAlign w:val="center"/>
          </w:tcPr>
          <w:p w14:paraId="4238CAD8"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105,3</w:t>
            </w:r>
          </w:p>
        </w:tc>
      </w:tr>
      <w:tr w:rsidR="00AE42B7" w:rsidRPr="004310EE" w14:paraId="40EA95C1" w14:textId="77777777" w:rsidTr="00FF32F5">
        <w:trPr>
          <w:trHeight w:val="252"/>
          <w:jc w:val="center"/>
        </w:trPr>
        <w:tc>
          <w:tcPr>
            <w:tcW w:w="1646" w:type="pct"/>
            <w:vAlign w:val="center"/>
          </w:tcPr>
          <w:p w14:paraId="52D0B765" w14:textId="77777777" w:rsidR="00AE42B7" w:rsidRPr="004310EE" w:rsidRDefault="00AE42B7" w:rsidP="00FF32F5">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Dane z príjmov a kapitálového majetku</w:t>
            </w:r>
          </w:p>
        </w:tc>
        <w:tc>
          <w:tcPr>
            <w:tcW w:w="614" w:type="pct"/>
            <w:vAlign w:val="center"/>
          </w:tcPr>
          <w:p w14:paraId="2C188B63"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4 114 180</w:t>
            </w:r>
          </w:p>
        </w:tc>
        <w:tc>
          <w:tcPr>
            <w:tcW w:w="615" w:type="pct"/>
            <w:vAlign w:val="center"/>
          </w:tcPr>
          <w:p w14:paraId="44A82BCF"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4 338 758</w:t>
            </w:r>
          </w:p>
        </w:tc>
        <w:tc>
          <w:tcPr>
            <w:tcW w:w="614" w:type="pct"/>
            <w:vAlign w:val="center"/>
          </w:tcPr>
          <w:p w14:paraId="02A56BAF"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4 867 757</w:t>
            </w:r>
          </w:p>
        </w:tc>
        <w:tc>
          <w:tcPr>
            <w:tcW w:w="614" w:type="pct"/>
            <w:vAlign w:val="center"/>
          </w:tcPr>
          <w:p w14:paraId="1F20D6FE"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4 940 706</w:t>
            </w:r>
          </w:p>
        </w:tc>
        <w:tc>
          <w:tcPr>
            <w:tcW w:w="546" w:type="pct"/>
            <w:vAlign w:val="center"/>
          </w:tcPr>
          <w:p w14:paraId="49E48D84"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72 949</w:t>
            </w:r>
          </w:p>
        </w:tc>
        <w:tc>
          <w:tcPr>
            <w:tcW w:w="352" w:type="pct"/>
            <w:vAlign w:val="center"/>
          </w:tcPr>
          <w:p w14:paraId="6015D71E"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113,9</w:t>
            </w:r>
          </w:p>
        </w:tc>
      </w:tr>
      <w:tr w:rsidR="00AE42B7" w:rsidRPr="004310EE" w14:paraId="78D78942" w14:textId="77777777" w:rsidTr="00FF32F5">
        <w:trPr>
          <w:trHeight w:val="252"/>
          <w:jc w:val="center"/>
        </w:trPr>
        <w:tc>
          <w:tcPr>
            <w:tcW w:w="1646" w:type="pct"/>
            <w:vAlign w:val="center"/>
          </w:tcPr>
          <w:p w14:paraId="027FF09F" w14:textId="77777777" w:rsidR="00AE42B7" w:rsidRPr="004310EE" w:rsidRDefault="00AE42B7" w:rsidP="00FF32F5">
            <w:pPr>
              <w:spacing w:after="0"/>
              <w:jc w:val="left"/>
              <w:rPr>
                <w:rFonts w:eastAsia="Times New Roman" w:cs="Segoe UI"/>
                <w:i/>
                <w:color w:val="000000"/>
                <w:sz w:val="16"/>
                <w:szCs w:val="16"/>
                <w:lang w:eastAsia="sk-SK"/>
              </w:rPr>
            </w:pPr>
            <w:r w:rsidRPr="004310EE">
              <w:rPr>
                <w:rFonts w:eastAsia="Times New Roman" w:cs="Segoe UI"/>
                <w:i/>
                <w:color w:val="000000"/>
                <w:sz w:val="16"/>
                <w:szCs w:val="16"/>
                <w:lang w:eastAsia="sk-SK"/>
              </w:rPr>
              <w:t xml:space="preserve">     daň z príjmov PO</w:t>
            </w:r>
          </w:p>
        </w:tc>
        <w:tc>
          <w:tcPr>
            <w:tcW w:w="614" w:type="pct"/>
            <w:vAlign w:val="center"/>
          </w:tcPr>
          <w:p w14:paraId="013EBFA2"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3 804 345</w:t>
            </w:r>
          </w:p>
        </w:tc>
        <w:tc>
          <w:tcPr>
            <w:tcW w:w="615" w:type="pct"/>
            <w:vAlign w:val="center"/>
          </w:tcPr>
          <w:p w14:paraId="5F4A6259"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3 906 421</w:t>
            </w:r>
          </w:p>
        </w:tc>
        <w:tc>
          <w:tcPr>
            <w:tcW w:w="614" w:type="pct"/>
            <w:vAlign w:val="center"/>
          </w:tcPr>
          <w:p w14:paraId="43ABDF85"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4 475 610</w:t>
            </w:r>
          </w:p>
        </w:tc>
        <w:tc>
          <w:tcPr>
            <w:tcW w:w="614" w:type="pct"/>
            <w:vAlign w:val="center"/>
          </w:tcPr>
          <w:p w14:paraId="33AACD54"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4 413 168</w:t>
            </w:r>
          </w:p>
        </w:tc>
        <w:tc>
          <w:tcPr>
            <w:tcW w:w="546" w:type="pct"/>
            <w:vAlign w:val="center"/>
          </w:tcPr>
          <w:p w14:paraId="3A93EB74"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-62 442</w:t>
            </w:r>
          </w:p>
        </w:tc>
        <w:tc>
          <w:tcPr>
            <w:tcW w:w="352" w:type="pct"/>
            <w:vAlign w:val="center"/>
          </w:tcPr>
          <w:p w14:paraId="57BC961C"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113,0</w:t>
            </w:r>
          </w:p>
        </w:tc>
      </w:tr>
      <w:tr w:rsidR="00AE42B7" w:rsidRPr="004310EE" w14:paraId="76DB613C" w14:textId="77777777" w:rsidTr="00FF32F5">
        <w:trPr>
          <w:trHeight w:val="252"/>
          <w:jc w:val="center"/>
        </w:trPr>
        <w:tc>
          <w:tcPr>
            <w:tcW w:w="1646" w:type="pct"/>
            <w:vAlign w:val="center"/>
          </w:tcPr>
          <w:p w14:paraId="7FB9A80D" w14:textId="77777777" w:rsidR="00AE42B7" w:rsidRPr="004310EE" w:rsidRDefault="00AE42B7" w:rsidP="00FF32F5">
            <w:pPr>
              <w:spacing w:after="0"/>
              <w:jc w:val="left"/>
              <w:rPr>
                <w:rFonts w:eastAsia="Times New Roman" w:cs="Segoe UI"/>
                <w:i/>
                <w:color w:val="000000"/>
                <w:sz w:val="16"/>
                <w:szCs w:val="16"/>
                <w:lang w:eastAsia="sk-SK"/>
              </w:rPr>
            </w:pPr>
            <w:r w:rsidRPr="004310EE">
              <w:rPr>
                <w:rFonts w:eastAsia="Times New Roman" w:cs="Segoe UI"/>
                <w:i/>
                <w:color w:val="000000"/>
                <w:sz w:val="16"/>
                <w:szCs w:val="16"/>
                <w:lang w:eastAsia="sk-SK"/>
              </w:rPr>
              <w:t xml:space="preserve">     daň z príjmov vyberaná zrážkou</w:t>
            </w:r>
          </w:p>
        </w:tc>
        <w:tc>
          <w:tcPr>
            <w:tcW w:w="614" w:type="pct"/>
            <w:vAlign w:val="center"/>
          </w:tcPr>
          <w:p w14:paraId="1070FD53"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314 764</w:t>
            </w:r>
          </w:p>
        </w:tc>
        <w:tc>
          <w:tcPr>
            <w:tcW w:w="615" w:type="pct"/>
            <w:vAlign w:val="center"/>
          </w:tcPr>
          <w:p w14:paraId="59B323B4"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430 574</w:t>
            </w:r>
          </w:p>
        </w:tc>
        <w:tc>
          <w:tcPr>
            <w:tcW w:w="614" w:type="pct"/>
            <w:vAlign w:val="center"/>
          </w:tcPr>
          <w:p w14:paraId="486DA654"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415 070</w:t>
            </w:r>
          </w:p>
        </w:tc>
        <w:tc>
          <w:tcPr>
            <w:tcW w:w="614" w:type="pct"/>
            <w:vAlign w:val="center"/>
          </w:tcPr>
          <w:p w14:paraId="3192BA9C"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529 150</w:t>
            </w:r>
          </w:p>
        </w:tc>
        <w:tc>
          <w:tcPr>
            <w:tcW w:w="546" w:type="pct"/>
            <w:vAlign w:val="center"/>
          </w:tcPr>
          <w:p w14:paraId="650DC132"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114 080</w:t>
            </w:r>
          </w:p>
        </w:tc>
        <w:tc>
          <w:tcPr>
            <w:tcW w:w="352" w:type="pct"/>
            <w:vAlign w:val="center"/>
          </w:tcPr>
          <w:p w14:paraId="5BB982CA"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122,9</w:t>
            </w:r>
          </w:p>
        </w:tc>
      </w:tr>
      <w:tr w:rsidR="00AE42B7" w:rsidRPr="004310EE" w14:paraId="56FFC5CB" w14:textId="77777777" w:rsidTr="00FF32F5">
        <w:trPr>
          <w:trHeight w:val="252"/>
          <w:jc w:val="center"/>
        </w:trPr>
        <w:tc>
          <w:tcPr>
            <w:tcW w:w="1646" w:type="pct"/>
            <w:vAlign w:val="center"/>
          </w:tcPr>
          <w:p w14:paraId="592E438A" w14:textId="77777777" w:rsidR="00AE42B7" w:rsidRPr="004310EE" w:rsidRDefault="00AE42B7" w:rsidP="00FF32F5">
            <w:pPr>
              <w:spacing w:after="0"/>
              <w:jc w:val="left"/>
              <w:rPr>
                <w:rFonts w:eastAsia="Times New Roman" w:cs="Segoe UI"/>
                <w:i/>
                <w:color w:val="000000"/>
                <w:sz w:val="16"/>
                <w:szCs w:val="16"/>
                <w:lang w:eastAsia="sk-SK"/>
              </w:rPr>
            </w:pPr>
            <w:r w:rsidRPr="004310EE">
              <w:rPr>
                <w:rFonts w:eastAsia="Times New Roman" w:cs="Segoe UI"/>
                <w:i/>
                <w:color w:val="000000"/>
                <w:sz w:val="16"/>
                <w:szCs w:val="16"/>
                <w:lang w:eastAsia="sk-SK"/>
              </w:rPr>
              <w:t xml:space="preserve">     daň z príjmov FO</w:t>
            </w:r>
          </w:p>
        </w:tc>
        <w:tc>
          <w:tcPr>
            <w:tcW w:w="614" w:type="pct"/>
            <w:vAlign w:val="center"/>
          </w:tcPr>
          <w:p w14:paraId="5EE1F201"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-4 929</w:t>
            </w:r>
          </w:p>
        </w:tc>
        <w:tc>
          <w:tcPr>
            <w:tcW w:w="615" w:type="pct"/>
            <w:vAlign w:val="center"/>
          </w:tcPr>
          <w:p w14:paraId="1D0DE748"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1 763</w:t>
            </w:r>
          </w:p>
        </w:tc>
        <w:tc>
          <w:tcPr>
            <w:tcW w:w="614" w:type="pct"/>
            <w:vAlign w:val="center"/>
          </w:tcPr>
          <w:p w14:paraId="396E839B"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-22 923</w:t>
            </w:r>
          </w:p>
        </w:tc>
        <w:tc>
          <w:tcPr>
            <w:tcW w:w="614" w:type="pct"/>
            <w:vAlign w:val="center"/>
          </w:tcPr>
          <w:p w14:paraId="5FBBB1F7"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-1 612</w:t>
            </w:r>
          </w:p>
        </w:tc>
        <w:tc>
          <w:tcPr>
            <w:tcW w:w="546" w:type="pct"/>
            <w:vAlign w:val="center"/>
          </w:tcPr>
          <w:p w14:paraId="3EA736B5"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21 311</w:t>
            </w:r>
          </w:p>
        </w:tc>
        <w:tc>
          <w:tcPr>
            <w:tcW w:w="352" w:type="pct"/>
            <w:vAlign w:val="center"/>
          </w:tcPr>
          <w:p w14:paraId="2FEA9FC3" w14:textId="77777777" w:rsidR="00AE42B7" w:rsidRPr="004310EE" w:rsidRDefault="00AE42B7" w:rsidP="00FF32F5">
            <w:pPr>
              <w:spacing w:after="0"/>
              <w:jc w:val="right"/>
              <w:rPr>
                <w:rFonts w:eastAsia="Times New Roman" w:cs="Segoe UI"/>
                <w:i/>
                <w:color w:val="000000"/>
                <w:sz w:val="16"/>
                <w:szCs w:val="16"/>
                <w:lang w:eastAsia="sk-SK"/>
              </w:rPr>
            </w:pPr>
            <w:r w:rsidRPr="004310EE">
              <w:rPr>
                <w:rFonts w:eastAsia="Times New Roman" w:cs="Segoe UI"/>
                <w:i/>
                <w:sz w:val="16"/>
                <w:szCs w:val="16"/>
                <w:lang w:eastAsia="sk-SK"/>
              </w:rPr>
              <w:t>-91,4</w:t>
            </w:r>
          </w:p>
        </w:tc>
      </w:tr>
      <w:tr w:rsidR="00AE42B7" w:rsidRPr="004310EE" w14:paraId="215D63CF" w14:textId="77777777" w:rsidTr="00FF32F5">
        <w:trPr>
          <w:trHeight w:val="252"/>
          <w:jc w:val="center"/>
        </w:trPr>
        <w:tc>
          <w:tcPr>
            <w:tcW w:w="1646" w:type="pct"/>
            <w:vAlign w:val="center"/>
          </w:tcPr>
          <w:p w14:paraId="2D53E14D" w14:textId="77777777" w:rsidR="00AE42B7" w:rsidRPr="004310EE" w:rsidRDefault="00AE42B7" w:rsidP="00FF32F5">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Dane z medzinárodného obchodu a transakcií</w:t>
            </w:r>
          </w:p>
        </w:tc>
        <w:tc>
          <w:tcPr>
            <w:tcW w:w="614" w:type="pct"/>
            <w:vAlign w:val="center"/>
          </w:tcPr>
          <w:p w14:paraId="05F717AD"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39 848</w:t>
            </w:r>
          </w:p>
        </w:tc>
        <w:tc>
          <w:tcPr>
            <w:tcW w:w="615" w:type="pct"/>
            <w:vAlign w:val="center"/>
          </w:tcPr>
          <w:p w14:paraId="7353ED02"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37 917</w:t>
            </w:r>
          </w:p>
        </w:tc>
        <w:tc>
          <w:tcPr>
            <w:tcW w:w="614" w:type="pct"/>
            <w:vAlign w:val="center"/>
          </w:tcPr>
          <w:p w14:paraId="75B86986"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41 724</w:t>
            </w:r>
          </w:p>
        </w:tc>
        <w:tc>
          <w:tcPr>
            <w:tcW w:w="614" w:type="pct"/>
            <w:vAlign w:val="center"/>
          </w:tcPr>
          <w:p w14:paraId="3EB52700"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36 828</w:t>
            </w:r>
          </w:p>
        </w:tc>
        <w:tc>
          <w:tcPr>
            <w:tcW w:w="546" w:type="pct"/>
            <w:vAlign w:val="center"/>
          </w:tcPr>
          <w:p w14:paraId="46A60570"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-4 896</w:t>
            </w:r>
          </w:p>
        </w:tc>
        <w:tc>
          <w:tcPr>
            <w:tcW w:w="352" w:type="pct"/>
            <w:vAlign w:val="center"/>
          </w:tcPr>
          <w:p w14:paraId="6A2B7CBE"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97,1</w:t>
            </w:r>
          </w:p>
        </w:tc>
      </w:tr>
      <w:tr w:rsidR="00AE42B7" w:rsidRPr="004310EE" w14:paraId="44D7D2CF" w14:textId="77777777" w:rsidTr="00FF32F5">
        <w:trPr>
          <w:trHeight w:val="252"/>
          <w:jc w:val="center"/>
        </w:trPr>
        <w:tc>
          <w:tcPr>
            <w:tcW w:w="1646" w:type="pct"/>
            <w:vAlign w:val="center"/>
          </w:tcPr>
          <w:p w14:paraId="16CACD6D" w14:textId="77777777" w:rsidR="00AE42B7" w:rsidRPr="004310EE" w:rsidRDefault="00AE42B7" w:rsidP="00FF32F5">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Ostatné dane</w:t>
            </w:r>
          </w:p>
        </w:tc>
        <w:tc>
          <w:tcPr>
            <w:tcW w:w="614" w:type="pct"/>
            <w:vAlign w:val="center"/>
          </w:tcPr>
          <w:p w14:paraId="7D377E2C"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9</w:t>
            </w:r>
          </w:p>
        </w:tc>
        <w:tc>
          <w:tcPr>
            <w:tcW w:w="615" w:type="pct"/>
            <w:vAlign w:val="center"/>
          </w:tcPr>
          <w:p w14:paraId="54F06B4C"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557 309</w:t>
            </w:r>
          </w:p>
        </w:tc>
        <w:tc>
          <w:tcPr>
            <w:tcW w:w="614" w:type="pct"/>
            <w:vAlign w:val="center"/>
          </w:tcPr>
          <w:p w14:paraId="265132A1"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831 925</w:t>
            </w:r>
          </w:p>
        </w:tc>
        <w:tc>
          <w:tcPr>
            <w:tcW w:w="614" w:type="pct"/>
            <w:vAlign w:val="center"/>
          </w:tcPr>
          <w:p w14:paraId="1410132C"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563 705</w:t>
            </w:r>
          </w:p>
        </w:tc>
        <w:tc>
          <w:tcPr>
            <w:tcW w:w="546" w:type="pct"/>
            <w:vAlign w:val="center"/>
          </w:tcPr>
          <w:p w14:paraId="47BC39CE"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-268 220</w:t>
            </w:r>
          </w:p>
        </w:tc>
        <w:tc>
          <w:tcPr>
            <w:tcW w:w="352" w:type="pct"/>
            <w:vAlign w:val="center"/>
          </w:tcPr>
          <w:p w14:paraId="1B025DDE"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101,1</w:t>
            </w:r>
          </w:p>
        </w:tc>
      </w:tr>
      <w:tr w:rsidR="00AE42B7" w:rsidRPr="004310EE" w14:paraId="3004CC15" w14:textId="77777777" w:rsidTr="00FF32F5">
        <w:trPr>
          <w:trHeight w:val="252"/>
          <w:jc w:val="center"/>
        </w:trPr>
        <w:tc>
          <w:tcPr>
            <w:tcW w:w="1646" w:type="pct"/>
            <w:tcBorders>
              <w:bottom w:val="single" w:sz="4" w:space="0" w:color="314364"/>
            </w:tcBorders>
            <w:vAlign w:val="center"/>
          </w:tcPr>
          <w:p w14:paraId="26BF1BC7" w14:textId="77777777" w:rsidR="00AE42B7" w:rsidRPr="004310EE" w:rsidRDefault="00AE42B7" w:rsidP="00FF32F5">
            <w:pPr>
              <w:spacing w:after="0"/>
              <w:jc w:val="left"/>
              <w:rPr>
                <w:rFonts w:eastAsia="Times New Roman" w:cs="Segoe UI"/>
                <w:color w:val="000000"/>
                <w:sz w:val="16"/>
                <w:szCs w:val="16"/>
                <w:lang w:eastAsia="sk-SK"/>
              </w:rPr>
            </w:pPr>
            <w:r w:rsidRPr="004310EE">
              <w:rPr>
                <w:rFonts w:eastAsia="Times New Roman" w:cs="Segoe UI"/>
                <w:color w:val="000000"/>
                <w:sz w:val="16"/>
                <w:szCs w:val="16"/>
                <w:lang w:eastAsia="sk-SK"/>
              </w:rPr>
              <w:t>Sankcie uložené v daňovom konaní</w:t>
            </w:r>
          </w:p>
        </w:tc>
        <w:tc>
          <w:tcPr>
            <w:tcW w:w="614" w:type="pct"/>
            <w:tcBorders>
              <w:bottom w:val="single" w:sz="4" w:space="0" w:color="314364"/>
            </w:tcBorders>
            <w:vAlign w:val="center"/>
          </w:tcPr>
          <w:p w14:paraId="0C996D33"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32 771</w:t>
            </w:r>
          </w:p>
        </w:tc>
        <w:tc>
          <w:tcPr>
            <w:tcW w:w="615" w:type="pct"/>
            <w:tcBorders>
              <w:bottom w:val="single" w:sz="4" w:space="0" w:color="314364"/>
            </w:tcBorders>
            <w:vAlign w:val="center"/>
          </w:tcPr>
          <w:p w14:paraId="74FEF113"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56 779</w:t>
            </w:r>
          </w:p>
        </w:tc>
        <w:tc>
          <w:tcPr>
            <w:tcW w:w="614" w:type="pct"/>
            <w:tcBorders>
              <w:bottom w:val="single" w:sz="4" w:space="0" w:color="314364"/>
            </w:tcBorders>
            <w:vAlign w:val="center"/>
          </w:tcPr>
          <w:p w14:paraId="737364E7"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40 976</w:t>
            </w:r>
          </w:p>
        </w:tc>
        <w:tc>
          <w:tcPr>
            <w:tcW w:w="614" w:type="pct"/>
            <w:tcBorders>
              <w:bottom w:val="single" w:sz="4" w:space="0" w:color="314364"/>
            </w:tcBorders>
            <w:vAlign w:val="center"/>
          </w:tcPr>
          <w:p w14:paraId="2CF2EDA0"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41 098</w:t>
            </w:r>
          </w:p>
        </w:tc>
        <w:tc>
          <w:tcPr>
            <w:tcW w:w="546" w:type="pct"/>
            <w:tcBorders>
              <w:bottom w:val="single" w:sz="4" w:space="0" w:color="314364"/>
            </w:tcBorders>
            <w:vAlign w:val="center"/>
          </w:tcPr>
          <w:p w14:paraId="7E92E8C4"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122</w:t>
            </w:r>
          </w:p>
        </w:tc>
        <w:tc>
          <w:tcPr>
            <w:tcW w:w="352" w:type="pct"/>
            <w:tcBorders>
              <w:bottom w:val="single" w:sz="4" w:space="0" w:color="314364"/>
            </w:tcBorders>
            <w:vAlign w:val="center"/>
          </w:tcPr>
          <w:p w14:paraId="64F898A5" w14:textId="77777777" w:rsidR="00AE42B7" w:rsidRPr="004310EE" w:rsidRDefault="00AE42B7" w:rsidP="00FF32F5">
            <w:pPr>
              <w:spacing w:after="0"/>
              <w:jc w:val="right"/>
              <w:rPr>
                <w:rFonts w:eastAsia="Times New Roman" w:cs="Segoe UI"/>
                <w:color w:val="000000"/>
                <w:sz w:val="16"/>
                <w:szCs w:val="16"/>
                <w:lang w:eastAsia="sk-SK"/>
              </w:rPr>
            </w:pPr>
            <w:r w:rsidRPr="004310EE">
              <w:rPr>
                <w:rFonts w:eastAsia="Times New Roman" w:cs="Segoe UI"/>
                <w:sz w:val="16"/>
                <w:szCs w:val="16"/>
                <w:lang w:eastAsia="sk-SK"/>
              </w:rPr>
              <w:t>72,4</w:t>
            </w:r>
          </w:p>
        </w:tc>
      </w:tr>
    </w:tbl>
    <w:p w14:paraId="431608D0" w14:textId="1D8A6F4D" w:rsidR="00AE42B7" w:rsidRDefault="00AE42B7" w:rsidP="00AE42B7">
      <w:pPr>
        <w:jc w:val="left"/>
      </w:pPr>
      <w:r w:rsidRPr="004310EE">
        <w:rPr>
          <w:rFonts w:eastAsia="Calibri" w:cs="Times New Roman"/>
          <w:i/>
          <w:color w:val="314364"/>
          <w:sz w:val="16"/>
        </w:rPr>
        <w:t>Zdroj: Návrh ŠZÚ 2024.</w:t>
      </w:r>
      <w:r w:rsidRPr="004310EE">
        <w:rPr>
          <w:rFonts w:eastAsia="Calibri" w:cs="Times New Roman"/>
          <w:i/>
          <w:color w:val="314364"/>
          <w:sz w:val="16"/>
        </w:rPr>
        <w:br/>
        <w:t xml:space="preserve">S – skutočnosť, R – rozpočet, </w:t>
      </w:r>
      <w:proofErr w:type="spellStart"/>
      <w:r w:rsidRPr="004310EE">
        <w:rPr>
          <w:rFonts w:eastAsia="Calibri" w:cs="Times New Roman"/>
          <w:i/>
          <w:color w:val="314364"/>
          <w:sz w:val="16"/>
        </w:rPr>
        <w:t>YoY</w:t>
      </w:r>
      <w:proofErr w:type="spellEnd"/>
      <w:r w:rsidRPr="004310EE">
        <w:rPr>
          <w:rFonts w:eastAsia="Calibri" w:cs="Times New Roman"/>
          <w:i/>
          <w:color w:val="314364"/>
          <w:sz w:val="16"/>
        </w:rPr>
        <w:t xml:space="preserve"> – medziročná zmena</w:t>
      </w:r>
      <w:r w:rsidR="00C10075">
        <w:rPr>
          <w:rFonts w:eastAsia="Calibri" w:cs="Times New Roman"/>
          <w:i/>
          <w:color w:val="314364"/>
          <w:sz w:val="16"/>
        </w:rPr>
        <w:t>.</w:t>
      </w:r>
    </w:p>
    <w:p w14:paraId="489FCC93" w14:textId="4122DE95" w:rsidR="00AE42B7" w:rsidRDefault="00AE42B7" w:rsidP="00AE42B7"/>
    <w:p w14:paraId="71C1E0C7" w14:textId="77777777" w:rsidR="003D11A6" w:rsidRPr="00AE42B7" w:rsidRDefault="003D11A6" w:rsidP="00AE42B7"/>
    <w:p w14:paraId="1FF958FE" w14:textId="1B43F7AC" w:rsidR="00315037" w:rsidRDefault="00315037" w:rsidP="00315037">
      <w:pPr>
        <w:spacing w:after="0"/>
        <w:rPr>
          <w:rFonts w:eastAsia="Calibri" w:cs="Times New Roman"/>
          <w:b/>
          <w:color w:val="314364" w:themeColor="text2"/>
          <w:szCs w:val="18"/>
        </w:rPr>
      </w:pPr>
      <w:r w:rsidRPr="00A73D17">
        <w:rPr>
          <w:rFonts w:eastAsia="Calibri" w:cs="Times New Roman"/>
          <w:b/>
          <w:color w:val="314364" w:themeColor="text2"/>
          <w:szCs w:val="18"/>
        </w:rPr>
        <w:lastRenderedPageBreak/>
        <w:t xml:space="preserve">Tabuľka </w:t>
      </w:r>
      <w:r>
        <w:rPr>
          <w:rFonts w:eastAsia="Calibri" w:cs="Times New Roman"/>
          <w:b/>
          <w:color w:val="314364" w:themeColor="text2"/>
          <w:szCs w:val="18"/>
        </w:rPr>
        <w:t>5</w:t>
      </w:r>
      <w:r w:rsidRPr="00A73D17">
        <w:rPr>
          <w:rFonts w:eastAsia="Calibri" w:cs="Times New Roman"/>
          <w:b/>
          <w:color w:val="314364" w:themeColor="text2"/>
          <w:szCs w:val="18"/>
        </w:rPr>
        <w:t>: Vybrané výdavky ŠR na realizáciu programov vlády SR za rok 2024 (v tis. eur)</w:t>
      </w:r>
      <w:r>
        <w:rPr>
          <w:rFonts w:eastAsia="Calibri" w:cs="Times New Roman"/>
          <w:b/>
          <w:color w:val="314364" w:themeColor="text2"/>
          <w:szCs w:val="18"/>
        </w:rPr>
        <w:t xml:space="preserve"> </w:t>
      </w:r>
    </w:p>
    <w:tbl>
      <w:tblPr>
        <w:tblW w:w="9109" w:type="dxa"/>
        <w:tblCellMar>
          <w:left w:w="70" w:type="dxa"/>
          <w:right w:w="70" w:type="dxa"/>
        </w:tblCellMar>
        <w:tblLook w:val="04A0" w:firstRow="1" w:lastRow="0" w:firstColumn="1" w:lastColumn="0" w:noHBand="0" w:noVBand="1"/>
      </w:tblPr>
      <w:tblGrid>
        <w:gridCol w:w="1136"/>
        <w:gridCol w:w="4217"/>
        <w:gridCol w:w="1406"/>
        <w:gridCol w:w="1406"/>
        <w:gridCol w:w="944"/>
      </w:tblGrid>
      <w:tr w:rsidR="00315037" w:rsidRPr="009B7217" w14:paraId="31FAB6D1" w14:textId="77777777" w:rsidTr="00042DB1">
        <w:trPr>
          <w:trHeight w:val="258"/>
        </w:trPr>
        <w:tc>
          <w:tcPr>
            <w:tcW w:w="1136" w:type="dxa"/>
            <w:tcBorders>
              <w:top w:val="nil"/>
              <w:left w:val="nil"/>
              <w:bottom w:val="nil"/>
              <w:right w:val="nil"/>
            </w:tcBorders>
            <w:shd w:val="clear" w:color="000000" w:fill="314364"/>
            <w:vAlign w:val="center"/>
            <w:hideMark/>
          </w:tcPr>
          <w:p w14:paraId="3BD7C6EA" w14:textId="77777777" w:rsidR="00315037" w:rsidRPr="009B7217" w:rsidRDefault="00315037" w:rsidP="00042DB1">
            <w:pPr>
              <w:spacing w:after="0" w:line="240" w:lineRule="auto"/>
              <w:jc w:val="left"/>
              <w:rPr>
                <w:rFonts w:eastAsia="Times New Roman" w:cs="Segoe UI"/>
                <w:b/>
                <w:bCs/>
                <w:color w:val="FFFFFF"/>
                <w:sz w:val="18"/>
                <w:szCs w:val="18"/>
                <w:lang w:eastAsia="sk-SK"/>
              </w:rPr>
            </w:pPr>
            <w:r w:rsidRPr="009B7217">
              <w:rPr>
                <w:rFonts w:eastAsia="Times New Roman" w:cs="Segoe UI"/>
                <w:b/>
                <w:bCs/>
                <w:color w:val="FFFFFF"/>
                <w:sz w:val="18"/>
                <w:szCs w:val="18"/>
                <w:lang w:eastAsia="sk-SK"/>
              </w:rPr>
              <w:t>Kapitola</w:t>
            </w:r>
          </w:p>
        </w:tc>
        <w:tc>
          <w:tcPr>
            <w:tcW w:w="4217" w:type="dxa"/>
            <w:tcBorders>
              <w:top w:val="nil"/>
              <w:left w:val="nil"/>
              <w:bottom w:val="nil"/>
              <w:right w:val="nil"/>
            </w:tcBorders>
            <w:shd w:val="clear" w:color="000000" w:fill="314364"/>
            <w:vAlign w:val="center"/>
            <w:hideMark/>
          </w:tcPr>
          <w:p w14:paraId="5FF6D327" w14:textId="77777777" w:rsidR="00315037" w:rsidRPr="009B7217" w:rsidRDefault="00315037" w:rsidP="00042DB1">
            <w:pPr>
              <w:spacing w:after="0" w:line="240" w:lineRule="auto"/>
              <w:jc w:val="left"/>
              <w:rPr>
                <w:rFonts w:eastAsia="Times New Roman" w:cs="Segoe UI"/>
                <w:b/>
                <w:bCs/>
                <w:color w:val="FFFFFF"/>
                <w:sz w:val="18"/>
                <w:szCs w:val="18"/>
                <w:lang w:eastAsia="sk-SK"/>
              </w:rPr>
            </w:pPr>
            <w:r w:rsidRPr="009B7217">
              <w:rPr>
                <w:rFonts w:eastAsia="Times New Roman" w:cs="Segoe UI"/>
                <w:b/>
                <w:bCs/>
                <w:color w:val="FFFFFF"/>
                <w:sz w:val="18"/>
                <w:szCs w:val="18"/>
                <w:lang w:eastAsia="sk-SK"/>
              </w:rPr>
              <w:t>Program</w:t>
            </w:r>
          </w:p>
        </w:tc>
        <w:tc>
          <w:tcPr>
            <w:tcW w:w="1406" w:type="dxa"/>
            <w:tcBorders>
              <w:top w:val="nil"/>
              <w:left w:val="nil"/>
              <w:bottom w:val="nil"/>
              <w:right w:val="nil"/>
            </w:tcBorders>
            <w:shd w:val="clear" w:color="000000" w:fill="314364"/>
            <w:vAlign w:val="center"/>
            <w:hideMark/>
          </w:tcPr>
          <w:p w14:paraId="1B0F5856" w14:textId="77777777" w:rsidR="00315037" w:rsidRPr="009B7217" w:rsidRDefault="00315037" w:rsidP="00042DB1">
            <w:pPr>
              <w:spacing w:after="0" w:line="240" w:lineRule="auto"/>
              <w:jc w:val="right"/>
              <w:rPr>
                <w:rFonts w:eastAsia="Times New Roman" w:cs="Segoe UI"/>
                <w:b/>
                <w:bCs/>
                <w:color w:val="FFFFFF"/>
                <w:sz w:val="18"/>
                <w:szCs w:val="18"/>
                <w:lang w:eastAsia="sk-SK"/>
              </w:rPr>
            </w:pPr>
            <w:r w:rsidRPr="009B7217">
              <w:rPr>
                <w:rFonts w:eastAsia="Times New Roman" w:cs="Segoe UI"/>
                <w:b/>
                <w:bCs/>
                <w:color w:val="FFFFFF"/>
                <w:sz w:val="18"/>
                <w:szCs w:val="18"/>
                <w:lang w:eastAsia="sk-SK"/>
              </w:rPr>
              <w:t>2024 R</w:t>
            </w:r>
          </w:p>
        </w:tc>
        <w:tc>
          <w:tcPr>
            <w:tcW w:w="1406" w:type="dxa"/>
            <w:tcBorders>
              <w:top w:val="nil"/>
              <w:left w:val="nil"/>
              <w:bottom w:val="nil"/>
              <w:right w:val="nil"/>
            </w:tcBorders>
            <w:shd w:val="clear" w:color="000000" w:fill="314364"/>
            <w:vAlign w:val="center"/>
            <w:hideMark/>
          </w:tcPr>
          <w:p w14:paraId="36BC9490" w14:textId="77777777" w:rsidR="00315037" w:rsidRPr="009B7217" w:rsidRDefault="00315037" w:rsidP="00042DB1">
            <w:pPr>
              <w:spacing w:after="0" w:line="240" w:lineRule="auto"/>
              <w:jc w:val="right"/>
              <w:rPr>
                <w:rFonts w:eastAsia="Times New Roman" w:cs="Segoe UI"/>
                <w:b/>
                <w:bCs/>
                <w:color w:val="FFFFFF"/>
                <w:sz w:val="18"/>
                <w:szCs w:val="18"/>
                <w:lang w:eastAsia="sk-SK"/>
              </w:rPr>
            </w:pPr>
            <w:r w:rsidRPr="009B7217">
              <w:rPr>
                <w:rFonts w:eastAsia="Times New Roman" w:cs="Segoe UI"/>
                <w:b/>
                <w:bCs/>
                <w:color w:val="FFFFFF"/>
                <w:sz w:val="18"/>
                <w:szCs w:val="18"/>
                <w:lang w:eastAsia="sk-SK"/>
              </w:rPr>
              <w:t>2024 S</w:t>
            </w:r>
          </w:p>
        </w:tc>
        <w:tc>
          <w:tcPr>
            <w:tcW w:w="944" w:type="dxa"/>
            <w:tcBorders>
              <w:top w:val="nil"/>
              <w:left w:val="nil"/>
              <w:bottom w:val="nil"/>
              <w:right w:val="nil"/>
            </w:tcBorders>
            <w:shd w:val="clear" w:color="000000" w:fill="314364"/>
            <w:vAlign w:val="center"/>
            <w:hideMark/>
          </w:tcPr>
          <w:p w14:paraId="7B9C306D" w14:textId="77777777" w:rsidR="00315037" w:rsidRPr="009B7217" w:rsidRDefault="00315037" w:rsidP="00042DB1">
            <w:pPr>
              <w:spacing w:after="0" w:line="240" w:lineRule="auto"/>
              <w:jc w:val="right"/>
              <w:rPr>
                <w:rFonts w:eastAsia="Times New Roman" w:cs="Segoe UI"/>
                <w:b/>
                <w:bCs/>
                <w:color w:val="FFFFFF"/>
                <w:sz w:val="18"/>
                <w:szCs w:val="18"/>
                <w:lang w:eastAsia="sk-SK"/>
              </w:rPr>
            </w:pPr>
            <w:r w:rsidRPr="009B7217">
              <w:rPr>
                <w:rFonts w:eastAsia="Times New Roman" w:cs="Segoe UI"/>
                <w:b/>
                <w:bCs/>
                <w:color w:val="FFFFFF"/>
                <w:sz w:val="18"/>
                <w:szCs w:val="18"/>
                <w:lang w:eastAsia="sk-SK"/>
              </w:rPr>
              <w:t>Index</w:t>
            </w:r>
          </w:p>
        </w:tc>
      </w:tr>
      <w:tr w:rsidR="00315037" w:rsidRPr="009B7217" w14:paraId="1450ADB1"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7A443515"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MIRRI SR</w:t>
            </w:r>
          </w:p>
        </w:tc>
        <w:tc>
          <w:tcPr>
            <w:tcW w:w="4217" w:type="dxa"/>
            <w:tcBorders>
              <w:top w:val="nil"/>
              <w:left w:val="nil"/>
              <w:bottom w:val="nil"/>
              <w:right w:val="nil"/>
            </w:tcBorders>
            <w:shd w:val="clear" w:color="auto" w:fill="auto"/>
            <w:vAlign w:val="center"/>
            <w:hideMark/>
          </w:tcPr>
          <w:p w14:paraId="25B55992"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 xml:space="preserve">0DV Fondy EÚ </w:t>
            </w:r>
            <w:r>
              <w:rPr>
                <w:rFonts w:eastAsia="Times New Roman" w:cs="Segoe UI"/>
                <w:color w:val="000000"/>
                <w:sz w:val="18"/>
                <w:szCs w:val="18"/>
                <w:lang w:eastAsia="sk-SK"/>
              </w:rPr>
              <w:t xml:space="preserve">– </w:t>
            </w:r>
            <w:r w:rsidRPr="009B7217">
              <w:rPr>
                <w:rFonts w:eastAsia="Times New Roman" w:cs="Segoe UI"/>
                <w:color w:val="000000"/>
                <w:sz w:val="18"/>
                <w:szCs w:val="18"/>
                <w:lang w:eastAsia="sk-SK"/>
              </w:rPr>
              <w:t>MIRRI</w:t>
            </w:r>
            <w:r>
              <w:rPr>
                <w:rFonts w:eastAsia="Times New Roman" w:cs="Segoe UI"/>
                <w:color w:val="000000"/>
                <w:sz w:val="18"/>
                <w:szCs w:val="18"/>
                <w:lang w:eastAsia="sk-SK"/>
              </w:rPr>
              <w:t xml:space="preserve"> SR</w:t>
            </w:r>
          </w:p>
        </w:tc>
        <w:tc>
          <w:tcPr>
            <w:tcW w:w="1406" w:type="dxa"/>
            <w:tcBorders>
              <w:top w:val="nil"/>
              <w:left w:val="nil"/>
              <w:bottom w:val="nil"/>
              <w:right w:val="nil"/>
            </w:tcBorders>
            <w:shd w:val="clear" w:color="auto" w:fill="auto"/>
            <w:vAlign w:val="center"/>
            <w:hideMark/>
          </w:tcPr>
          <w:p w14:paraId="393A0218"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96 986</w:t>
            </w:r>
          </w:p>
        </w:tc>
        <w:tc>
          <w:tcPr>
            <w:tcW w:w="1406" w:type="dxa"/>
            <w:tcBorders>
              <w:top w:val="nil"/>
              <w:left w:val="nil"/>
              <w:bottom w:val="nil"/>
              <w:right w:val="nil"/>
            </w:tcBorders>
            <w:shd w:val="clear" w:color="auto" w:fill="auto"/>
            <w:vAlign w:val="center"/>
            <w:hideMark/>
          </w:tcPr>
          <w:p w14:paraId="016F1436"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353 726</w:t>
            </w:r>
          </w:p>
        </w:tc>
        <w:tc>
          <w:tcPr>
            <w:tcW w:w="944" w:type="dxa"/>
            <w:tcBorders>
              <w:top w:val="nil"/>
              <w:left w:val="nil"/>
              <w:bottom w:val="nil"/>
              <w:right w:val="nil"/>
            </w:tcBorders>
            <w:shd w:val="clear" w:color="auto" w:fill="auto"/>
            <w:noWrap/>
            <w:vAlign w:val="bottom"/>
            <w:hideMark/>
          </w:tcPr>
          <w:p w14:paraId="1D6705A8"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365</w:t>
            </w:r>
          </w:p>
        </w:tc>
      </w:tr>
      <w:tr w:rsidR="00315037" w:rsidRPr="009B7217" w14:paraId="2E4CFC4E" w14:textId="77777777" w:rsidTr="00042DB1">
        <w:trPr>
          <w:trHeight w:val="298"/>
        </w:trPr>
        <w:tc>
          <w:tcPr>
            <w:tcW w:w="1136" w:type="dxa"/>
            <w:vMerge/>
            <w:tcBorders>
              <w:top w:val="nil"/>
              <w:left w:val="nil"/>
              <w:bottom w:val="single" w:sz="4" w:space="0" w:color="000000"/>
              <w:right w:val="nil"/>
            </w:tcBorders>
            <w:vAlign w:val="center"/>
            <w:hideMark/>
          </w:tcPr>
          <w:p w14:paraId="76240BFE"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5FED09AB"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0ET Výkon funkcie ministra investícií, regionálneho rozvoja a informatizácie SR</w:t>
            </w:r>
          </w:p>
        </w:tc>
        <w:tc>
          <w:tcPr>
            <w:tcW w:w="1406" w:type="dxa"/>
            <w:tcBorders>
              <w:top w:val="nil"/>
              <w:left w:val="nil"/>
              <w:bottom w:val="single" w:sz="4" w:space="0" w:color="auto"/>
              <w:right w:val="nil"/>
            </w:tcBorders>
            <w:shd w:val="clear" w:color="auto" w:fill="auto"/>
            <w:vAlign w:val="center"/>
            <w:hideMark/>
          </w:tcPr>
          <w:p w14:paraId="2398C70E"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264 058</w:t>
            </w:r>
          </w:p>
        </w:tc>
        <w:tc>
          <w:tcPr>
            <w:tcW w:w="1406" w:type="dxa"/>
            <w:tcBorders>
              <w:top w:val="nil"/>
              <w:left w:val="nil"/>
              <w:bottom w:val="single" w:sz="4" w:space="0" w:color="auto"/>
              <w:right w:val="nil"/>
            </w:tcBorders>
            <w:shd w:val="clear" w:color="auto" w:fill="auto"/>
            <w:vAlign w:val="center"/>
            <w:hideMark/>
          </w:tcPr>
          <w:p w14:paraId="37192713"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100 630</w:t>
            </w:r>
          </w:p>
        </w:tc>
        <w:tc>
          <w:tcPr>
            <w:tcW w:w="944" w:type="dxa"/>
            <w:tcBorders>
              <w:top w:val="nil"/>
              <w:left w:val="nil"/>
              <w:bottom w:val="single" w:sz="4" w:space="0" w:color="auto"/>
              <w:right w:val="nil"/>
            </w:tcBorders>
            <w:shd w:val="clear" w:color="auto" w:fill="auto"/>
            <w:noWrap/>
            <w:vAlign w:val="bottom"/>
            <w:hideMark/>
          </w:tcPr>
          <w:p w14:paraId="5AFCC636"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38</w:t>
            </w:r>
          </w:p>
        </w:tc>
      </w:tr>
      <w:tr w:rsidR="00315037" w:rsidRPr="009B7217" w14:paraId="14E1E637" w14:textId="77777777" w:rsidTr="00042DB1">
        <w:trPr>
          <w:trHeight w:val="298"/>
        </w:trPr>
        <w:tc>
          <w:tcPr>
            <w:tcW w:w="1136" w:type="dxa"/>
            <w:tcBorders>
              <w:top w:val="nil"/>
              <w:left w:val="nil"/>
              <w:bottom w:val="single" w:sz="4" w:space="0" w:color="auto"/>
              <w:right w:val="nil"/>
            </w:tcBorders>
            <w:shd w:val="clear" w:color="auto" w:fill="auto"/>
            <w:vAlign w:val="center"/>
            <w:hideMark/>
          </w:tcPr>
          <w:p w14:paraId="5A780B62"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MZVEZ SR</w:t>
            </w:r>
          </w:p>
        </w:tc>
        <w:tc>
          <w:tcPr>
            <w:tcW w:w="4217" w:type="dxa"/>
            <w:tcBorders>
              <w:top w:val="nil"/>
              <w:left w:val="nil"/>
              <w:bottom w:val="single" w:sz="4" w:space="0" w:color="auto"/>
              <w:right w:val="nil"/>
            </w:tcBorders>
            <w:shd w:val="clear" w:color="auto" w:fill="auto"/>
            <w:vAlign w:val="center"/>
            <w:hideMark/>
          </w:tcPr>
          <w:p w14:paraId="4A59A0A4"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06U Rozvoj zahraničných vzťahov</w:t>
            </w:r>
          </w:p>
        </w:tc>
        <w:tc>
          <w:tcPr>
            <w:tcW w:w="1406" w:type="dxa"/>
            <w:tcBorders>
              <w:top w:val="nil"/>
              <w:left w:val="nil"/>
              <w:bottom w:val="single" w:sz="4" w:space="0" w:color="auto"/>
              <w:right w:val="nil"/>
            </w:tcBorders>
            <w:shd w:val="clear" w:color="auto" w:fill="auto"/>
            <w:vAlign w:val="center"/>
            <w:hideMark/>
          </w:tcPr>
          <w:p w14:paraId="6B749EF3"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136 311</w:t>
            </w:r>
          </w:p>
        </w:tc>
        <w:tc>
          <w:tcPr>
            <w:tcW w:w="1406" w:type="dxa"/>
            <w:tcBorders>
              <w:top w:val="nil"/>
              <w:left w:val="nil"/>
              <w:bottom w:val="single" w:sz="4" w:space="0" w:color="auto"/>
              <w:right w:val="nil"/>
            </w:tcBorders>
            <w:shd w:val="clear" w:color="auto" w:fill="auto"/>
            <w:vAlign w:val="center"/>
            <w:hideMark/>
          </w:tcPr>
          <w:p w14:paraId="7402B547"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140 379</w:t>
            </w:r>
          </w:p>
        </w:tc>
        <w:tc>
          <w:tcPr>
            <w:tcW w:w="944" w:type="dxa"/>
            <w:tcBorders>
              <w:top w:val="nil"/>
              <w:left w:val="nil"/>
              <w:bottom w:val="single" w:sz="4" w:space="0" w:color="auto"/>
              <w:right w:val="nil"/>
            </w:tcBorders>
            <w:shd w:val="clear" w:color="auto" w:fill="auto"/>
            <w:noWrap/>
            <w:vAlign w:val="bottom"/>
            <w:hideMark/>
          </w:tcPr>
          <w:p w14:paraId="26F15F4D"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103</w:t>
            </w:r>
          </w:p>
        </w:tc>
      </w:tr>
      <w:tr w:rsidR="00315037" w:rsidRPr="009B7217" w14:paraId="12D59153"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39498C45"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MO SR</w:t>
            </w:r>
          </w:p>
        </w:tc>
        <w:tc>
          <w:tcPr>
            <w:tcW w:w="4217" w:type="dxa"/>
            <w:tcBorders>
              <w:top w:val="nil"/>
              <w:left w:val="nil"/>
              <w:bottom w:val="nil"/>
              <w:right w:val="nil"/>
            </w:tcBorders>
            <w:shd w:val="clear" w:color="auto" w:fill="auto"/>
            <w:vAlign w:val="center"/>
            <w:hideMark/>
          </w:tcPr>
          <w:p w14:paraId="5597070F"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095 Rozvoj obrany</w:t>
            </w:r>
          </w:p>
        </w:tc>
        <w:tc>
          <w:tcPr>
            <w:tcW w:w="1406" w:type="dxa"/>
            <w:tcBorders>
              <w:top w:val="nil"/>
              <w:left w:val="nil"/>
              <w:bottom w:val="nil"/>
              <w:right w:val="nil"/>
            </w:tcBorders>
            <w:shd w:val="clear" w:color="auto" w:fill="auto"/>
            <w:vAlign w:val="center"/>
            <w:hideMark/>
          </w:tcPr>
          <w:p w14:paraId="1DF6BC0B"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877 107</w:t>
            </w:r>
          </w:p>
        </w:tc>
        <w:tc>
          <w:tcPr>
            <w:tcW w:w="1406" w:type="dxa"/>
            <w:tcBorders>
              <w:top w:val="nil"/>
              <w:left w:val="nil"/>
              <w:bottom w:val="nil"/>
              <w:right w:val="nil"/>
            </w:tcBorders>
            <w:shd w:val="clear" w:color="auto" w:fill="auto"/>
            <w:vAlign w:val="center"/>
            <w:hideMark/>
          </w:tcPr>
          <w:p w14:paraId="1D98B390"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854 244</w:t>
            </w:r>
          </w:p>
        </w:tc>
        <w:tc>
          <w:tcPr>
            <w:tcW w:w="944" w:type="dxa"/>
            <w:tcBorders>
              <w:top w:val="nil"/>
              <w:left w:val="nil"/>
              <w:bottom w:val="nil"/>
              <w:right w:val="nil"/>
            </w:tcBorders>
            <w:shd w:val="clear" w:color="auto" w:fill="auto"/>
            <w:noWrap/>
            <w:vAlign w:val="bottom"/>
            <w:hideMark/>
          </w:tcPr>
          <w:p w14:paraId="062D4C52"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97</w:t>
            </w:r>
          </w:p>
        </w:tc>
      </w:tr>
      <w:tr w:rsidR="00315037" w:rsidRPr="009B7217" w14:paraId="68F2AF83" w14:textId="77777777" w:rsidTr="00042DB1">
        <w:trPr>
          <w:trHeight w:val="298"/>
        </w:trPr>
        <w:tc>
          <w:tcPr>
            <w:tcW w:w="1136" w:type="dxa"/>
            <w:vMerge/>
            <w:tcBorders>
              <w:top w:val="nil"/>
              <w:left w:val="nil"/>
              <w:bottom w:val="single" w:sz="4" w:space="0" w:color="000000"/>
              <w:right w:val="nil"/>
            </w:tcBorders>
            <w:vAlign w:val="center"/>
            <w:hideMark/>
          </w:tcPr>
          <w:p w14:paraId="2634E516"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56453EDA"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096 Obrana</w:t>
            </w:r>
          </w:p>
        </w:tc>
        <w:tc>
          <w:tcPr>
            <w:tcW w:w="1406" w:type="dxa"/>
            <w:tcBorders>
              <w:top w:val="nil"/>
              <w:left w:val="nil"/>
              <w:bottom w:val="single" w:sz="4" w:space="0" w:color="auto"/>
              <w:right w:val="nil"/>
            </w:tcBorders>
            <w:shd w:val="clear" w:color="auto" w:fill="auto"/>
            <w:vAlign w:val="center"/>
            <w:hideMark/>
          </w:tcPr>
          <w:p w14:paraId="39892470"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1 726 163</w:t>
            </w:r>
          </w:p>
        </w:tc>
        <w:tc>
          <w:tcPr>
            <w:tcW w:w="1406" w:type="dxa"/>
            <w:tcBorders>
              <w:top w:val="nil"/>
              <w:left w:val="nil"/>
              <w:bottom w:val="single" w:sz="4" w:space="0" w:color="auto"/>
              <w:right w:val="nil"/>
            </w:tcBorders>
            <w:shd w:val="clear" w:color="auto" w:fill="auto"/>
            <w:vAlign w:val="center"/>
            <w:hideMark/>
          </w:tcPr>
          <w:p w14:paraId="5D479E19"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1 430 772</w:t>
            </w:r>
          </w:p>
        </w:tc>
        <w:tc>
          <w:tcPr>
            <w:tcW w:w="944" w:type="dxa"/>
            <w:tcBorders>
              <w:top w:val="nil"/>
              <w:left w:val="nil"/>
              <w:bottom w:val="single" w:sz="4" w:space="0" w:color="auto"/>
              <w:right w:val="nil"/>
            </w:tcBorders>
            <w:shd w:val="clear" w:color="auto" w:fill="auto"/>
            <w:noWrap/>
            <w:vAlign w:val="bottom"/>
            <w:hideMark/>
          </w:tcPr>
          <w:p w14:paraId="1F8914E1"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83</w:t>
            </w:r>
          </w:p>
        </w:tc>
      </w:tr>
      <w:tr w:rsidR="00315037" w:rsidRPr="009B7217" w14:paraId="61C8D53C"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41442223"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MV SR</w:t>
            </w:r>
          </w:p>
        </w:tc>
        <w:tc>
          <w:tcPr>
            <w:tcW w:w="4217" w:type="dxa"/>
            <w:tcBorders>
              <w:top w:val="nil"/>
              <w:left w:val="nil"/>
              <w:bottom w:val="nil"/>
              <w:right w:val="nil"/>
            </w:tcBorders>
            <w:shd w:val="clear" w:color="auto" w:fill="auto"/>
            <w:vAlign w:val="center"/>
            <w:hideMark/>
          </w:tcPr>
          <w:p w14:paraId="6DDE619E"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0D6 Efektívna a spoľahlivá štátna správa</w:t>
            </w:r>
          </w:p>
        </w:tc>
        <w:tc>
          <w:tcPr>
            <w:tcW w:w="1406" w:type="dxa"/>
            <w:tcBorders>
              <w:top w:val="nil"/>
              <w:left w:val="nil"/>
              <w:bottom w:val="nil"/>
              <w:right w:val="nil"/>
            </w:tcBorders>
            <w:shd w:val="clear" w:color="auto" w:fill="auto"/>
            <w:vAlign w:val="center"/>
            <w:hideMark/>
          </w:tcPr>
          <w:p w14:paraId="0753E07D"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1 683 027</w:t>
            </w:r>
          </w:p>
        </w:tc>
        <w:tc>
          <w:tcPr>
            <w:tcW w:w="1406" w:type="dxa"/>
            <w:tcBorders>
              <w:top w:val="nil"/>
              <w:left w:val="nil"/>
              <w:bottom w:val="nil"/>
              <w:right w:val="nil"/>
            </w:tcBorders>
            <w:shd w:val="clear" w:color="auto" w:fill="auto"/>
            <w:vAlign w:val="center"/>
            <w:hideMark/>
          </w:tcPr>
          <w:p w14:paraId="37D7D914"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1 731 516</w:t>
            </w:r>
          </w:p>
        </w:tc>
        <w:tc>
          <w:tcPr>
            <w:tcW w:w="944" w:type="dxa"/>
            <w:tcBorders>
              <w:top w:val="nil"/>
              <w:left w:val="nil"/>
              <w:bottom w:val="nil"/>
              <w:right w:val="nil"/>
            </w:tcBorders>
            <w:shd w:val="clear" w:color="auto" w:fill="auto"/>
            <w:noWrap/>
            <w:vAlign w:val="bottom"/>
            <w:hideMark/>
          </w:tcPr>
          <w:p w14:paraId="6EAF9A8C"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103</w:t>
            </w:r>
          </w:p>
        </w:tc>
      </w:tr>
      <w:tr w:rsidR="00315037" w:rsidRPr="009B7217" w14:paraId="46FEC099" w14:textId="77777777" w:rsidTr="00042DB1">
        <w:trPr>
          <w:trHeight w:val="298"/>
        </w:trPr>
        <w:tc>
          <w:tcPr>
            <w:tcW w:w="1136" w:type="dxa"/>
            <w:vMerge/>
            <w:tcBorders>
              <w:top w:val="nil"/>
              <w:left w:val="nil"/>
              <w:bottom w:val="single" w:sz="4" w:space="0" w:color="000000"/>
              <w:right w:val="nil"/>
            </w:tcBorders>
            <w:vAlign w:val="center"/>
            <w:hideMark/>
          </w:tcPr>
          <w:p w14:paraId="70A939AF"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2716D514"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0EK Informačné technológie financované zo štátneho rozpočtu</w:t>
            </w:r>
          </w:p>
        </w:tc>
        <w:tc>
          <w:tcPr>
            <w:tcW w:w="1406" w:type="dxa"/>
            <w:tcBorders>
              <w:top w:val="nil"/>
              <w:left w:val="nil"/>
              <w:bottom w:val="single" w:sz="4" w:space="0" w:color="auto"/>
              <w:right w:val="nil"/>
            </w:tcBorders>
            <w:shd w:val="clear" w:color="auto" w:fill="auto"/>
            <w:vAlign w:val="center"/>
            <w:hideMark/>
          </w:tcPr>
          <w:p w14:paraId="31F92653"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179 553</w:t>
            </w:r>
          </w:p>
        </w:tc>
        <w:tc>
          <w:tcPr>
            <w:tcW w:w="1406" w:type="dxa"/>
            <w:tcBorders>
              <w:top w:val="nil"/>
              <w:left w:val="nil"/>
              <w:bottom w:val="single" w:sz="4" w:space="0" w:color="auto"/>
              <w:right w:val="nil"/>
            </w:tcBorders>
            <w:shd w:val="clear" w:color="auto" w:fill="auto"/>
            <w:vAlign w:val="center"/>
            <w:hideMark/>
          </w:tcPr>
          <w:p w14:paraId="3E40119F"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199 266</w:t>
            </w:r>
          </w:p>
        </w:tc>
        <w:tc>
          <w:tcPr>
            <w:tcW w:w="944" w:type="dxa"/>
            <w:tcBorders>
              <w:top w:val="nil"/>
              <w:left w:val="nil"/>
              <w:bottom w:val="single" w:sz="4" w:space="0" w:color="auto"/>
              <w:right w:val="nil"/>
            </w:tcBorders>
            <w:shd w:val="clear" w:color="auto" w:fill="auto"/>
            <w:noWrap/>
            <w:vAlign w:val="bottom"/>
            <w:hideMark/>
          </w:tcPr>
          <w:p w14:paraId="3AF0E7F0"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111</w:t>
            </w:r>
          </w:p>
        </w:tc>
      </w:tr>
      <w:tr w:rsidR="00315037" w:rsidRPr="009B7217" w14:paraId="2B0DDE5A"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362F8254"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MS SR</w:t>
            </w:r>
          </w:p>
        </w:tc>
        <w:tc>
          <w:tcPr>
            <w:tcW w:w="4217" w:type="dxa"/>
            <w:tcBorders>
              <w:top w:val="nil"/>
              <w:left w:val="nil"/>
              <w:bottom w:val="nil"/>
              <w:right w:val="nil"/>
            </w:tcBorders>
            <w:shd w:val="clear" w:color="auto" w:fill="auto"/>
            <w:vAlign w:val="center"/>
            <w:hideMark/>
          </w:tcPr>
          <w:p w14:paraId="57A794B3"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070 Väzenstvo</w:t>
            </w:r>
          </w:p>
        </w:tc>
        <w:tc>
          <w:tcPr>
            <w:tcW w:w="1406" w:type="dxa"/>
            <w:tcBorders>
              <w:top w:val="nil"/>
              <w:left w:val="nil"/>
              <w:bottom w:val="nil"/>
              <w:right w:val="nil"/>
            </w:tcBorders>
            <w:shd w:val="clear" w:color="auto" w:fill="auto"/>
            <w:vAlign w:val="center"/>
            <w:hideMark/>
          </w:tcPr>
          <w:p w14:paraId="53007C1B"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301 437</w:t>
            </w:r>
          </w:p>
        </w:tc>
        <w:tc>
          <w:tcPr>
            <w:tcW w:w="1406" w:type="dxa"/>
            <w:tcBorders>
              <w:top w:val="nil"/>
              <w:left w:val="nil"/>
              <w:bottom w:val="nil"/>
              <w:right w:val="nil"/>
            </w:tcBorders>
            <w:shd w:val="clear" w:color="auto" w:fill="auto"/>
            <w:vAlign w:val="center"/>
            <w:hideMark/>
          </w:tcPr>
          <w:p w14:paraId="54A5F2E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278 444</w:t>
            </w:r>
          </w:p>
        </w:tc>
        <w:tc>
          <w:tcPr>
            <w:tcW w:w="944" w:type="dxa"/>
            <w:tcBorders>
              <w:top w:val="nil"/>
              <w:left w:val="nil"/>
              <w:bottom w:val="nil"/>
              <w:right w:val="nil"/>
            </w:tcBorders>
            <w:shd w:val="clear" w:color="auto" w:fill="auto"/>
            <w:noWrap/>
            <w:vAlign w:val="bottom"/>
            <w:hideMark/>
          </w:tcPr>
          <w:p w14:paraId="7D651CC6"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92</w:t>
            </w:r>
          </w:p>
        </w:tc>
      </w:tr>
      <w:tr w:rsidR="00315037" w:rsidRPr="009B7217" w14:paraId="79F99632" w14:textId="77777777" w:rsidTr="00042DB1">
        <w:trPr>
          <w:trHeight w:val="298"/>
        </w:trPr>
        <w:tc>
          <w:tcPr>
            <w:tcW w:w="1136" w:type="dxa"/>
            <w:vMerge/>
            <w:tcBorders>
              <w:top w:val="nil"/>
              <w:left w:val="nil"/>
              <w:bottom w:val="single" w:sz="4" w:space="0" w:color="000000"/>
              <w:right w:val="nil"/>
            </w:tcBorders>
            <w:vAlign w:val="center"/>
            <w:hideMark/>
          </w:tcPr>
          <w:p w14:paraId="4E17F770"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087C6E3D"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08P Financovanie systému súdnictva</w:t>
            </w:r>
          </w:p>
        </w:tc>
        <w:tc>
          <w:tcPr>
            <w:tcW w:w="1406" w:type="dxa"/>
            <w:tcBorders>
              <w:top w:val="nil"/>
              <w:left w:val="nil"/>
              <w:bottom w:val="single" w:sz="4" w:space="0" w:color="auto"/>
              <w:right w:val="nil"/>
            </w:tcBorders>
            <w:shd w:val="clear" w:color="auto" w:fill="auto"/>
            <w:vAlign w:val="center"/>
            <w:hideMark/>
          </w:tcPr>
          <w:p w14:paraId="289DD8E0"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302 274</w:t>
            </w:r>
          </w:p>
        </w:tc>
        <w:tc>
          <w:tcPr>
            <w:tcW w:w="1406" w:type="dxa"/>
            <w:tcBorders>
              <w:top w:val="nil"/>
              <w:left w:val="nil"/>
              <w:bottom w:val="single" w:sz="4" w:space="0" w:color="auto"/>
              <w:right w:val="nil"/>
            </w:tcBorders>
            <w:shd w:val="clear" w:color="auto" w:fill="auto"/>
            <w:vAlign w:val="center"/>
            <w:hideMark/>
          </w:tcPr>
          <w:p w14:paraId="4A95E47D"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353 385</w:t>
            </w:r>
          </w:p>
        </w:tc>
        <w:tc>
          <w:tcPr>
            <w:tcW w:w="944" w:type="dxa"/>
            <w:tcBorders>
              <w:top w:val="nil"/>
              <w:left w:val="nil"/>
              <w:bottom w:val="single" w:sz="4" w:space="0" w:color="auto"/>
              <w:right w:val="nil"/>
            </w:tcBorders>
            <w:shd w:val="clear" w:color="auto" w:fill="auto"/>
            <w:noWrap/>
            <w:vAlign w:val="bottom"/>
            <w:hideMark/>
          </w:tcPr>
          <w:p w14:paraId="736B6473"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117</w:t>
            </w:r>
          </w:p>
        </w:tc>
      </w:tr>
      <w:tr w:rsidR="00315037" w:rsidRPr="009B7217" w14:paraId="1C4F6BDB"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7703F745"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MF SR</w:t>
            </w:r>
          </w:p>
        </w:tc>
        <w:tc>
          <w:tcPr>
            <w:tcW w:w="4217" w:type="dxa"/>
            <w:tcBorders>
              <w:top w:val="nil"/>
              <w:left w:val="nil"/>
              <w:bottom w:val="nil"/>
              <w:right w:val="nil"/>
            </w:tcBorders>
            <w:shd w:val="clear" w:color="auto" w:fill="auto"/>
            <w:vAlign w:val="center"/>
            <w:hideMark/>
          </w:tcPr>
          <w:p w14:paraId="6E31FCB0"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072 Výber daní, cla, odvodov a príspevkov</w:t>
            </w:r>
          </w:p>
        </w:tc>
        <w:tc>
          <w:tcPr>
            <w:tcW w:w="1406" w:type="dxa"/>
            <w:tcBorders>
              <w:top w:val="nil"/>
              <w:left w:val="nil"/>
              <w:bottom w:val="nil"/>
              <w:right w:val="nil"/>
            </w:tcBorders>
            <w:shd w:val="clear" w:color="auto" w:fill="auto"/>
            <w:vAlign w:val="center"/>
            <w:hideMark/>
          </w:tcPr>
          <w:p w14:paraId="0EB7D810"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417 817</w:t>
            </w:r>
          </w:p>
        </w:tc>
        <w:tc>
          <w:tcPr>
            <w:tcW w:w="1406" w:type="dxa"/>
            <w:tcBorders>
              <w:top w:val="nil"/>
              <w:left w:val="nil"/>
              <w:bottom w:val="nil"/>
              <w:right w:val="nil"/>
            </w:tcBorders>
            <w:shd w:val="clear" w:color="auto" w:fill="auto"/>
            <w:vAlign w:val="center"/>
            <w:hideMark/>
          </w:tcPr>
          <w:p w14:paraId="3DE8957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358 167</w:t>
            </w:r>
          </w:p>
        </w:tc>
        <w:tc>
          <w:tcPr>
            <w:tcW w:w="944" w:type="dxa"/>
            <w:tcBorders>
              <w:top w:val="nil"/>
              <w:left w:val="nil"/>
              <w:bottom w:val="nil"/>
              <w:right w:val="nil"/>
            </w:tcBorders>
            <w:shd w:val="clear" w:color="auto" w:fill="auto"/>
            <w:noWrap/>
            <w:vAlign w:val="bottom"/>
            <w:hideMark/>
          </w:tcPr>
          <w:p w14:paraId="1EBB8E51"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86</w:t>
            </w:r>
          </w:p>
        </w:tc>
      </w:tr>
      <w:tr w:rsidR="00315037" w:rsidRPr="009B7217" w14:paraId="417DAC6C" w14:textId="77777777" w:rsidTr="00042DB1">
        <w:trPr>
          <w:trHeight w:val="298"/>
        </w:trPr>
        <w:tc>
          <w:tcPr>
            <w:tcW w:w="1136" w:type="dxa"/>
            <w:vMerge/>
            <w:tcBorders>
              <w:top w:val="nil"/>
              <w:left w:val="nil"/>
              <w:bottom w:val="single" w:sz="4" w:space="0" w:color="000000"/>
              <w:right w:val="nil"/>
            </w:tcBorders>
            <w:vAlign w:val="center"/>
            <w:hideMark/>
          </w:tcPr>
          <w:p w14:paraId="2DE96D67"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6F16CEC6"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0EK Informačné technológie financované zo štátneho rozpočtu</w:t>
            </w:r>
          </w:p>
        </w:tc>
        <w:tc>
          <w:tcPr>
            <w:tcW w:w="1406" w:type="dxa"/>
            <w:tcBorders>
              <w:top w:val="nil"/>
              <w:left w:val="nil"/>
              <w:bottom w:val="single" w:sz="4" w:space="0" w:color="auto"/>
              <w:right w:val="nil"/>
            </w:tcBorders>
            <w:shd w:val="clear" w:color="auto" w:fill="auto"/>
            <w:vAlign w:val="center"/>
            <w:hideMark/>
          </w:tcPr>
          <w:p w14:paraId="59077146"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159 162</w:t>
            </w:r>
          </w:p>
        </w:tc>
        <w:tc>
          <w:tcPr>
            <w:tcW w:w="1406" w:type="dxa"/>
            <w:tcBorders>
              <w:top w:val="nil"/>
              <w:left w:val="nil"/>
              <w:bottom w:val="single" w:sz="4" w:space="0" w:color="auto"/>
              <w:right w:val="nil"/>
            </w:tcBorders>
            <w:shd w:val="clear" w:color="auto" w:fill="auto"/>
            <w:vAlign w:val="center"/>
            <w:hideMark/>
          </w:tcPr>
          <w:p w14:paraId="0D916146"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159 111</w:t>
            </w:r>
          </w:p>
        </w:tc>
        <w:tc>
          <w:tcPr>
            <w:tcW w:w="944" w:type="dxa"/>
            <w:tcBorders>
              <w:top w:val="nil"/>
              <w:left w:val="nil"/>
              <w:bottom w:val="single" w:sz="4" w:space="0" w:color="auto"/>
              <w:right w:val="nil"/>
            </w:tcBorders>
            <w:shd w:val="clear" w:color="auto" w:fill="auto"/>
            <w:noWrap/>
            <w:vAlign w:val="bottom"/>
            <w:hideMark/>
          </w:tcPr>
          <w:p w14:paraId="1D4D81EA"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100</w:t>
            </w:r>
          </w:p>
        </w:tc>
      </w:tr>
      <w:tr w:rsidR="00315037" w:rsidRPr="009B7217" w14:paraId="0B8E23E9" w14:textId="77777777" w:rsidTr="00042DB1">
        <w:trPr>
          <w:trHeight w:val="298"/>
        </w:trPr>
        <w:tc>
          <w:tcPr>
            <w:tcW w:w="1136" w:type="dxa"/>
            <w:tcBorders>
              <w:top w:val="nil"/>
              <w:left w:val="nil"/>
              <w:bottom w:val="single" w:sz="4" w:space="0" w:color="auto"/>
              <w:right w:val="nil"/>
            </w:tcBorders>
            <w:shd w:val="clear" w:color="auto" w:fill="auto"/>
            <w:vAlign w:val="center"/>
            <w:hideMark/>
          </w:tcPr>
          <w:p w14:paraId="0D4C90D7"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MŽP SR</w:t>
            </w:r>
          </w:p>
        </w:tc>
        <w:tc>
          <w:tcPr>
            <w:tcW w:w="4217" w:type="dxa"/>
            <w:tcBorders>
              <w:top w:val="nil"/>
              <w:left w:val="nil"/>
              <w:bottom w:val="single" w:sz="4" w:space="0" w:color="auto"/>
              <w:right w:val="nil"/>
            </w:tcBorders>
            <w:shd w:val="clear" w:color="auto" w:fill="auto"/>
            <w:vAlign w:val="center"/>
            <w:hideMark/>
          </w:tcPr>
          <w:p w14:paraId="4D5D4745"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075 Starostlivosť o životné prostredie</w:t>
            </w:r>
          </w:p>
        </w:tc>
        <w:tc>
          <w:tcPr>
            <w:tcW w:w="1406" w:type="dxa"/>
            <w:tcBorders>
              <w:top w:val="nil"/>
              <w:left w:val="nil"/>
              <w:bottom w:val="single" w:sz="4" w:space="0" w:color="auto"/>
              <w:right w:val="nil"/>
            </w:tcBorders>
            <w:shd w:val="clear" w:color="auto" w:fill="auto"/>
            <w:vAlign w:val="center"/>
            <w:hideMark/>
          </w:tcPr>
          <w:p w14:paraId="0E8400A1"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165 358</w:t>
            </w:r>
          </w:p>
        </w:tc>
        <w:tc>
          <w:tcPr>
            <w:tcW w:w="1406" w:type="dxa"/>
            <w:tcBorders>
              <w:top w:val="nil"/>
              <w:left w:val="nil"/>
              <w:bottom w:val="single" w:sz="4" w:space="0" w:color="auto"/>
              <w:right w:val="nil"/>
            </w:tcBorders>
            <w:shd w:val="clear" w:color="auto" w:fill="auto"/>
            <w:vAlign w:val="center"/>
            <w:hideMark/>
          </w:tcPr>
          <w:p w14:paraId="7918DCCD"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223 488</w:t>
            </w:r>
          </w:p>
        </w:tc>
        <w:tc>
          <w:tcPr>
            <w:tcW w:w="944" w:type="dxa"/>
            <w:tcBorders>
              <w:top w:val="nil"/>
              <w:left w:val="nil"/>
              <w:bottom w:val="single" w:sz="4" w:space="0" w:color="auto"/>
              <w:right w:val="nil"/>
            </w:tcBorders>
            <w:shd w:val="clear" w:color="auto" w:fill="auto"/>
            <w:noWrap/>
            <w:vAlign w:val="bottom"/>
            <w:hideMark/>
          </w:tcPr>
          <w:p w14:paraId="49DBAD24"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135</w:t>
            </w:r>
          </w:p>
        </w:tc>
      </w:tr>
      <w:tr w:rsidR="00315037" w:rsidRPr="009B7217" w14:paraId="5E3166E8"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67044F59"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MZ SR</w:t>
            </w:r>
          </w:p>
        </w:tc>
        <w:tc>
          <w:tcPr>
            <w:tcW w:w="4217" w:type="dxa"/>
            <w:tcBorders>
              <w:top w:val="nil"/>
              <w:left w:val="nil"/>
              <w:bottom w:val="nil"/>
              <w:right w:val="nil"/>
            </w:tcBorders>
            <w:shd w:val="clear" w:color="auto" w:fill="auto"/>
            <w:vAlign w:val="center"/>
            <w:hideMark/>
          </w:tcPr>
          <w:p w14:paraId="2B6501E5"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079 Prevencia a ochrana zdravia</w:t>
            </w:r>
          </w:p>
        </w:tc>
        <w:tc>
          <w:tcPr>
            <w:tcW w:w="1406" w:type="dxa"/>
            <w:tcBorders>
              <w:top w:val="nil"/>
              <w:left w:val="nil"/>
              <w:bottom w:val="nil"/>
              <w:right w:val="nil"/>
            </w:tcBorders>
            <w:shd w:val="clear" w:color="auto" w:fill="auto"/>
            <w:vAlign w:val="center"/>
            <w:hideMark/>
          </w:tcPr>
          <w:p w14:paraId="5D066BA2"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84 963</w:t>
            </w:r>
          </w:p>
        </w:tc>
        <w:tc>
          <w:tcPr>
            <w:tcW w:w="1406" w:type="dxa"/>
            <w:tcBorders>
              <w:top w:val="nil"/>
              <w:left w:val="nil"/>
              <w:bottom w:val="nil"/>
              <w:right w:val="nil"/>
            </w:tcBorders>
            <w:shd w:val="clear" w:color="auto" w:fill="auto"/>
            <w:vAlign w:val="center"/>
            <w:hideMark/>
          </w:tcPr>
          <w:p w14:paraId="5A5BFD97"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80 013</w:t>
            </w:r>
          </w:p>
        </w:tc>
        <w:tc>
          <w:tcPr>
            <w:tcW w:w="944" w:type="dxa"/>
            <w:tcBorders>
              <w:top w:val="nil"/>
              <w:left w:val="nil"/>
              <w:bottom w:val="nil"/>
              <w:right w:val="nil"/>
            </w:tcBorders>
            <w:shd w:val="clear" w:color="auto" w:fill="auto"/>
            <w:noWrap/>
            <w:vAlign w:val="bottom"/>
            <w:hideMark/>
          </w:tcPr>
          <w:p w14:paraId="161C7E99"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94</w:t>
            </w:r>
          </w:p>
        </w:tc>
      </w:tr>
      <w:tr w:rsidR="00315037" w:rsidRPr="009B7217" w14:paraId="0B03C868" w14:textId="77777777" w:rsidTr="00042DB1">
        <w:trPr>
          <w:trHeight w:val="298"/>
        </w:trPr>
        <w:tc>
          <w:tcPr>
            <w:tcW w:w="1136" w:type="dxa"/>
            <w:vMerge/>
            <w:tcBorders>
              <w:top w:val="nil"/>
              <w:left w:val="nil"/>
              <w:bottom w:val="single" w:sz="4" w:space="0" w:color="000000"/>
              <w:right w:val="nil"/>
            </w:tcBorders>
            <w:vAlign w:val="center"/>
            <w:hideMark/>
          </w:tcPr>
          <w:p w14:paraId="2845BC62"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nil"/>
              <w:right w:val="nil"/>
            </w:tcBorders>
            <w:shd w:val="clear" w:color="auto" w:fill="auto"/>
            <w:vAlign w:val="center"/>
            <w:hideMark/>
          </w:tcPr>
          <w:p w14:paraId="1658B6DF"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07A Zdravotná starostlivosť</w:t>
            </w:r>
          </w:p>
        </w:tc>
        <w:tc>
          <w:tcPr>
            <w:tcW w:w="1406" w:type="dxa"/>
            <w:tcBorders>
              <w:top w:val="nil"/>
              <w:left w:val="nil"/>
              <w:bottom w:val="nil"/>
              <w:right w:val="nil"/>
            </w:tcBorders>
            <w:shd w:val="clear" w:color="auto" w:fill="auto"/>
            <w:vAlign w:val="center"/>
            <w:hideMark/>
          </w:tcPr>
          <w:p w14:paraId="646C567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2 483 946</w:t>
            </w:r>
          </w:p>
        </w:tc>
        <w:tc>
          <w:tcPr>
            <w:tcW w:w="1406" w:type="dxa"/>
            <w:tcBorders>
              <w:top w:val="nil"/>
              <w:left w:val="nil"/>
              <w:bottom w:val="nil"/>
              <w:right w:val="nil"/>
            </w:tcBorders>
            <w:shd w:val="clear" w:color="auto" w:fill="auto"/>
            <w:vAlign w:val="center"/>
            <w:hideMark/>
          </w:tcPr>
          <w:p w14:paraId="2B3ECC35"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2 523 483</w:t>
            </w:r>
          </w:p>
        </w:tc>
        <w:tc>
          <w:tcPr>
            <w:tcW w:w="944" w:type="dxa"/>
            <w:tcBorders>
              <w:top w:val="nil"/>
              <w:left w:val="nil"/>
              <w:bottom w:val="nil"/>
              <w:right w:val="nil"/>
            </w:tcBorders>
            <w:shd w:val="clear" w:color="auto" w:fill="auto"/>
            <w:noWrap/>
            <w:vAlign w:val="bottom"/>
            <w:hideMark/>
          </w:tcPr>
          <w:p w14:paraId="232CDC15"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102</w:t>
            </w:r>
          </w:p>
        </w:tc>
      </w:tr>
      <w:tr w:rsidR="00315037" w:rsidRPr="009B7217" w14:paraId="61EF3ED4" w14:textId="77777777" w:rsidTr="00042DB1">
        <w:trPr>
          <w:trHeight w:val="298"/>
        </w:trPr>
        <w:tc>
          <w:tcPr>
            <w:tcW w:w="1136" w:type="dxa"/>
            <w:vMerge/>
            <w:tcBorders>
              <w:top w:val="nil"/>
              <w:left w:val="nil"/>
              <w:bottom w:val="single" w:sz="4" w:space="0" w:color="000000"/>
              <w:right w:val="nil"/>
            </w:tcBorders>
            <w:vAlign w:val="center"/>
            <w:hideMark/>
          </w:tcPr>
          <w:p w14:paraId="2B2BE8CB"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4E8E7143"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07B Tvorba a implementácia politík</w:t>
            </w:r>
          </w:p>
        </w:tc>
        <w:tc>
          <w:tcPr>
            <w:tcW w:w="1406" w:type="dxa"/>
            <w:tcBorders>
              <w:top w:val="nil"/>
              <w:left w:val="nil"/>
              <w:bottom w:val="single" w:sz="4" w:space="0" w:color="auto"/>
              <w:right w:val="nil"/>
            </w:tcBorders>
            <w:shd w:val="clear" w:color="auto" w:fill="auto"/>
            <w:vAlign w:val="center"/>
            <w:hideMark/>
          </w:tcPr>
          <w:p w14:paraId="499BF60D"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75 560</w:t>
            </w:r>
          </w:p>
        </w:tc>
        <w:tc>
          <w:tcPr>
            <w:tcW w:w="1406" w:type="dxa"/>
            <w:tcBorders>
              <w:top w:val="nil"/>
              <w:left w:val="nil"/>
              <w:bottom w:val="single" w:sz="4" w:space="0" w:color="auto"/>
              <w:right w:val="nil"/>
            </w:tcBorders>
            <w:shd w:val="clear" w:color="auto" w:fill="auto"/>
            <w:vAlign w:val="center"/>
            <w:hideMark/>
          </w:tcPr>
          <w:p w14:paraId="7F3B1AF9"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102 519</w:t>
            </w:r>
          </w:p>
        </w:tc>
        <w:tc>
          <w:tcPr>
            <w:tcW w:w="944" w:type="dxa"/>
            <w:tcBorders>
              <w:top w:val="nil"/>
              <w:left w:val="nil"/>
              <w:bottom w:val="single" w:sz="4" w:space="0" w:color="auto"/>
              <w:right w:val="nil"/>
            </w:tcBorders>
            <w:shd w:val="clear" w:color="auto" w:fill="auto"/>
            <w:noWrap/>
            <w:vAlign w:val="bottom"/>
            <w:hideMark/>
          </w:tcPr>
          <w:p w14:paraId="1986C2E3"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136</w:t>
            </w:r>
          </w:p>
        </w:tc>
      </w:tr>
      <w:tr w:rsidR="00315037" w:rsidRPr="009B7217" w14:paraId="44E8D359"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324A25FB"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MPSVR SR</w:t>
            </w:r>
          </w:p>
        </w:tc>
        <w:tc>
          <w:tcPr>
            <w:tcW w:w="4217" w:type="dxa"/>
            <w:tcBorders>
              <w:top w:val="nil"/>
              <w:left w:val="nil"/>
              <w:bottom w:val="nil"/>
              <w:right w:val="nil"/>
            </w:tcBorders>
            <w:shd w:val="clear" w:color="auto" w:fill="auto"/>
            <w:vAlign w:val="center"/>
            <w:hideMark/>
          </w:tcPr>
          <w:p w14:paraId="619FD54A"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06G Ľudské zdroje</w:t>
            </w:r>
          </w:p>
        </w:tc>
        <w:tc>
          <w:tcPr>
            <w:tcW w:w="1406" w:type="dxa"/>
            <w:tcBorders>
              <w:top w:val="nil"/>
              <w:left w:val="nil"/>
              <w:bottom w:val="nil"/>
              <w:right w:val="nil"/>
            </w:tcBorders>
            <w:shd w:val="clear" w:color="auto" w:fill="auto"/>
            <w:vAlign w:val="center"/>
            <w:hideMark/>
          </w:tcPr>
          <w:p w14:paraId="4BC6602F"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124 550</w:t>
            </w:r>
          </w:p>
        </w:tc>
        <w:tc>
          <w:tcPr>
            <w:tcW w:w="1406" w:type="dxa"/>
            <w:tcBorders>
              <w:top w:val="nil"/>
              <w:left w:val="nil"/>
              <w:bottom w:val="nil"/>
              <w:right w:val="nil"/>
            </w:tcBorders>
            <w:shd w:val="clear" w:color="auto" w:fill="auto"/>
            <w:vAlign w:val="center"/>
            <w:hideMark/>
          </w:tcPr>
          <w:p w14:paraId="1464BEE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476 319</w:t>
            </w:r>
          </w:p>
        </w:tc>
        <w:tc>
          <w:tcPr>
            <w:tcW w:w="944" w:type="dxa"/>
            <w:tcBorders>
              <w:top w:val="nil"/>
              <w:left w:val="nil"/>
              <w:bottom w:val="nil"/>
              <w:right w:val="nil"/>
            </w:tcBorders>
            <w:shd w:val="clear" w:color="auto" w:fill="auto"/>
            <w:noWrap/>
            <w:vAlign w:val="bottom"/>
            <w:hideMark/>
          </w:tcPr>
          <w:p w14:paraId="77FD2106"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382</w:t>
            </w:r>
          </w:p>
        </w:tc>
      </w:tr>
      <w:tr w:rsidR="00315037" w:rsidRPr="009B7217" w14:paraId="3E487EAB" w14:textId="77777777" w:rsidTr="00042DB1">
        <w:trPr>
          <w:trHeight w:val="298"/>
        </w:trPr>
        <w:tc>
          <w:tcPr>
            <w:tcW w:w="1136" w:type="dxa"/>
            <w:vMerge/>
            <w:tcBorders>
              <w:top w:val="nil"/>
              <w:left w:val="nil"/>
              <w:bottom w:val="single" w:sz="4" w:space="0" w:color="000000"/>
              <w:right w:val="nil"/>
            </w:tcBorders>
            <w:vAlign w:val="center"/>
            <w:hideMark/>
          </w:tcPr>
          <w:p w14:paraId="3300D406"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nil"/>
              <w:right w:val="nil"/>
            </w:tcBorders>
            <w:shd w:val="clear" w:color="auto" w:fill="auto"/>
            <w:vAlign w:val="center"/>
            <w:hideMark/>
          </w:tcPr>
          <w:p w14:paraId="41D2CA17"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07C Sociálna inklúzia</w:t>
            </w:r>
          </w:p>
        </w:tc>
        <w:tc>
          <w:tcPr>
            <w:tcW w:w="1406" w:type="dxa"/>
            <w:tcBorders>
              <w:top w:val="nil"/>
              <w:left w:val="nil"/>
              <w:bottom w:val="nil"/>
              <w:right w:val="nil"/>
            </w:tcBorders>
            <w:shd w:val="clear" w:color="auto" w:fill="auto"/>
            <w:vAlign w:val="center"/>
            <w:hideMark/>
          </w:tcPr>
          <w:p w14:paraId="4E9F9B03"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4 074 980</w:t>
            </w:r>
          </w:p>
        </w:tc>
        <w:tc>
          <w:tcPr>
            <w:tcW w:w="1406" w:type="dxa"/>
            <w:tcBorders>
              <w:top w:val="nil"/>
              <w:left w:val="nil"/>
              <w:bottom w:val="nil"/>
              <w:right w:val="nil"/>
            </w:tcBorders>
            <w:shd w:val="clear" w:color="auto" w:fill="auto"/>
            <w:vAlign w:val="center"/>
            <w:hideMark/>
          </w:tcPr>
          <w:p w14:paraId="5C0AA6F1"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3 937 412</w:t>
            </w:r>
          </w:p>
        </w:tc>
        <w:tc>
          <w:tcPr>
            <w:tcW w:w="944" w:type="dxa"/>
            <w:tcBorders>
              <w:top w:val="nil"/>
              <w:left w:val="nil"/>
              <w:bottom w:val="nil"/>
              <w:right w:val="nil"/>
            </w:tcBorders>
            <w:shd w:val="clear" w:color="auto" w:fill="auto"/>
            <w:noWrap/>
            <w:vAlign w:val="bottom"/>
            <w:hideMark/>
          </w:tcPr>
          <w:p w14:paraId="1FB35820"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97</w:t>
            </w:r>
          </w:p>
        </w:tc>
      </w:tr>
      <w:tr w:rsidR="00315037" w:rsidRPr="009B7217" w14:paraId="4FF639CA" w14:textId="77777777" w:rsidTr="00042DB1">
        <w:trPr>
          <w:trHeight w:val="298"/>
        </w:trPr>
        <w:tc>
          <w:tcPr>
            <w:tcW w:w="1136" w:type="dxa"/>
            <w:vMerge/>
            <w:tcBorders>
              <w:top w:val="nil"/>
              <w:left w:val="nil"/>
              <w:bottom w:val="single" w:sz="4" w:space="0" w:color="000000"/>
              <w:right w:val="nil"/>
            </w:tcBorders>
            <w:vAlign w:val="center"/>
            <w:hideMark/>
          </w:tcPr>
          <w:p w14:paraId="7E30450D"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1CD6093F"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07E Tvorba a implementácia politík</w:t>
            </w:r>
          </w:p>
        </w:tc>
        <w:tc>
          <w:tcPr>
            <w:tcW w:w="1406" w:type="dxa"/>
            <w:tcBorders>
              <w:top w:val="nil"/>
              <w:left w:val="nil"/>
              <w:bottom w:val="single" w:sz="4" w:space="0" w:color="auto"/>
              <w:right w:val="nil"/>
            </w:tcBorders>
            <w:shd w:val="clear" w:color="auto" w:fill="auto"/>
            <w:vAlign w:val="center"/>
            <w:hideMark/>
          </w:tcPr>
          <w:p w14:paraId="5A2D83B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264 317</w:t>
            </w:r>
          </w:p>
        </w:tc>
        <w:tc>
          <w:tcPr>
            <w:tcW w:w="1406" w:type="dxa"/>
            <w:tcBorders>
              <w:top w:val="nil"/>
              <w:left w:val="nil"/>
              <w:bottom w:val="single" w:sz="4" w:space="0" w:color="auto"/>
              <w:right w:val="nil"/>
            </w:tcBorders>
            <w:shd w:val="clear" w:color="auto" w:fill="auto"/>
            <w:vAlign w:val="center"/>
            <w:hideMark/>
          </w:tcPr>
          <w:p w14:paraId="1F23B8F0"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249 214</w:t>
            </w:r>
          </w:p>
        </w:tc>
        <w:tc>
          <w:tcPr>
            <w:tcW w:w="944" w:type="dxa"/>
            <w:tcBorders>
              <w:top w:val="nil"/>
              <w:left w:val="nil"/>
              <w:bottom w:val="single" w:sz="4" w:space="0" w:color="auto"/>
              <w:right w:val="nil"/>
            </w:tcBorders>
            <w:shd w:val="clear" w:color="auto" w:fill="auto"/>
            <w:noWrap/>
            <w:vAlign w:val="bottom"/>
            <w:hideMark/>
          </w:tcPr>
          <w:p w14:paraId="387A8968"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94</w:t>
            </w:r>
          </w:p>
        </w:tc>
      </w:tr>
      <w:tr w:rsidR="00315037" w:rsidRPr="009B7217" w14:paraId="2B1B7032" w14:textId="77777777" w:rsidTr="00042DB1">
        <w:trPr>
          <w:trHeight w:val="298"/>
        </w:trPr>
        <w:tc>
          <w:tcPr>
            <w:tcW w:w="1136" w:type="dxa"/>
            <w:tcBorders>
              <w:top w:val="nil"/>
              <w:left w:val="nil"/>
              <w:bottom w:val="single" w:sz="4" w:space="0" w:color="auto"/>
              <w:right w:val="nil"/>
            </w:tcBorders>
            <w:shd w:val="clear" w:color="auto" w:fill="auto"/>
            <w:vAlign w:val="center"/>
            <w:hideMark/>
          </w:tcPr>
          <w:p w14:paraId="3413E083"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MK SR</w:t>
            </w:r>
          </w:p>
        </w:tc>
        <w:tc>
          <w:tcPr>
            <w:tcW w:w="4217" w:type="dxa"/>
            <w:tcBorders>
              <w:top w:val="nil"/>
              <w:left w:val="nil"/>
              <w:bottom w:val="single" w:sz="4" w:space="0" w:color="auto"/>
              <w:right w:val="nil"/>
            </w:tcBorders>
            <w:shd w:val="clear" w:color="auto" w:fill="auto"/>
            <w:vAlign w:val="center"/>
            <w:hideMark/>
          </w:tcPr>
          <w:p w14:paraId="7998CB2B"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08S Tvorba, šírenie, ochrana a prezentácia kultúrnych hodnôt</w:t>
            </w:r>
          </w:p>
        </w:tc>
        <w:tc>
          <w:tcPr>
            <w:tcW w:w="1406" w:type="dxa"/>
            <w:tcBorders>
              <w:top w:val="nil"/>
              <w:left w:val="nil"/>
              <w:bottom w:val="single" w:sz="4" w:space="0" w:color="auto"/>
              <w:right w:val="nil"/>
            </w:tcBorders>
            <w:shd w:val="clear" w:color="auto" w:fill="auto"/>
            <w:vAlign w:val="center"/>
            <w:hideMark/>
          </w:tcPr>
          <w:p w14:paraId="75B718B2"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353 528</w:t>
            </w:r>
          </w:p>
        </w:tc>
        <w:tc>
          <w:tcPr>
            <w:tcW w:w="1406" w:type="dxa"/>
            <w:tcBorders>
              <w:top w:val="nil"/>
              <w:left w:val="nil"/>
              <w:bottom w:val="single" w:sz="4" w:space="0" w:color="auto"/>
              <w:right w:val="nil"/>
            </w:tcBorders>
            <w:shd w:val="clear" w:color="auto" w:fill="auto"/>
            <w:vAlign w:val="center"/>
            <w:hideMark/>
          </w:tcPr>
          <w:p w14:paraId="0C3B4A0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354 308</w:t>
            </w:r>
          </w:p>
        </w:tc>
        <w:tc>
          <w:tcPr>
            <w:tcW w:w="944" w:type="dxa"/>
            <w:tcBorders>
              <w:top w:val="nil"/>
              <w:left w:val="nil"/>
              <w:bottom w:val="single" w:sz="4" w:space="0" w:color="auto"/>
              <w:right w:val="nil"/>
            </w:tcBorders>
            <w:shd w:val="clear" w:color="auto" w:fill="auto"/>
            <w:noWrap/>
            <w:vAlign w:val="bottom"/>
            <w:hideMark/>
          </w:tcPr>
          <w:p w14:paraId="599458B1"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100</w:t>
            </w:r>
          </w:p>
        </w:tc>
      </w:tr>
      <w:tr w:rsidR="00315037" w:rsidRPr="009B7217" w14:paraId="68D4EC58" w14:textId="77777777" w:rsidTr="00042DB1">
        <w:trPr>
          <w:trHeight w:val="298"/>
        </w:trPr>
        <w:tc>
          <w:tcPr>
            <w:tcW w:w="1136" w:type="dxa"/>
            <w:tcBorders>
              <w:top w:val="nil"/>
              <w:left w:val="nil"/>
              <w:bottom w:val="single" w:sz="4" w:space="0" w:color="auto"/>
              <w:right w:val="nil"/>
            </w:tcBorders>
            <w:shd w:val="clear" w:color="auto" w:fill="auto"/>
            <w:vAlign w:val="center"/>
            <w:hideMark/>
          </w:tcPr>
          <w:p w14:paraId="56ABE53C"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MH SR</w:t>
            </w:r>
          </w:p>
        </w:tc>
        <w:tc>
          <w:tcPr>
            <w:tcW w:w="4217" w:type="dxa"/>
            <w:tcBorders>
              <w:top w:val="nil"/>
              <w:left w:val="nil"/>
              <w:bottom w:val="single" w:sz="4" w:space="0" w:color="auto"/>
              <w:right w:val="nil"/>
            </w:tcBorders>
            <w:shd w:val="clear" w:color="auto" w:fill="auto"/>
            <w:vAlign w:val="center"/>
            <w:hideMark/>
          </w:tcPr>
          <w:p w14:paraId="1B861C0B"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07K Rozvoj priemyslu a podpora podnikania</w:t>
            </w:r>
          </w:p>
        </w:tc>
        <w:tc>
          <w:tcPr>
            <w:tcW w:w="1406" w:type="dxa"/>
            <w:tcBorders>
              <w:top w:val="nil"/>
              <w:left w:val="nil"/>
              <w:bottom w:val="single" w:sz="4" w:space="0" w:color="auto"/>
              <w:right w:val="nil"/>
            </w:tcBorders>
            <w:shd w:val="clear" w:color="auto" w:fill="auto"/>
            <w:vAlign w:val="center"/>
            <w:hideMark/>
          </w:tcPr>
          <w:p w14:paraId="02EEA565"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236 371</w:t>
            </w:r>
          </w:p>
        </w:tc>
        <w:tc>
          <w:tcPr>
            <w:tcW w:w="1406" w:type="dxa"/>
            <w:tcBorders>
              <w:top w:val="nil"/>
              <w:left w:val="nil"/>
              <w:bottom w:val="single" w:sz="4" w:space="0" w:color="auto"/>
              <w:right w:val="nil"/>
            </w:tcBorders>
            <w:shd w:val="clear" w:color="auto" w:fill="auto"/>
            <w:vAlign w:val="center"/>
            <w:hideMark/>
          </w:tcPr>
          <w:p w14:paraId="184BCD8A"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1 341 922</w:t>
            </w:r>
          </w:p>
        </w:tc>
        <w:tc>
          <w:tcPr>
            <w:tcW w:w="944" w:type="dxa"/>
            <w:tcBorders>
              <w:top w:val="nil"/>
              <w:left w:val="nil"/>
              <w:bottom w:val="single" w:sz="4" w:space="0" w:color="auto"/>
              <w:right w:val="nil"/>
            </w:tcBorders>
            <w:shd w:val="clear" w:color="auto" w:fill="auto"/>
            <w:noWrap/>
            <w:vAlign w:val="bottom"/>
            <w:hideMark/>
          </w:tcPr>
          <w:p w14:paraId="2F18E34E"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568</w:t>
            </w:r>
          </w:p>
        </w:tc>
      </w:tr>
      <w:tr w:rsidR="00315037" w:rsidRPr="009B7217" w14:paraId="496D0AB3"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4B7BD0F9"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MPRV SR</w:t>
            </w:r>
          </w:p>
        </w:tc>
        <w:tc>
          <w:tcPr>
            <w:tcW w:w="4217" w:type="dxa"/>
            <w:tcBorders>
              <w:top w:val="nil"/>
              <w:left w:val="nil"/>
              <w:bottom w:val="nil"/>
              <w:right w:val="nil"/>
            </w:tcBorders>
            <w:shd w:val="clear" w:color="auto" w:fill="auto"/>
            <w:vAlign w:val="center"/>
            <w:hideMark/>
          </w:tcPr>
          <w:p w14:paraId="680CB499"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090 TVORBA, REGULÁCIA A IMPLEMENTÁCIA POLITÍK</w:t>
            </w:r>
          </w:p>
        </w:tc>
        <w:tc>
          <w:tcPr>
            <w:tcW w:w="1406" w:type="dxa"/>
            <w:tcBorders>
              <w:top w:val="nil"/>
              <w:left w:val="nil"/>
              <w:bottom w:val="nil"/>
              <w:right w:val="nil"/>
            </w:tcBorders>
            <w:shd w:val="clear" w:color="auto" w:fill="auto"/>
            <w:vAlign w:val="center"/>
            <w:hideMark/>
          </w:tcPr>
          <w:p w14:paraId="4A79511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209 057</w:t>
            </w:r>
          </w:p>
        </w:tc>
        <w:tc>
          <w:tcPr>
            <w:tcW w:w="1406" w:type="dxa"/>
            <w:tcBorders>
              <w:top w:val="nil"/>
              <w:left w:val="nil"/>
              <w:bottom w:val="nil"/>
              <w:right w:val="nil"/>
            </w:tcBorders>
            <w:shd w:val="clear" w:color="auto" w:fill="auto"/>
            <w:vAlign w:val="center"/>
            <w:hideMark/>
          </w:tcPr>
          <w:p w14:paraId="2B297EDB"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224 425</w:t>
            </w:r>
          </w:p>
        </w:tc>
        <w:tc>
          <w:tcPr>
            <w:tcW w:w="944" w:type="dxa"/>
            <w:tcBorders>
              <w:top w:val="nil"/>
              <w:left w:val="nil"/>
              <w:bottom w:val="nil"/>
              <w:right w:val="nil"/>
            </w:tcBorders>
            <w:shd w:val="clear" w:color="auto" w:fill="auto"/>
            <w:noWrap/>
            <w:vAlign w:val="bottom"/>
            <w:hideMark/>
          </w:tcPr>
          <w:p w14:paraId="71F46FAC"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107</w:t>
            </w:r>
          </w:p>
        </w:tc>
      </w:tr>
      <w:tr w:rsidR="00315037" w:rsidRPr="009B7217" w14:paraId="29D8B8BF" w14:textId="77777777" w:rsidTr="00042DB1">
        <w:trPr>
          <w:trHeight w:val="298"/>
        </w:trPr>
        <w:tc>
          <w:tcPr>
            <w:tcW w:w="1136" w:type="dxa"/>
            <w:vMerge/>
            <w:tcBorders>
              <w:top w:val="nil"/>
              <w:left w:val="nil"/>
              <w:bottom w:val="single" w:sz="4" w:space="0" w:color="000000"/>
              <w:right w:val="nil"/>
            </w:tcBorders>
            <w:vAlign w:val="center"/>
            <w:hideMark/>
          </w:tcPr>
          <w:p w14:paraId="7740608C"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7BC4CDCC"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 xml:space="preserve">0CD ROZVOJ VIDIEKA SR 2014 </w:t>
            </w:r>
            <w:r>
              <w:rPr>
                <w:rFonts w:eastAsia="Times New Roman" w:cs="Segoe UI"/>
                <w:color w:val="000000"/>
                <w:sz w:val="18"/>
                <w:szCs w:val="18"/>
                <w:lang w:eastAsia="sk-SK"/>
              </w:rPr>
              <w:t xml:space="preserve">– </w:t>
            </w:r>
            <w:r w:rsidRPr="009B7217">
              <w:rPr>
                <w:rFonts w:eastAsia="Times New Roman" w:cs="Segoe UI"/>
                <w:color w:val="000000"/>
                <w:sz w:val="18"/>
                <w:szCs w:val="18"/>
                <w:lang w:eastAsia="sk-SK"/>
              </w:rPr>
              <w:t>2020</w:t>
            </w:r>
          </w:p>
        </w:tc>
        <w:tc>
          <w:tcPr>
            <w:tcW w:w="1406" w:type="dxa"/>
            <w:tcBorders>
              <w:top w:val="nil"/>
              <w:left w:val="nil"/>
              <w:bottom w:val="single" w:sz="4" w:space="0" w:color="auto"/>
              <w:right w:val="nil"/>
            </w:tcBorders>
            <w:shd w:val="clear" w:color="auto" w:fill="auto"/>
            <w:vAlign w:val="center"/>
            <w:hideMark/>
          </w:tcPr>
          <w:p w14:paraId="4817FD86"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120 916</w:t>
            </w:r>
          </w:p>
        </w:tc>
        <w:tc>
          <w:tcPr>
            <w:tcW w:w="1406" w:type="dxa"/>
            <w:tcBorders>
              <w:top w:val="nil"/>
              <w:left w:val="nil"/>
              <w:bottom w:val="single" w:sz="4" w:space="0" w:color="auto"/>
              <w:right w:val="nil"/>
            </w:tcBorders>
            <w:shd w:val="clear" w:color="auto" w:fill="auto"/>
            <w:vAlign w:val="center"/>
            <w:hideMark/>
          </w:tcPr>
          <w:p w14:paraId="5B65E59B"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214 641</w:t>
            </w:r>
          </w:p>
        </w:tc>
        <w:tc>
          <w:tcPr>
            <w:tcW w:w="944" w:type="dxa"/>
            <w:tcBorders>
              <w:top w:val="nil"/>
              <w:left w:val="nil"/>
              <w:bottom w:val="single" w:sz="4" w:space="0" w:color="auto"/>
              <w:right w:val="nil"/>
            </w:tcBorders>
            <w:shd w:val="clear" w:color="auto" w:fill="auto"/>
            <w:noWrap/>
            <w:vAlign w:val="bottom"/>
            <w:hideMark/>
          </w:tcPr>
          <w:p w14:paraId="6F2642AC"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178</w:t>
            </w:r>
          </w:p>
        </w:tc>
      </w:tr>
      <w:tr w:rsidR="00315037" w:rsidRPr="009B7217" w14:paraId="0BCB8BF8"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7A343F64"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MD SR</w:t>
            </w:r>
          </w:p>
        </w:tc>
        <w:tc>
          <w:tcPr>
            <w:tcW w:w="4217" w:type="dxa"/>
            <w:tcBorders>
              <w:top w:val="nil"/>
              <w:left w:val="nil"/>
              <w:bottom w:val="nil"/>
              <w:right w:val="nil"/>
            </w:tcBorders>
            <w:shd w:val="clear" w:color="auto" w:fill="auto"/>
            <w:vAlign w:val="center"/>
            <w:hideMark/>
          </w:tcPr>
          <w:p w14:paraId="4170CE86"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053 Cestná infraštruktúra</w:t>
            </w:r>
          </w:p>
        </w:tc>
        <w:tc>
          <w:tcPr>
            <w:tcW w:w="1406" w:type="dxa"/>
            <w:tcBorders>
              <w:top w:val="nil"/>
              <w:left w:val="nil"/>
              <w:bottom w:val="nil"/>
              <w:right w:val="nil"/>
            </w:tcBorders>
            <w:shd w:val="clear" w:color="auto" w:fill="auto"/>
            <w:vAlign w:val="center"/>
            <w:hideMark/>
          </w:tcPr>
          <w:p w14:paraId="1FAFB370"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706 599</w:t>
            </w:r>
          </w:p>
        </w:tc>
        <w:tc>
          <w:tcPr>
            <w:tcW w:w="1406" w:type="dxa"/>
            <w:tcBorders>
              <w:top w:val="nil"/>
              <w:left w:val="nil"/>
              <w:bottom w:val="nil"/>
              <w:right w:val="nil"/>
            </w:tcBorders>
            <w:shd w:val="clear" w:color="auto" w:fill="auto"/>
            <w:vAlign w:val="center"/>
            <w:hideMark/>
          </w:tcPr>
          <w:p w14:paraId="3283917A"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701 364</w:t>
            </w:r>
          </w:p>
        </w:tc>
        <w:tc>
          <w:tcPr>
            <w:tcW w:w="944" w:type="dxa"/>
            <w:tcBorders>
              <w:top w:val="nil"/>
              <w:left w:val="nil"/>
              <w:bottom w:val="nil"/>
              <w:right w:val="nil"/>
            </w:tcBorders>
            <w:shd w:val="clear" w:color="auto" w:fill="auto"/>
            <w:noWrap/>
            <w:vAlign w:val="bottom"/>
            <w:hideMark/>
          </w:tcPr>
          <w:p w14:paraId="7C70BB3A"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99</w:t>
            </w:r>
          </w:p>
        </w:tc>
      </w:tr>
      <w:tr w:rsidR="00315037" w:rsidRPr="009B7217" w14:paraId="0655253A" w14:textId="77777777" w:rsidTr="00042DB1">
        <w:trPr>
          <w:trHeight w:val="298"/>
        </w:trPr>
        <w:tc>
          <w:tcPr>
            <w:tcW w:w="1136" w:type="dxa"/>
            <w:vMerge/>
            <w:tcBorders>
              <w:top w:val="nil"/>
              <w:left w:val="nil"/>
              <w:bottom w:val="single" w:sz="4" w:space="0" w:color="000000"/>
              <w:right w:val="nil"/>
            </w:tcBorders>
            <w:vAlign w:val="center"/>
            <w:hideMark/>
          </w:tcPr>
          <w:p w14:paraId="1AC57227"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nil"/>
              <w:right w:val="nil"/>
            </w:tcBorders>
            <w:shd w:val="clear" w:color="auto" w:fill="auto"/>
            <w:vAlign w:val="center"/>
            <w:hideMark/>
          </w:tcPr>
          <w:p w14:paraId="23B8F978"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07S Železničná doprava</w:t>
            </w:r>
          </w:p>
        </w:tc>
        <w:tc>
          <w:tcPr>
            <w:tcW w:w="1406" w:type="dxa"/>
            <w:tcBorders>
              <w:top w:val="nil"/>
              <w:left w:val="nil"/>
              <w:bottom w:val="nil"/>
              <w:right w:val="nil"/>
            </w:tcBorders>
            <w:shd w:val="clear" w:color="auto" w:fill="auto"/>
            <w:vAlign w:val="center"/>
            <w:hideMark/>
          </w:tcPr>
          <w:p w14:paraId="0A472605"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1 015 947</w:t>
            </w:r>
          </w:p>
        </w:tc>
        <w:tc>
          <w:tcPr>
            <w:tcW w:w="1406" w:type="dxa"/>
            <w:tcBorders>
              <w:top w:val="nil"/>
              <w:left w:val="nil"/>
              <w:bottom w:val="nil"/>
              <w:right w:val="nil"/>
            </w:tcBorders>
            <w:shd w:val="clear" w:color="auto" w:fill="auto"/>
            <w:vAlign w:val="center"/>
            <w:hideMark/>
          </w:tcPr>
          <w:p w14:paraId="668A54D9"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1 015 947</w:t>
            </w:r>
          </w:p>
        </w:tc>
        <w:tc>
          <w:tcPr>
            <w:tcW w:w="944" w:type="dxa"/>
            <w:tcBorders>
              <w:top w:val="nil"/>
              <w:left w:val="nil"/>
              <w:bottom w:val="nil"/>
              <w:right w:val="nil"/>
            </w:tcBorders>
            <w:shd w:val="clear" w:color="auto" w:fill="auto"/>
            <w:noWrap/>
            <w:vAlign w:val="bottom"/>
            <w:hideMark/>
          </w:tcPr>
          <w:p w14:paraId="63E5EA29"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100</w:t>
            </w:r>
          </w:p>
        </w:tc>
      </w:tr>
      <w:tr w:rsidR="00315037" w:rsidRPr="009B7217" w14:paraId="30DE65D4" w14:textId="77777777" w:rsidTr="00042DB1">
        <w:trPr>
          <w:trHeight w:val="298"/>
        </w:trPr>
        <w:tc>
          <w:tcPr>
            <w:tcW w:w="1136" w:type="dxa"/>
            <w:vMerge/>
            <w:tcBorders>
              <w:top w:val="nil"/>
              <w:left w:val="nil"/>
              <w:bottom w:val="single" w:sz="4" w:space="0" w:color="000000"/>
              <w:right w:val="nil"/>
            </w:tcBorders>
            <w:vAlign w:val="center"/>
            <w:hideMark/>
          </w:tcPr>
          <w:p w14:paraId="0B81DEFE"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nil"/>
              <w:right w:val="nil"/>
            </w:tcBorders>
            <w:shd w:val="clear" w:color="auto" w:fill="auto"/>
            <w:vAlign w:val="center"/>
            <w:hideMark/>
          </w:tcPr>
          <w:p w14:paraId="10545D3D"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0EB Operačný program Integrovaná infraštruktúra</w:t>
            </w:r>
          </w:p>
        </w:tc>
        <w:tc>
          <w:tcPr>
            <w:tcW w:w="1406" w:type="dxa"/>
            <w:tcBorders>
              <w:top w:val="nil"/>
              <w:left w:val="nil"/>
              <w:bottom w:val="nil"/>
              <w:right w:val="nil"/>
            </w:tcBorders>
            <w:shd w:val="clear" w:color="auto" w:fill="auto"/>
            <w:vAlign w:val="center"/>
            <w:hideMark/>
          </w:tcPr>
          <w:p w14:paraId="0F89B206"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0</w:t>
            </w:r>
          </w:p>
        </w:tc>
        <w:tc>
          <w:tcPr>
            <w:tcW w:w="1406" w:type="dxa"/>
            <w:tcBorders>
              <w:top w:val="nil"/>
              <w:left w:val="nil"/>
              <w:bottom w:val="nil"/>
              <w:right w:val="nil"/>
            </w:tcBorders>
            <w:shd w:val="clear" w:color="auto" w:fill="auto"/>
            <w:vAlign w:val="center"/>
            <w:hideMark/>
          </w:tcPr>
          <w:p w14:paraId="307F40E2"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267 616</w:t>
            </w:r>
          </w:p>
        </w:tc>
        <w:tc>
          <w:tcPr>
            <w:tcW w:w="944" w:type="dxa"/>
            <w:tcBorders>
              <w:top w:val="nil"/>
              <w:left w:val="nil"/>
              <w:bottom w:val="nil"/>
              <w:right w:val="nil"/>
            </w:tcBorders>
            <w:shd w:val="clear" w:color="auto" w:fill="auto"/>
            <w:noWrap/>
            <w:vAlign w:val="bottom"/>
            <w:hideMark/>
          </w:tcPr>
          <w:p w14:paraId="1CE8FA7E" w14:textId="77777777" w:rsidR="00315037" w:rsidRPr="009B7217" w:rsidRDefault="00315037" w:rsidP="00042DB1">
            <w:pPr>
              <w:spacing w:after="0" w:line="240" w:lineRule="auto"/>
              <w:jc w:val="right"/>
              <w:rPr>
                <w:rFonts w:eastAsia="Times New Roman" w:cs="Segoe UI"/>
                <w:color w:val="000000"/>
                <w:sz w:val="18"/>
                <w:szCs w:val="18"/>
                <w:lang w:eastAsia="sk-SK"/>
              </w:rPr>
            </w:pPr>
          </w:p>
        </w:tc>
      </w:tr>
      <w:tr w:rsidR="00315037" w:rsidRPr="009B7217" w14:paraId="294CC1BB" w14:textId="77777777" w:rsidTr="00042DB1">
        <w:trPr>
          <w:trHeight w:val="298"/>
        </w:trPr>
        <w:tc>
          <w:tcPr>
            <w:tcW w:w="1136" w:type="dxa"/>
            <w:vMerge/>
            <w:tcBorders>
              <w:top w:val="nil"/>
              <w:left w:val="nil"/>
              <w:bottom w:val="single" w:sz="4" w:space="0" w:color="000000"/>
              <w:right w:val="nil"/>
            </w:tcBorders>
            <w:vAlign w:val="center"/>
            <w:hideMark/>
          </w:tcPr>
          <w:p w14:paraId="5EF53661"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00340235"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0HF Program Slovensko 2021</w:t>
            </w:r>
            <w:r>
              <w:rPr>
                <w:rFonts w:eastAsia="Times New Roman" w:cs="Segoe UI"/>
                <w:color w:val="000000"/>
                <w:sz w:val="18"/>
                <w:szCs w:val="18"/>
                <w:lang w:eastAsia="sk-SK"/>
              </w:rPr>
              <w:t xml:space="preserve"> – 2</w:t>
            </w:r>
            <w:r w:rsidRPr="009B7217">
              <w:rPr>
                <w:rFonts w:eastAsia="Times New Roman" w:cs="Segoe UI"/>
                <w:color w:val="000000"/>
                <w:sz w:val="18"/>
                <w:szCs w:val="18"/>
                <w:lang w:eastAsia="sk-SK"/>
              </w:rPr>
              <w:t>027</w:t>
            </w:r>
          </w:p>
        </w:tc>
        <w:tc>
          <w:tcPr>
            <w:tcW w:w="1406" w:type="dxa"/>
            <w:tcBorders>
              <w:top w:val="nil"/>
              <w:left w:val="nil"/>
              <w:bottom w:val="single" w:sz="4" w:space="0" w:color="auto"/>
              <w:right w:val="nil"/>
            </w:tcBorders>
            <w:shd w:val="clear" w:color="auto" w:fill="auto"/>
            <w:vAlign w:val="center"/>
            <w:hideMark/>
          </w:tcPr>
          <w:p w14:paraId="66454BFF"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78 546</w:t>
            </w:r>
          </w:p>
        </w:tc>
        <w:tc>
          <w:tcPr>
            <w:tcW w:w="1406" w:type="dxa"/>
            <w:tcBorders>
              <w:top w:val="nil"/>
              <w:left w:val="nil"/>
              <w:bottom w:val="single" w:sz="4" w:space="0" w:color="auto"/>
              <w:right w:val="nil"/>
            </w:tcBorders>
            <w:shd w:val="clear" w:color="auto" w:fill="auto"/>
            <w:vAlign w:val="center"/>
            <w:hideMark/>
          </w:tcPr>
          <w:p w14:paraId="0B815DF1"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226 382</w:t>
            </w:r>
          </w:p>
        </w:tc>
        <w:tc>
          <w:tcPr>
            <w:tcW w:w="944" w:type="dxa"/>
            <w:tcBorders>
              <w:top w:val="nil"/>
              <w:left w:val="nil"/>
              <w:bottom w:val="single" w:sz="4" w:space="0" w:color="auto"/>
              <w:right w:val="nil"/>
            </w:tcBorders>
            <w:shd w:val="clear" w:color="auto" w:fill="auto"/>
            <w:noWrap/>
            <w:vAlign w:val="bottom"/>
            <w:hideMark/>
          </w:tcPr>
          <w:p w14:paraId="7CFDA26A"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288</w:t>
            </w:r>
          </w:p>
        </w:tc>
      </w:tr>
      <w:tr w:rsidR="00315037" w:rsidRPr="009B7217" w14:paraId="06A5349E"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00B0FB47"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MŠVVM SR</w:t>
            </w:r>
          </w:p>
        </w:tc>
        <w:tc>
          <w:tcPr>
            <w:tcW w:w="4217" w:type="dxa"/>
            <w:tcBorders>
              <w:top w:val="nil"/>
              <w:left w:val="nil"/>
              <w:bottom w:val="nil"/>
              <w:right w:val="nil"/>
            </w:tcBorders>
            <w:shd w:val="clear" w:color="auto" w:fill="auto"/>
            <w:vAlign w:val="center"/>
            <w:hideMark/>
          </w:tcPr>
          <w:p w14:paraId="20A48C31"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026 Rozvoj a podpora športu</w:t>
            </w:r>
          </w:p>
        </w:tc>
        <w:tc>
          <w:tcPr>
            <w:tcW w:w="1406" w:type="dxa"/>
            <w:tcBorders>
              <w:top w:val="nil"/>
              <w:left w:val="nil"/>
              <w:bottom w:val="nil"/>
              <w:right w:val="nil"/>
            </w:tcBorders>
            <w:shd w:val="clear" w:color="auto" w:fill="auto"/>
            <w:vAlign w:val="center"/>
            <w:hideMark/>
          </w:tcPr>
          <w:p w14:paraId="63A2EC85"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99 151</w:t>
            </w:r>
          </w:p>
        </w:tc>
        <w:tc>
          <w:tcPr>
            <w:tcW w:w="1406" w:type="dxa"/>
            <w:tcBorders>
              <w:top w:val="nil"/>
              <w:left w:val="nil"/>
              <w:bottom w:val="nil"/>
              <w:right w:val="nil"/>
            </w:tcBorders>
            <w:shd w:val="clear" w:color="auto" w:fill="auto"/>
            <w:vAlign w:val="center"/>
            <w:hideMark/>
          </w:tcPr>
          <w:p w14:paraId="7C58A2E9"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37 254</w:t>
            </w:r>
          </w:p>
        </w:tc>
        <w:tc>
          <w:tcPr>
            <w:tcW w:w="944" w:type="dxa"/>
            <w:tcBorders>
              <w:top w:val="nil"/>
              <w:left w:val="nil"/>
              <w:bottom w:val="nil"/>
              <w:right w:val="nil"/>
            </w:tcBorders>
            <w:shd w:val="clear" w:color="auto" w:fill="auto"/>
            <w:noWrap/>
            <w:vAlign w:val="bottom"/>
            <w:hideMark/>
          </w:tcPr>
          <w:p w14:paraId="6F6EBF13"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38</w:t>
            </w:r>
          </w:p>
        </w:tc>
      </w:tr>
      <w:tr w:rsidR="00315037" w:rsidRPr="009B7217" w14:paraId="051E15D9" w14:textId="77777777" w:rsidTr="00042DB1">
        <w:trPr>
          <w:trHeight w:val="298"/>
        </w:trPr>
        <w:tc>
          <w:tcPr>
            <w:tcW w:w="1136" w:type="dxa"/>
            <w:vMerge/>
            <w:tcBorders>
              <w:top w:val="nil"/>
              <w:left w:val="nil"/>
              <w:bottom w:val="single" w:sz="4" w:space="0" w:color="000000"/>
              <w:right w:val="nil"/>
            </w:tcBorders>
            <w:vAlign w:val="center"/>
            <w:hideMark/>
          </w:tcPr>
          <w:p w14:paraId="0AE0367E"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nil"/>
              <w:right w:val="nil"/>
            </w:tcBorders>
            <w:shd w:val="clear" w:color="auto" w:fill="auto"/>
            <w:vAlign w:val="center"/>
            <w:hideMark/>
          </w:tcPr>
          <w:p w14:paraId="56972FE0"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06K Národný program rozvoja vedy a techniky</w:t>
            </w:r>
          </w:p>
        </w:tc>
        <w:tc>
          <w:tcPr>
            <w:tcW w:w="1406" w:type="dxa"/>
            <w:tcBorders>
              <w:top w:val="nil"/>
              <w:left w:val="nil"/>
              <w:bottom w:val="nil"/>
              <w:right w:val="nil"/>
            </w:tcBorders>
            <w:shd w:val="clear" w:color="auto" w:fill="auto"/>
            <w:vAlign w:val="center"/>
            <w:hideMark/>
          </w:tcPr>
          <w:p w14:paraId="011495BF"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64 597</w:t>
            </w:r>
          </w:p>
        </w:tc>
        <w:tc>
          <w:tcPr>
            <w:tcW w:w="1406" w:type="dxa"/>
            <w:tcBorders>
              <w:top w:val="nil"/>
              <w:left w:val="nil"/>
              <w:bottom w:val="nil"/>
              <w:right w:val="nil"/>
            </w:tcBorders>
            <w:shd w:val="clear" w:color="auto" w:fill="auto"/>
            <w:vAlign w:val="center"/>
            <w:hideMark/>
          </w:tcPr>
          <w:p w14:paraId="0DC16D0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65 281</w:t>
            </w:r>
          </w:p>
        </w:tc>
        <w:tc>
          <w:tcPr>
            <w:tcW w:w="944" w:type="dxa"/>
            <w:tcBorders>
              <w:top w:val="nil"/>
              <w:left w:val="nil"/>
              <w:bottom w:val="nil"/>
              <w:right w:val="nil"/>
            </w:tcBorders>
            <w:shd w:val="clear" w:color="auto" w:fill="auto"/>
            <w:noWrap/>
            <w:vAlign w:val="bottom"/>
            <w:hideMark/>
          </w:tcPr>
          <w:p w14:paraId="508122BA"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101</w:t>
            </w:r>
          </w:p>
        </w:tc>
      </w:tr>
      <w:tr w:rsidR="00315037" w:rsidRPr="009B7217" w14:paraId="5C50D158" w14:textId="77777777" w:rsidTr="00042DB1">
        <w:trPr>
          <w:trHeight w:val="298"/>
        </w:trPr>
        <w:tc>
          <w:tcPr>
            <w:tcW w:w="1136" w:type="dxa"/>
            <w:vMerge/>
            <w:tcBorders>
              <w:top w:val="nil"/>
              <w:left w:val="nil"/>
              <w:bottom w:val="single" w:sz="4" w:space="0" w:color="000000"/>
              <w:right w:val="nil"/>
            </w:tcBorders>
            <w:vAlign w:val="center"/>
            <w:hideMark/>
          </w:tcPr>
          <w:p w14:paraId="6E38E093"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nil"/>
              <w:right w:val="nil"/>
            </w:tcBorders>
            <w:shd w:val="clear" w:color="auto" w:fill="auto"/>
            <w:vAlign w:val="center"/>
            <w:hideMark/>
          </w:tcPr>
          <w:p w14:paraId="170C50D4"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077 Vysokoškolské vzdelávanie a veda, sociálna podpora študentov vysokých škôl</w:t>
            </w:r>
          </w:p>
        </w:tc>
        <w:tc>
          <w:tcPr>
            <w:tcW w:w="1406" w:type="dxa"/>
            <w:tcBorders>
              <w:top w:val="nil"/>
              <w:left w:val="nil"/>
              <w:bottom w:val="nil"/>
              <w:right w:val="nil"/>
            </w:tcBorders>
            <w:shd w:val="clear" w:color="auto" w:fill="auto"/>
            <w:vAlign w:val="center"/>
            <w:hideMark/>
          </w:tcPr>
          <w:p w14:paraId="4E859E5F"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769 741</w:t>
            </w:r>
          </w:p>
        </w:tc>
        <w:tc>
          <w:tcPr>
            <w:tcW w:w="1406" w:type="dxa"/>
            <w:tcBorders>
              <w:top w:val="nil"/>
              <w:left w:val="nil"/>
              <w:bottom w:val="nil"/>
              <w:right w:val="nil"/>
            </w:tcBorders>
            <w:shd w:val="clear" w:color="auto" w:fill="auto"/>
            <w:vAlign w:val="center"/>
            <w:hideMark/>
          </w:tcPr>
          <w:p w14:paraId="771975AE"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787 533</w:t>
            </w:r>
          </w:p>
        </w:tc>
        <w:tc>
          <w:tcPr>
            <w:tcW w:w="944" w:type="dxa"/>
            <w:tcBorders>
              <w:top w:val="nil"/>
              <w:left w:val="nil"/>
              <w:bottom w:val="nil"/>
              <w:right w:val="nil"/>
            </w:tcBorders>
            <w:shd w:val="clear" w:color="auto" w:fill="auto"/>
            <w:noWrap/>
            <w:vAlign w:val="bottom"/>
            <w:hideMark/>
          </w:tcPr>
          <w:p w14:paraId="26C485E1"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102</w:t>
            </w:r>
          </w:p>
        </w:tc>
      </w:tr>
      <w:tr w:rsidR="00315037" w:rsidRPr="009B7217" w14:paraId="7A10C52C" w14:textId="77777777" w:rsidTr="00042DB1">
        <w:trPr>
          <w:trHeight w:val="298"/>
        </w:trPr>
        <w:tc>
          <w:tcPr>
            <w:tcW w:w="1136" w:type="dxa"/>
            <w:vMerge/>
            <w:tcBorders>
              <w:top w:val="nil"/>
              <w:left w:val="nil"/>
              <w:bottom w:val="single" w:sz="4" w:space="0" w:color="000000"/>
              <w:right w:val="nil"/>
            </w:tcBorders>
            <w:vAlign w:val="center"/>
            <w:hideMark/>
          </w:tcPr>
          <w:p w14:paraId="237BF72F"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nil"/>
              <w:right w:val="nil"/>
            </w:tcBorders>
            <w:shd w:val="clear" w:color="auto" w:fill="auto"/>
            <w:vAlign w:val="center"/>
            <w:hideMark/>
          </w:tcPr>
          <w:p w14:paraId="65C69439"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078 Národný program výchovy, vzdelávania a mládeže</w:t>
            </w:r>
          </w:p>
        </w:tc>
        <w:tc>
          <w:tcPr>
            <w:tcW w:w="1406" w:type="dxa"/>
            <w:tcBorders>
              <w:top w:val="nil"/>
              <w:left w:val="nil"/>
              <w:bottom w:val="nil"/>
              <w:right w:val="nil"/>
            </w:tcBorders>
            <w:shd w:val="clear" w:color="auto" w:fill="auto"/>
            <w:vAlign w:val="center"/>
            <w:hideMark/>
          </w:tcPr>
          <w:p w14:paraId="0E3139D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3 018 721</w:t>
            </w:r>
          </w:p>
        </w:tc>
        <w:tc>
          <w:tcPr>
            <w:tcW w:w="1406" w:type="dxa"/>
            <w:tcBorders>
              <w:top w:val="nil"/>
              <w:left w:val="nil"/>
              <w:bottom w:val="nil"/>
              <w:right w:val="nil"/>
            </w:tcBorders>
            <w:shd w:val="clear" w:color="auto" w:fill="auto"/>
            <w:vAlign w:val="center"/>
            <w:hideMark/>
          </w:tcPr>
          <w:p w14:paraId="118556A9"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2 994 659</w:t>
            </w:r>
          </w:p>
        </w:tc>
        <w:tc>
          <w:tcPr>
            <w:tcW w:w="944" w:type="dxa"/>
            <w:tcBorders>
              <w:top w:val="nil"/>
              <w:left w:val="nil"/>
              <w:bottom w:val="nil"/>
              <w:right w:val="nil"/>
            </w:tcBorders>
            <w:shd w:val="clear" w:color="auto" w:fill="auto"/>
            <w:noWrap/>
            <w:vAlign w:val="bottom"/>
            <w:hideMark/>
          </w:tcPr>
          <w:p w14:paraId="435A4B8A"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99</w:t>
            </w:r>
          </w:p>
        </w:tc>
      </w:tr>
      <w:tr w:rsidR="00315037" w:rsidRPr="009B7217" w14:paraId="0B19C1E0" w14:textId="77777777" w:rsidTr="00042DB1">
        <w:trPr>
          <w:trHeight w:val="298"/>
        </w:trPr>
        <w:tc>
          <w:tcPr>
            <w:tcW w:w="1136" w:type="dxa"/>
            <w:vMerge/>
            <w:tcBorders>
              <w:top w:val="nil"/>
              <w:left w:val="nil"/>
              <w:bottom w:val="single" w:sz="4" w:space="0" w:color="000000"/>
              <w:right w:val="nil"/>
            </w:tcBorders>
            <w:vAlign w:val="center"/>
            <w:hideMark/>
          </w:tcPr>
          <w:p w14:paraId="7069133B"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nil"/>
              <w:right w:val="nil"/>
            </w:tcBorders>
            <w:shd w:val="clear" w:color="auto" w:fill="auto"/>
            <w:vAlign w:val="center"/>
            <w:hideMark/>
          </w:tcPr>
          <w:p w14:paraId="0A13AE28"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 xml:space="preserve">0H6 Program Slovensko 2021 </w:t>
            </w:r>
            <w:r>
              <w:rPr>
                <w:rFonts w:eastAsia="Times New Roman" w:cs="Segoe UI"/>
                <w:color w:val="000000"/>
                <w:sz w:val="18"/>
                <w:szCs w:val="18"/>
                <w:lang w:eastAsia="sk-SK"/>
              </w:rPr>
              <w:t xml:space="preserve">– </w:t>
            </w:r>
            <w:r w:rsidRPr="009B7217">
              <w:rPr>
                <w:rFonts w:eastAsia="Times New Roman" w:cs="Segoe UI"/>
                <w:color w:val="000000"/>
                <w:sz w:val="18"/>
                <w:szCs w:val="18"/>
                <w:lang w:eastAsia="sk-SK"/>
              </w:rPr>
              <w:t xml:space="preserve">2027 </w:t>
            </w:r>
            <w:r>
              <w:rPr>
                <w:rFonts w:eastAsia="Times New Roman" w:cs="Segoe UI"/>
                <w:color w:val="000000"/>
                <w:sz w:val="18"/>
                <w:szCs w:val="18"/>
                <w:lang w:eastAsia="sk-SK"/>
              </w:rPr>
              <w:t xml:space="preserve">– </w:t>
            </w:r>
            <w:r w:rsidRPr="009B7217">
              <w:rPr>
                <w:rFonts w:eastAsia="Times New Roman" w:cs="Segoe UI"/>
                <w:color w:val="000000"/>
                <w:sz w:val="18"/>
                <w:szCs w:val="18"/>
                <w:lang w:eastAsia="sk-SK"/>
              </w:rPr>
              <w:t>MŠVVM SR</w:t>
            </w:r>
          </w:p>
        </w:tc>
        <w:tc>
          <w:tcPr>
            <w:tcW w:w="1406" w:type="dxa"/>
            <w:tcBorders>
              <w:top w:val="nil"/>
              <w:left w:val="nil"/>
              <w:bottom w:val="nil"/>
              <w:right w:val="nil"/>
            </w:tcBorders>
            <w:shd w:val="clear" w:color="auto" w:fill="auto"/>
            <w:vAlign w:val="center"/>
            <w:hideMark/>
          </w:tcPr>
          <w:p w14:paraId="300CE16A"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120 396</w:t>
            </w:r>
          </w:p>
        </w:tc>
        <w:tc>
          <w:tcPr>
            <w:tcW w:w="1406" w:type="dxa"/>
            <w:tcBorders>
              <w:top w:val="nil"/>
              <w:left w:val="nil"/>
              <w:bottom w:val="nil"/>
              <w:right w:val="nil"/>
            </w:tcBorders>
            <w:shd w:val="clear" w:color="auto" w:fill="auto"/>
            <w:vAlign w:val="center"/>
            <w:hideMark/>
          </w:tcPr>
          <w:p w14:paraId="793071C7"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129 435</w:t>
            </w:r>
          </w:p>
        </w:tc>
        <w:tc>
          <w:tcPr>
            <w:tcW w:w="944" w:type="dxa"/>
            <w:tcBorders>
              <w:top w:val="nil"/>
              <w:left w:val="nil"/>
              <w:bottom w:val="nil"/>
              <w:right w:val="nil"/>
            </w:tcBorders>
            <w:shd w:val="clear" w:color="auto" w:fill="auto"/>
            <w:noWrap/>
            <w:vAlign w:val="bottom"/>
            <w:hideMark/>
          </w:tcPr>
          <w:p w14:paraId="5289CA11"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108</w:t>
            </w:r>
          </w:p>
        </w:tc>
      </w:tr>
      <w:tr w:rsidR="00315037" w:rsidRPr="009B7217" w14:paraId="6495942C" w14:textId="77777777" w:rsidTr="00042DB1">
        <w:trPr>
          <w:trHeight w:val="298"/>
        </w:trPr>
        <w:tc>
          <w:tcPr>
            <w:tcW w:w="1136" w:type="dxa"/>
            <w:vMerge/>
            <w:tcBorders>
              <w:top w:val="nil"/>
              <w:left w:val="nil"/>
              <w:bottom w:val="single" w:sz="4" w:space="0" w:color="000000"/>
              <w:right w:val="nil"/>
            </w:tcBorders>
            <w:vAlign w:val="center"/>
            <w:hideMark/>
          </w:tcPr>
          <w:p w14:paraId="762F5DBA"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122BA0FC"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0HV Plán obnovy a odolnosti MŠVVM SR</w:t>
            </w:r>
          </w:p>
        </w:tc>
        <w:tc>
          <w:tcPr>
            <w:tcW w:w="1406" w:type="dxa"/>
            <w:tcBorders>
              <w:top w:val="nil"/>
              <w:left w:val="nil"/>
              <w:bottom w:val="single" w:sz="4" w:space="0" w:color="auto"/>
              <w:right w:val="nil"/>
            </w:tcBorders>
            <w:shd w:val="clear" w:color="auto" w:fill="auto"/>
            <w:vAlign w:val="center"/>
            <w:hideMark/>
          </w:tcPr>
          <w:p w14:paraId="2ECB9321"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137 214</w:t>
            </w:r>
          </w:p>
        </w:tc>
        <w:tc>
          <w:tcPr>
            <w:tcW w:w="1406" w:type="dxa"/>
            <w:tcBorders>
              <w:top w:val="nil"/>
              <w:left w:val="nil"/>
              <w:bottom w:val="single" w:sz="4" w:space="0" w:color="auto"/>
              <w:right w:val="nil"/>
            </w:tcBorders>
            <w:shd w:val="clear" w:color="auto" w:fill="auto"/>
            <w:vAlign w:val="center"/>
            <w:hideMark/>
          </w:tcPr>
          <w:p w14:paraId="52D81993"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233 124</w:t>
            </w:r>
          </w:p>
        </w:tc>
        <w:tc>
          <w:tcPr>
            <w:tcW w:w="944" w:type="dxa"/>
            <w:tcBorders>
              <w:top w:val="nil"/>
              <w:left w:val="nil"/>
              <w:bottom w:val="single" w:sz="4" w:space="0" w:color="auto"/>
              <w:right w:val="nil"/>
            </w:tcBorders>
            <w:shd w:val="clear" w:color="auto" w:fill="auto"/>
            <w:noWrap/>
            <w:vAlign w:val="bottom"/>
            <w:hideMark/>
          </w:tcPr>
          <w:p w14:paraId="475A0C45"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170</w:t>
            </w:r>
          </w:p>
        </w:tc>
      </w:tr>
      <w:tr w:rsidR="00315037" w:rsidRPr="009B7217" w14:paraId="384F19E3"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59624568"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MCRŠ SR</w:t>
            </w:r>
          </w:p>
        </w:tc>
        <w:tc>
          <w:tcPr>
            <w:tcW w:w="4217" w:type="dxa"/>
            <w:tcBorders>
              <w:top w:val="nil"/>
              <w:left w:val="nil"/>
              <w:bottom w:val="nil"/>
              <w:right w:val="nil"/>
            </w:tcBorders>
            <w:shd w:val="clear" w:color="auto" w:fill="auto"/>
            <w:vAlign w:val="center"/>
            <w:hideMark/>
          </w:tcPr>
          <w:p w14:paraId="2A0D966D"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026 Rozvoj a podpora športu</w:t>
            </w:r>
          </w:p>
        </w:tc>
        <w:tc>
          <w:tcPr>
            <w:tcW w:w="1406" w:type="dxa"/>
            <w:tcBorders>
              <w:top w:val="nil"/>
              <w:left w:val="nil"/>
              <w:bottom w:val="nil"/>
              <w:right w:val="nil"/>
            </w:tcBorders>
            <w:shd w:val="clear" w:color="auto" w:fill="auto"/>
            <w:vAlign w:val="center"/>
            <w:hideMark/>
          </w:tcPr>
          <w:p w14:paraId="66509FCC"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0</w:t>
            </w:r>
          </w:p>
        </w:tc>
        <w:tc>
          <w:tcPr>
            <w:tcW w:w="1406" w:type="dxa"/>
            <w:tcBorders>
              <w:top w:val="nil"/>
              <w:left w:val="nil"/>
              <w:bottom w:val="nil"/>
              <w:right w:val="nil"/>
            </w:tcBorders>
            <w:shd w:val="clear" w:color="auto" w:fill="auto"/>
            <w:vAlign w:val="center"/>
            <w:hideMark/>
          </w:tcPr>
          <w:p w14:paraId="3E0F4AE6"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154 546</w:t>
            </w:r>
          </w:p>
        </w:tc>
        <w:tc>
          <w:tcPr>
            <w:tcW w:w="944" w:type="dxa"/>
            <w:tcBorders>
              <w:top w:val="nil"/>
              <w:left w:val="nil"/>
              <w:bottom w:val="nil"/>
              <w:right w:val="nil"/>
            </w:tcBorders>
            <w:shd w:val="clear" w:color="auto" w:fill="auto"/>
            <w:noWrap/>
            <w:vAlign w:val="bottom"/>
            <w:hideMark/>
          </w:tcPr>
          <w:p w14:paraId="6BB921B5" w14:textId="77777777" w:rsidR="00315037" w:rsidRPr="009B7217" w:rsidRDefault="00315037" w:rsidP="00042DB1">
            <w:pPr>
              <w:spacing w:after="0" w:line="240" w:lineRule="auto"/>
              <w:jc w:val="right"/>
              <w:rPr>
                <w:rFonts w:eastAsia="Times New Roman" w:cs="Segoe UI"/>
                <w:color w:val="000000"/>
                <w:sz w:val="18"/>
                <w:szCs w:val="18"/>
                <w:lang w:eastAsia="sk-SK"/>
              </w:rPr>
            </w:pPr>
          </w:p>
        </w:tc>
      </w:tr>
      <w:tr w:rsidR="00315037" w:rsidRPr="009B7217" w14:paraId="14D6ABBB" w14:textId="77777777" w:rsidTr="00042DB1">
        <w:trPr>
          <w:trHeight w:val="298"/>
        </w:trPr>
        <w:tc>
          <w:tcPr>
            <w:tcW w:w="1136" w:type="dxa"/>
            <w:vMerge/>
            <w:tcBorders>
              <w:top w:val="nil"/>
              <w:left w:val="nil"/>
              <w:bottom w:val="single" w:sz="4" w:space="0" w:color="000000"/>
              <w:right w:val="nil"/>
            </w:tcBorders>
            <w:vAlign w:val="center"/>
            <w:hideMark/>
          </w:tcPr>
          <w:p w14:paraId="4DA0DA21"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nil"/>
              <w:right w:val="nil"/>
            </w:tcBorders>
            <w:shd w:val="clear" w:color="auto" w:fill="auto"/>
            <w:vAlign w:val="center"/>
            <w:hideMark/>
          </w:tcPr>
          <w:p w14:paraId="2EDCF476"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0I3 Rozvoj a podpora cestovného ruchu</w:t>
            </w:r>
          </w:p>
        </w:tc>
        <w:tc>
          <w:tcPr>
            <w:tcW w:w="1406" w:type="dxa"/>
            <w:tcBorders>
              <w:top w:val="nil"/>
              <w:left w:val="nil"/>
              <w:bottom w:val="nil"/>
              <w:right w:val="nil"/>
            </w:tcBorders>
            <w:shd w:val="clear" w:color="auto" w:fill="auto"/>
            <w:vAlign w:val="center"/>
            <w:hideMark/>
          </w:tcPr>
          <w:p w14:paraId="6D9B2FDA"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0</w:t>
            </w:r>
          </w:p>
        </w:tc>
        <w:tc>
          <w:tcPr>
            <w:tcW w:w="1406" w:type="dxa"/>
            <w:tcBorders>
              <w:top w:val="nil"/>
              <w:left w:val="nil"/>
              <w:bottom w:val="nil"/>
              <w:right w:val="nil"/>
            </w:tcBorders>
            <w:shd w:val="clear" w:color="auto" w:fill="auto"/>
            <w:vAlign w:val="center"/>
            <w:hideMark/>
          </w:tcPr>
          <w:p w14:paraId="7587A7FE"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33 105</w:t>
            </w:r>
          </w:p>
        </w:tc>
        <w:tc>
          <w:tcPr>
            <w:tcW w:w="944" w:type="dxa"/>
            <w:tcBorders>
              <w:top w:val="nil"/>
              <w:left w:val="nil"/>
              <w:bottom w:val="single" w:sz="4" w:space="0" w:color="auto"/>
              <w:right w:val="nil"/>
            </w:tcBorders>
            <w:shd w:val="clear" w:color="auto" w:fill="auto"/>
            <w:noWrap/>
            <w:vAlign w:val="bottom"/>
            <w:hideMark/>
          </w:tcPr>
          <w:p w14:paraId="7044A764" w14:textId="77777777" w:rsidR="00315037" w:rsidRPr="009B7217" w:rsidRDefault="00315037" w:rsidP="00042DB1">
            <w:pPr>
              <w:spacing w:after="0" w:line="240" w:lineRule="auto"/>
              <w:jc w:val="lef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 </w:t>
            </w:r>
          </w:p>
        </w:tc>
      </w:tr>
      <w:tr w:rsidR="00315037" w:rsidRPr="009B7217" w14:paraId="29C699FA" w14:textId="77777777" w:rsidTr="00042DB1">
        <w:trPr>
          <w:trHeight w:val="298"/>
        </w:trPr>
        <w:tc>
          <w:tcPr>
            <w:tcW w:w="1136" w:type="dxa"/>
            <w:vMerge w:val="restart"/>
            <w:tcBorders>
              <w:top w:val="nil"/>
              <w:left w:val="nil"/>
              <w:bottom w:val="single" w:sz="4" w:space="0" w:color="000000"/>
              <w:right w:val="nil"/>
            </w:tcBorders>
            <w:shd w:val="clear" w:color="auto" w:fill="auto"/>
            <w:vAlign w:val="center"/>
            <w:hideMark/>
          </w:tcPr>
          <w:p w14:paraId="0A86D6EA"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VPS</w:t>
            </w:r>
          </w:p>
        </w:tc>
        <w:tc>
          <w:tcPr>
            <w:tcW w:w="4217" w:type="dxa"/>
            <w:tcBorders>
              <w:top w:val="single" w:sz="4" w:space="0" w:color="auto"/>
              <w:left w:val="nil"/>
              <w:bottom w:val="nil"/>
              <w:right w:val="nil"/>
            </w:tcBorders>
            <w:shd w:val="clear" w:color="auto" w:fill="auto"/>
            <w:vAlign w:val="center"/>
            <w:hideMark/>
          </w:tcPr>
          <w:p w14:paraId="71EF8866"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08H Dlhová služba</w:t>
            </w:r>
          </w:p>
        </w:tc>
        <w:tc>
          <w:tcPr>
            <w:tcW w:w="1406" w:type="dxa"/>
            <w:tcBorders>
              <w:top w:val="single" w:sz="4" w:space="0" w:color="auto"/>
              <w:left w:val="nil"/>
              <w:bottom w:val="nil"/>
              <w:right w:val="nil"/>
            </w:tcBorders>
            <w:shd w:val="clear" w:color="auto" w:fill="auto"/>
            <w:vAlign w:val="center"/>
            <w:hideMark/>
          </w:tcPr>
          <w:p w14:paraId="0D50B681"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1 356 768</w:t>
            </w:r>
          </w:p>
        </w:tc>
        <w:tc>
          <w:tcPr>
            <w:tcW w:w="1406" w:type="dxa"/>
            <w:tcBorders>
              <w:top w:val="single" w:sz="4" w:space="0" w:color="auto"/>
              <w:left w:val="nil"/>
              <w:bottom w:val="nil"/>
              <w:right w:val="nil"/>
            </w:tcBorders>
            <w:shd w:val="clear" w:color="auto" w:fill="auto"/>
            <w:vAlign w:val="center"/>
            <w:hideMark/>
          </w:tcPr>
          <w:p w14:paraId="6C7639AB"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1 189 226</w:t>
            </w:r>
          </w:p>
        </w:tc>
        <w:tc>
          <w:tcPr>
            <w:tcW w:w="944" w:type="dxa"/>
            <w:tcBorders>
              <w:top w:val="nil"/>
              <w:left w:val="nil"/>
              <w:bottom w:val="nil"/>
              <w:right w:val="nil"/>
            </w:tcBorders>
            <w:shd w:val="clear" w:color="auto" w:fill="auto"/>
            <w:noWrap/>
            <w:vAlign w:val="bottom"/>
            <w:hideMark/>
          </w:tcPr>
          <w:p w14:paraId="0E8F47EA"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88</w:t>
            </w:r>
          </w:p>
        </w:tc>
      </w:tr>
      <w:tr w:rsidR="00315037" w:rsidRPr="009B7217" w14:paraId="43035947" w14:textId="77777777" w:rsidTr="00042DB1">
        <w:trPr>
          <w:trHeight w:val="298"/>
        </w:trPr>
        <w:tc>
          <w:tcPr>
            <w:tcW w:w="1136" w:type="dxa"/>
            <w:vMerge/>
            <w:tcBorders>
              <w:top w:val="nil"/>
              <w:left w:val="nil"/>
              <w:bottom w:val="single" w:sz="4" w:space="0" w:color="000000"/>
              <w:right w:val="nil"/>
            </w:tcBorders>
            <w:vAlign w:val="center"/>
            <w:hideMark/>
          </w:tcPr>
          <w:p w14:paraId="430DC79D" w14:textId="77777777" w:rsidR="00315037" w:rsidRPr="009B7217" w:rsidRDefault="00315037" w:rsidP="00042DB1">
            <w:pPr>
              <w:spacing w:after="0" w:line="240" w:lineRule="auto"/>
              <w:jc w:val="left"/>
              <w:rPr>
                <w:rFonts w:eastAsia="Times New Roman" w:cs="Segoe UI"/>
                <w:color w:val="000000"/>
                <w:sz w:val="18"/>
                <w:szCs w:val="18"/>
                <w:lang w:eastAsia="sk-SK"/>
              </w:rPr>
            </w:pPr>
          </w:p>
        </w:tc>
        <w:tc>
          <w:tcPr>
            <w:tcW w:w="4217" w:type="dxa"/>
            <w:tcBorders>
              <w:top w:val="nil"/>
              <w:left w:val="nil"/>
              <w:bottom w:val="single" w:sz="4" w:space="0" w:color="auto"/>
              <w:right w:val="nil"/>
            </w:tcBorders>
            <w:shd w:val="clear" w:color="auto" w:fill="auto"/>
            <w:vAlign w:val="center"/>
            <w:hideMark/>
          </w:tcPr>
          <w:p w14:paraId="02AFA9EE" w14:textId="77777777" w:rsidR="00315037" w:rsidRPr="009B7217" w:rsidRDefault="00315037" w:rsidP="00042DB1">
            <w:pPr>
              <w:spacing w:after="0" w:line="240" w:lineRule="auto"/>
              <w:jc w:val="left"/>
              <w:rPr>
                <w:rFonts w:eastAsia="Times New Roman" w:cs="Segoe UI"/>
                <w:color w:val="000000"/>
                <w:sz w:val="18"/>
                <w:szCs w:val="18"/>
                <w:lang w:eastAsia="sk-SK"/>
              </w:rPr>
            </w:pPr>
            <w:r w:rsidRPr="009B7217">
              <w:rPr>
                <w:rFonts w:eastAsia="Times New Roman" w:cs="Segoe UI"/>
                <w:color w:val="000000"/>
                <w:sz w:val="18"/>
                <w:szCs w:val="18"/>
                <w:lang w:eastAsia="sk-SK"/>
              </w:rPr>
              <w:t>0HW Organizácia Všeobecná pokladničná správa</w:t>
            </w:r>
          </w:p>
        </w:tc>
        <w:tc>
          <w:tcPr>
            <w:tcW w:w="1406" w:type="dxa"/>
            <w:tcBorders>
              <w:top w:val="nil"/>
              <w:left w:val="nil"/>
              <w:bottom w:val="single" w:sz="4" w:space="0" w:color="auto"/>
              <w:right w:val="nil"/>
            </w:tcBorders>
            <w:shd w:val="clear" w:color="auto" w:fill="auto"/>
            <w:vAlign w:val="center"/>
            <w:hideMark/>
          </w:tcPr>
          <w:p w14:paraId="2816C569"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5 517 094</w:t>
            </w:r>
          </w:p>
        </w:tc>
        <w:tc>
          <w:tcPr>
            <w:tcW w:w="1406" w:type="dxa"/>
            <w:tcBorders>
              <w:top w:val="nil"/>
              <w:left w:val="nil"/>
              <w:bottom w:val="single" w:sz="4" w:space="0" w:color="auto"/>
              <w:right w:val="nil"/>
            </w:tcBorders>
            <w:shd w:val="clear" w:color="auto" w:fill="auto"/>
            <w:vAlign w:val="center"/>
            <w:hideMark/>
          </w:tcPr>
          <w:p w14:paraId="0CA01E99" w14:textId="77777777" w:rsidR="00315037" w:rsidRPr="009B7217" w:rsidRDefault="00315037" w:rsidP="00042DB1">
            <w:pPr>
              <w:spacing w:after="0" w:line="240" w:lineRule="auto"/>
              <w:jc w:val="right"/>
              <w:rPr>
                <w:rFonts w:eastAsia="Times New Roman" w:cs="Segoe UI"/>
                <w:color w:val="000000"/>
                <w:sz w:val="18"/>
                <w:szCs w:val="18"/>
                <w:lang w:eastAsia="sk-SK"/>
              </w:rPr>
            </w:pPr>
            <w:r w:rsidRPr="009B7217">
              <w:rPr>
                <w:rFonts w:eastAsia="Times New Roman" w:cs="Segoe UI"/>
                <w:color w:val="000000"/>
                <w:sz w:val="18"/>
                <w:szCs w:val="18"/>
                <w:lang w:eastAsia="sk-SK"/>
              </w:rPr>
              <w:t>3 677 912</w:t>
            </w:r>
          </w:p>
        </w:tc>
        <w:tc>
          <w:tcPr>
            <w:tcW w:w="944" w:type="dxa"/>
            <w:tcBorders>
              <w:top w:val="nil"/>
              <w:left w:val="nil"/>
              <w:bottom w:val="single" w:sz="4" w:space="0" w:color="auto"/>
              <w:right w:val="nil"/>
            </w:tcBorders>
            <w:shd w:val="clear" w:color="auto" w:fill="auto"/>
            <w:noWrap/>
            <w:vAlign w:val="bottom"/>
            <w:hideMark/>
          </w:tcPr>
          <w:p w14:paraId="75C288B4" w14:textId="77777777" w:rsidR="00315037" w:rsidRPr="009B7217" w:rsidRDefault="00315037" w:rsidP="00042DB1">
            <w:pPr>
              <w:spacing w:after="0" w:line="240" w:lineRule="auto"/>
              <w:jc w:val="right"/>
              <w:rPr>
                <w:rFonts w:ascii="Calibri" w:eastAsia="Times New Roman" w:hAnsi="Calibri" w:cs="Calibri"/>
                <w:color w:val="000000"/>
                <w:sz w:val="22"/>
                <w:lang w:eastAsia="sk-SK"/>
              </w:rPr>
            </w:pPr>
            <w:r w:rsidRPr="009B7217">
              <w:rPr>
                <w:rFonts w:ascii="Calibri" w:eastAsia="Times New Roman" w:hAnsi="Calibri" w:cs="Calibri"/>
                <w:color w:val="000000"/>
                <w:sz w:val="22"/>
                <w:lang w:eastAsia="sk-SK"/>
              </w:rPr>
              <w:t>67</w:t>
            </w:r>
          </w:p>
        </w:tc>
      </w:tr>
    </w:tbl>
    <w:p w14:paraId="7284C43E" w14:textId="77777777" w:rsidR="00315037" w:rsidRPr="0094788A" w:rsidRDefault="00315037" w:rsidP="00315037">
      <w:pPr>
        <w:rPr>
          <w:sz w:val="16"/>
          <w:szCs w:val="16"/>
        </w:rPr>
      </w:pPr>
      <w:r w:rsidRPr="0094788A">
        <w:rPr>
          <w:rFonts w:eastAsia="Calibri" w:cs="Segoe UI"/>
          <w:i/>
          <w:iCs/>
          <w:color w:val="44546A"/>
          <w:sz w:val="16"/>
          <w:szCs w:val="16"/>
        </w:rPr>
        <w:t>Zdroj: RIS BI, MF SR</w:t>
      </w:r>
      <w:r>
        <w:rPr>
          <w:rFonts w:eastAsia="Calibri" w:cs="Segoe UI"/>
          <w:i/>
          <w:iCs/>
          <w:color w:val="44546A"/>
          <w:sz w:val="16"/>
          <w:szCs w:val="16"/>
        </w:rPr>
        <w:t>.</w:t>
      </w:r>
    </w:p>
    <w:p w14:paraId="7ED2B965" w14:textId="77777777" w:rsidR="00315037" w:rsidRDefault="00315037" w:rsidP="00BA5B20">
      <w:pPr>
        <w:spacing w:after="0"/>
        <w:rPr>
          <w:rFonts w:eastAsia="Calibri" w:cs="Times New Roman"/>
          <w:b/>
          <w:color w:val="314364" w:themeColor="text2"/>
          <w:szCs w:val="18"/>
        </w:rPr>
      </w:pPr>
    </w:p>
    <w:p w14:paraId="24D0B510" w14:textId="77777777" w:rsidR="00315037" w:rsidRDefault="00315037" w:rsidP="00BA5B20">
      <w:pPr>
        <w:spacing w:after="0"/>
        <w:rPr>
          <w:rFonts w:eastAsia="Calibri" w:cs="Times New Roman"/>
          <w:b/>
          <w:color w:val="314364" w:themeColor="text2"/>
          <w:szCs w:val="18"/>
        </w:rPr>
      </w:pPr>
    </w:p>
    <w:p w14:paraId="4EF40CF2" w14:textId="306F612C" w:rsidR="00BA5B20" w:rsidRDefault="00BA5B20" w:rsidP="00BA5B20">
      <w:pPr>
        <w:spacing w:after="0"/>
        <w:rPr>
          <w:rFonts w:eastAsia="Calibri" w:cs="Times New Roman"/>
          <w:b/>
          <w:color w:val="314364" w:themeColor="text2"/>
          <w:szCs w:val="18"/>
        </w:rPr>
      </w:pPr>
      <w:r w:rsidRPr="00BA5B20">
        <w:rPr>
          <w:rFonts w:eastAsia="Calibri" w:cs="Times New Roman"/>
          <w:b/>
          <w:color w:val="314364" w:themeColor="text2"/>
          <w:szCs w:val="18"/>
        </w:rPr>
        <w:lastRenderedPageBreak/>
        <w:t xml:space="preserve">Tabuľka </w:t>
      </w:r>
      <w:r w:rsidR="00315037">
        <w:rPr>
          <w:rFonts w:eastAsia="Calibri" w:cs="Times New Roman"/>
          <w:b/>
          <w:color w:val="314364" w:themeColor="text2"/>
          <w:szCs w:val="18"/>
        </w:rPr>
        <w:t>6</w:t>
      </w:r>
      <w:r w:rsidRPr="00BA5B20">
        <w:rPr>
          <w:rFonts w:eastAsia="Calibri" w:cs="Times New Roman"/>
          <w:b/>
          <w:color w:val="314364" w:themeColor="text2"/>
          <w:szCs w:val="18"/>
        </w:rPr>
        <w:t>: Rozpočtové opatrenia MH SR súvisiace s</w:t>
      </w:r>
      <w:r>
        <w:rPr>
          <w:rFonts w:eastAsia="Calibri" w:cs="Times New Roman"/>
          <w:b/>
          <w:color w:val="314364" w:themeColor="text2"/>
          <w:szCs w:val="18"/>
        </w:rPr>
        <w:t> </w:t>
      </w:r>
      <w:proofErr w:type="spellStart"/>
      <w:r w:rsidRPr="00BA5B20">
        <w:rPr>
          <w:rFonts w:eastAsia="Calibri" w:cs="Times New Roman"/>
          <w:b/>
          <w:color w:val="314364" w:themeColor="text2"/>
          <w:szCs w:val="18"/>
        </w:rPr>
        <w:t>energopomocou</w:t>
      </w:r>
      <w:proofErr w:type="spellEnd"/>
      <w:r>
        <w:rPr>
          <w:rFonts w:eastAsia="Calibri" w:cs="Times New Roman"/>
          <w:b/>
          <w:color w:val="314364" w:themeColor="text2"/>
          <w:szCs w:val="18"/>
        </w:rPr>
        <w:t xml:space="preserve"> v rokoch 2022 až 2024</w:t>
      </w:r>
    </w:p>
    <w:p w14:paraId="788DD392" w14:textId="06CBAE8D" w:rsidR="00BA5B20" w:rsidRPr="00BA5B20" w:rsidRDefault="00BA5B20" w:rsidP="00BA5B20">
      <w:pPr>
        <w:spacing w:after="0"/>
        <w:rPr>
          <w:rFonts w:eastAsia="Calibri" w:cs="Times New Roman"/>
          <w:b/>
          <w:color w:val="314364" w:themeColor="text2"/>
          <w:szCs w:val="18"/>
        </w:rPr>
      </w:pPr>
      <w:r w:rsidRPr="00BA5B20">
        <w:rPr>
          <w:rFonts w:eastAsia="Calibri" w:cs="Times New Roman"/>
          <w:b/>
          <w:color w:val="314364" w:themeColor="text2"/>
          <w:szCs w:val="18"/>
        </w:rPr>
        <w:t>(v eurách)</w:t>
      </w:r>
    </w:p>
    <w:tbl>
      <w:tblPr>
        <w:tblW w:w="5000" w:type="pct"/>
        <w:tblBorders>
          <w:bottom w:val="single" w:sz="4" w:space="0" w:color="auto"/>
          <w:insideH w:val="single" w:sz="4" w:space="0" w:color="314364" w:themeColor="text2"/>
        </w:tblBorders>
        <w:tblCellMar>
          <w:left w:w="70" w:type="dxa"/>
          <w:right w:w="70" w:type="dxa"/>
        </w:tblCellMar>
        <w:tblLook w:val="04A0" w:firstRow="1" w:lastRow="0" w:firstColumn="1" w:lastColumn="0" w:noHBand="0" w:noVBand="1"/>
      </w:tblPr>
      <w:tblGrid>
        <w:gridCol w:w="1085"/>
        <w:gridCol w:w="6548"/>
        <w:gridCol w:w="1437"/>
      </w:tblGrid>
      <w:tr w:rsidR="00BA5B20" w:rsidRPr="00E06709" w14:paraId="4FBD84B1" w14:textId="77777777" w:rsidTr="007848CA">
        <w:trPr>
          <w:trHeight w:val="283"/>
          <w:tblHeader/>
        </w:trPr>
        <w:tc>
          <w:tcPr>
            <w:tcW w:w="598" w:type="pct"/>
            <w:shd w:val="clear" w:color="auto" w:fill="314364"/>
            <w:noWrap/>
            <w:vAlign w:val="center"/>
          </w:tcPr>
          <w:p w14:paraId="73FA7EA6" w14:textId="77777777" w:rsidR="00BA5B20" w:rsidRPr="00E06709" w:rsidRDefault="00BA5B20" w:rsidP="007848CA">
            <w:pPr>
              <w:spacing w:after="0" w:line="240" w:lineRule="auto"/>
              <w:rPr>
                <w:rFonts w:eastAsia="Times New Roman" w:cs="Segoe UI"/>
                <w:b/>
                <w:bCs/>
                <w:color w:val="FFFFFF" w:themeColor="background1"/>
                <w:sz w:val="16"/>
                <w:szCs w:val="16"/>
                <w:lang w:eastAsia="sk-SK"/>
              </w:rPr>
            </w:pPr>
            <w:r w:rsidRPr="00E06709">
              <w:rPr>
                <w:rFonts w:cs="Segoe UI"/>
                <w:b/>
                <w:bCs/>
                <w:color w:val="FFFFFF" w:themeColor="background1"/>
                <w:sz w:val="16"/>
                <w:szCs w:val="16"/>
              </w:rPr>
              <w:t>Číslo RO</w:t>
            </w:r>
          </w:p>
        </w:tc>
        <w:tc>
          <w:tcPr>
            <w:tcW w:w="3610" w:type="pct"/>
            <w:shd w:val="clear" w:color="auto" w:fill="314364"/>
            <w:vAlign w:val="center"/>
          </w:tcPr>
          <w:p w14:paraId="6BD994D2" w14:textId="77777777" w:rsidR="00BA5B20" w:rsidRPr="00E06709" w:rsidRDefault="00BA5B20" w:rsidP="007848CA">
            <w:pPr>
              <w:spacing w:after="0" w:line="240" w:lineRule="auto"/>
              <w:rPr>
                <w:rFonts w:cs="Segoe UI"/>
                <w:b/>
                <w:bCs/>
                <w:color w:val="FFFFFF" w:themeColor="background1"/>
                <w:sz w:val="16"/>
                <w:szCs w:val="16"/>
              </w:rPr>
            </w:pPr>
            <w:r w:rsidRPr="00E06709">
              <w:rPr>
                <w:rFonts w:cs="Segoe UI"/>
                <w:b/>
                <w:bCs/>
                <w:color w:val="FFFFFF" w:themeColor="background1"/>
                <w:sz w:val="16"/>
                <w:szCs w:val="16"/>
              </w:rPr>
              <w:t>Dôvod</w:t>
            </w:r>
          </w:p>
        </w:tc>
        <w:tc>
          <w:tcPr>
            <w:tcW w:w="792" w:type="pct"/>
            <w:shd w:val="clear" w:color="auto" w:fill="314364"/>
            <w:noWrap/>
            <w:vAlign w:val="center"/>
          </w:tcPr>
          <w:p w14:paraId="152F397F" w14:textId="77777777" w:rsidR="00BA5B20" w:rsidRPr="00E06709" w:rsidRDefault="00BA5B20" w:rsidP="007848CA">
            <w:pPr>
              <w:spacing w:after="0" w:line="240" w:lineRule="auto"/>
              <w:jc w:val="center"/>
              <w:rPr>
                <w:rFonts w:eastAsia="Times New Roman" w:cs="Segoe UI"/>
                <w:b/>
                <w:bCs/>
                <w:color w:val="FFFFFF" w:themeColor="background1"/>
                <w:sz w:val="16"/>
                <w:szCs w:val="16"/>
                <w:lang w:eastAsia="sk-SK"/>
              </w:rPr>
            </w:pPr>
            <w:r w:rsidRPr="00E06709">
              <w:rPr>
                <w:rFonts w:cs="Segoe UI"/>
                <w:b/>
                <w:bCs/>
                <w:color w:val="FFFFFF" w:themeColor="background1"/>
                <w:sz w:val="16"/>
                <w:szCs w:val="16"/>
              </w:rPr>
              <w:t>Úprava výdajov</w:t>
            </w:r>
          </w:p>
        </w:tc>
      </w:tr>
      <w:tr w:rsidR="00BA5B20" w:rsidRPr="00E06709" w14:paraId="7CCDE0C3" w14:textId="77777777" w:rsidTr="007848CA">
        <w:trPr>
          <w:trHeight w:val="283"/>
        </w:trPr>
        <w:tc>
          <w:tcPr>
            <w:tcW w:w="598" w:type="pct"/>
            <w:shd w:val="clear" w:color="auto" w:fill="auto"/>
            <w:noWrap/>
          </w:tcPr>
          <w:p w14:paraId="3498660C"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RO/056/2022</w:t>
            </w:r>
          </w:p>
        </w:tc>
        <w:tc>
          <w:tcPr>
            <w:tcW w:w="3610" w:type="pct"/>
          </w:tcPr>
          <w:p w14:paraId="558FBBD7"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Prekročenie limitu kapitálových výdavkov na zvýšené ceny energií a dofinancovanie zvýšených výdavkov rozpočtových a príspevkových organizácií, z kapitoly VPS</w:t>
            </w:r>
          </w:p>
        </w:tc>
        <w:tc>
          <w:tcPr>
            <w:tcW w:w="792" w:type="pct"/>
            <w:shd w:val="clear" w:color="auto" w:fill="auto"/>
            <w:noWrap/>
          </w:tcPr>
          <w:p w14:paraId="06260D03" w14:textId="77777777" w:rsidR="00BA5B20" w:rsidRPr="00E06709" w:rsidRDefault="00BA5B20" w:rsidP="007848CA">
            <w:pPr>
              <w:spacing w:after="0" w:line="240" w:lineRule="auto"/>
              <w:ind w:left="-75"/>
              <w:jc w:val="right"/>
              <w:rPr>
                <w:rFonts w:eastAsia="Times New Roman" w:cs="Segoe UI"/>
                <w:sz w:val="16"/>
                <w:szCs w:val="16"/>
                <w:lang w:eastAsia="sk-SK"/>
              </w:rPr>
            </w:pPr>
            <w:r w:rsidRPr="00E06709">
              <w:rPr>
                <w:sz w:val="16"/>
                <w:szCs w:val="16"/>
              </w:rPr>
              <w:t>2 456 399</w:t>
            </w:r>
          </w:p>
        </w:tc>
      </w:tr>
      <w:tr w:rsidR="00BA5B20" w:rsidRPr="00E06709" w14:paraId="72958039" w14:textId="77777777" w:rsidTr="007848CA">
        <w:trPr>
          <w:trHeight w:val="283"/>
        </w:trPr>
        <w:tc>
          <w:tcPr>
            <w:tcW w:w="598" w:type="pct"/>
            <w:shd w:val="clear" w:color="auto" w:fill="auto"/>
            <w:noWrap/>
          </w:tcPr>
          <w:p w14:paraId="01348D48" w14:textId="77777777" w:rsidR="00BA5B20" w:rsidRPr="00E06709" w:rsidRDefault="00BA5B20" w:rsidP="007848CA">
            <w:pPr>
              <w:spacing w:after="0" w:line="240" w:lineRule="auto"/>
              <w:rPr>
                <w:rFonts w:cs="Segoe UI"/>
                <w:sz w:val="16"/>
                <w:szCs w:val="16"/>
              </w:rPr>
            </w:pPr>
            <w:r w:rsidRPr="00E06709">
              <w:rPr>
                <w:sz w:val="16"/>
                <w:szCs w:val="16"/>
              </w:rPr>
              <w:t>RO/068/2022</w:t>
            </w:r>
          </w:p>
        </w:tc>
        <w:tc>
          <w:tcPr>
            <w:tcW w:w="3610" w:type="pct"/>
          </w:tcPr>
          <w:p w14:paraId="581CC11F" w14:textId="77777777" w:rsidR="00BA5B20" w:rsidRPr="00E06709" w:rsidRDefault="00BA5B20" w:rsidP="007848CA">
            <w:pPr>
              <w:spacing w:after="0" w:line="240" w:lineRule="auto"/>
              <w:rPr>
                <w:rFonts w:cs="Segoe UI"/>
                <w:sz w:val="16"/>
                <w:szCs w:val="16"/>
              </w:rPr>
            </w:pPr>
            <w:r w:rsidRPr="00E06709">
              <w:rPr>
                <w:sz w:val="16"/>
                <w:szCs w:val="16"/>
              </w:rPr>
              <w:t>Viazanie rozpočtových prostriedkov v prospech kapitoly VPS v súlade s bodom B.6.  uznesenia vlády SR č. 709/2022 k návrhu na doplnenie štátnych finančných aktív na účely vkladu do kapitálových fondov spoločnosti Slovenský plynárenský priemysel, a. s.</w:t>
            </w:r>
          </w:p>
        </w:tc>
        <w:tc>
          <w:tcPr>
            <w:tcW w:w="792" w:type="pct"/>
            <w:shd w:val="clear" w:color="auto" w:fill="auto"/>
            <w:noWrap/>
          </w:tcPr>
          <w:p w14:paraId="6229A46B" w14:textId="77777777" w:rsidR="00BA5B20" w:rsidRPr="00E06709" w:rsidRDefault="00BA5B20" w:rsidP="007848CA">
            <w:pPr>
              <w:spacing w:after="0" w:line="240" w:lineRule="auto"/>
              <w:ind w:left="-75"/>
              <w:jc w:val="right"/>
              <w:rPr>
                <w:rFonts w:cs="Segoe UI"/>
                <w:sz w:val="16"/>
                <w:szCs w:val="16"/>
              </w:rPr>
            </w:pPr>
            <w:r w:rsidRPr="00E06709">
              <w:rPr>
                <w:sz w:val="16"/>
                <w:szCs w:val="16"/>
              </w:rPr>
              <w:t>-500 000 000</w:t>
            </w:r>
          </w:p>
        </w:tc>
      </w:tr>
      <w:tr w:rsidR="00BA5B20" w:rsidRPr="00E06709" w14:paraId="48F194FB" w14:textId="77777777" w:rsidTr="007848CA">
        <w:trPr>
          <w:trHeight w:val="283"/>
        </w:trPr>
        <w:tc>
          <w:tcPr>
            <w:tcW w:w="598" w:type="pct"/>
            <w:shd w:val="clear" w:color="auto" w:fill="auto"/>
            <w:noWrap/>
          </w:tcPr>
          <w:p w14:paraId="6C65055D" w14:textId="77777777" w:rsidR="00BA5B20" w:rsidRPr="00E06709" w:rsidRDefault="00BA5B20" w:rsidP="007848CA">
            <w:pPr>
              <w:spacing w:after="0" w:line="240" w:lineRule="auto"/>
              <w:rPr>
                <w:rFonts w:cs="Segoe UI"/>
                <w:sz w:val="16"/>
                <w:szCs w:val="16"/>
              </w:rPr>
            </w:pPr>
            <w:r w:rsidRPr="00E06709">
              <w:rPr>
                <w:sz w:val="16"/>
                <w:szCs w:val="16"/>
              </w:rPr>
              <w:t>RO/070/2022</w:t>
            </w:r>
          </w:p>
        </w:tc>
        <w:tc>
          <w:tcPr>
            <w:tcW w:w="3610" w:type="pct"/>
          </w:tcPr>
          <w:p w14:paraId="7A8BA7F5" w14:textId="77777777" w:rsidR="00BA5B20" w:rsidRPr="00E06709" w:rsidRDefault="00BA5B20" w:rsidP="007848CA">
            <w:pPr>
              <w:spacing w:after="0" w:line="240" w:lineRule="auto"/>
              <w:rPr>
                <w:rFonts w:cs="Segoe UI"/>
                <w:sz w:val="16"/>
                <w:szCs w:val="16"/>
              </w:rPr>
            </w:pPr>
            <w:r w:rsidRPr="00E06709">
              <w:rPr>
                <w:sz w:val="16"/>
                <w:szCs w:val="16"/>
              </w:rPr>
              <w:t>Úprava záväzných ukazovateľov v rámci kapitoly, zmena programovej štruktúry, prekročenie limitu výdavkov v kategórii 610 a 700; na kompenzácie za tarifu za prevádzkovanie systému oprávneným energeticky náročným podnikom a na dotácie na pokrytie dodatočných nákladov v dôsledku zvýšenia cien plynu a elektriny</w:t>
            </w:r>
          </w:p>
        </w:tc>
        <w:tc>
          <w:tcPr>
            <w:tcW w:w="792" w:type="pct"/>
            <w:shd w:val="clear" w:color="auto" w:fill="auto"/>
            <w:noWrap/>
          </w:tcPr>
          <w:p w14:paraId="5AB766DA" w14:textId="77777777" w:rsidR="00BA5B20" w:rsidRPr="00E06709" w:rsidRDefault="00BA5B20" w:rsidP="007848CA">
            <w:pPr>
              <w:spacing w:after="0" w:line="240" w:lineRule="auto"/>
              <w:ind w:left="-75"/>
              <w:jc w:val="right"/>
              <w:rPr>
                <w:rFonts w:cs="Segoe UI"/>
                <w:sz w:val="16"/>
                <w:szCs w:val="16"/>
              </w:rPr>
            </w:pPr>
            <w:r w:rsidRPr="00E06709">
              <w:rPr>
                <w:sz w:val="16"/>
                <w:szCs w:val="16"/>
              </w:rPr>
              <w:t>0</w:t>
            </w:r>
          </w:p>
        </w:tc>
      </w:tr>
      <w:tr w:rsidR="00BA5B20" w:rsidRPr="00E06709" w14:paraId="49AEB783" w14:textId="77777777" w:rsidTr="007848CA">
        <w:trPr>
          <w:trHeight w:val="283"/>
        </w:trPr>
        <w:tc>
          <w:tcPr>
            <w:tcW w:w="598" w:type="pct"/>
            <w:shd w:val="clear" w:color="auto" w:fill="auto"/>
            <w:noWrap/>
          </w:tcPr>
          <w:p w14:paraId="76ED4E93" w14:textId="77777777" w:rsidR="00BA5B20" w:rsidRPr="00E06709" w:rsidRDefault="00BA5B20" w:rsidP="007848CA">
            <w:pPr>
              <w:spacing w:after="0" w:line="240" w:lineRule="auto"/>
              <w:rPr>
                <w:rFonts w:cs="Segoe UI"/>
                <w:sz w:val="16"/>
                <w:szCs w:val="16"/>
              </w:rPr>
            </w:pPr>
            <w:r w:rsidRPr="00E06709">
              <w:rPr>
                <w:sz w:val="16"/>
                <w:szCs w:val="16"/>
              </w:rPr>
              <w:t>RO/089/2022</w:t>
            </w:r>
          </w:p>
        </w:tc>
        <w:tc>
          <w:tcPr>
            <w:tcW w:w="3610" w:type="pct"/>
          </w:tcPr>
          <w:p w14:paraId="08EC651A" w14:textId="77777777" w:rsidR="00BA5B20" w:rsidRPr="00E06709" w:rsidRDefault="00BA5B20" w:rsidP="007848CA">
            <w:pPr>
              <w:spacing w:after="0" w:line="240" w:lineRule="auto"/>
              <w:rPr>
                <w:rFonts w:cs="Segoe UI"/>
                <w:sz w:val="16"/>
                <w:szCs w:val="16"/>
              </w:rPr>
            </w:pPr>
            <w:r w:rsidRPr="00E06709">
              <w:rPr>
                <w:sz w:val="16"/>
                <w:szCs w:val="16"/>
              </w:rPr>
              <w:t>Viazanie rozpočtových prostriedkov podľa § 37o ods. 1 zákona č. 523/2004 Z. z. - prostriedky na podporu poskytovanú z výdavkov štátneho rozpočtu z dôvodu kompenzácie zvýšenia cien plynu a elektriny</w:t>
            </w:r>
          </w:p>
        </w:tc>
        <w:tc>
          <w:tcPr>
            <w:tcW w:w="792" w:type="pct"/>
            <w:shd w:val="clear" w:color="auto" w:fill="auto"/>
            <w:noWrap/>
          </w:tcPr>
          <w:p w14:paraId="6FEF481F" w14:textId="77777777" w:rsidR="00BA5B20" w:rsidRPr="00E06709" w:rsidRDefault="00BA5B20" w:rsidP="007848CA">
            <w:pPr>
              <w:spacing w:after="0" w:line="240" w:lineRule="auto"/>
              <w:ind w:left="-75"/>
              <w:jc w:val="right"/>
              <w:rPr>
                <w:rFonts w:cs="Segoe UI"/>
                <w:sz w:val="16"/>
                <w:szCs w:val="16"/>
              </w:rPr>
            </w:pPr>
            <w:r w:rsidRPr="00E06709">
              <w:rPr>
                <w:sz w:val="16"/>
                <w:szCs w:val="16"/>
              </w:rPr>
              <w:t>-209 820 623</w:t>
            </w:r>
          </w:p>
        </w:tc>
      </w:tr>
      <w:tr w:rsidR="00BA5B20" w:rsidRPr="00E06709" w14:paraId="1F970F24" w14:textId="77777777" w:rsidTr="007848CA">
        <w:trPr>
          <w:trHeight w:val="283"/>
        </w:trPr>
        <w:tc>
          <w:tcPr>
            <w:tcW w:w="598" w:type="pct"/>
            <w:shd w:val="clear" w:color="auto" w:fill="auto"/>
            <w:noWrap/>
          </w:tcPr>
          <w:p w14:paraId="4EC2E5F2" w14:textId="77777777" w:rsidR="00BA5B20" w:rsidRPr="00E06709" w:rsidRDefault="00BA5B20" w:rsidP="007848CA">
            <w:pPr>
              <w:spacing w:after="0" w:line="240" w:lineRule="auto"/>
              <w:rPr>
                <w:rFonts w:cs="Segoe UI"/>
                <w:sz w:val="16"/>
                <w:szCs w:val="16"/>
              </w:rPr>
            </w:pPr>
            <w:r w:rsidRPr="00E06709">
              <w:rPr>
                <w:sz w:val="16"/>
                <w:szCs w:val="16"/>
              </w:rPr>
              <w:t>RO/099/2022</w:t>
            </w:r>
          </w:p>
        </w:tc>
        <w:tc>
          <w:tcPr>
            <w:tcW w:w="3610" w:type="pct"/>
          </w:tcPr>
          <w:p w14:paraId="25FC4816" w14:textId="77777777" w:rsidR="00BA5B20" w:rsidRPr="00E06709" w:rsidRDefault="00BA5B20" w:rsidP="007848CA">
            <w:pPr>
              <w:spacing w:after="0" w:line="240" w:lineRule="auto"/>
              <w:rPr>
                <w:rFonts w:cs="Segoe UI"/>
                <w:sz w:val="16"/>
                <w:szCs w:val="16"/>
              </w:rPr>
            </w:pPr>
            <w:r w:rsidRPr="00E06709">
              <w:rPr>
                <w:sz w:val="16"/>
                <w:szCs w:val="16"/>
              </w:rPr>
              <w:t>Viazanie rozpočtových prostriedkov podľa § 37o ods. 1 zákona č. 523/2004 Z. z. - prostriedky na podporu poskytovanú z výdavkov štátneho rozpočtu z dôvodu kompenzácie zvýšenia cien plynu a elektriny</w:t>
            </w:r>
          </w:p>
        </w:tc>
        <w:tc>
          <w:tcPr>
            <w:tcW w:w="792" w:type="pct"/>
            <w:shd w:val="clear" w:color="auto" w:fill="auto"/>
            <w:noWrap/>
          </w:tcPr>
          <w:p w14:paraId="5A663F4B" w14:textId="77777777" w:rsidR="00BA5B20" w:rsidRPr="00E06709" w:rsidRDefault="00BA5B20" w:rsidP="007848CA">
            <w:pPr>
              <w:spacing w:after="0" w:line="240" w:lineRule="auto"/>
              <w:ind w:left="-75"/>
              <w:jc w:val="right"/>
              <w:rPr>
                <w:rFonts w:cs="Segoe UI"/>
                <w:sz w:val="16"/>
                <w:szCs w:val="16"/>
              </w:rPr>
            </w:pPr>
            <w:r w:rsidRPr="00E06709">
              <w:rPr>
                <w:sz w:val="16"/>
                <w:szCs w:val="16"/>
              </w:rPr>
              <w:t>-70 000 000</w:t>
            </w:r>
          </w:p>
        </w:tc>
      </w:tr>
      <w:tr w:rsidR="00BA5B20" w:rsidRPr="00E06709" w14:paraId="4D81C6D9" w14:textId="77777777" w:rsidTr="007848CA">
        <w:trPr>
          <w:trHeight w:val="283"/>
        </w:trPr>
        <w:tc>
          <w:tcPr>
            <w:tcW w:w="598" w:type="pct"/>
            <w:shd w:val="clear" w:color="auto" w:fill="auto"/>
            <w:noWrap/>
          </w:tcPr>
          <w:p w14:paraId="012CAB54" w14:textId="77777777" w:rsidR="00BA5B20" w:rsidRPr="00E06709" w:rsidRDefault="00BA5B20" w:rsidP="007848CA">
            <w:pPr>
              <w:spacing w:after="0" w:line="240" w:lineRule="auto"/>
              <w:rPr>
                <w:rFonts w:cs="Segoe UI"/>
                <w:sz w:val="16"/>
                <w:szCs w:val="16"/>
              </w:rPr>
            </w:pPr>
            <w:r w:rsidRPr="00E06709">
              <w:rPr>
                <w:sz w:val="16"/>
                <w:szCs w:val="16"/>
              </w:rPr>
              <w:t>RO/095/2022</w:t>
            </w:r>
          </w:p>
        </w:tc>
        <w:tc>
          <w:tcPr>
            <w:tcW w:w="3610" w:type="pct"/>
          </w:tcPr>
          <w:p w14:paraId="29B5616D" w14:textId="77777777" w:rsidR="00BA5B20" w:rsidRPr="00E06709" w:rsidRDefault="00BA5B20" w:rsidP="007848CA">
            <w:pPr>
              <w:spacing w:after="0" w:line="240" w:lineRule="auto"/>
              <w:rPr>
                <w:rFonts w:cs="Segoe UI"/>
                <w:sz w:val="16"/>
                <w:szCs w:val="16"/>
              </w:rPr>
            </w:pPr>
            <w:r w:rsidRPr="00E06709">
              <w:rPr>
                <w:sz w:val="16"/>
                <w:szCs w:val="16"/>
              </w:rPr>
              <w:t>Prekročenie limitu výdavkov na kompenzácie nákladov a nepriaznivých dopadov súvisiacich s vysokými cenami energií a nárastom regulovaných poplatkov v sektore energetiky, z kapitoly VPS</w:t>
            </w:r>
          </w:p>
        </w:tc>
        <w:tc>
          <w:tcPr>
            <w:tcW w:w="792" w:type="pct"/>
            <w:shd w:val="clear" w:color="auto" w:fill="auto"/>
            <w:noWrap/>
          </w:tcPr>
          <w:p w14:paraId="2E675702" w14:textId="77777777" w:rsidR="00BA5B20" w:rsidRPr="00E06709" w:rsidRDefault="00BA5B20" w:rsidP="007848CA">
            <w:pPr>
              <w:spacing w:after="0" w:line="240" w:lineRule="auto"/>
              <w:ind w:left="-75"/>
              <w:jc w:val="right"/>
              <w:rPr>
                <w:rFonts w:cs="Segoe UI"/>
                <w:sz w:val="16"/>
                <w:szCs w:val="16"/>
              </w:rPr>
            </w:pPr>
            <w:r w:rsidRPr="00E06709">
              <w:rPr>
                <w:sz w:val="16"/>
                <w:szCs w:val="16"/>
              </w:rPr>
              <w:t>980 000 000</w:t>
            </w:r>
          </w:p>
        </w:tc>
      </w:tr>
      <w:tr w:rsidR="00BA5B20" w:rsidRPr="00E06709" w14:paraId="39333189" w14:textId="77777777" w:rsidTr="007848CA">
        <w:trPr>
          <w:trHeight w:val="283"/>
        </w:trPr>
        <w:tc>
          <w:tcPr>
            <w:tcW w:w="598" w:type="pct"/>
            <w:shd w:val="clear" w:color="auto" w:fill="auto"/>
            <w:noWrap/>
          </w:tcPr>
          <w:p w14:paraId="06B6503C" w14:textId="77777777" w:rsidR="00BA5B20" w:rsidRPr="00E06709" w:rsidRDefault="00BA5B20" w:rsidP="007848CA">
            <w:pPr>
              <w:spacing w:after="0" w:line="240" w:lineRule="auto"/>
              <w:rPr>
                <w:rFonts w:cs="Segoe UI"/>
                <w:sz w:val="16"/>
                <w:szCs w:val="16"/>
              </w:rPr>
            </w:pPr>
            <w:r w:rsidRPr="00E06709">
              <w:rPr>
                <w:sz w:val="16"/>
                <w:szCs w:val="16"/>
              </w:rPr>
              <w:t>RO/100/2022</w:t>
            </w:r>
          </w:p>
        </w:tc>
        <w:tc>
          <w:tcPr>
            <w:tcW w:w="3610" w:type="pct"/>
          </w:tcPr>
          <w:p w14:paraId="1B30BE0E" w14:textId="77777777" w:rsidR="00BA5B20" w:rsidRPr="00E06709" w:rsidRDefault="00BA5B20" w:rsidP="007848CA">
            <w:pPr>
              <w:spacing w:after="0" w:line="240" w:lineRule="auto"/>
              <w:rPr>
                <w:rFonts w:cs="Segoe UI"/>
                <w:sz w:val="16"/>
                <w:szCs w:val="16"/>
              </w:rPr>
            </w:pPr>
            <w:r w:rsidRPr="00E06709">
              <w:rPr>
                <w:sz w:val="16"/>
                <w:szCs w:val="16"/>
              </w:rPr>
              <w:t>Viazanie rozpočtových prostriedkov podľa § 37o ods. 1 zákona č. 523/2004 Z. z. - prostriedky na podporu poskytovanú z výdavkov štátneho rozpočtu z dôvodu kompenzácie zvýšenia cien plynu a elektriny</w:t>
            </w:r>
          </w:p>
        </w:tc>
        <w:tc>
          <w:tcPr>
            <w:tcW w:w="792" w:type="pct"/>
            <w:shd w:val="clear" w:color="auto" w:fill="auto"/>
            <w:noWrap/>
          </w:tcPr>
          <w:p w14:paraId="37F7D1AA" w14:textId="77777777" w:rsidR="00BA5B20" w:rsidRPr="00E06709" w:rsidRDefault="00BA5B20" w:rsidP="007848CA">
            <w:pPr>
              <w:spacing w:after="0" w:line="240" w:lineRule="auto"/>
              <w:ind w:left="-75"/>
              <w:jc w:val="right"/>
              <w:rPr>
                <w:rFonts w:cs="Segoe UI"/>
                <w:sz w:val="16"/>
                <w:szCs w:val="16"/>
              </w:rPr>
            </w:pPr>
            <w:r w:rsidRPr="00E06709">
              <w:rPr>
                <w:sz w:val="16"/>
                <w:szCs w:val="16"/>
              </w:rPr>
              <w:t>-980 000 000</w:t>
            </w:r>
          </w:p>
        </w:tc>
      </w:tr>
      <w:tr w:rsidR="00BA5B20" w:rsidRPr="00E06709" w14:paraId="75808170" w14:textId="77777777" w:rsidTr="007848CA">
        <w:trPr>
          <w:trHeight w:val="283"/>
        </w:trPr>
        <w:tc>
          <w:tcPr>
            <w:tcW w:w="598" w:type="pct"/>
            <w:shd w:val="clear" w:color="auto" w:fill="auto"/>
            <w:noWrap/>
          </w:tcPr>
          <w:p w14:paraId="7C00393F" w14:textId="77777777" w:rsidR="00BA5B20" w:rsidRPr="00E06709" w:rsidRDefault="00BA5B20" w:rsidP="007848CA">
            <w:pPr>
              <w:spacing w:after="0" w:line="240" w:lineRule="auto"/>
              <w:rPr>
                <w:rFonts w:cs="Segoe UI"/>
                <w:sz w:val="16"/>
                <w:szCs w:val="16"/>
              </w:rPr>
            </w:pPr>
            <w:r w:rsidRPr="00E06709">
              <w:rPr>
                <w:sz w:val="16"/>
                <w:szCs w:val="16"/>
              </w:rPr>
              <w:t>RO/001/2023</w:t>
            </w:r>
          </w:p>
        </w:tc>
        <w:tc>
          <w:tcPr>
            <w:tcW w:w="3610" w:type="pct"/>
          </w:tcPr>
          <w:p w14:paraId="2FA115FB" w14:textId="77777777" w:rsidR="00BA5B20" w:rsidRPr="00E06709" w:rsidRDefault="00BA5B20" w:rsidP="007848CA">
            <w:pPr>
              <w:spacing w:after="0" w:line="240" w:lineRule="auto"/>
              <w:rPr>
                <w:rFonts w:cs="Segoe UI"/>
                <w:sz w:val="16"/>
                <w:szCs w:val="16"/>
              </w:rPr>
            </w:pPr>
            <w:r w:rsidRPr="00E06709">
              <w:rPr>
                <w:sz w:val="16"/>
                <w:szCs w:val="16"/>
              </w:rPr>
              <w:t>Povolené prekročenie limitu výdavkov z predchádzajúcich rokov podľa § 37o ods. 1 zákona č. 523/2004 Z. z. - prostriedky na podporu poskytovanú z výdavkov štátneho rozpočtu z dôvodu kompenzácie zvýšenia cien plynu a elektriny</w:t>
            </w:r>
          </w:p>
        </w:tc>
        <w:tc>
          <w:tcPr>
            <w:tcW w:w="792" w:type="pct"/>
            <w:shd w:val="clear" w:color="auto" w:fill="auto"/>
            <w:noWrap/>
          </w:tcPr>
          <w:p w14:paraId="51D50DD5" w14:textId="77777777" w:rsidR="00BA5B20" w:rsidRPr="00E06709" w:rsidRDefault="00BA5B20" w:rsidP="007848CA">
            <w:pPr>
              <w:spacing w:after="0" w:line="240" w:lineRule="auto"/>
              <w:ind w:left="-75"/>
              <w:jc w:val="right"/>
              <w:rPr>
                <w:rFonts w:cs="Segoe UI"/>
                <w:sz w:val="16"/>
                <w:szCs w:val="16"/>
              </w:rPr>
            </w:pPr>
            <w:r w:rsidRPr="00E06709">
              <w:rPr>
                <w:sz w:val="16"/>
                <w:szCs w:val="16"/>
              </w:rPr>
              <w:t>1 259 820 623</w:t>
            </w:r>
          </w:p>
        </w:tc>
      </w:tr>
      <w:tr w:rsidR="00BA5B20" w:rsidRPr="00E06709" w14:paraId="6F4E792C" w14:textId="77777777" w:rsidTr="007848CA">
        <w:trPr>
          <w:trHeight w:val="283"/>
        </w:trPr>
        <w:tc>
          <w:tcPr>
            <w:tcW w:w="598" w:type="pct"/>
            <w:shd w:val="clear" w:color="auto" w:fill="auto"/>
            <w:noWrap/>
          </w:tcPr>
          <w:p w14:paraId="5DF29674" w14:textId="77777777" w:rsidR="00BA5B20" w:rsidRPr="00E06709" w:rsidRDefault="00BA5B20" w:rsidP="007848CA">
            <w:pPr>
              <w:spacing w:after="0" w:line="240" w:lineRule="auto"/>
              <w:rPr>
                <w:rFonts w:cs="Segoe UI"/>
                <w:sz w:val="16"/>
                <w:szCs w:val="16"/>
              </w:rPr>
            </w:pPr>
            <w:r w:rsidRPr="00E06709">
              <w:rPr>
                <w:sz w:val="16"/>
                <w:szCs w:val="16"/>
              </w:rPr>
              <w:t>RO/008/2023</w:t>
            </w:r>
          </w:p>
        </w:tc>
        <w:tc>
          <w:tcPr>
            <w:tcW w:w="3610" w:type="pct"/>
          </w:tcPr>
          <w:p w14:paraId="3E82C837" w14:textId="5F9F882C" w:rsidR="00BA5B20" w:rsidRPr="00E06709" w:rsidRDefault="00BA5B20" w:rsidP="007848CA">
            <w:pPr>
              <w:spacing w:after="0" w:line="240" w:lineRule="auto"/>
              <w:rPr>
                <w:rFonts w:cs="Segoe UI"/>
                <w:sz w:val="16"/>
                <w:szCs w:val="16"/>
              </w:rPr>
            </w:pPr>
            <w:r w:rsidRPr="00E06709">
              <w:rPr>
                <w:sz w:val="16"/>
                <w:szCs w:val="16"/>
              </w:rPr>
              <w:t>Prekročenie limitu výdavkov a zvýšenie počtu zamestnancov  na zabezpečenie činností spojených s agendou dotácií na kompenzácie zvýšených nákladov na energie a na úpravu informačného systému, z kapitoly VPS</w:t>
            </w:r>
          </w:p>
        </w:tc>
        <w:tc>
          <w:tcPr>
            <w:tcW w:w="792" w:type="pct"/>
            <w:shd w:val="clear" w:color="auto" w:fill="auto"/>
            <w:noWrap/>
          </w:tcPr>
          <w:p w14:paraId="3A47CB49" w14:textId="77777777" w:rsidR="00BA5B20" w:rsidRPr="00E06709" w:rsidRDefault="00BA5B20" w:rsidP="007848CA">
            <w:pPr>
              <w:spacing w:after="0" w:line="240" w:lineRule="auto"/>
              <w:ind w:left="-75"/>
              <w:jc w:val="right"/>
              <w:rPr>
                <w:rFonts w:cs="Segoe UI"/>
                <w:sz w:val="16"/>
                <w:szCs w:val="16"/>
              </w:rPr>
            </w:pPr>
            <w:r w:rsidRPr="00E06709">
              <w:rPr>
                <w:sz w:val="16"/>
                <w:szCs w:val="16"/>
              </w:rPr>
              <w:t>901 892</w:t>
            </w:r>
          </w:p>
        </w:tc>
      </w:tr>
      <w:tr w:rsidR="00BA5B20" w:rsidRPr="00E06709" w14:paraId="570D9309" w14:textId="77777777" w:rsidTr="007848CA">
        <w:trPr>
          <w:trHeight w:val="283"/>
        </w:trPr>
        <w:tc>
          <w:tcPr>
            <w:tcW w:w="598" w:type="pct"/>
            <w:shd w:val="clear" w:color="auto" w:fill="auto"/>
            <w:noWrap/>
          </w:tcPr>
          <w:p w14:paraId="308B7C08" w14:textId="77777777" w:rsidR="00BA5B20" w:rsidRPr="00E06709" w:rsidRDefault="00BA5B20" w:rsidP="007848CA">
            <w:pPr>
              <w:spacing w:after="0" w:line="240" w:lineRule="auto"/>
              <w:rPr>
                <w:rFonts w:cs="Segoe UI"/>
                <w:sz w:val="16"/>
                <w:szCs w:val="16"/>
              </w:rPr>
            </w:pPr>
            <w:r w:rsidRPr="00E06709">
              <w:rPr>
                <w:sz w:val="16"/>
                <w:szCs w:val="16"/>
              </w:rPr>
              <w:t>RO/010/2023</w:t>
            </w:r>
          </w:p>
        </w:tc>
        <w:tc>
          <w:tcPr>
            <w:tcW w:w="3610" w:type="pct"/>
          </w:tcPr>
          <w:p w14:paraId="7221F9DF" w14:textId="77777777" w:rsidR="00BA5B20" w:rsidRPr="00E06709" w:rsidRDefault="00BA5B20" w:rsidP="007848CA">
            <w:pPr>
              <w:spacing w:after="0" w:line="240" w:lineRule="auto"/>
              <w:rPr>
                <w:rFonts w:cs="Segoe UI"/>
                <w:sz w:val="16"/>
                <w:szCs w:val="16"/>
              </w:rPr>
            </w:pPr>
            <w:r w:rsidRPr="00E06709">
              <w:rPr>
                <w:sz w:val="16"/>
                <w:szCs w:val="16"/>
              </w:rPr>
              <w:t>Úprava záväzných ukazovateľov v rámci kapitoly, zmena programovej štruktúry, výdavky určené na kompenzačné opatrenia v súvislosti s rastom cien energií</w:t>
            </w:r>
          </w:p>
        </w:tc>
        <w:tc>
          <w:tcPr>
            <w:tcW w:w="792" w:type="pct"/>
            <w:shd w:val="clear" w:color="auto" w:fill="auto"/>
            <w:noWrap/>
          </w:tcPr>
          <w:p w14:paraId="1C7BDE58" w14:textId="77777777" w:rsidR="00BA5B20" w:rsidRPr="00E06709" w:rsidRDefault="00BA5B20" w:rsidP="007848CA">
            <w:pPr>
              <w:spacing w:after="0" w:line="240" w:lineRule="auto"/>
              <w:ind w:left="-75"/>
              <w:jc w:val="right"/>
              <w:rPr>
                <w:rFonts w:cs="Segoe UI"/>
                <w:sz w:val="16"/>
                <w:szCs w:val="16"/>
              </w:rPr>
            </w:pPr>
            <w:r w:rsidRPr="00E06709">
              <w:rPr>
                <w:sz w:val="16"/>
                <w:szCs w:val="16"/>
              </w:rPr>
              <w:t>0</w:t>
            </w:r>
          </w:p>
        </w:tc>
      </w:tr>
      <w:tr w:rsidR="00BA5B20" w:rsidRPr="00E06709" w14:paraId="0C5A1201" w14:textId="77777777" w:rsidTr="007848CA">
        <w:trPr>
          <w:trHeight w:val="283"/>
        </w:trPr>
        <w:tc>
          <w:tcPr>
            <w:tcW w:w="598" w:type="pct"/>
            <w:shd w:val="clear" w:color="auto" w:fill="auto"/>
            <w:noWrap/>
          </w:tcPr>
          <w:p w14:paraId="3ECE9B88" w14:textId="77777777" w:rsidR="00BA5B20" w:rsidRPr="00E06709" w:rsidRDefault="00BA5B20" w:rsidP="007848CA">
            <w:pPr>
              <w:spacing w:after="0" w:line="240" w:lineRule="auto"/>
              <w:rPr>
                <w:rFonts w:cs="Segoe UI"/>
                <w:sz w:val="16"/>
                <w:szCs w:val="16"/>
              </w:rPr>
            </w:pPr>
            <w:r w:rsidRPr="00E06709">
              <w:rPr>
                <w:sz w:val="16"/>
                <w:szCs w:val="16"/>
              </w:rPr>
              <w:t>RO/044/2023</w:t>
            </w:r>
          </w:p>
        </w:tc>
        <w:tc>
          <w:tcPr>
            <w:tcW w:w="3610" w:type="pct"/>
          </w:tcPr>
          <w:p w14:paraId="17319364" w14:textId="77777777" w:rsidR="00BA5B20" w:rsidRPr="00E06709" w:rsidRDefault="00BA5B20" w:rsidP="007848CA">
            <w:pPr>
              <w:spacing w:after="0" w:line="240" w:lineRule="auto"/>
              <w:rPr>
                <w:rFonts w:cs="Segoe UI"/>
                <w:sz w:val="16"/>
                <w:szCs w:val="16"/>
              </w:rPr>
            </w:pPr>
            <w:r w:rsidRPr="00E06709">
              <w:rPr>
                <w:sz w:val="16"/>
                <w:szCs w:val="16"/>
              </w:rPr>
              <w:t>Prekročenie limitu výdavkov na dofinancovanie zvýšených cien energií v roku 2023, z kapitoly VPS</w:t>
            </w:r>
          </w:p>
        </w:tc>
        <w:tc>
          <w:tcPr>
            <w:tcW w:w="792" w:type="pct"/>
            <w:shd w:val="clear" w:color="auto" w:fill="auto"/>
            <w:noWrap/>
          </w:tcPr>
          <w:p w14:paraId="63F014C7" w14:textId="77777777" w:rsidR="00BA5B20" w:rsidRPr="00E06709" w:rsidRDefault="00BA5B20" w:rsidP="007848CA">
            <w:pPr>
              <w:spacing w:after="0" w:line="240" w:lineRule="auto"/>
              <w:ind w:left="-75"/>
              <w:jc w:val="right"/>
              <w:rPr>
                <w:rFonts w:cs="Segoe UI"/>
                <w:sz w:val="16"/>
                <w:szCs w:val="16"/>
              </w:rPr>
            </w:pPr>
            <w:r w:rsidRPr="00E06709">
              <w:rPr>
                <w:sz w:val="16"/>
                <w:szCs w:val="16"/>
              </w:rPr>
              <w:t>1 286 084</w:t>
            </w:r>
          </w:p>
        </w:tc>
      </w:tr>
      <w:tr w:rsidR="00BA5B20" w:rsidRPr="00E06709" w14:paraId="5E9E2B30" w14:textId="77777777" w:rsidTr="007848CA">
        <w:trPr>
          <w:trHeight w:val="283"/>
        </w:trPr>
        <w:tc>
          <w:tcPr>
            <w:tcW w:w="598" w:type="pct"/>
            <w:shd w:val="clear" w:color="auto" w:fill="auto"/>
            <w:noWrap/>
          </w:tcPr>
          <w:p w14:paraId="76715F91" w14:textId="77777777" w:rsidR="00BA5B20" w:rsidRPr="00E06709" w:rsidRDefault="00BA5B20" w:rsidP="007848CA">
            <w:pPr>
              <w:spacing w:after="0" w:line="240" w:lineRule="auto"/>
              <w:rPr>
                <w:rFonts w:cs="Segoe UI"/>
                <w:sz w:val="16"/>
                <w:szCs w:val="16"/>
              </w:rPr>
            </w:pPr>
            <w:r w:rsidRPr="00E06709">
              <w:rPr>
                <w:sz w:val="16"/>
                <w:szCs w:val="16"/>
              </w:rPr>
              <w:t>RO/086/2023</w:t>
            </w:r>
          </w:p>
        </w:tc>
        <w:tc>
          <w:tcPr>
            <w:tcW w:w="3610" w:type="pct"/>
          </w:tcPr>
          <w:p w14:paraId="766C2825" w14:textId="77777777" w:rsidR="00BA5B20" w:rsidRPr="00E06709" w:rsidRDefault="00BA5B20" w:rsidP="007848CA">
            <w:pPr>
              <w:spacing w:after="0" w:line="240" w:lineRule="auto"/>
              <w:rPr>
                <w:rFonts w:cs="Segoe UI"/>
                <w:sz w:val="16"/>
                <w:szCs w:val="16"/>
              </w:rPr>
            </w:pPr>
            <w:r w:rsidRPr="00E06709">
              <w:rPr>
                <w:sz w:val="16"/>
                <w:szCs w:val="16"/>
              </w:rPr>
              <w:t>Viazanie rozpočtových prostriedkov na podporu poskytovanú z výdavkov štátneho rozpočtu z dôvodu kompenzácie zvýšenia cien plynu a elektriny</w:t>
            </w:r>
          </w:p>
        </w:tc>
        <w:tc>
          <w:tcPr>
            <w:tcW w:w="792" w:type="pct"/>
            <w:shd w:val="clear" w:color="auto" w:fill="auto"/>
            <w:noWrap/>
          </w:tcPr>
          <w:p w14:paraId="2E4D17FE" w14:textId="77777777" w:rsidR="00BA5B20" w:rsidRPr="00E06709" w:rsidRDefault="00BA5B20" w:rsidP="007848CA">
            <w:pPr>
              <w:spacing w:after="0" w:line="240" w:lineRule="auto"/>
              <w:ind w:left="-75"/>
              <w:jc w:val="right"/>
              <w:rPr>
                <w:rFonts w:cs="Segoe UI"/>
                <w:sz w:val="16"/>
                <w:szCs w:val="16"/>
              </w:rPr>
            </w:pPr>
            <w:r w:rsidRPr="00E06709">
              <w:rPr>
                <w:sz w:val="16"/>
                <w:szCs w:val="16"/>
              </w:rPr>
              <w:t>-210 000 000</w:t>
            </w:r>
          </w:p>
        </w:tc>
      </w:tr>
      <w:tr w:rsidR="00BA5B20" w:rsidRPr="00E06709" w14:paraId="02193093" w14:textId="77777777" w:rsidTr="007848CA">
        <w:trPr>
          <w:trHeight w:val="283"/>
        </w:trPr>
        <w:tc>
          <w:tcPr>
            <w:tcW w:w="598" w:type="pct"/>
            <w:shd w:val="clear" w:color="auto" w:fill="auto"/>
            <w:noWrap/>
          </w:tcPr>
          <w:p w14:paraId="74EBA7F3" w14:textId="77777777" w:rsidR="00BA5B20" w:rsidRPr="00E06709" w:rsidRDefault="00BA5B20" w:rsidP="007848CA">
            <w:pPr>
              <w:spacing w:after="0" w:line="240" w:lineRule="auto"/>
              <w:rPr>
                <w:rFonts w:cs="Segoe UI"/>
                <w:sz w:val="16"/>
                <w:szCs w:val="16"/>
              </w:rPr>
            </w:pPr>
            <w:r w:rsidRPr="00E06709">
              <w:rPr>
                <w:sz w:val="16"/>
                <w:szCs w:val="16"/>
              </w:rPr>
              <w:t>RO/088/2023</w:t>
            </w:r>
          </w:p>
        </w:tc>
        <w:tc>
          <w:tcPr>
            <w:tcW w:w="3610" w:type="pct"/>
          </w:tcPr>
          <w:p w14:paraId="0F971B7A" w14:textId="77777777" w:rsidR="00BA5B20" w:rsidRPr="00E06709" w:rsidRDefault="00BA5B20" w:rsidP="007848CA">
            <w:pPr>
              <w:spacing w:after="0" w:line="240" w:lineRule="auto"/>
              <w:rPr>
                <w:rFonts w:cs="Segoe UI"/>
                <w:sz w:val="16"/>
                <w:szCs w:val="16"/>
              </w:rPr>
            </w:pPr>
            <w:r w:rsidRPr="00E06709">
              <w:rPr>
                <w:sz w:val="16"/>
                <w:szCs w:val="16"/>
              </w:rPr>
              <w:t>Viazanie rozpočtových prostriedkov podľa § 37o ods. 1 zákona č. 523/2004 Z. z. - prostriedky na podporu poskytovanú z výdavkov štátneho rozpočtu z dôvodu kompenzácie zvýšenia cien plynu a elektriny</w:t>
            </w:r>
          </w:p>
        </w:tc>
        <w:tc>
          <w:tcPr>
            <w:tcW w:w="792" w:type="pct"/>
            <w:shd w:val="clear" w:color="auto" w:fill="auto"/>
            <w:noWrap/>
          </w:tcPr>
          <w:p w14:paraId="3305D716" w14:textId="77777777" w:rsidR="00BA5B20" w:rsidRPr="00E06709" w:rsidRDefault="00BA5B20" w:rsidP="007848CA">
            <w:pPr>
              <w:spacing w:after="0" w:line="240" w:lineRule="auto"/>
              <w:ind w:left="-75"/>
              <w:jc w:val="right"/>
              <w:rPr>
                <w:rFonts w:cs="Segoe UI"/>
                <w:sz w:val="16"/>
                <w:szCs w:val="16"/>
              </w:rPr>
            </w:pPr>
            <w:r w:rsidRPr="00E06709">
              <w:rPr>
                <w:sz w:val="16"/>
                <w:szCs w:val="16"/>
              </w:rPr>
              <w:t>-35 568 980</w:t>
            </w:r>
          </w:p>
        </w:tc>
      </w:tr>
      <w:tr w:rsidR="00BA5B20" w:rsidRPr="00E06709" w14:paraId="6243D8D1" w14:textId="77777777" w:rsidTr="007848CA">
        <w:trPr>
          <w:trHeight w:val="283"/>
        </w:trPr>
        <w:tc>
          <w:tcPr>
            <w:tcW w:w="598" w:type="pct"/>
            <w:shd w:val="clear" w:color="auto" w:fill="auto"/>
            <w:noWrap/>
          </w:tcPr>
          <w:p w14:paraId="1B69391E" w14:textId="77777777" w:rsidR="00BA5B20" w:rsidRPr="00E06709" w:rsidRDefault="00BA5B20" w:rsidP="007848CA">
            <w:pPr>
              <w:spacing w:after="0" w:line="240" w:lineRule="auto"/>
              <w:rPr>
                <w:rFonts w:cs="Segoe UI"/>
                <w:sz w:val="16"/>
                <w:szCs w:val="16"/>
              </w:rPr>
            </w:pPr>
            <w:r w:rsidRPr="00E06709">
              <w:rPr>
                <w:sz w:val="16"/>
                <w:szCs w:val="16"/>
              </w:rPr>
              <w:t>RO/090/2023</w:t>
            </w:r>
          </w:p>
        </w:tc>
        <w:tc>
          <w:tcPr>
            <w:tcW w:w="3610" w:type="pct"/>
          </w:tcPr>
          <w:p w14:paraId="2EC0F2D8" w14:textId="77777777" w:rsidR="00BA5B20" w:rsidRPr="00E06709" w:rsidRDefault="00BA5B20" w:rsidP="007848CA">
            <w:pPr>
              <w:spacing w:after="0" w:line="240" w:lineRule="auto"/>
              <w:rPr>
                <w:rFonts w:cs="Segoe UI"/>
                <w:sz w:val="16"/>
                <w:szCs w:val="16"/>
              </w:rPr>
            </w:pPr>
            <w:r w:rsidRPr="00E06709">
              <w:rPr>
                <w:sz w:val="16"/>
                <w:szCs w:val="16"/>
              </w:rPr>
              <w:t>Viazanie rozpočtových prostriedkov kapitoly MH SR z dôvodu neplnenia záväzného ukazovateľa príjmov podľa § 18 ods. 4 písm. c) zákona č. 523/2004 Z. z.</w:t>
            </w:r>
          </w:p>
        </w:tc>
        <w:tc>
          <w:tcPr>
            <w:tcW w:w="792" w:type="pct"/>
            <w:shd w:val="clear" w:color="auto" w:fill="auto"/>
            <w:noWrap/>
          </w:tcPr>
          <w:p w14:paraId="3B3102C3" w14:textId="77777777" w:rsidR="00BA5B20" w:rsidRPr="00E06709" w:rsidRDefault="00BA5B20" w:rsidP="007848CA">
            <w:pPr>
              <w:spacing w:after="0" w:line="240" w:lineRule="auto"/>
              <w:ind w:left="-75"/>
              <w:jc w:val="right"/>
              <w:rPr>
                <w:rFonts w:cs="Segoe UI"/>
                <w:sz w:val="16"/>
                <w:szCs w:val="16"/>
              </w:rPr>
            </w:pPr>
            <w:r w:rsidRPr="00E06709">
              <w:rPr>
                <w:sz w:val="16"/>
                <w:szCs w:val="16"/>
              </w:rPr>
              <w:t>-11 093 046</w:t>
            </w:r>
          </w:p>
        </w:tc>
      </w:tr>
      <w:tr w:rsidR="00BA5B20" w:rsidRPr="00E06709" w14:paraId="0F90B4AF" w14:textId="77777777" w:rsidTr="007848CA">
        <w:trPr>
          <w:trHeight w:val="283"/>
        </w:trPr>
        <w:tc>
          <w:tcPr>
            <w:tcW w:w="598" w:type="pct"/>
            <w:shd w:val="clear" w:color="auto" w:fill="auto"/>
            <w:noWrap/>
          </w:tcPr>
          <w:p w14:paraId="5FE1ABEE" w14:textId="77777777" w:rsidR="00BA5B20" w:rsidRPr="00E06709" w:rsidRDefault="00BA5B20" w:rsidP="007848CA">
            <w:pPr>
              <w:spacing w:after="0" w:line="240" w:lineRule="auto"/>
              <w:rPr>
                <w:rFonts w:cs="Segoe UI"/>
                <w:sz w:val="16"/>
                <w:szCs w:val="16"/>
              </w:rPr>
            </w:pPr>
            <w:r w:rsidRPr="00E06709">
              <w:rPr>
                <w:sz w:val="16"/>
                <w:szCs w:val="16"/>
              </w:rPr>
              <w:t>RO/008/2024</w:t>
            </w:r>
          </w:p>
        </w:tc>
        <w:tc>
          <w:tcPr>
            <w:tcW w:w="3610" w:type="pct"/>
          </w:tcPr>
          <w:p w14:paraId="6F8DB9C7" w14:textId="77777777" w:rsidR="00BA5B20" w:rsidRPr="00E06709" w:rsidRDefault="00BA5B20" w:rsidP="007848CA">
            <w:pPr>
              <w:spacing w:after="0" w:line="240" w:lineRule="auto"/>
              <w:rPr>
                <w:rFonts w:cs="Segoe UI"/>
                <w:sz w:val="16"/>
                <w:szCs w:val="16"/>
              </w:rPr>
            </w:pPr>
            <w:r w:rsidRPr="00E06709">
              <w:rPr>
                <w:sz w:val="16"/>
                <w:szCs w:val="16"/>
              </w:rPr>
              <w:t>Povolené prekročenie limitu výdavkov z predchádzajúcich rokov podľa § 37o ods. 1 zákona č. 523/2004 Z. z. - prostriedky na podporu poskytovanú z výdavkov štátneho rozpočtu z dôvodu kompenzácie zvýšenia cien plynu a elektriny</w:t>
            </w:r>
          </w:p>
        </w:tc>
        <w:tc>
          <w:tcPr>
            <w:tcW w:w="792" w:type="pct"/>
            <w:shd w:val="clear" w:color="auto" w:fill="auto"/>
            <w:noWrap/>
          </w:tcPr>
          <w:p w14:paraId="2B1CEBD9" w14:textId="77777777" w:rsidR="00BA5B20" w:rsidRPr="00E06709" w:rsidRDefault="00BA5B20" w:rsidP="007848CA">
            <w:pPr>
              <w:spacing w:after="0" w:line="240" w:lineRule="auto"/>
              <w:ind w:left="-75"/>
              <w:jc w:val="right"/>
              <w:rPr>
                <w:rFonts w:cs="Segoe UI"/>
                <w:sz w:val="16"/>
                <w:szCs w:val="16"/>
              </w:rPr>
            </w:pPr>
            <w:r w:rsidRPr="00E06709">
              <w:rPr>
                <w:sz w:val="16"/>
                <w:szCs w:val="16"/>
              </w:rPr>
              <w:t>35 568 980</w:t>
            </w:r>
          </w:p>
        </w:tc>
      </w:tr>
      <w:tr w:rsidR="00BA5B20" w:rsidRPr="00E06709" w14:paraId="21EA67D8" w14:textId="77777777" w:rsidTr="007848CA">
        <w:trPr>
          <w:trHeight w:val="283"/>
        </w:trPr>
        <w:tc>
          <w:tcPr>
            <w:tcW w:w="598" w:type="pct"/>
            <w:shd w:val="clear" w:color="auto" w:fill="auto"/>
            <w:noWrap/>
          </w:tcPr>
          <w:p w14:paraId="3D7050AD"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RO/009/2024</w:t>
            </w:r>
          </w:p>
        </w:tc>
        <w:tc>
          <w:tcPr>
            <w:tcW w:w="3610" w:type="pct"/>
          </w:tcPr>
          <w:p w14:paraId="18D3D20B"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Prekročenie limitu výdavkov na poskytovanie dotácií na krytie dodatočných nákladov v dôsledku zvýšenia cien energií, z kapitoly VPS</w:t>
            </w:r>
          </w:p>
        </w:tc>
        <w:tc>
          <w:tcPr>
            <w:tcW w:w="792" w:type="pct"/>
            <w:shd w:val="clear" w:color="auto" w:fill="auto"/>
            <w:noWrap/>
          </w:tcPr>
          <w:p w14:paraId="112DB7A1" w14:textId="77777777" w:rsidR="00BA5B20" w:rsidRPr="00E06709" w:rsidRDefault="00BA5B20" w:rsidP="007848CA">
            <w:pPr>
              <w:spacing w:after="0" w:line="240" w:lineRule="auto"/>
              <w:ind w:left="-75"/>
              <w:jc w:val="right"/>
              <w:rPr>
                <w:rFonts w:eastAsia="Times New Roman" w:cs="Segoe UI"/>
                <w:sz w:val="16"/>
                <w:szCs w:val="16"/>
                <w:lang w:eastAsia="sk-SK"/>
              </w:rPr>
            </w:pPr>
            <w:r w:rsidRPr="00E06709">
              <w:rPr>
                <w:sz w:val="16"/>
                <w:szCs w:val="16"/>
              </w:rPr>
              <w:t>800 000 000</w:t>
            </w:r>
          </w:p>
        </w:tc>
      </w:tr>
      <w:tr w:rsidR="00BA5B20" w:rsidRPr="00E06709" w14:paraId="315B75DC" w14:textId="77777777" w:rsidTr="007848CA">
        <w:trPr>
          <w:trHeight w:val="283"/>
        </w:trPr>
        <w:tc>
          <w:tcPr>
            <w:tcW w:w="598" w:type="pct"/>
            <w:shd w:val="clear" w:color="auto" w:fill="auto"/>
            <w:noWrap/>
          </w:tcPr>
          <w:p w14:paraId="389E8078"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RO/013/2024</w:t>
            </w:r>
          </w:p>
        </w:tc>
        <w:tc>
          <w:tcPr>
            <w:tcW w:w="3610" w:type="pct"/>
          </w:tcPr>
          <w:p w14:paraId="33B33B82"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Prekročenie limitu výdavkov a zvýšenie počtu zamestnancov na zabezpečenie činností spojených s agendou dotácií na kompenzácie zvýšených cien energií, z kapitoly VPS</w:t>
            </w:r>
          </w:p>
        </w:tc>
        <w:tc>
          <w:tcPr>
            <w:tcW w:w="792" w:type="pct"/>
            <w:shd w:val="clear" w:color="auto" w:fill="auto"/>
            <w:noWrap/>
          </w:tcPr>
          <w:p w14:paraId="7DFEC1BD" w14:textId="77777777" w:rsidR="00BA5B20" w:rsidRPr="00E06709" w:rsidRDefault="00BA5B20" w:rsidP="007848CA">
            <w:pPr>
              <w:spacing w:after="0" w:line="240" w:lineRule="auto"/>
              <w:ind w:left="-75"/>
              <w:jc w:val="right"/>
              <w:rPr>
                <w:rFonts w:eastAsia="Times New Roman" w:cs="Segoe UI"/>
                <w:sz w:val="16"/>
                <w:szCs w:val="16"/>
                <w:lang w:eastAsia="sk-SK"/>
              </w:rPr>
            </w:pPr>
            <w:r w:rsidRPr="00E06709">
              <w:rPr>
                <w:sz w:val="16"/>
                <w:szCs w:val="16"/>
              </w:rPr>
              <w:t>710 599</w:t>
            </w:r>
          </w:p>
        </w:tc>
      </w:tr>
      <w:tr w:rsidR="00BA5B20" w:rsidRPr="00E06709" w14:paraId="6DAC2AD8" w14:textId="77777777" w:rsidTr="007848CA">
        <w:trPr>
          <w:trHeight w:val="283"/>
        </w:trPr>
        <w:tc>
          <w:tcPr>
            <w:tcW w:w="598" w:type="pct"/>
            <w:shd w:val="clear" w:color="auto" w:fill="auto"/>
            <w:noWrap/>
          </w:tcPr>
          <w:p w14:paraId="1CC538B0"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RO/035/2024</w:t>
            </w:r>
          </w:p>
        </w:tc>
        <w:tc>
          <w:tcPr>
            <w:tcW w:w="3610" w:type="pct"/>
          </w:tcPr>
          <w:p w14:paraId="551C8184"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Viazanie rozpočtových prostriedkov z dôvodu refundácie výdavkov súvisiacich s kompenzáciami cien energií na podporu zraniteľných domácností z prostriedkov Európskej únie (SAFE)</w:t>
            </w:r>
          </w:p>
        </w:tc>
        <w:tc>
          <w:tcPr>
            <w:tcW w:w="792" w:type="pct"/>
            <w:shd w:val="clear" w:color="auto" w:fill="auto"/>
            <w:noWrap/>
          </w:tcPr>
          <w:p w14:paraId="41A18D07" w14:textId="77777777" w:rsidR="00BA5B20" w:rsidRPr="00E06709" w:rsidRDefault="00BA5B20" w:rsidP="007848CA">
            <w:pPr>
              <w:spacing w:after="0" w:line="240" w:lineRule="auto"/>
              <w:ind w:left="-75"/>
              <w:jc w:val="right"/>
              <w:rPr>
                <w:rFonts w:eastAsia="Times New Roman" w:cs="Segoe UI"/>
                <w:sz w:val="16"/>
                <w:szCs w:val="16"/>
                <w:lang w:eastAsia="sk-SK"/>
              </w:rPr>
            </w:pPr>
            <w:r w:rsidRPr="00E06709">
              <w:rPr>
                <w:sz w:val="16"/>
                <w:szCs w:val="16"/>
              </w:rPr>
              <w:t>-117 527 560</w:t>
            </w:r>
          </w:p>
        </w:tc>
      </w:tr>
      <w:tr w:rsidR="00BA5B20" w:rsidRPr="00E06709" w14:paraId="1C218885" w14:textId="77777777" w:rsidTr="007848CA">
        <w:trPr>
          <w:trHeight w:val="283"/>
        </w:trPr>
        <w:tc>
          <w:tcPr>
            <w:tcW w:w="598" w:type="pct"/>
            <w:shd w:val="clear" w:color="auto" w:fill="auto"/>
            <w:noWrap/>
          </w:tcPr>
          <w:p w14:paraId="00F4907E"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RO/045/2024</w:t>
            </w:r>
          </w:p>
        </w:tc>
        <w:tc>
          <w:tcPr>
            <w:tcW w:w="3610" w:type="pct"/>
          </w:tcPr>
          <w:p w14:paraId="4157D42A"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Prekročenie limitu výdavkov z prostriedkov viazaných rozpočtovým opatrením č. 35/2024 (list č. MF/015515/2024-441 z 3. 10. 2024), na zabezpečenie prostriedkov na vyplácanie kompenzácií cien plynu pre domácnosti</w:t>
            </w:r>
          </w:p>
        </w:tc>
        <w:tc>
          <w:tcPr>
            <w:tcW w:w="792" w:type="pct"/>
            <w:shd w:val="clear" w:color="auto" w:fill="auto"/>
            <w:noWrap/>
          </w:tcPr>
          <w:p w14:paraId="61733768" w14:textId="77777777" w:rsidR="00BA5B20" w:rsidRPr="00E06709" w:rsidRDefault="00BA5B20" w:rsidP="007848CA">
            <w:pPr>
              <w:spacing w:after="0" w:line="240" w:lineRule="auto"/>
              <w:ind w:left="-75"/>
              <w:jc w:val="right"/>
              <w:rPr>
                <w:rFonts w:eastAsia="Times New Roman" w:cs="Segoe UI"/>
                <w:sz w:val="16"/>
                <w:szCs w:val="16"/>
                <w:lang w:eastAsia="sk-SK"/>
              </w:rPr>
            </w:pPr>
            <w:r w:rsidRPr="00E06709">
              <w:rPr>
                <w:sz w:val="16"/>
                <w:szCs w:val="16"/>
              </w:rPr>
              <w:t>50 000 000</w:t>
            </w:r>
          </w:p>
        </w:tc>
      </w:tr>
      <w:tr w:rsidR="00BA5B20" w:rsidRPr="00E06709" w14:paraId="6991FFBC" w14:textId="77777777" w:rsidTr="007848CA">
        <w:trPr>
          <w:trHeight w:val="283"/>
        </w:trPr>
        <w:tc>
          <w:tcPr>
            <w:tcW w:w="598" w:type="pct"/>
            <w:shd w:val="clear" w:color="auto" w:fill="auto"/>
            <w:noWrap/>
          </w:tcPr>
          <w:p w14:paraId="4D7F13D5"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RO/046/2024</w:t>
            </w:r>
          </w:p>
        </w:tc>
        <w:tc>
          <w:tcPr>
            <w:tcW w:w="3610" w:type="pct"/>
          </w:tcPr>
          <w:p w14:paraId="1F28B117" w14:textId="77777777" w:rsidR="00BA5B20" w:rsidRPr="00E06709" w:rsidRDefault="00BA5B20" w:rsidP="007848CA">
            <w:pPr>
              <w:spacing w:after="0" w:line="240" w:lineRule="auto"/>
              <w:rPr>
                <w:rFonts w:eastAsia="Times New Roman" w:cs="Segoe UI"/>
                <w:sz w:val="16"/>
                <w:szCs w:val="16"/>
                <w:lang w:eastAsia="sk-SK"/>
              </w:rPr>
            </w:pPr>
            <w:r w:rsidRPr="00E06709">
              <w:rPr>
                <w:sz w:val="16"/>
                <w:szCs w:val="16"/>
              </w:rPr>
              <w:t>Úprava záväzných ukazovateľov v rámci kapitoly - zmena programovej štruktúry, viazanie rozpočtových prostriedkov v kategórii 700; na kompenzácie vysokých cien energií</w:t>
            </w:r>
          </w:p>
        </w:tc>
        <w:tc>
          <w:tcPr>
            <w:tcW w:w="792" w:type="pct"/>
            <w:shd w:val="clear" w:color="auto" w:fill="auto"/>
            <w:noWrap/>
          </w:tcPr>
          <w:p w14:paraId="771E899B" w14:textId="77777777" w:rsidR="00BA5B20" w:rsidRPr="00E06709" w:rsidRDefault="00BA5B20" w:rsidP="007848CA">
            <w:pPr>
              <w:spacing w:after="0" w:line="240" w:lineRule="auto"/>
              <w:ind w:left="-75"/>
              <w:jc w:val="right"/>
              <w:rPr>
                <w:rFonts w:eastAsia="Times New Roman" w:cs="Segoe UI"/>
                <w:sz w:val="16"/>
                <w:szCs w:val="16"/>
                <w:lang w:eastAsia="sk-SK"/>
              </w:rPr>
            </w:pPr>
            <w:r w:rsidRPr="00E06709">
              <w:rPr>
                <w:sz w:val="16"/>
                <w:szCs w:val="16"/>
              </w:rPr>
              <w:t>-</w:t>
            </w:r>
          </w:p>
        </w:tc>
      </w:tr>
      <w:tr w:rsidR="00BA5B20" w:rsidRPr="00E06709" w14:paraId="22AEC43D" w14:textId="77777777" w:rsidTr="007848CA">
        <w:trPr>
          <w:trHeight w:val="283"/>
        </w:trPr>
        <w:tc>
          <w:tcPr>
            <w:tcW w:w="598" w:type="pct"/>
            <w:shd w:val="clear" w:color="auto" w:fill="auto"/>
            <w:noWrap/>
          </w:tcPr>
          <w:p w14:paraId="210CB607" w14:textId="77777777" w:rsidR="00BA5B20" w:rsidRPr="00E06709" w:rsidRDefault="00BA5B20" w:rsidP="007848CA">
            <w:pPr>
              <w:spacing w:after="0" w:line="240" w:lineRule="auto"/>
              <w:rPr>
                <w:sz w:val="16"/>
                <w:szCs w:val="16"/>
              </w:rPr>
            </w:pPr>
            <w:r w:rsidRPr="00E06709">
              <w:rPr>
                <w:sz w:val="16"/>
                <w:szCs w:val="16"/>
              </w:rPr>
              <w:t>RO/008/2024</w:t>
            </w:r>
          </w:p>
        </w:tc>
        <w:tc>
          <w:tcPr>
            <w:tcW w:w="3610" w:type="pct"/>
          </w:tcPr>
          <w:p w14:paraId="7FAFDF24" w14:textId="77777777" w:rsidR="00BA5B20" w:rsidRPr="00E06709" w:rsidRDefault="00BA5B20" w:rsidP="007848CA">
            <w:pPr>
              <w:spacing w:after="0" w:line="240" w:lineRule="auto"/>
              <w:rPr>
                <w:sz w:val="16"/>
                <w:szCs w:val="16"/>
              </w:rPr>
            </w:pPr>
            <w:r w:rsidRPr="00E06709">
              <w:rPr>
                <w:sz w:val="16"/>
                <w:szCs w:val="16"/>
              </w:rPr>
              <w:t>Povolené prekročenie limitu výdavkov z predchádzajúcich rokov podľa § 37o ods. 1 zákona č. 523/2004 Z. z. - prostriedky na podporu poskytovanú z výdavkov štátneho rozpočtu z dôvodu kompenzácie zvýšenia cien plynu a elektriny</w:t>
            </w:r>
          </w:p>
        </w:tc>
        <w:tc>
          <w:tcPr>
            <w:tcW w:w="792" w:type="pct"/>
            <w:shd w:val="clear" w:color="auto" w:fill="auto"/>
            <w:noWrap/>
          </w:tcPr>
          <w:p w14:paraId="1910558D" w14:textId="77777777" w:rsidR="00BA5B20" w:rsidRPr="00E06709" w:rsidRDefault="00BA5B20" w:rsidP="007848CA">
            <w:pPr>
              <w:spacing w:after="0" w:line="240" w:lineRule="auto"/>
              <w:ind w:left="-75"/>
              <w:jc w:val="right"/>
              <w:rPr>
                <w:sz w:val="16"/>
                <w:szCs w:val="16"/>
              </w:rPr>
            </w:pPr>
            <w:r w:rsidRPr="00E06709">
              <w:rPr>
                <w:sz w:val="16"/>
                <w:szCs w:val="16"/>
              </w:rPr>
              <w:t>35 568 980</w:t>
            </w:r>
          </w:p>
        </w:tc>
      </w:tr>
    </w:tbl>
    <w:p w14:paraId="25AB0C9D" w14:textId="20DE1030" w:rsidR="00BA5B20" w:rsidRPr="00AE71C9" w:rsidRDefault="00BA5B20" w:rsidP="00BA5B20">
      <w:pPr>
        <w:pStyle w:val="Zdroj"/>
      </w:pPr>
      <w:r>
        <w:t>Zdroj: MF SR.</w:t>
      </w:r>
    </w:p>
    <w:p w14:paraId="600207E7" w14:textId="77777777" w:rsidR="00BA5B20" w:rsidRDefault="00BA5B20" w:rsidP="001F0B36">
      <w:pPr>
        <w:spacing w:after="0"/>
        <w:rPr>
          <w:rFonts w:eastAsia="Calibri" w:cs="Times New Roman"/>
          <w:b/>
          <w:color w:val="314364" w:themeColor="text2"/>
          <w:szCs w:val="18"/>
        </w:rPr>
      </w:pPr>
    </w:p>
    <w:p w14:paraId="38B92288" w14:textId="77777777" w:rsidR="00BA5B20" w:rsidRDefault="00BA5B20" w:rsidP="001F0B36">
      <w:pPr>
        <w:spacing w:after="0"/>
        <w:rPr>
          <w:rFonts w:eastAsia="Calibri" w:cs="Times New Roman"/>
          <w:b/>
          <w:color w:val="314364" w:themeColor="text2"/>
          <w:szCs w:val="18"/>
        </w:rPr>
      </w:pPr>
    </w:p>
    <w:p w14:paraId="33F62BE0" w14:textId="77777777" w:rsidR="00BA5B20" w:rsidRDefault="00BA5B20" w:rsidP="001F0B36">
      <w:pPr>
        <w:spacing w:after="0"/>
        <w:rPr>
          <w:rFonts w:eastAsia="Calibri" w:cs="Times New Roman"/>
          <w:b/>
          <w:color w:val="314364" w:themeColor="text2"/>
          <w:szCs w:val="18"/>
        </w:rPr>
      </w:pPr>
    </w:p>
    <w:p w14:paraId="52495967" w14:textId="587797DF" w:rsidR="007B6C07" w:rsidRDefault="007B6C07" w:rsidP="007B6C07">
      <w:pPr>
        <w:pStyle w:val="Popis"/>
        <w:keepNext/>
      </w:pPr>
      <w:r>
        <w:t xml:space="preserve">Tabuľka </w:t>
      </w:r>
      <w:r w:rsidR="00BA5B20">
        <w:t>7</w:t>
      </w:r>
      <w:r>
        <w:rPr>
          <w:noProof/>
        </w:rPr>
        <w:t>:</w:t>
      </w:r>
      <w:r>
        <w:t xml:space="preserve"> </w:t>
      </w:r>
      <w:r w:rsidRPr="00E52900">
        <w:t>Celkové čerpanie POO podľa kapitol (v mil. eur)</w:t>
      </w:r>
    </w:p>
    <w:tbl>
      <w:tblPr>
        <w:tblW w:w="9602" w:type="dxa"/>
        <w:tblCellMar>
          <w:left w:w="70" w:type="dxa"/>
          <w:right w:w="70" w:type="dxa"/>
        </w:tblCellMar>
        <w:tblLook w:val="04A0" w:firstRow="1" w:lastRow="0" w:firstColumn="1" w:lastColumn="0" w:noHBand="0" w:noVBand="1"/>
      </w:tblPr>
      <w:tblGrid>
        <w:gridCol w:w="793"/>
        <w:gridCol w:w="798"/>
        <w:gridCol w:w="763"/>
        <w:gridCol w:w="584"/>
        <w:gridCol w:w="842"/>
        <w:gridCol w:w="805"/>
        <w:gridCol w:w="584"/>
        <w:gridCol w:w="798"/>
        <w:gridCol w:w="805"/>
        <w:gridCol w:w="606"/>
        <w:gridCol w:w="798"/>
        <w:gridCol w:w="820"/>
        <w:gridCol w:w="606"/>
      </w:tblGrid>
      <w:tr w:rsidR="007B6C07" w:rsidRPr="003B3897" w14:paraId="79C738E4" w14:textId="77777777" w:rsidTr="004A2F16">
        <w:trPr>
          <w:trHeight w:val="528"/>
        </w:trPr>
        <w:tc>
          <w:tcPr>
            <w:tcW w:w="793" w:type="dxa"/>
            <w:tcBorders>
              <w:top w:val="nil"/>
              <w:left w:val="nil"/>
              <w:bottom w:val="nil"/>
              <w:right w:val="nil"/>
            </w:tcBorders>
            <w:shd w:val="clear" w:color="000000" w:fill="314364"/>
            <w:vAlign w:val="center"/>
            <w:hideMark/>
          </w:tcPr>
          <w:p w14:paraId="62F7A659"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Kapitola</w:t>
            </w:r>
          </w:p>
        </w:tc>
        <w:tc>
          <w:tcPr>
            <w:tcW w:w="798" w:type="dxa"/>
            <w:tcBorders>
              <w:top w:val="nil"/>
              <w:left w:val="nil"/>
              <w:bottom w:val="nil"/>
              <w:right w:val="nil"/>
            </w:tcBorders>
            <w:shd w:val="clear" w:color="000000" w:fill="314364"/>
            <w:vAlign w:val="center"/>
            <w:hideMark/>
          </w:tcPr>
          <w:p w14:paraId="51B58DAE"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Rozpočet 2022</w:t>
            </w:r>
          </w:p>
        </w:tc>
        <w:tc>
          <w:tcPr>
            <w:tcW w:w="763" w:type="dxa"/>
            <w:tcBorders>
              <w:top w:val="nil"/>
              <w:left w:val="nil"/>
              <w:bottom w:val="nil"/>
              <w:right w:val="nil"/>
            </w:tcBorders>
            <w:shd w:val="clear" w:color="000000" w:fill="314364"/>
            <w:vAlign w:val="center"/>
            <w:hideMark/>
          </w:tcPr>
          <w:p w14:paraId="3D0934E3"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Čerpanie 2022</w:t>
            </w:r>
          </w:p>
        </w:tc>
        <w:tc>
          <w:tcPr>
            <w:tcW w:w="584" w:type="dxa"/>
            <w:tcBorders>
              <w:top w:val="nil"/>
              <w:left w:val="nil"/>
              <w:bottom w:val="nil"/>
              <w:right w:val="single" w:sz="4" w:space="0" w:color="auto"/>
            </w:tcBorders>
            <w:shd w:val="clear" w:color="000000" w:fill="314364"/>
            <w:vAlign w:val="center"/>
            <w:hideMark/>
          </w:tcPr>
          <w:p w14:paraId="253EB8CA"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2022%</w:t>
            </w:r>
          </w:p>
        </w:tc>
        <w:tc>
          <w:tcPr>
            <w:tcW w:w="842" w:type="dxa"/>
            <w:tcBorders>
              <w:top w:val="nil"/>
              <w:left w:val="nil"/>
              <w:bottom w:val="nil"/>
              <w:right w:val="nil"/>
            </w:tcBorders>
            <w:shd w:val="clear" w:color="000000" w:fill="314364"/>
            <w:vAlign w:val="center"/>
            <w:hideMark/>
          </w:tcPr>
          <w:p w14:paraId="7243EC6E"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Rozpočet 2023</w:t>
            </w:r>
          </w:p>
        </w:tc>
        <w:tc>
          <w:tcPr>
            <w:tcW w:w="805" w:type="dxa"/>
            <w:tcBorders>
              <w:top w:val="nil"/>
              <w:left w:val="nil"/>
              <w:bottom w:val="nil"/>
              <w:right w:val="nil"/>
            </w:tcBorders>
            <w:shd w:val="clear" w:color="000000" w:fill="314364"/>
            <w:vAlign w:val="center"/>
            <w:hideMark/>
          </w:tcPr>
          <w:p w14:paraId="32D22A01"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Čerpanie 2023</w:t>
            </w:r>
          </w:p>
        </w:tc>
        <w:tc>
          <w:tcPr>
            <w:tcW w:w="584" w:type="dxa"/>
            <w:tcBorders>
              <w:top w:val="nil"/>
              <w:left w:val="nil"/>
              <w:bottom w:val="nil"/>
              <w:right w:val="single" w:sz="4" w:space="0" w:color="auto"/>
            </w:tcBorders>
            <w:shd w:val="clear" w:color="000000" w:fill="314364"/>
            <w:vAlign w:val="center"/>
            <w:hideMark/>
          </w:tcPr>
          <w:p w14:paraId="43A22D86"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2023%</w:t>
            </w:r>
          </w:p>
        </w:tc>
        <w:tc>
          <w:tcPr>
            <w:tcW w:w="798" w:type="dxa"/>
            <w:tcBorders>
              <w:top w:val="nil"/>
              <w:left w:val="nil"/>
              <w:bottom w:val="nil"/>
              <w:right w:val="nil"/>
            </w:tcBorders>
            <w:shd w:val="clear" w:color="000000" w:fill="314364"/>
            <w:vAlign w:val="center"/>
            <w:hideMark/>
          </w:tcPr>
          <w:p w14:paraId="3FB93A42"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Rozpočet 2024</w:t>
            </w:r>
          </w:p>
        </w:tc>
        <w:tc>
          <w:tcPr>
            <w:tcW w:w="805" w:type="dxa"/>
            <w:tcBorders>
              <w:top w:val="nil"/>
              <w:left w:val="nil"/>
              <w:bottom w:val="nil"/>
              <w:right w:val="nil"/>
            </w:tcBorders>
            <w:shd w:val="clear" w:color="000000" w:fill="314364"/>
            <w:vAlign w:val="center"/>
            <w:hideMark/>
          </w:tcPr>
          <w:p w14:paraId="3FFCC1E1"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Čerpanie 2024</w:t>
            </w:r>
          </w:p>
        </w:tc>
        <w:tc>
          <w:tcPr>
            <w:tcW w:w="606" w:type="dxa"/>
            <w:tcBorders>
              <w:top w:val="nil"/>
              <w:left w:val="nil"/>
              <w:bottom w:val="nil"/>
              <w:right w:val="single" w:sz="4" w:space="0" w:color="auto"/>
            </w:tcBorders>
            <w:shd w:val="clear" w:color="000000" w:fill="314364"/>
            <w:vAlign w:val="center"/>
            <w:hideMark/>
          </w:tcPr>
          <w:p w14:paraId="5EA6AEA7"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2024%</w:t>
            </w:r>
          </w:p>
        </w:tc>
        <w:tc>
          <w:tcPr>
            <w:tcW w:w="798" w:type="dxa"/>
            <w:tcBorders>
              <w:top w:val="nil"/>
              <w:left w:val="nil"/>
              <w:bottom w:val="nil"/>
              <w:right w:val="nil"/>
            </w:tcBorders>
            <w:shd w:val="clear" w:color="000000" w:fill="314364"/>
            <w:vAlign w:val="center"/>
            <w:hideMark/>
          </w:tcPr>
          <w:p w14:paraId="3B87154F"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Rozpočet 2025</w:t>
            </w:r>
          </w:p>
        </w:tc>
        <w:tc>
          <w:tcPr>
            <w:tcW w:w="820" w:type="dxa"/>
            <w:tcBorders>
              <w:top w:val="nil"/>
              <w:left w:val="nil"/>
              <w:bottom w:val="nil"/>
              <w:right w:val="nil"/>
            </w:tcBorders>
            <w:shd w:val="clear" w:color="000000" w:fill="314364"/>
            <w:vAlign w:val="center"/>
            <w:hideMark/>
          </w:tcPr>
          <w:p w14:paraId="48494CF8"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Čerpanie 2025*</w:t>
            </w:r>
          </w:p>
        </w:tc>
        <w:tc>
          <w:tcPr>
            <w:tcW w:w="606" w:type="dxa"/>
            <w:tcBorders>
              <w:top w:val="nil"/>
              <w:left w:val="nil"/>
              <w:bottom w:val="nil"/>
              <w:right w:val="nil"/>
            </w:tcBorders>
            <w:shd w:val="clear" w:color="000000" w:fill="314364"/>
            <w:vAlign w:val="center"/>
            <w:hideMark/>
          </w:tcPr>
          <w:p w14:paraId="3F1A94B2" w14:textId="77777777" w:rsidR="007B6C07" w:rsidRPr="007D3345" w:rsidRDefault="007B6C07" w:rsidP="002E1FF0">
            <w:pPr>
              <w:spacing w:after="0" w:line="240" w:lineRule="auto"/>
              <w:jc w:val="center"/>
              <w:rPr>
                <w:rFonts w:eastAsia="Times New Roman" w:cs="Segoe UI"/>
                <w:b/>
                <w:bCs/>
                <w:color w:val="FFFFFF"/>
                <w:sz w:val="14"/>
                <w:szCs w:val="14"/>
                <w:lang w:eastAsia="sk-SK"/>
              </w:rPr>
            </w:pPr>
            <w:r w:rsidRPr="007D3345">
              <w:rPr>
                <w:rFonts w:eastAsia="Times New Roman" w:cs="Segoe UI"/>
                <w:b/>
                <w:bCs/>
                <w:color w:val="FFFFFF"/>
                <w:sz w:val="14"/>
                <w:szCs w:val="14"/>
                <w:lang w:eastAsia="sk-SK"/>
              </w:rPr>
              <w:t>2025%</w:t>
            </w:r>
          </w:p>
        </w:tc>
      </w:tr>
      <w:tr w:rsidR="007B6C07" w:rsidRPr="003B3897" w14:paraId="61B7AF39" w14:textId="77777777" w:rsidTr="004A2F16">
        <w:trPr>
          <w:trHeight w:val="300"/>
        </w:trPr>
        <w:tc>
          <w:tcPr>
            <w:tcW w:w="793" w:type="dxa"/>
            <w:tcBorders>
              <w:top w:val="nil"/>
              <w:left w:val="nil"/>
              <w:bottom w:val="nil"/>
              <w:right w:val="nil"/>
            </w:tcBorders>
            <w:shd w:val="clear" w:color="auto" w:fill="auto"/>
            <w:vAlign w:val="center"/>
            <w:hideMark/>
          </w:tcPr>
          <w:p w14:paraId="6ADE86ED"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ÚV SR</w:t>
            </w:r>
          </w:p>
        </w:tc>
        <w:tc>
          <w:tcPr>
            <w:tcW w:w="798" w:type="dxa"/>
            <w:tcBorders>
              <w:top w:val="nil"/>
              <w:left w:val="nil"/>
              <w:bottom w:val="nil"/>
              <w:right w:val="nil"/>
            </w:tcBorders>
            <w:shd w:val="clear" w:color="auto" w:fill="auto"/>
            <w:noWrap/>
            <w:vAlign w:val="center"/>
            <w:hideMark/>
          </w:tcPr>
          <w:p w14:paraId="75EB14E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114,29</w:t>
            </w:r>
          </w:p>
        </w:tc>
        <w:tc>
          <w:tcPr>
            <w:tcW w:w="763" w:type="dxa"/>
            <w:tcBorders>
              <w:top w:val="nil"/>
              <w:left w:val="nil"/>
              <w:bottom w:val="nil"/>
              <w:right w:val="nil"/>
            </w:tcBorders>
            <w:shd w:val="clear" w:color="auto" w:fill="auto"/>
            <w:noWrap/>
            <w:vAlign w:val="center"/>
            <w:hideMark/>
          </w:tcPr>
          <w:p w14:paraId="568EB86A"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3,99</w:t>
            </w:r>
          </w:p>
        </w:tc>
        <w:tc>
          <w:tcPr>
            <w:tcW w:w="584" w:type="dxa"/>
            <w:tcBorders>
              <w:top w:val="nil"/>
              <w:left w:val="nil"/>
              <w:bottom w:val="nil"/>
              <w:right w:val="single" w:sz="4" w:space="0" w:color="auto"/>
            </w:tcBorders>
            <w:shd w:val="clear" w:color="auto" w:fill="auto"/>
            <w:vAlign w:val="center"/>
            <w:hideMark/>
          </w:tcPr>
          <w:p w14:paraId="3C459F2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3,49</w:t>
            </w:r>
          </w:p>
        </w:tc>
        <w:tc>
          <w:tcPr>
            <w:tcW w:w="842" w:type="dxa"/>
            <w:tcBorders>
              <w:top w:val="nil"/>
              <w:left w:val="nil"/>
              <w:bottom w:val="nil"/>
              <w:right w:val="nil"/>
            </w:tcBorders>
            <w:shd w:val="clear" w:color="auto" w:fill="auto"/>
            <w:noWrap/>
            <w:vAlign w:val="center"/>
            <w:hideMark/>
          </w:tcPr>
          <w:p w14:paraId="55F6D96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126,90</w:t>
            </w:r>
          </w:p>
        </w:tc>
        <w:tc>
          <w:tcPr>
            <w:tcW w:w="805" w:type="dxa"/>
            <w:tcBorders>
              <w:top w:val="nil"/>
              <w:left w:val="nil"/>
              <w:bottom w:val="nil"/>
              <w:right w:val="nil"/>
            </w:tcBorders>
            <w:shd w:val="clear" w:color="auto" w:fill="auto"/>
            <w:noWrap/>
            <w:vAlign w:val="center"/>
            <w:hideMark/>
          </w:tcPr>
          <w:p w14:paraId="79FE4C0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26,41</w:t>
            </w:r>
          </w:p>
        </w:tc>
        <w:tc>
          <w:tcPr>
            <w:tcW w:w="584" w:type="dxa"/>
            <w:tcBorders>
              <w:top w:val="nil"/>
              <w:left w:val="nil"/>
              <w:bottom w:val="nil"/>
              <w:right w:val="single" w:sz="4" w:space="0" w:color="auto"/>
            </w:tcBorders>
            <w:shd w:val="clear" w:color="auto" w:fill="auto"/>
            <w:vAlign w:val="center"/>
            <w:hideMark/>
          </w:tcPr>
          <w:p w14:paraId="2BB6C68A"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20,81</w:t>
            </w:r>
          </w:p>
        </w:tc>
        <w:tc>
          <w:tcPr>
            <w:tcW w:w="798" w:type="dxa"/>
            <w:tcBorders>
              <w:top w:val="nil"/>
              <w:left w:val="nil"/>
              <w:bottom w:val="nil"/>
              <w:right w:val="nil"/>
            </w:tcBorders>
            <w:shd w:val="clear" w:color="auto" w:fill="auto"/>
            <w:noWrap/>
            <w:vAlign w:val="center"/>
            <w:hideMark/>
          </w:tcPr>
          <w:p w14:paraId="1DEB5F7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116,27</w:t>
            </w:r>
          </w:p>
        </w:tc>
        <w:tc>
          <w:tcPr>
            <w:tcW w:w="805" w:type="dxa"/>
            <w:tcBorders>
              <w:top w:val="nil"/>
              <w:left w:val="nil"/>
              <w:bottom w:val="nil"/>
              <w:right w:val="nil"/>
            </w:tcBorders>
            <w:shd w:val="clear" w:color="auto" w:fill="auto"/>
            <w:noWrap/>
            <w:vAlign w:val="center"/>
            <w:hideMark/>
          </w:tcPr>
          <w:p w14:paraId="69BB49E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51,99</w:t>
            </w:r>
          </w:p>
        </w:tc>
        <w:tc>
          <w:tcPr>
            <w:tcW w:w="606" w:type="dxa"/>
            <w:tcBorders>
              <w:top w:val="nil"/>
              <w:left w:val="nil"/>
              <w:bottom w:val="nil"/>
              <w:right w:val="single" w:sz="4" w:space="0" w:color="auto"/>
            </w:tcBorders>
            <w:shd w:val="clear" w:color="auto" w:fill="auto"/>
            <w:vAlign w:val="center"/>
            <w:hideMark/>
          </w:tcPr>
          <w:p w14:paraId="510FEB2E"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44,71</w:t>
            </w:r>
          </w:p>
        </w:tc>
        <w:tc>
          <w:tcPr>
            <w:tcW w:w="798" w:type="dxa"/>
            <w:tcBorders>
              <w:top w:val="nil"/>
              <w:left w:val="nil"/>
              <w:bottom w:val="nil"/>
              <w:right w:val="nil"/>
            </w:tcBorders>
            <w:shd w:val="clear" w:color="auto" w:fill="auto"/>
            <w:noWrap/>
            <w:vAlign w:val="center"/>
            <w:hideMark/>
          </w:tcPr>
          <w:p w14:paraId="6ABE14A2"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20" w:type="dxa"/>
            <w:tcBorders>
              <w:top w:val="nil"/>
              <w:left w:val="nil"/>
              <w:bottom w:val="nil"/>
              <w:right w:val="nil"/>
            </w:tcBorders>
            <w:shd w:val="clear" w:color="auto" w:fill="auto"/>
            <w:noWrap/>
            <w:vAlign w:val="center"/>
            <w:hideMark/>
          </w:tcPr>
          <w:p w14:paraId="192A6B4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0,14</w:t>
            </w:r>
          </w:p>
        </w:tc>
        <w:tc>
          <w:tcPr>
            <w:tcW w:w="606" w:type="dxa"/>
            <w:tcBorders>
              <w:top w:val="nil"/>
              <w:left w:val="nil"/>
              <w:bottom w:val="nil"/>
              <w:right w:val="nil"/>
            </w:tcBorders>
            <w:shd w:val="clear" w:color="auto" w:fill="auto"/>
            <w:vAlign w:val="center"/>
            <w:hideMark/>
          </w:tcPr>
          <w:p w14:paraId="0B62A098"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r>
      <w:tr w:rsidR="007B6C07" w:rsidRPr="003B3897" w14:paraId="4A2CB2DE" w14:textId="77777777" w:rsidTr="004A2F16">
        <w:trPr>
          <w:trHeight w:val="300"/>
        </w:trPr>
        <w:tc>
          <w:tcPr>
            <w:tcW w:w="793" w:type="dxa"/>
            <w:tcBorders>
              <w:top w:val="nil"/>
              <w:left w:val="nil"/>
              <w:bottom w:val="nil"/>
              <w:right w:val="nil"/>
            </w:tcBorders>
            <w:shd w:val="clear" w:color="auto" w:fill="auto"/>
            <w:vAlign w:val="center"/>
            <w:hideMark/>
          </w:tcPr>
          <w:p w14:paraId="5ECA0CE6"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MIRRI SR</w:t>
            </w:r>
          </w:p>
        </w:tc>
        <w:tc>
          <w:tcPr>
            <w:tcW w:w="798" w:type="dxa"/>
            <w:tcBorders>
              <w:top w:val="nil"/>
              <w:left w:val="nil"/>
              <w:bottom w:val="nil"/>
              <w:right w:val="nil"/>
            </w:tcBorders>
            <w:shd w:val="clear" w:color="auto" w:fill="auto"/>
            <w:noWrap/>
            <w:vAlign w:val="center"/>
            <w:hideMark/>
          </w:tcPr>
          <w:p w14:paraId="085DC2A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66,26</w:t>
            </w:r>
          </w:p>
        </w:tc>
        <w:tc>
          <w:tcPr>
            <w:tcW w:w="763" w:type="dxa"/>
            <w:tcBorders>
              <w:top w:val="nil"/>
              <w:left w:val="nil"/>
              <w:bottom w:val="nil"/>
              <w:right w:val="nil"/>
            </w:tcBorders>
            <w:shd w:val="clear" w:color="auto" w:fill="auto"/>
            <w:noWrap/>
            <w:vAlign w:val="center"/>
            <w:hideMark/>
          </w:tcPr>
          <w:p w14:paraId="100228A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2,53</w:t>
            </w:r>
          </w:p>
        </w:tc>
        <w:tc>
          <w:tcPr>
            <w:tcW w:w="584" w:type="dxa"/>
            <w:tcBorders>
              <w:top w:val="nil"/>
              <w:left w:val="nil"/>
              <w:bottom w:val="nil"/>
              <w:right w:val="single" w:sz="4" w:space="0" w:color="auto"/>
            </w:tcBorders>
            <w:shd w:val="clear" w:color="auto" w:fill="auto"/>
            <w:vAlign w:val="center"/>
            <w:hideMark/>
          </w:tcPr>
          <w:p w14:paraId="3DDDBB20"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3,82</w:t>
            </w:r>
          </w:p>
        </w:tc>
        <w:tc>
          <w:tcPr>
            <w:tcW w:w="842" w:type="dxa"/>
            <w:tcBorders>
              <w:top w:val="nil"/>
              <w:left w:val="nil"/>
              <w:bottom w:val="nil"/>
              <w:right w:val="nil"/>
            </w:tcBorders>
            <w:shd w:val="clear" w:color="auto" w:fill="auto"/>
            <w:noWrap/>
            <w:vAlign w:val="center"/>
            <w:hideMark/>
          </w:tcPr>
          <w:p w14:paraId="7E60802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119,64</w:t>
            </w:r>
          </w:p>
        </w:tc>
        <w:tc>
          <w:tcPr>
            <w:tcW w:w="805" w:type="dxa"/>
            <w:tcBorders>
              <w:top w:val="nil"/>
              <w:left w:val="nil"/>
              <w:bottom w:val="nil"/>
              <w:right w:val="nil"/>
            </w:tcBorders>
            <w:shd w:val="clear" w:color="auto" w:fill="auto"/>
            <w:noWrap/>
            <w:vAlign w:val="center"/>
            <w:hideMark/>
          </w:tcPr>
          <w:p w14:paraId="57216DF3" w14:textId="77777777" w:rsidR="007B6C07" w:rsidRPr="007D3345" w:rsidRDefault="007B6C07" w:rsidP="002E1FF0">
            <w:pPr>
              <w:spacing w:after="0" w:line="240" w:lineRule="auto"/>
              <w:ind w:hanging="133"/>
              <w:jc w:val="right"/>
              <w:rPr>
                <w:rFonts w:eastAsia="Times New Roman" w:cs="Segoe UI"/>
                <w:color w:val="000000"/>
                <w:sz w:val="16"/>
                <w:szCs w:val="16"/>
                <w:lang w:eastAsia="sk-SK"/>
              </w:rPr>
            </w:pPr>
            <w:r w:rsidRPr="007D3345">
              <w:rPr>
                <w:rFonts w:eastAsia="Times New Roman" w:cs="Segoe UI"/>
                <w:color w:val="000000"/>
                <w:sz w:val="16"/>
                <w:szCs w:val="16"/>
                <w:lang w:eastAsia="sk-SK"/>
              </w:rPr>
              <w:t>15,28</w:t>
            </w:r>
          </w:p>
        </w:tc>
        <w:tc>
          <w:tcPr>
            <w:tcW w:w="584" w:type="dxa"/>
            <w:tcBorders>
              <w:top w:val="nil"/>
              <w:left w:val="nil"/>
              <w:bottom w:val="nil"/>
              <w:right w:val="single" w:sz="4" w:space="0" w:color="auto"/>
            </w:tcBorders>
            <w:shd w:val="clear" w:color="auto" w:fill="auto"/>
            <w:vAlign w:val="center"/>
            <w:hideMark/>
          </w:tcPr>
          <w:p w14:paraId="3883E10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12,77</w:t>
            </w:r>
          </w:p>
        </w:tc>
        <w:tc>
          <w:tcPr>
            <w:tcW w:w="798" w:type="dxa"/>
            <w:tcBorders>
              <w:top w:val="nil"/>
              <w:left w:val="nil"/>
              <w:bottom w:val="nil"/>
              <w:right w:val="nil"/>
            </w:tcBorders>
            <w:shd w:val="clear" w:color="auto" w:fill="auto"/>
            <w:noWrap/>
            <w:vAlign w:val="center"/>
            <w:hideMark/>
          </w:tcPr>
          <w:p w14:paraId="365C12D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175,81</w:t>
            </w:r>
          </w:p>
        </w:tc>
        <w:tc>
          <w:tcPr>
            <w:tcW w:w="805" w:type="dxa"/>
            <w:tcBorders>
              <w:top w:val="nil"/>
              <w:left w:val="nil"/>
              <w:bottom w:val="nil"/>
              <w:right w:val="nil"/>
            </w:tcBorders>
            <w:shd w:val="clear" w:color="auto" w:fill="auto"/>
            <w:noWrap/>
            <w:vAlign w:val="center"/>
            <w:hideMark/>
          </w:tcPr>
          <w:p w14:paraId="054BD1B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17,82</w:t>
            </w:r>
          </w:p>
        </w:tc>
        <w:tc>
          <w:tcPr>
            <w:tcW w:w="606" w:type="dxa"/>
            <w:tcBorders>
              <w:top w:val="nil"/>
              <w:left w:val="nil"/>
              <w:bottom w:val="nil"/>
              <w:right w:val="single" w:sz="4" w:space="0" w:color="auto"/>
            </w:tcBorders>
            <w:shd w:val="clear" w:color="auto" w:fill="auto"/>
            <w:vAlign w:val="center"/>
            <w:hideMark/>
          </w:tcPr>
          <w:p w14:paraId="48BA47BB"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10,14</w:t>
            </w:r>
          </w:p>
        </w:tc>
        <w:tc>
          <w:tcPr>
            <w:tcW w:w="798" w:type="dxa"/>
            <w:tcBorders>
              <w:top w:val="nil"/>
              <w:left w:val="nil"/>
              <w:bottom w:val="nil"/>
              <w:right w:val="nil"/>
            </w:tcBorders>
            <w:shd w:val="clear" w:color="auto" w:fill="auto"/>
            <w:noWrap/>
            <w:vAlign w:val="center"/>
            <w:hideMark/>
          </w:tcPr>
          <w:p w14:paraId="2D5EA56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136,21</w:t>
            </w:r>
          </w:p>
        </w:tc>
        <w:tc>
          <w:tcPr>
            <w:tcW w:w="820" w:type="dxa"/>
            <w:tcBorders>
              <w:top w:val="nil"/>
              <w:left w:val="nil"/>
              <w:bottom w:val="nil"/>
              <w:right w:val="nil"/>
            </w:tcBorders>
            <w:shd w:val="clear" w:color="auto" w:fill="auto"/>
            <w:noWrap/>
            <w:vAlign w:val="center"/>
            <w:hideMark/>
          </w:tcPr>
          <w:p w14:paraId="22FB48EA"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3,94</w:t>
            </w:r>
          </w:p>
        </w:tc>
        <w:tc>
          <w:tcPr>
            <w:tcW w:w="606" w:type="dxa"/>
            <w:tcBorders>
              <w:top w:val="nil"/>
              <w:left w:val="nil"/>
              <w:bottom w:val="nil"/>
              <w:right w:val="nil"/>
            </w:tcBorders>
            <w:shd w:val="clear" w:color="auto" w:fill="auto"/>
            <w:vAlign w:val="center"/>
            <w:hideMark/>
          </w:tcPr>
          <w:p w14:paraId="1D290836"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2,89</w:t>
            </w:r>
          </w:p>
        </w:tc>
      </w:tr>
      <w:tr w:rsidR="007B6C07" w:rsidRPr="003B3897" w14:paraId="554086F1" w14:textId="77777777" w:rsidTr="004A2F16">
        <w:trPr>
          <w:trHeight w:val="300"/>
        </w:trPr>
        <w:tc>
          <w:tcPr>
            <w:tcW w:w="793" w:type="dxa"/>
            <w:tcBorders>
              <w:top w:val="nil"/>
              <w:left w:val="nil"/>
              <w:bottom w:val="nil"/>
              <w:right w:val="nil"/>
            </w:tcBorders>
            <w:shd w:val="clear" w:color="auto" w:fill="auto"/>
            <w:vAlign w:val="center"/>
            <w:hideMark/>
          </w:tcPr>
          <w:p w14:paraId="2FD6D1C8" w14:textId="48E01DA5" w:rsidR="007B6C07" w:rsidRPr="007D3345" w:rsidRDefault="007B6C07" w:rsidP="004A2F16">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MZVEZ SR</w:t>
            </w:r>
          </w:p>
        </w:tc>
        <w:tc>
          <w:tcPr>
            <w:tcW w:w="798" w:type="dxa"/>
            <w:tcBorders>
              <w:top w:val="nil"/>
              <w:left w:val="nil"/>
              <w:bottom w:val="nil"/>
              <w:right w:val="nil"/>
            </w:tcBorders>
            <w:shd w:val="clear" w:color="auto" w:fill="auto"/>
            <w:noWrap/>
            <w:vAlign w:val="center"/>
            <w:hideMark/>
          </w:tcPr>
          <w:p w14:paraId="5F3AA50B"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0,54</w:t>
            </w:r>
          </w:p>
        </w:tc>
        <w:tc>
          <w:tcPr>
            <w:tcW w:w="763" w:type="dxa"/>
            <w:tcBorders>
              <w:top w:val="nil"/>
              <w:left w:val="nil"/>
              <w:bottom w:val="nil"/>
              <w:right w:val="nil"/>
            </w:tcBorders>
            <w:shd w:val="clear" w:color="auto" w:fill="auto"/>
            <w:noWrap/>
            <w:vAlign w:val="center"/>
            <w:hideMark/>
          </w:tcPr>
          <w:p w14:paraId="67DA8A7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584" w:type="dxa"/>
            <w:tcBorders>
              <w:top w:val="nil"/>
              <w:left w:val="nil"/>
              <w:bottom w:val="nil"/>
              <w:right w:val="single" w:sz="4" w:space="0" w:color="auto"/>
            </w:tcBorders>
            <w:shd w:val="clear" w:color="auto" w:fill="auto"/>
            <w:vAlign w:val="center"/>
            <w:hideMark/>
          </w:tcPr>
          <w:p w14:paraId="45FEA72F"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42" w:type="dxa"/>
            <w:tcBorders>
              <w:top w:val="nil"/>
              <w:left w:val="nil"/>
              <w:bottom w:val="nil"/>
              <w:right w:val="nil"/>
            </w:tcBorders>
            <w:shd w:val="clear" w:color="auto" w:fill="auto"/>
            <w:noWrap/>
            <w:vAlign w:val="center"/>
            <w:hideMark/>
          </w:tcPr>
          <w:p w14:paraId="55609981" w14:textId="77777777" w:rsidR="007B6C07" w:rsidRPr="007D3345" w:rsidRDefault="007B6C07" w:rsidP="002E1FF0">
            <w:pPr>
              <w:spacing w:after="0" w:line="240" w:lineRule="auto"/>
              <w:ind w:left="-142" w:firstLine="142"/>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75EDC51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584" w:type="dxa"/>
            <w:tcBorders>
              <w:top w:val="nil"/>
              <w:left w:val="nil"/>
              <w:bottom w:val="nil"/>
              <w:right w:val="single" w:sz="4" w:space="0" w:color="auto"/>
            </w:tcBorders>
            <w:shd w:val="clear" w:color="auto" w:fill="auto"/>
            <w:vAlign w:val="center"/>
            <w:hideMark/>
          </w:tcPr>
          <w:p w14:paraId="3DB03F9B"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2D84F53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60BF81D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606" w:type="dxa"/>
            <w:tcBorders>
              <w:top w:val="nil"/>
              <w:left w:val="nil"/>
              <w:bottom w:val="nil"/>
              <w:right w:val="single" w:sz="4" w:space="0" w:color="auto"/>
            </w:tcBorders>
            <w:shd w:val="clear" w:color="auto" w:fill="auto"/>
            <w:vAlign w:val="center"/>
            <w:hideMark/>
          </w:tcPr>
          <w:p w14:paraId="2DE4E68E"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416D9A12"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20" w:type="dxa"/>
            <w:tcBorders>
              <w:top w:val="nil"/>
              <w:left w:val="nil"/>
              <w:bottom w:val="nil"/>
              <w:right w:val="nil"/>
            </w:tcBorders>
            <w:shd w:val="clear" w:color="auto" w:fill="auto"/>
            <w:noWrap/>
            <w:vAlign w:val="center"/>
            <w:hideMark/>
          </w:tcPr>
          <w:p w14:paraId="24BC7F2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606" w:type="dxa"/>
            <w:tcBorders>
              <w:top w:val="nil"/>
              <w:left w:val="nil"/>
              <w:bottom w:val="nil"/>
              <w:right w:val="nil"/>
            </w:tcBorders>
            <w:shd w:val="clear" w:color="auto" w:fill="auto"/>
            <w:vAlign w:val="center"/>
            <w:hideMark/>
          </w:tcPr>
          <w:p w14:paraId="6E65DF9D"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r>
      <w:tr w:rsidR="007B6C07" w:rsidRPr="003B3897" w14:paraId="743B255B" w14:textId="77777777" w:rsidTr="004A2F16">
        <w:trPr>
          <w:trHeight w:val="300"/>
        </w:trPr>
        <w:tc>
          <w:tcPr>
            <w:tcW w:w="793" w:type="dxa"/>
            <w:tcBorders>
              <w:top w:val="nil"/>
              <w:left w:val="nil"/>
              <w:bottom w:val="nil"/>
              <w:right w:val="nil"/>
            </w:tcBorders>
            <w:shd w:val="clear" w:color="auto" w:fill="auto"/>
            <w:vAlign w:val="center"/>
            <w:hideMark/>
          </w:tcPr>
          <w:p w14:paraId="27859D99"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MO SR</w:t>
            </w:r>
          </w:p>
        </w:tc>
        <w:tc>
          <w:tcPr>
            <w:tcW w:w="798" w:type="dxa"/>
            <w:tcBorders>
              <w:top w:val="nil"/>
              <w:left w:val="nil"/>
              <w:bottom w:val="nil"/>
              <w:right w:val="nil"/>
            </w:tcBorders>
            <w:shd w:val="clear" w:color="auto" w:fill="auto"/>
            <w:noWrap/>
            <w:vAlign w:val="center"/>
            <w:hideMark/>
          </w:tcPr>
          <w:p w14:paraId="4BFBCC7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763" w:type="dxa"/>
            <w:tcBorders>
              <w:top w:val="nil"/>
              <w:left w:val="nil"/>
              <w:bottom w:val="nil"/>
              <w:right w:val="nil"/>
            </w:tcBorders>
            <w:shd w:val="clear" w:color="auto" w:fill="auto"/>
            <w:noWrap/>
            <w:vAlign w:val="center"/>
            <w:hideMark/>
          </w:tcPr>
          <w:p w14:paraId="15DF37C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584" w:type="dxa"/>
            <w:tcBorders>
              <w:top w:val="nil"/>
              <w:left w:val="nil"/>
              <w:bottom w:val="nil"/>
              <w:right w:val="single" w:sz="4" w:space="0" w:color="auto"/>
            </w:tcBorders>
            <w:shd w:val="clear" w:color="auto" w:fill="auto"/>
            <w:vAlign w:val="center"/>
            <w:hideMark/>
          </w:tcPr>
          <w:p w14:paraId="2F6B0178"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842" w:type="dxa"/>
            <w:tcBorders>
              <w:top w:val="nil"/>
              <w:left w:val="nil"/>
              <w:bottom w:val="nil"/>
              <w:right w:val="nil"/>
            </w:tcBorders>
            <w:shd w:val="clear" w:color="auto" w:fill="auto"/>
            <w:noWrap/>
            <w:vAlign w:val="center"/>
            <w:hideMark/>
          </w:tcPr>
          <w:p w14:paraId="372412F7"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7DF8544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0,01</w:t>
            </w:r>
          </w:p>
        </w:tc>
        <w:tc>
          <w:tcPr>
            <w:tcW w:w="584" w:type="dxa"/>
            <w:tcBorders>
              <w:top w:val="nil"/>
              <w:left w:val="nil"/>
              <w:bottom w:val="nil"/>
              <w:right w:val="single" w:sz="4" w:space="0" w:color="auto"/>
            </w:tcBorders>
            <w:shd w:val="clear" w:color="auto" w:fill="auto"/>
            <w:vAlign w:val="center"/>
            <w:hideMark/>
          </w:tcPr>
          <w:p w14:paraId="3AC75EF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0D925AA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42ADAD3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0,74</w:t>
            </w:r>
          </w:p>
        </w:tc>
        <w:tc>
          <w:tcPr>
            <w:tcW w:w="606" w:type="dxa"/>
            <w:tcBorders>
              <w:top w:val="nil"/>
              <w:left w:val="nil"/>
              <w:bottom w:val="nil"/>
              <w:right w:val="single" w:sz="4" w:space="0" w:color="auto"/>
            </w:tcBorders>
            <w:shd w:val="clear" w:color="auto" w:fill="auto"/>
            <w:vAlign w:val="center"/>
            <w:hideMark/>
          </w:tcPr>
          <w:p w14:paraId="1BDACEF4"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3442346B"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20" w:type="dxa"/>
            <w:tcBorders>
              <w:top w:val="nil"/>
              <w:left w:val="nil"/>
              <w:bottom w:val="nil"/>
              <w:right w:val="nil"/>
            </w:tcBorders>
            <w:shd w:val="clear" w:color="auto" w:fill="auto"/>
            <w:noWrap/>
            <w:vAlign w:val="center"/>
            <w:hideMark/>
          </w:tcPr>
          <w:p w14:paraId="6AE1B52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0,03</w:t>
            </w:r>
          </w:p>
        </w:tc>
        <w:tc>
          <w:tcPr>
            <w:tcW w:w="606" w:type="dxa"/>
            <w:tcBorders>
              <w:top w:val="nil"/>
              <w:left w:val="nil"/>
              <w:bottom w:val="nil"/>
              <w:right w:val="nil"/>
            </w:tcBorders>
            <w:shd w:val="clear" w:color="auto" w:fill="auto"/>
            <w:vAlign w:val="center"/>
            <w:hideMark/>
          </w:tcPr>
          <w:p w14:paraId="6FF0640C"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r>
      <w:tr w:rsidR="007B6C07" w:rsidRPr="003B3897" w14:paraId="23898F9A" w14:textId="77777777" w:rsidTr="004A2F16">
        <w:trPr>
          <w:trHeight w:val="300"/>
        </w:trPr>
        <w:tc>
          <w:tcPr>
            <w:tcW w:w="793" w:type="dxa"/>
            <w:tcBorders>
              <w:top w:val="nil"/>
              <w:left w:val="nil"/>
              <w:bottom w:val="nil"/>
              <w:right w:val="nil"/>
            </w:tcBorders>
            <w:shd w:val="clear" w:color="auto" w:fill="auto"/>
            <w:vAlign w:val="center"/>
            <w:hideMark/>
          </w:tcPr>
          <w:p w14:paraId="1C14FDC9"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MV SR</w:t>
            </w:r>
          </w:p>
        </w:tc>
        <w:tc>
          <w:tcPr>
            <w:tcW w:w="798" w:type="dxa"/>
            <w:tcBorders>
              <w:top w:val="nil"/>
              <w:left w:val="nil"/>
              <w:bottom w:val="nil"/>
              <w:right w:val="nil"/>
            </w:tcBorders>
            <w:shd w:val="clear" w:color="auto" w:fill="auto"/>
            <w:noWrap/>
            <w:vAlign w:val="center"/>
            <w:hideMark/>
          </w:tcPr>
          <w:p w14:paraId="6C58C6E2"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57,38</w:t>
            </w:r>
          </w:p>
        </w:tc>
        <w:tc>
          <w:tcPr>
            <w:tcW w:w="763" w:type="dxa"/>
            <w:tcBorders>
              <w:top w:val="nil"/>
              <w:left w:val="nil"/>
              <w:bottom w:val="nil"/>
              <w:right w:val="nil"/>
            </w:tcBorders>
            <w:shd w:val="clear" w:color="auto" w:fill="auto"/>
            <w:noWrap/>
            <w:vAlign w:val="center"/>
            <w:hideMark/>
          </w:tcPr>
          <w:p w14:paraId="24D2B527"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5,09</w:t>
            </w:r>
          </w:p>
        </w:tc>
        <w:tc>
          <w:tcPr>
            <w:tcW w:w="584" w:type="dxa"/>
            <w:tcBorders>
              <w:top w:val="nil"/>
              <w:left w:val="nil"/>
              <w:bottom w:val="nil"/>
              <w:right w:val="single" w:sz="4" w:space="0" w:color="auto"/>
            </w:tcBorders>
            <w:shd w:val="clear" w:color="auto" w:fill="auto"/>
            <w:vAlign w:val="center"/>
            <w:hideMark/>
          </w:tcPr>
          <w:p w14:paraId="427C661F"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8,87</w:t>
            </w:r>
          </w:p>
        </w:tc>
        <w:tc>
          <w:tcPr>
            <w:tcW w:w="842" w:type="dxa"/>
            <w:tcBorders>
              <w:top w:val="nil"/>
              <w:left w:val="nil"/>
              <w:bottom w:val="nil"/>
              <w:right w:val="nil"/>
            </w:tcBorders>
            <w:shd w:val="clear" w:color="auto" w:fill="auto"/>
            <w:noWrap/>
            <w:vAlign w:val="center"/>
            <w:hideMark/>
          </w:tcPr>
          <w:p w14:paraId="39667BA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50,61</w:t>
            </w:r>
          </w:p>
        </w:tc>
        <w:tc>
          <w:tcPr>
            <w:tcW w:w="805" w:type="dxa"/>
            <w:tcBorders>
              <w:top w:val="nil"/>
              <w:left w:val="nil"/>
              <w:bottom w:val="nil"/>
              <w:right w:val="nil"/>
            </w:tcBorders>
            <w:shd w:val="clear" w:color="auto" w:fill="auto"/>
            <w:noWrap/>
            <w:vAlign w:val="center"/>
            <w:hideMark/>
          </w:tcPr>
          <w:p w14:paraId="2BA22E40"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41,21</w:t>
            </w:r>
          </w:p>
        </w:tc>
        <w:tc>
          <w:tcPr>
            <w:tcW w:w="584" w:type="dxa"/>
            <w:tcBorders>
              <w:top w:val="nil"/>
              <w:left w:val="nil"/>
              <w:bottom w:val="nil"/>
              <w:right w:val="single" w:sz="4" w:space="0" w:color="auto"/>
            </w:tcBorders>
            <w:shd w:val="clear" w:color="auto" w:fill="auto"/>
            <w:vAlign w:val="center"/>
            <w:hideMark/>
          </w:tcPr>
          <w:p w14:paraId="07D527C4"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81,43</w:t>
            </w:r>
          </w:p>
        </w:tc>
        <w:tc>
          <w:tcPr>
            <w:tcW w:w="798" w:type="dxa"/>
            <w:tcBorders>
              <w:top w:val="nil"/>
              <w:left w:val="nil"/>
              <w:bottom w:val="nil"/>
              <w:right w:val="nil"/>
            </w:tcBorders>
            <w:shd w:val="clear" w:color="auto" w:fill="auto"/>
            <w:noWrap/>
            <w:vAlign w:val="center"/>
            <w:hideMark/>
          </w:tcPr>
          <w:p w14:paraId="17634DDE"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27,14</w:t>
            </w:r>
          </w:p>
        </w:tc>
        <w:tc>
          <w:tcPr>
            <w:tcW w:w="805" w:type="dxa"/>
            <w:tcBorders>
              <w:top w:val="nil"/>
              <w:left w:val="nil"/>
              <w:bottom w:val="nil"/>
              <w:right w:val="nil"/>
            </w:tcBorders>
            <w:shd w:val="clear" w:color="auto" w:fill="auto"/>
            <w:noWrap/>
            <w:vAlign w:val="center"/>
            <w:hideMark/>
          </w:tcPr>
          <w:p w14:paraId="57AEF1F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29,08</w:t>
            </w:r>
          </w:p>
        </w:tc>
        <w:tc>
          <w:tcPr>
            <w:tcW w:w="606" w:type="dxa"/>
            <w:tcBorders>
              <w:top w:val="nil"/>
              <w:left w:val="nil"/>
              <w:bottom w:val="nil"/>
              <w:right w:val="single" w:sz="4" w:space="0" w:color="auto"/>
            </w:tcBorders>
            <w:shd w:val="clear" w:color="auto" w:fill="auto"/>
            <w:vAlign w:val="center"/>
            <w:hideMark/>
          </w:tcPr>
          <w:p w14:paraId="6D84C8DF"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107,14</w:t>
            </w:r>
          </w:p>
        </w:tc>
        <w:tc>
          <w:tcPr>
            <w:tcW w:w="798" w:type="dxa"/>
            <w:tcBorders>
              <w:top w:val="nil"/>
              <w:left w:val="nil"/>
              <w:bottom w:val="nil"/>
              <w:right w:val="nil"/>
            </w:tcBorders>
            <w:shd w:val="clear" w:color="auto" w:fill="auto"/>
            <w:noWrap/>
            <w:vAlign w:val="center"/>
            <w:hideMark/>
          </w:tcPr>
          <w:p w14:paraId="1A1B0BCC"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5,67</w:t>
            </w:r>
          </w:p>
        </w:tc>
        <w:tc>
          <w:tcPr>
            <w:tcW w:w="820" w:type="dxa"/>
            <w:tcBorders>
              <w:top w:val="nil"/>
              <w:left w:val="nil"/>
              <w:bottom w:val="nil"/>
              <w:right w:val="nil"/>
            </w:tcBorders>
            <w:shd w:val="clear" w:color="auto" w:fill="auto"/>
            <w:noWrap/>
            <w:vAlign w:val="center"/>
            <w:hideMark/>
          </w:tcPr>
          <w:p w14:paraId="1AA0637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6,61</w:t>
            </w:r>
          </w:p>
        </w:tc>
        <w:tc>
          <w:tcPr>
            <w:tcW w:w="606" w:type="dxa"/>
            <w:tcBorders>
              <w:top w:val="nil"/>
              <w:left w:val="nil"/>
              <w:bottom w:val="nil"/>
              <w:right w:val="nil"/>
            </w:tcBorders>
            <w:shd w:val="clear" w:color="auto" w:fill="auto"/>
            <w:vAlign w:val="center"/>
            <w:hideMark/>
          </w:tcPr>
          <w:p w14:paraId="16144AE2"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116,66</w:t>
            </w:r>
          </w:p>
        </w:tc>
      </w:tr>
      <w:tr w:rsidR="007B6C07" w:rsidRPr="003B3897" w14:paraId="62A22D2A" w14:textId="77777777" w:rsidTr="004A2F16">
        <w:trPr>
          <w:trHeight w:val="300"/>
        </w:trPr>
        <w:tc>
          <w:tcPr>
            <w:tcW w:w="793" w:type="dxa"/>
            <w:tcBorders>
              <w:top w:val="nil"/>
              <w:left w:val="nil"/>
              <w:bottom w:val="nil"/>
              <w:right w:val="nil"/>
            </w:tcBorders>
            <w:shd w:val="clear" w:color="auto" w:fill="auto"/>
            <w:vAlign w:val="center"/>
            <w:hideMark/>
          </w:tcPr>
          <w:p w14:paraId="6F56D611"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MS SR</w:t>
            </w:r>
          </w:p>
        </w:tc>
        <w:tc>
          <w:tcPr>
            <w:tcW w:w="798" w:type="dxa"/>
            <w:tcBorders>
              <w:top w:val="nil"/>
              <w:left w:val="nil"/>
              <w:bottom w:val="nil"/>
              <w:right w:val="nil"/>
            </w:tcBorders>
            <w:shd w:val="clear" w:color="auto" w:fill="auto"/>
            <w:noWrap/>
            <w:vAlign w:val="center"/>
            <w:hideMark/>
          </w:tcPr>
          <w:p w14:paraId="715F432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55,81</w:t>
            </w:r>
          </w:p>
        </w:tc>
        <w:tc>
          <w:tcPr>
            <w:tcW w:w="763" w:type="dxa"/>
            <w:tcBorders>
              <w:top w:val="nil"/>
              <w:left w:val="nil"/>
              <w:bottom w:val="nil"/>
              <w:right w:val="nil"/>
            </w:tcBorders>
            <w:shd w:val="clear" w:color="auto" w:fill="auto"/>
            <w:noWrap/>
            <w:vAlign w:val="center"/>
            <w:hideMark/>
          </w:tcPr>
          <w:p w14:paraId="6EA1496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0,54</w:t>
            </w:r>
          </w:p>
        </w:tc>
        <w:tc>
          <w:tcPr>
            <w:tcW w:w="584" w:type="dxa"/>
            <w:tcBorders>
              <w:top w:val="nil"/>
              <w:left w:val="nil"/>
              <w:bottom w:val="nil"/>
              <w:right w:val="single" w:sz="4" w:space="0" w:color="auto"/>
            </w:tcBorders>
            <w:shd w:val="clear" w:color="auto" w:fill="auto"/>
            <w:vAlign w:val="center"/>
            <w:hideMark/>
          </w:tcPr>
          <w:p w14:paraId="3C89BA7A"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0,96</w:t>
            </w:r>
          </w:p>
        </w:tc>
        <w:tc>
          <w:tcPr>
            <w:tcW w:w="842" w:type="dxa"/>
            <w:tcBorders>
              <w:top w:val="nil"/>
              <w:left w:val="nil"/>
              <w:bottom w:val="nil"/>
              <w:right w:val="nil"/>
            </w:tcBorders>
            <w:shd w:val="clear" w:color="auto" w:fill="auto"/>
            <w:noWrap/>
            <w:vAlign w:val="center"/>
            <w:hideMark/>
          </w:tcPr>
          <w:p w14:paraId="0AC3ADDE"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157,70</w:t>
            </w:r>
          </w:p>
        </w:tc>
        <w:tc>
          <w:tcPr>
            <w:tcW w:w="805" w:type="dxa"/>
            <w:tcBorders>
              <w:top w:val="nil"/>
              <w:left w:val="nil"/>
              <w:bottom w:val="nil"/>
              <w:right w:val="nil"/>
            </w:tcBorders>
            <w:shd w:val="clear" w:color="auto" w:fill="auto"/>
            <w:noWrap/>
            <w:vAlign w:val="center"/>
            <w:hideMark/>
          </w:tcPr>
          <w:p w14:paraId="0FF1E56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23,64</w:t>
            </w:r>
          </w:p>
        </w:tc>
        <w:tc>
          <w:tcPr>
            <w:tcW w:w="584" w:type="dxa"/>
            <w:tcBorders>
              <w:top w:val="nil"/>
              <w:left w:val="nil"/>
              <w:bottom w:val="nil"/>
              <w:right w:val="single" w:sz="4" w:space="0" w:color="auto"/>
            </w:tcBorders>
            <w:shd w:val="clear" w:color="auto" w:fill="auto"/>
            <w:vAlign w:val="center"/>
            <w:hideMark/>
          </w:tcPr>
          <w:p w14:paraId="4DFB8740"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14,99</w:t>
            </w:r>
          </w:p>
        </w:tc>
        <w:tc>
          <w:tcPr>
            <w:tcW w:w="798" w:type="dxa"/>
            <w:tcBorders>
              <w:top w:val="nil"/>
              <w:left w:val="nil"/>
              <w:bottom w:val="nil"/>
              <w:right w:val="nil"/>
            </w:tcBorders>
            <w:shd w:val="clear" w:color="auto" w:fill="auto"/>
            <w:noWrap/>
            <w:vAlign w:val="center"/>
            <w:hideMark/>
          </w:tcPr>
          <w:p w14:paraId="4580775E"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11,29</w:t>
            </w:r>
          </w:p>
        </w:tc>
        <w:tc>
          <w:tcPr>
            <w:tcW w:w="805" w:type="dxa"/>
            <w:tcBorders>
              <w:top w:val="nil"/>
              <w:left w:val="nil"/>
              <w:bottom w:val="nil"/>
              <w:right w:val="nil"/>
            </w:tcBorders>
            <w:shd w:val="clear" w:color="auto" w:fill="auto"/>
            <w:noWrap/>
            <w:vAlign w:val="center"/>
            <w:hideMark/>
          </w:tcPr>
          <w:p w14:paraId="6C70382C"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48,26</w:t>
            </w:r>
          </w:p>
        </w:tc>
        <w:tc>
          <w:tcPr>
            <w:tcW w:w="606" w:type="dxa"/>
            <w:tcBorders>
              <w:top w:val="nil"/>
              <w:left w:val="nil"/>
              <w:bottom w:val="nil"/>
              <w:right w:val="single" w:sz="4" w:space="0" w:color="auto"/>
            </w:tcBorders>
            <w:shd w:val="clear" w:color="auto" w:fill="auto"/>
            <w:vAlign w:val="center"/>
            <w:hideMark/>
          </w:tcPr>
          <w:p w14:paraId="2827E6D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427,38</w:t>
            </w:r>
          </w:p>
        </w:tc>
        <w:tc>
          <w:tcPr>
            <w:tcW w:w="798" w:type="dxa"/>
            <w:tcBorders>
              <w:top w:val="nil"/>
              <w:left w:val="nil"/>
              <w:bottom w:val="nil"/>
              <w:right w:val="nil"/>
            </w:tcBorders>
            <w:shd w:val="clear" w:color="auto" w:fill="auto"/>
            <w:noWrap/>
            <w:vAlign w:val="center"/>
            <w:hideMark/>
          </w:tcPr>
          <w:p w14:paraId="1DCEE36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4,84</w:t>
            </w:r>
          </w:p>
        </w:tc>
        <w:tc>
          <w:tcPr>
            <w:tcW w:w="820" w:type="dxa"/>
            <w:tcBorders>
              <w:top w:val="nil"/>
              <w:left w:val="nil"/>
              <w:bottom w:val="nil"/>
              <w:right w:val="nil"/>
            </w:tcBorders>
            <w:shd w:val="clear" w:color="auto" w:fill="auto"/>
            <w:noWrap/>
            <w:vAlign w:val="center"/>
            <w:hideMark/>
          </w:tcPr>
          <w:p w14:paraId="24F79DF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0,79</w:t>
            </w:r>
          </w:p>
        </w:tc>
        <w:tc>
          <w:tcPr>
            <w:tcW w:w="606" w:type="dxa"/>
            <w:tcBorders>
              <w:top w:val="nil"/>
              <w:left w:val="nil"/>
              <w:bottom w:val="nil"/>
              <w:right w:val="nil"/>
            </w:tcBorders>
            <w:shd w:val="clear" w:color="auto" w:fill="auto"/>
            <w:vAlign w:val="center"/>
            <w:hideMark/>
          </w:tcPr>
          <w:p w14:paraId="4A7416F9"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16,35</w:t>
            </w:r>
          </w:p>
        </w:tc>
      </w:tr>
      <w:tr w:rsidR="007B6C07" w:rsidRPr="003B3897" w14:paraId="5735232B" w14:textId="77777777" w:rsidTr="004A2F16">
        <w:trPr>
          <w:trHeight w:val="300"/>
        </w:trPr>
        <w:tc>
          <w:tcPr>
            <w:tcW w:w="793" w:type="dxa"/>
            <w:tcBorders>
              <w:top w:val="nil"/>
              <w:left w:val="nil"/>
              <w:bottom w:val="nil"/>
              <w:right w:val="nil"/>
            </w:tcBorders>
            <w:shd w:val="clear" w:color="auto" w:fill="auto"/>
            <w:vAlign w:val="center"/>
            <w:hideMark/>
          </w:tcPr>
          <w:p w14:paraId="02AB94E1"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MF SR</w:t>
            </w:r>
          </w:p>
        </w:tc>
        <w:tc>
          <w:tcPr>
            <w:tcW w:w="798" w:type="dxa"/>
            <w:tcBorders>
              <w:top w:val="nil"/>
              <w:left w:val="nil"/>
              <w:bottom w:val="nil"/>
              <w:right w:val="nil"/>
            </w:tcBorders>
            <w:shd w:val="clear" w:color="auto" w:fill="auto"/>
            <w:noWrap/>
            <w:vAlign w:val="center"/>
            <w:hideMark/>
          </w:tcPr>
          <w:p w14:paraId="0B7B2F7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763" w:type="dxa"/>
            <w:tcBorders>
              <w:top w:val="nil"/>
              <w:left w:val="nil"/>
              <w:bottom w:val="nil"/>
              <w:right w:val="nil"/>
            </w:tcBorders>
            <w:shd w:val="clear" w:color="auto" w:fill="auto"/>
            <w:noWrap/>
            <w:vAlign w:val="center"/>
            <w:hideMark/>
          </w:tcPr>
          <w:p w14:paraId="0FD7C24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584" w:type="dxa"/>
            <w:tcBorders>
              <w:top w:val="nil"/>
              <w:left w:val="nil"/>
              <w:bottom w:val="nil"/>
              <w:right w:val="single" w:sz="4" w:space="0" w:color="auto"/>
            </w:tcBorders>
            <w:shd w:val="clear" w:color="auto" w:fill="auto"/>
            <w:vAlign w:val="center"/>
            <w:hideMark/>
          </w:tcPr>
          <w:p w14:paraId="63448EB9"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842" w:type="dxa"/>
            <w:tcBorders>
              <w:top w:val="nil"/>
              <w:left w:val="nil"/>
              <w:bottom w:val="nil"/>
              <w:right w:val="nil"/>
            </w:tcBorders>
            <w:shd w:val="clear" w:color="auto" w:fill="auto"/>
            <w:noWrap/>
            <w:vAlign w:val="center"/>
            <w:hideMark/>
          </w:tcPr>
          <w:p w14:paraId="58242C9B"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7ED00CEC"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584" w:type="dxa"/>
            <w:tcBorders>
              <w:top w:val="nil"/>
              <w:left w:val="nil"/>
              <w:bottom w:val="nil"/>
              <w:right w:val="single" w:sz="4" w:space="0" w:color="auto"/>
            </w:tcBorders>
            <w:shd w:val="clear" w:color="auto" w:fill="auto"/>
            <w:vAlign w:val="center"/>
            <w:hideMark/>
          </w:tcPr>
          <w:p w14:paraId="0E8CB90A"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47A37F7C"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1,56</w:t>
            </w:r>
          </w:p>
        </w:tc>
        <w:tc>
          <w:tcPr>
            <w:tcW w:w="805" w:type="dxa"/>
            <w:tcBorders>
              <w:top w:val="nil"/>
              <w:left w:val="nil"/>
              <w:bottom w:val="nil"/>
              <w:right w:val="nil"/>
            </w:tcBorders>
            <w:shd w:val="clear" w:color="auto" w:fill="auto"/>
            <w:noWrap/>
            <w:vAlign w:val="center"/>
            <w:hideMark/>
          </w:tcPr>
          <w:p w14:paraId="665EA37E"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1,34</w:t>
            </w:r>
          </w:p>
        </w:tc>
        <w:tc>
          <w:tcPr>
            <w:tcW w:w="606" w:type="dxa"/>
            <w:tcBorders>
              <w:top w:val="nil"/>
              <w:left w:val="nil"/>
              <w:bottom w:val="nil"/>
              <w:right w:val="single" w:sz="4" w:space="0" w:color="auto"/>
            </w:tcBorders>
            <w:shd w:val="clear" w:color="auto" w:fill="auto"/>
            <w:vAlign w:val="center"/>
            <w:hideMark/>
          </w:tcPr>
          <w:p w14:paraId="57B304BE"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85,73</w:t>
            </w:r>
          </w:p>
        </w:tc>
        <w:tc>
          <w:tcPr>
            <w:tcW w:w="798" w:type="dxa"/>
            <w:tcBorders>
              <w:top w:val="nil"/>
              <w:left w:val="nil"/>
              <w:bottom w:val="nil"/>
              <w:right w:val="nil"/>
            </w:tcBorders>
            <w:shd w:val="clear" w:color="auto" w:fill="auto"/>
            <w:noWrap/>
            <w:vAlign w:val="center"/>
            <w:hideMark/>
          </w:tcPr>
          <w:p w14:paraId="09C9E36A"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1,55</w:t>
            </w:r>
          </w:p>
        </w:tc>
        <w:tc>
          <w:tcPr>
            <w:tcW w:w="820" w:type="dxa"/>
            <w:tcBorders>
              <w:top w:val="nil"/>
              <w:left w:val="nil"/>
              <w:bottom w:val="nil"/>
              <w:right w:val="nil"/>
            </w:tcBorders>
            <w:shd w:val="clear" w:color="auto" w:fill="auto"/>
            <w:noWrap/>
            <w:vAlign w:val="center"/>
            <w:hideMark/>
          </w:tcPr>
          <w:p w14:paraId="21260CB0"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0,09</w:t>
            </w:r>
          </w:p>
        </w:tc>
        <w:tc>
          <w:tcPr>
            <w:tcW w:w="606" w:type="dxa"/>
            <w:tcBorders>
              <w:top w:val="nil"/>
              <w:left w:val="nil"/>
              <w:bottom w:val="nil"/>
              <w:right w:val="nil"/>
            </w:tcBorders>
            <w:shd w:val="clear" w:color="auto" w:fill="auto"/>
            <w:vAlign w:val="center"/>
            <w:hideMark/>
          </w:tcPr>
          <w:p w14:paraId="4BC171BC"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5,86</w:t>
            </w:r>
          </w:p>
        </w:tc>
      </w:tr>
      <w:tr w:rsidR="007B6C07" w:rsidRPr="003B3897" w14:paraId="763F25FB" w14:textId="77777777" w:rsidTr="004A2F16">
        <w:trPr>
          <w:trHeight w:val="300"/>
        </w:trPr>
        <w:tc>
          <w:tcPr>
            <w:tcW w:w="793" w:type="dxa"/>
            <w:tcBorders>
              <w:top w:val="nil"/>
              <w:left w:val="nil"/>
              <w:bottom w:val="nil"/>
              <w:right w:val="nil"/>
            </w:tcBorders>
            <w:shd w:val="clear" w:color="auto" w:fill="auto"/>
            <w:vAlign w:val="center"/>
            <w:hideMark/>
          </w:tcPr>
          <w:p w14:paraId="2C931BB6"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MŽP SR</w:t>
            </w:r>
          </w:p>
        </w:tc>
        <w:tc>
          <w:tcPr>
            <w:tcW w:w="798" w:type="dxa"/>
            <w:tcBorders>
              <w:top w:val="nil"/>
              <w:left w:val="nil"/>
              <w:bottom w:val="nil"/>
              <w:right w:val="nil"/>
            </w:tcBorders>
            <w:shd w:val="clear" w:color="auto" w:fill="auto"/>
            <w:noWrap/>
            <w:vAlign w:val="center"/>
            <w:hideMark/>
          </w:tcPr>
          <w:p w14:paraId="229AEEF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181,32</w:t>
            </w:r>
          </w:p>
        </w:tc>
        <w:tc>
          <w:tcPr>
            <w:tcW w:w="763" w:type="dxa"/>
            <w:tcBorders>
              <w:top w:val="nil"/>
              <w:left w:val="nil"/>
              <w:bottom w:val="nil"/>
              <w:right w:val="nil"/>
            </w:tcBorders>
            <w:shd w:val="clear" w:color="auto" w:fill="auto"/>
            <w:noWrap/>
            <w:vAlign w:val="center"/>
            <w:hideMark/>
          </w:tcPr>
          <w:p w14:paraId="2CCDFEA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3,85</w:t>
            </w:r>
          </w:p>
        </w:tc>
        <w:tc>
          <w:tcPr>
            <w:tcW w:w="584" w:type="dxa"/>
            <w:tcBorders>
              <w:top w:val="nil"/>
              <w:left w:val="nil"/>
              <w:bottom w:val="nil"/>
              <w:right w:val="single" w:sz="4" w:space="0" w:color="auto"/>
            </w:tcBorders>
            <w:shd w:val="clear" w:color="auto" w:fill="auto"/>
            <w:vAlign w:val="center"/>
            <w:hideMark/>
          </w:tcPr>
          <w:p w14:paraId="75B00C3C"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2,12</w:t>
            </w:r>
          </w:p>
        </w:tc>
        <w:tc>
          <w:tcPr>
            <w:tcW w:w="842" w:type="dxa"/>
            <w:tcBorders>
              <w:top w:val="nil"/>
              <w:left w:val="nil"/>
              <w:bottom w:val="nil"/>
              <w:right w:val="nil"/>
            </w:tcBorders>
            <w:shd w:val="clear" w:color="auto" w:fill="auto"/>
            <w:noWrap/>
            <w:vAlign w:val="center"/>
            <w:hideMark/>
          </w:tcPr>
          <w:p w14:paraId="7DD24E62"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527,75</w:t>
            </w:r>
          </w:p>
        </w:tc>
        <w:tc>
          <w:tcPr>
            <w:tcW w:w="805" w:type="dxa"/>
            <w:tcBorders>
              <w:top w:val="nil"/>
              <w:left w:val="nil"/>
              <w:bottom w:val="nil"/>
              <w:right w:val="nil"/>
            </w:tcBorders>
            <w:shd w:val="clear" w:color="auto" w:fill="auto"/>
            <w:noWrap/>
            <w:vAlign w:val="center"/>
            <w:hideMark/>
          </w:tcPr>
          <w:p w14:paraId="0815F7B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193,72</w:t>
            </w:r>
          </w:p>
        </w:tc>
        <w:tc>
          <w:tcPr>
            <w:tcW w:w="584" w:type="dxa"/>
            <w:tcBorders>
              <w:top w:val="nil"/>
              <w:left w:val="nil"/>
              <w:bottom w:val="nil"/>
              <w:right w:val="single" w:sz="4" w:space="0" w:color="auto"/>
            </w:tcBorders>
            <w:shd w:val="clear" w:color="auto" w:fill="auto"/>
            <w:vAlign w:val="center"/>
            <w:hideMark/>
          </w:tcPr>
          <w:p w14:paraId="4DCD19E5"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36,71</w:t>
            </w:r>
          </w:p>
        </w:tc>
        <w:tc>
          <w:tcPr>
            <w:tcW w:w="798" w:type="dxa"/>
            <w:tcBorders>
              <w:top w:val="nil"/>
              <w:left w:val="nil"/>
              <w:bottom w:val="nil"/>
              <w:right w:val="nil"/>
            </w:tcBorders>
            <w:shd w:val="clear" w:color="auto" w:fill="auto"/>
            <w:noWrap/>
            <w:vAlign w:val="center"/>
            <w:hideMark/>
          </w:tcPr>
          <w:p w14:paraId="50674E0B"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224,47</w:t>
            </w:r>
          </w:p>
        </w:tc>
        <w:tc>
          <w:tcPr>
            <w:tcW w:w="805" w:type="dxa"/>
            <w:tcBorders>
              <w:top w:val="nil"/>
              <w:left w:val="nil"/>
              <w:bottom w:val="nil"/>
              <w:right w:val="nil"/>
            </w:tcBorders>
            <w:shd w:val="clear" w:color="auto" w:fill="auto"/>
            <w:noWrap/>
            <w:vAlign w:val="center"/>
            <w:hideMark/>
          </w:tcPr>
          <w:p w14:paraId="2629CC6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20,56</w:t>
            </w:r>
          </w:p>
        </w:tc>
        <w:tc>
          <w:tcPr>
            <w:tcW w:w="606" w:type="dxa"/>
            <w:tcBorders>
              <w:top w:val="nil"/>
              <w:left w:val="nil"/>
              <w:bottom w:val="nil"/>
              <w:right w:val="single" w:sz="4" w:space="0" w:color="auto"/>
            </w:tcBorders>
            <w:shd w:val="clear" w:color="auto" w:fill="auto"/>
            <w:vAlign w:val="center"/>
            <w:hideMark/>
          </w:tcPr>
          <w:p w14:paraId="2C9314B6"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9,16</w:t>
            </w:r>
          </w:p>
        </w:tc>
        <w:tc>
          <w:tcPr>
            <w:tcW w:w="798" w:type="dxa"/>
            <w:tcBorders>
              <w:top w:val="nil"/>
              <w:left w:val="nil"/>
              <w:bottom w:val="nil"/>
              <w:right w:val="nil"/>
            </w:tcBorders>
            <w:shd w:val="clear" w:color="auto" w:fill="auto"/>
            <w:noWrap/>
            <w:vAlign w:val="center"/>
            <w:hideMark/>
          </w:tcPr>
          <w:p w14:paraId="218E51A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87,78</w:t>
            </w:r>
          </w:p>
        </w:tc>
        <w:tc>
          <w:tcPr>
            <w:tcW w:w="820" w:type="dxa"/>
            <w:tcBorders>
              <w:top w:val="nil"/>
              <w:left w:val="nil"/>
              <w:bottom w:val="nil"/>
              <w:right w:val="nil"/>
            </w:tcBorders>
            <w:shd w:val="clear" w:color="auto" w:fill="auto"/>
            <w:noWrap/>
            <w:vAlign w:val="center"/>
            <w:hideMark/>
          </w:tcPr>
          <w:p w14:paraId="6BE01F3B"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127,83</w:t>
            </w:r>
          </w:p>
        </w:tc>
        <w:tc>
          <w:tcPr>
            <w:tcW w:w="606" w:type="dxa"/>
            <w:tcBorders>
              <w:top w:val="nil"/>
              <w:left w:val="nil"/>
              <w:bottom w:val="nil"/>
              <w:right w:val="nil"/>
            </w:tcBorders>
            <w:shd w:val="clear" w:color="auto" w:fill="auto"/>
            <w:vAlign w:val="center"/>
            <w:hideMark/>
          </w:tcPr>
          <w:p w14:paraId="101AFBEB"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145,64</w:t>
            </w:r>
          </w:p>
        </w:tc>
      </w:tr>
      <w:tr w:rsidR="007B6C07" w:rsidRPr="003B3897" w14:paraId="2B5935D5" w14:textId="77777777" w:rsidTr="004A2F16">
        <w:trPr>
          <w:trHeight w:val="300"/>
        </w:trPr>
        <w:tc>
          <w:tcPr>
            <w:tcW w:w="793" w:type="dxa"/>
            <w:tcBorders>
              <w:top w:val="nil"/>
              <w:left w:val="nil"/>
              <w:bottom w:val="nil"/>
              <w:right w:val="nil"/>
            </w:tcBorders>
            <w:shd w:val="clear" w:color="auto" w:fill="auto"/>
            <w:vAlign w:val="center"/>
            <w:hideMark/>
          </w:tcPr>
          <w:p w14:paraId="6FA1168D" w14:textId="0D99FE26" w:rsidR="007B6C07" w:rsidRPr="007D3345" w:rsidRDefault="007B6C07" w:rsidP="004A2F16">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MŠVVM SR</w:t>
            </w:r>
          </w:p>
        </w:tc>
        <w:tc>
          <w:tcPr>
            <w:tcW w:w="798" w:type="dxa"/>
            <w:tcBorders>
              <w:top w:val="nil"/>
              <w:left w:val="nil"/>
              <w:bottom w:val="nil"/>
              <w:right w:val="nil"/>
            </w:tcBorders>
            <w:shd w:val="clear" w:color="auto" w:fill="auto"/>
            <w:noWrap/>
            <w:vAlign w:val="center"/>
            <w:hideMark/>
          </w:tcPr>
          <w:p w14:paraId="11EB0F8B"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334,21</w:t>
            </w:r>
          </w:p>
        </w:tc>
        <w:tc>
          <w:tcPr>
            <w:tcW w:w="763" w:type="dxa"/>
            <w:tcBorders>
              <w:top w:val="nil"/>
              <w:left w:val="nil"/>
              <w:bottom w:val="nil"/>
              <w:right w:val="nil"/>
            </w:tcBorders>
            <w:shd w:val="clear" w:color="auto" w:fill="auto"/>
            <w:noWrap/>
            <w:vAlign w:val="center"/>
            <w:hideMark/>
          </w:tcPr>
          <w:p w14:paraId="01C005C4"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25,75</w:t>
            </w:r>
          </w:p>
        </w:tc>
        <w:tc>
          <w:tcPr>
            <w:tcW w:w="584" w:type="dxa"/>
            <w:tcBorders>
              <w:top w:val="nil"/>
              <w:left w:val="nil"/>
              <w:bottom w:val="nil"/>
              <w:right w:val="single" w:sz="4" w:space="0" w:color="auto"/>
            </w:tcBorders>
            <w:shd w:val="clear" w:color="auto" w:fill="auto"/>
            <w:vAlign w:val="center"/>
            <w:hideMark/>
          </w:tcPr>
          <w:p w14:paraId="3EA9E182"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7,71</w:t>
            </w:r>
          </w:p>
        </w:tc>
        <w:tc>
          <w:tcPr>
            <w:tcW w:w="842" w:type="dxa"/>
            <w:tcBorders>
              <w:top w:val="nil"/>
              <w:left w:val="nil"/>
              <w:bottom w:val="nil"/>
              <w:right w:val="nil"/>
            </w:tcBorders>
            <w:shd w:val="clear" w:color="auto" w:fill="auto"/>
            <w:noWrap/>
            <w:vAlign w:val="center"/>
            <w:hideMark/>
          </w:tcPr>
          <w:p w14:paraId="163CFFA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307,21</w:t>
            </w:r>
          </w:p>
        </w:tc>
        <w:tc>
          <w:tcPr>
            <w:tcW w:w="805" w:type="dxa"/>
            <w:tcBorders>
              <w:top w:val="nil"/>
              <w:left w:val="nil"/>
              <w:bottom w:val="nil"/>
              <w:right w:val="nil"/>
            </w:tcBorders>
            <w:shd w:val="clear" w:color="auto" w:fill="auto"/>
            <w:noWrap/>
            <w:vAlign w:val="center"/>
            <w:hideMark/>
          </w:tcPr>
          <w:p w14:paraId="3D27DEAA"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40,13</w:t>
            </w:r>
          </w:p>
        </w:tc>
        <w:tc>
          <w:tcPr>
            <w:tcW w:w="584" w:type="dxa"/>
            <w:tcBorders>
              <w:top w:val="nil"/>
              <w:left w:val="nil"/>
              <w:bottom w:val="nil"/>
              <w:right w:val="single" w:sz="4" w:space="0" w:color="auto"/>
            </w:tcBorders>
            <w:shd w:val="clear" w:color="auto" w:fill="auto"/>
            <w:vAlign w:val="center"/>
            <w:hideMark/>
          </w:tcPr>
          <w:p w14:paraId="3D96006A"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13,06</w:t>
            </w:r>
          </w:p>
        </w:tc>
        <w:tc>
          <w:tcPr>
            <w:tcW w:w="798" w:type="dxa"/>
            <w:tcBorders>
              <w:top w:val="nil"/>
              <w:left w:val="nil"/>
              <w:bottom w:val="nil"/>
              <w:right w:val="nil"/>
            </w:tcBorders>
            <w:shd w:val="clear" w:color="auto" w:fill="auto"/>
            <w:noWrap/>
            <w:vAlign w:val="center"/>
            <w:hideMark/>
          </w:tcPr>
          <w:p w14:paraId="3E9AC87C"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123,60</w:t>
            </w:r>
          </w:p>
        </w:tc>
        <w:tc>
          <w:tcPr>
            <w:tcW w:w="805" w:type="dxa"/>
            <w:tcBorders>
              <w:top w:val="nil"/>
              <w:left w:val="nil"/>
              <w:bottom w:val="nil"/>
              <w:right w:val="nil"/>
            </w:tcBorders>
            <w:shd w:val="clear" w:color="auto" w:fill="auto"/>
            <w:noWrap/>
            <w:vAlign w:val="center"/>
            <w:hideMark/>
          </w:tcPr>
          <w:p w14:paraId="530A1F0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207,75</w:t>
            </w:r>
          </w:p>
        </w:tc>
        <w:tc>
          <w:tcPr>
            <w:tcW w:w="606" w:type="dxa"/>
            <w:tcBorders>
              <w:top w:val="nil"/>
              <w:left w:val="nil"/>
              <w:bottom w:val="nil"/>
              <w:right w:val="single" w:sz="4" w:space="0" w:color="auto"/>
            </w:tcBorders>
            <w:shd w:val="clear" w:color="auto" w:fill="auto"/>
            <w:vAlign w:val="center"/>
            <w:hideMark/>
          </w:tcPr>
          <w:p w14:paraId="4656260A"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168,09</w:t>
            </w:r>
          </w:p>
        </w:tc>
        <w:tc>
          <w:tcPr>
            <w:tcW w:w="798" w:type="dxa"/>
            <w:tcBorders>
              <w:top w:val="nil"/>
              <w:left w:val="nil"/>
              <w:bottom w:val="nil"/>
              <w:right w:val="nil"/>
            </w:tcBorders>
            <w:shd w:val="clear" w:color="auto" w:fill="auto"/>
            <w:noWrap/>
            <w:vAlign w:val="center"/>
            <w:hideMark/>
          </w:tcPr>
          <w:p w14:paraId="71FE322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84,74</w:t>
            </w:r>
          </w:p>
        </w:tc>
        <w:tc>
          <w:tcPr>
            <w:tcW w:w="820" w:type="dxa"/>
            <w:tcBorders>
              <w:top w:val="nil"/>
              <w:left w:val="nil"/>
              <w:bottom w:val="nil"/>
              <w:right w:val="nil"/>
            </w:tcBorders>
            <w:shd w:val="clear" w:color="auto" w:fill="auto"/>
            <w:noWrap/>
            <w:vAlign w:val="center"/>
            <w:hideMark/>
          </w:tcPr>
          <w:p w14:paraId="3FD82C2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65,85</w:t>
            </w:r>
          </w:p>
        </w:tc>
        <w:tc>
          <w:tcPr>
            <w:tcW w:w="606" w:type="dxa"/>
            <w:tcBorders>
              <w:top w:val="nil"/>
              <w:left w:val="nil"/>
              <w:bottom w:val="nil"/>
              <w:right w:val="nil"/>
            </w:tcBorders>
            <w:shd w:val="clear" w:color="auto" w:fill="auto"/>
            <w:vAlign w:val="center"/>
            <w:hideMark/>
          </w:tcPr>
          <w:p w14:paraId="63220651"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77,70</w:t>
            </w:r>
          </w:p>
        </w:tc>
      </w:tr>
      <w:tr w:rsidR="007B6C07" w:rsidRPr="003B3897" w14:paraId="794CD766" w14:textId="77777777" w:rsidTr="004A2F16">
        <w:trPr>
          <w:trHeight w:val="300"/>
        </w:trPr>
        <w:tc>
          <w:tcPr>
            <w:tcW w:w="793" w:type="dxa"/>
            <w:tcBorders>
              <w:top w:val="nil"/>
              <w:left w:val="nil"/>
              <w:bottom w:val="nil"/>
              <w:right w:val="nil"/>
            </w:tcBorders>
            <w:shd w:val="clear" w:color="auto" w:fill="auto"/>
            <w:vAlign w:val="center"/>
            <w:hideMark/>
          </w:tcPr>
          <w:p w14:paraId="1872EF25"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MZ SR</w:t>
            </w:r>
          </w:p>
        </w:tc>
        <w:tc>
          <w:tcPr>
            <w:tcW w:w="798" w:type="dxa"/>
            <w:tcBorders>
              <w:top w:val="nil"/>
              <w:left w:val="nil"/>
              <w:bottom w:val="nil"/>
              <w:right w:val="nil"/>
            </w:tcBorders>
            <w:shd w:val="clear" w:color="auto" w:fill="auto"/>
            <w:noWrap/>
            <w:vAlign w:val="center"/>
            <w:hideMark/>
          </w:tcPr>
          <w:p w14:paraId="0C4D0BDA"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184,55</w:t>
            </w:r>
          </w:p>
        </w:tc>
        <w:tc>
          <w:tcPr>
            <w:tcW w:w="763" w:type="dxa"/>
            <w:tcBorders>
              <w:top w:val="nil"/>
              <w:left w:val="nil"/>
              <w:bottom w:val="nil"/>
              <w:right w:val="nil"/>
            </w:tcBorders>
            <w:shd w:val="clear" w:color="auto" w:fill="auto"/>
            <w:noWrap/>
            <w:vAlign w:val="center"/>
            <w:hideMark/>
          </w:tcPr>
          <w:p w14:paraId="02CC608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3,07</w:t>
            </w:r>
          </w:p>
        </w:tc>
        <w:tc>
          <w:tcPr>
            <w:tcW w:w="584" w:type="dxa"/>
            <w:tcBorders>
              <w:top w:val="nil"/>
              <w:left w:val="nil"/>
              <w:bottom w:val="nil"/>
              <w:right w:val="single" w:sz="4" w:space="0" w:color="auto"/>
            </w:tcBorders>
            <w:shd w:val="clear" w:color="auto" w:fill="auto"/>
            <w:vAlign w:val="center"/>
            <w:hideMark/>
          </w:tcPr>
          <w:p w14:paraId="759F9C3D"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1,66</w:t>
            </w:r>
          </w:p>
        </w:tc>
        <w:tc>
          <w:tcPr>
            <w:tcW w:w="842" w:type="dxa"/>
            <w:tcBorders>
              <w:top w:val="nil"/>
              <w:left w:val="nil"/>
              <w:bottom w:val="nil"/>
              <w:right w:val="nil"/>
            </w:tcBorders>
            <w:shd w:val="clear" w:color="auto" w:fill="auto"/>
            <w:noWrap/>
            <w:vAlign w:val="center"/>
            <w:hideMark/>
          </w:tcPr>
          <w:p w14:paraId="0739CCC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377,43</w:t>
            </w:r>
          </w:p>
        </w:tc>
        <w:tc>
          <w:tcPr>
            <w:tcW w:w="805" w:type="dxa"/>
            <w:tcBorders>
              <w:top w:val="nil"/>
              <w:left w:val="nil"/>
              <w:bottom w:val="nil"/>
              <w:right w:val="nil"/>
            </w:tcBorders>
            <w:shd w:val="clear" w:color="auto" w:fill="auto"/>
            <w:noWrap/>
            <w:vAlign w:val="center"/>
            <w:hideMark/>
          </w:tcPr>
          <w:p w14:paraId="4F716EAB"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18,98</w:t>
            </w:r>
          </w:p>
        </w:tc>
        <w:tc>
          <w:tcPr>
            <w:tcW w:w="584" w:type="dxa"/>
            <w:tcBorders>
              <w:top w:val="nil"/>
              <w:left w:val="nil"/>
              <w:bottom w:val="nil"/>
              <w:right w:val="single" w:sz="4" w:space="0" w:color="auto"/>
            </w:tcBorders>
            <w:shd w:val="clear" w:color="auto" w:fill="auto"/>
            <w:vAlign w:val="center"/>
            <w:hideMark/>
          </w:tcPr>
          <w:p w14:paraId="4DAF6C70"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5,03</w:t>
            </w:r>
          </w:p>
        </w:tc>
        <w:tc>
          <w:tcPr>
            <w:tcW w:w="798" w:type="dxa"/>
            <w:tcBorders>
              <w:top w:val="nil"/>
              <w:left w:val="nil"/>
              <w:bottom w:val="nil"/>
              <w:right w:val="nil"/>
            </w:tcBorders>
            <w:shd w:val="clear" w:color="auto" w:fill="auto"/>
            <w:noWrap/>
            <w:vAlign w:val="center"/>
            <w:hideMark/>
          </w:tcPr>
          <w:p w14:paraId="5DDFE81E"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228,57</w:t>
            </w:r>
          </w:p>
        </w:tc>
        <w:tc>
          <w:tcPr>
            <w:tcW w:w="805" w:type="dxa"/>
            <w:tcBorders>
              <w:top w:val="nil"/>
              <w:left w:val="nil"/>
              <w:bottom w:val="nil"/>
              <w:right w:val="nil"/>
            </w:tcBorders>
            <w:shd w:val="clear" w:color="auto" w:fill="auto"/>
            <w:noWrap/>
            <w:vAlign w:val="center"/>
            <w:hideMark/>
          </w:tcPr>
          <w:p w14:paraId="71D8A22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268,76</w:t>
            </w:r>
          </w:p>
        </w:tc>
        <w:tc>
          <w:tcPr>
            <w:tcW w:w="606" w:type="dxa"/>
            <w:tcBorders>
              <w:top w:val="nil"/>
              <w:left w:val="nil"/>
              <w:bottom w:val="nil"/>
              <w:right w:val="single" w:sz="4" w:space="0" w:color="auto"/>
            </w:tcBorders>
            <w:shd w:val="clear" w:color="auto" w:fill="auto"/>
            <w:vAlign w:val="center"/>
            <w:hideMark/>
          </w:tcPr>
          <w:p w14:paraId="1ED1E1E1"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117,58</w:t>
            </w:r>
          </w:p>
        </w:tc>
        <w:tc>
          <w:tcPr>
            <w:tcW w:w="798" w:type="dxa"/>
            <w:tcBorders>
              <w:top w:val="nil"/>
              <w:left w:val="nil"/>
              <w:bottom w:val="nil"/>
              <w:right w:val="nil"/>
            </w:tcBorders>
            <w:shd w:val="clear" w:color="auto" w:fill="auto"/>
            <w:noWrap/>
            <w:vAlign w:val="center"/>
            <w:hideMark/>
          </w:tcPr>
          <w:p w14:paraId="74D3264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215,86</w:t>
            </w:r>
          </w:p>
        </w:tc>
        <w:tc>
          <w:tcPr>
            <w:tcW w:w="820" w:type="dxa"/>
            <w:tcBorders>
              <w:top w:val="nil"/>
              <w:left w:val="nil"/>
              <w:bottom w:val="nil"/>
              <w:right w:val="nil"/>
            </w:tcBorders>
            <w:shd w:val="clear" w:color="auto" w:fill="auto"/>
            <w:noWrap/>
            <w:vAlign w:val="center"/>
            <w:hideMark/>
          </w:tcPr>
          <w:p w14:paraId="636FDB0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21,26</w:t>
            </w:r>
          </w:p>
        </w:tc>
        <w:tc>
          <w:tcPr>
            <w:tcW w:w="606" w:type="dxa"/>
            <w:tcBorders>
              <w:top w:val="nil"/>
              <w:left w:val="nil"/>
              <w:bottom w:val="nil"/>
              <w:right w:val="nil"/>
            </w:tcBorders>
            <w:shd w:val="clear" w:color="auto" w:fill="auto"/>
            <w:vAlign w:val="center"/>
            <w:hideMark/>
          </w:tcPr>
          <w:p w14:paraId="5531F9E6"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9,85</w:t>
            </w:r>
          </w:p>
        </w:tc>
      </w:tr>
      <w:tr w:rsidR="007B6C07" w:rsidRPr="003B3897" w14:paraId="3E83B9AD" w14:textId="77777777" w:rsidTr="004A2F16">
        <w:trPr>
          <w:trHeight w:val="300"/>
        </w:trPr>
        <w:tc>
          <w:tcPr>
            <w:tcW w:w="793" w:type="dxa"/>
            <w:tcBorders>
              <w:top w:val="nil"/>
              <w:left w:val="nil"/>
              <w:bottom w:val="nil"/>
              <w:right w:val="nil"/>
            </w:tcBorders>
            <w:shd w:val="clear" w:color="auto" w:fill="auto"/>
            <w:vAlign w:val="center"/>
            <w:hideMark/>
          </w:tcPr>
          <w:p w14:paraId="13F06502" w14:textId="657C0E37" w:rsidR="007B6C07" w:rsidRPr="007D3345" w:rsidRDefault="007B6C07" w:rsidP="004A2F16">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MPSVR SR</w:t>
            </w:r>
          </w:p>
        </w:tc>
        <w:tc>
          <w:tcPr>
            <w:tcW w:w="798" w:type="dxa"/>
            <w:tcBorders>
              <w:top w:val="nil"/>
              <w:left w:val="nil"/>
              <w:bottom w:val="nil"/>
              <w:right w:val="nil"/>
            </w:tcBorders>
            <w:shd w:val="clear" w:color="auto" w:fill="auto"/>
            <w:noWrap/>
            <w:vAlign w:val="center"/>
            <w:hideMark/>
          </w:tcPr>
          <w:p w14:paraId="085FC86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33,11</w:t>
            </w:r>
          </w:p>
        </w:tc>
        <w:tc>
          <w:tcPr>
            <w:tcW w:w="763" w:type="dxa"/>
            <w:tcBorders>
              <w:top w:val="nil"/>
              <w:left w:val="nil"/>
              <w:bottom w:val="nil"/>
              <w:right w:val="nil"/>
            </w:tcBorders>
            <w:shd w:val="clear" w:color="auto" w:fill="auto"/>
            <w:noWrap/>
            <w:vAlign w:val="center"/>
            <w:hideMark/>
          </w:tcPr>
          <w:p w14:paraId="5D99017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0,14</w:t>
            </w:r>
          </w:p>
        </w:tc>
        <w:tc>
          <w:tcPr>
            <w:tcW w:w="584" w:type="dxa"/>
            <w:tcBorders>
              <w:top w:val="nil"/>
              <w:left w:val="nil"/>
              <w:bottom w:val="nil"/>
              <w:right w:val="single" w:sz="4" w:space="0" w:color="auto"/>
            </w:tcBorders>
            <w:shd w:val="clear" w:color="auto" w:fill="auto"/>
            <w:vAlign w:val="center"/>
            <w:hideMark/>
          </w:tcPr>
          <w:p w14:paraId="51DA4CCF"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0,42</w:t>
            </w:r>
          </w:p>
        </w:tc>
        <w:tc>
          <w:tcPr>
            <w:tcW w:w="842" w:type="dxa"/>
            <w:tcBorders>
              <w:top w:val="nil"/>
              <w:left w:val="nil"/>
              <w:bottom w:val="nil"/>
              <w:right w:val="nil"/>
            </w:tcBorders>
            <w:shd w:val="clear" w:color="auto" w:fill="auto"/>
            <w:noWrap/>
            <w:vAlign w:val="center"/>
            <w:hideMark/>
          </w:tcPr>
          <w:p w14:paraId="3EC1707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57,07</w:t>
            </w:r>
          </w:p>
        </w:tc>
        <w:tc>
          <w:tcPr>
            <w:tcW w:w="805" w:type="dxa"/>
            <w:tcBorders>
              <w:top w:val="nil"/>
              <w:left w:val="nil"/>
              <w:bottom w:val="nil"/>
              <w:right w:val="nil"/>
            </w:tcBorders>
            <w:shd w:val="clear" w:color="auto" w:fill="auto"/>
            <w:noWrap/>
            <w:vAlign w:val="center"/>
            <w:hideMark/>
          </w:tcPr>
          <w:p w14:paraId="1E04B28B"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5,70</w:t>
            </w:r>
          </w:p>
        </w:tc>
        <w:tc>
          <w:tcPr>
            <w:tcW w:w="584" w:type="dxa"/>
            <w:tcBorders>
              <w:top w:val="nil"/>
              <w:left w:val="nil"/>
              <w:bottom w:val="nil"/>
              <w:right w:val="single" w:sz="4" w:space="0" w:color="auto"/>
            </w:tcBorders>
            <w:shd w:val="clear" w:color="auto" w:fill="auto"/>
            <w:vAlign w:val="center"/>
            <w:hideMark/>
          </w:tcPr>
          <w:p w14:paraId="35423725"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9,99</w:t>
            </w:r>
          </w:p>
        </w:tc>
        <w:tc>
          <w:tcPr>
            <w:tcW w:w="798" w:type="dxa"/>
            <w:tcBorders>
              <w:top w:val="nil"/>
              <w:left w:val="nil"/>
              <w:bottom w:val="nil"/>
              <w:right w:val="nil"/>
            </w:tcBorders>
            <w:shd w:val="clear" w:color="auto" w:fill="auto"/>
            <w:noWrap/>
            <w:vAlign w:val="center"/>
            <w:hideMark/>
          </w:tcPr>
          <w:p w14:paraId="484A463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44,30</w:t>
            </w:r>
          </w:p>
        </w:tc>
        <w:tc>
          <w:tcPr>
            <w:tcW w:w="805" w:type="dxa"/>
            <w:tcBorders>
              <w:top w:val="nil"/>
              <w:left w:val="nil"/>
              <w:bottom w:val="nil"/>
              <w:right w:val="nil"/>
            </w:tcBorders>
            <w:shd w:val="clear" w:color="auto" w:fill="auto"/>
            <w:noWrap/>
            <w:vAlign w:val="center"/>
            <w:hideMark/>
          </w:tcPr>
          <w:p w14:paraId="647428D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115,72</w:t>
            </w:r>
          </w:p>
        </w:tc>
        <w:tc>
          <w:tcPr>
            <w:tcW w:w="606" w:type="dxa"/>
            <w:tcBorders>
              <w:top w:val="nil"/>
              <w:left w:val="nil"/>
              <w:bottom w:val="nil"/>
              <w:right w:val="single" w:sz="4" w:space="0" w:color="auto"/>
            </w:tcBorders>
            <w:shd w:val="clear" w:color="auto" w:fill="auto"/>
            <w:vAlign w:val="center"/>
            <w:hideMark/>
          </w:tcPr>
          <w:p w14:paraId="574F5B74"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261,24</w:t>
            </w:r>
          </w:p>
        </w:tc>
        <w:tc>
          <w:tcPr>
            <w:tcW w:w="798" w:type="dxa"/>
            <w:tcBorders>
              <w:top w:val="nil"/>
              <w:left w:val="nil"/>
              <w:bottom w:val="nil"/>
              <w:right w:val="nil"/>
            </w:tcBorders>
            <w:shd w:val="clear" w:color="auto" w:fill="auto"/>
            <w:noWrap/>
            <w:vAlign w:val="center"/>
            <w:hideMark/>
          </w:tcPr>
          <w:p w14:paraId="1A745672"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45,83</w:t>
            </w:r>
          </w:p>
        </w:tc>
        <w:tc>
          <w:tcPr>
            <w:tcW w:w="820" w:type="dxa"/>
            <w:tcBorders>
              <w:top w:val="nil"/>
              <w:left w:val="nil"/>
              <w:bottom w:val="nil"/>
              <w:right w:val="nil"/>
            </w:tcBorders>
            <w:shd w:val="clear" w:color="auto" w:fill="auto"/>
            <w:noWrap/>
            <w:vAlign w:val="center"/>
            <w:hideMark/>
          </w:tcPr>
          <w:p w14:paraId="7C251D1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11,79</w:t>
            </w:r>
          </w:p>
        </w:tc>
        <w:tc>
          <w:tcPr>
            <w:tcW w:w="606" w:type="dxa"/>
            <w:tcBorders>
              <w:top w:val="nil"/>
              <w:left w:val="nil"/>
              <w:bottom w:val="nil"/>
              <w:right w:val="nil"/>
            </w:tcBorders>
            <w:shd w:val="clear" w:color="auto" w:fill="auto"/>
            <w:vAlign w:val="center"/>
            <w:hideMark/>
          </w:tcPr>
          <w:p w14:paraId="36D90438"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25,73</w:t>
            </w:r>
          </w:p>
        </w:tc>
      </w:tr>
      <w:tr w:rsidR="007B6C07" w:rsidRPr="003B3897" w14:paraId="1EBD09FF" w14:textId="77777777" w:rsidTr="004A2F16">
        <w:trPr>
          <w:trHeight w:val="300"/>
        </w:trPr>
        <w:tc>
          <w:tcPr>
            <w:tcW w:w="793" w:type="dxa"/>
            <w:tcBorders>
              <w:top w:val="nil"/>
              <w:left w:val="nil"/>
              <w:bottom w:val="nil"/>
              <w:right w:val="nil"/>
            </w:tcBorders>
            <w:shd w:val="clear" w:color="auto" w:fill="auto"/>
            <w:vAlign w:val="center"/>
            <w:hideMark/>
          </w:tcPr>
          <w:p w14:paraId="5E76F9D0"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MK SR</w:t>
            </w:r>
          </w:p>
        </w:tc>
        <w:tc>
          <w:tcPr>
            <w:tcW w:w="798" w:type="dxa"/>
            <w:tcBorders>
              <w:top w:val="nil"/>
              <w:left w:val="nil"/>
              <w:bottom w:val="nil"/>
              <w:right w:val="nil"/>
            </w:tcBorders>
            <w:shd w:val="clear" w:color="auto" w:fill="auto"/>
            <w:noWrap/>
            <w:vAlign w:val="center"/>
            <w:hideMark/>
          </w:tcPr>
          <w:p w14:paraId="155A83D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3,49</w:t>
            </w:r>
          </w:p>
        </w:tc>
        <w:tc>
          <w:tcPr>
            <w:tcW w:w="763" w:type="dxa"/>
            <w:tcBorders>
              <w:top w:val="nil"/>
              <w:left w:val="nil"/>
              <w:bottom w:val="nil"/>
              <w:right w:val="nil"/>
            </w:tcBorders>
            <w:shd w:val="clear" w:color="auto" w:fill="auto"/>
            <w:noWrap/>
            <w:vAlign w:val="center"/>
            <w:hideMark/>
          </w:tcPr>
          <w:p w14:paraId="4C80C2CB"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1,52</w:t>
            </w:r>
          </w:p>
        </w:tc>
        <w:tc>
          <w:tcPr>
            <w:tcW w:w="584" w:type="dxa"/>
            <w:tcBorders>
              <w:top w:val="nil"/>
              <w:left w:val="nil"/>
              <w:bottom w:val="nil"/>
              <w:right w:val="single" w:sz="4" w:space="0" w:color="auto"/>
            </w:tcBorders>
            <w:shd w:val="clear" w:color="auto" w:fill="auto"/>
            <w:vAlign w:val="center"/>
            <w:hideMark/>
          </w:tcPr>
          <w:p w14:paraId="02BDD0F9"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43,58</w:t>
            </w:r>
          </w:p>
        </w:tc>
        <w:tc>
          <w:tcPr>
            <w:tcW w:w="842" w:type="dxa"/>
            <w:tcBorders>
              <w:top w:val="nil"/>
              <w:left w:val="nil"/>
              <w:bottom w:val="nil"/>
              <w:right w:val="nil"/>
            </w:tcBorders>
            <w:shd w:val="clear" w:color="auto" w:fill="auto"/>
            <w:noWrap/>
            <w:vAlign w:val="center"/>
            <w:hideMark/>
          </w:tcPr>
          <w:p w14:paraId="4706912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3,20</w:t>
            </w:r>
          </w:p>
        </w:tc>
        <w:tc>
          <w:tcPr>
            <w:tcW w:w="805" w:type="dxa"/>
            <w:tcBorders>
              <w:top w:val="nil"/>
              <w:left w:val="nil"/>
              <w:bottom w:val="nil"/>
              <w:right w:val="nil"/>
            </w:tcBorders>
            <w:shd w:val="clear" w:color="auto" w:fill="auto"/>
            <w:noWrap/>
            <w:vAlign w:val="center"/>
            <w:hideMark/>
          </w:tcPr>
          <w:p w14:paraId="61FBAE4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2,62</w:t>
            </w:r>
          </w:p>
        </w:tc>
        <w:tc>
          <w:tcPr>
            <w:tcW w:w="584" w:type="dxa"/>
            <w:tcBorders>
              <w:top w:val="nil"/>
              <w:left w:val="nil"/>
              <w:bottom w:val="nil"/>
              <w:right w:val="single" w:sz="4" w:space="0" w:color="auto"/>
            </w:tcBorders>
            <w:shd w:val="clear" w:color="auto" w:fill="auto"/>
            <w:vAlign w:val="center"/>
            <w:hideMark/>
          </w:tcPr>
          <w:p w14:paraId="0F59EF94"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81,88</w:t>
            </w:r>
          </w:p>
        </w:tc>
        <w:tc>
          <w:tcPr>
            <w:tcW w:w="798" w:type="dxa"/>
            <w:tcBorders>
              <w:top w:val="nil"/>
              <w:left w:val="nil"/>
              <w:bottom w:val="nil"/>
              <w:right w:val="nil"/>
            </w:tcBorders>
            <w:shd w:val="clear" w:color="auto" w:fill="auto"/>
            <w:noWrap/>
            <w:vAlign w:val="center"/>
            <w:hideMark/>
          </w:tcPr>
          <w:p w14:paraId="0848B81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68CA199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0,01</w:t>
            </w:r>
          </w:p>
        </w:tc>
        <w:tc>
          <w:tcPr>
            <w:tcW w:w="606" w:type="dxa"/>
            <w:tcBorders>
              <w:top w:val="nil"/>
              <w:left w:val="nil"/>
              <w:bottom w:val="nil"/>
              <w:right w:val="single" w:sz="4" w:space="0" w:color="auto"/>
            </w:tcBorders>
            <w:shd w:val="clear" w:color="auto" w:fill="auto"/>
            <w:vAlign w:val="center"/>
            <w:hideMark/>
          </w:tcPr>
          <w:p w14:paraId="2C44EFFB"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6BB72B2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20" w:type="dxa"/>
            <w:tcBorders>
              <w:top w:val="nil"/>
              <w:left w:val="nil"/>
              <w:bottom w:val="nil"/>
              <w:right w:val="nil"/>
            </w:tcBorders>
            <w:shd w:val="clear" w:color="auto" w:fill="auto"/>
            <w:noWrap/>
            <w:vAlign w:val="center"/>
            <w:hideMark/>
          </w:tcPr>
          <w:p w14:paraId="6CFF4F22"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606" w:type="dxa"/>
            <w:tcBorders>
              <w:top w:val="nil"/>
              <w:left w:val="nil"/>
              <w:bottom w:val="nil"/>
              <w:right w:val="nil"/>
            </w:tcBorders>
            <w:shd w:val="clear" w:color="auto" w:fill="auto"/>
            <w:vAlign w:val="center"/>
            <w:hideMark/>
          </w:tcPr>
          <w:p w14:paraId="198BAEC9"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r>
      <w:tr w:rsidR="007B6C07" w:rsidRPr="003B3897" w14:paraId="2231F63D" w14:textId="77777777" w:rsidTr="004A2F16">
        <w:trPr>
          <w:trHeight w:val="300"/>
        </w:trPr>
        <w:tc>
          <w:tcPr>
            <w:tcW w:w="793" w:type="dxa"/>
            <w:tcBorders>
              <w:top w:val="nil"/>
              <w:left w:val="nil"/>
              <w:bottom w:val="nil"/>
              <w:right w:val="nil"/>
            </w:tcBorders>
            <w:shd w:val="clear" w:color="auto" w:fill="auto"/>
            <w:vAlign w:val="center"/>
            <w:hideMark/>
          </w:tcPr>
          <w:p w14:paraId="55353F39"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MH SR</w:t>
            </w:r>
          </w:p>
        </w:tc>
        <w:tc>
          <w:tcPr>
            <w:tcW w:w="798" w:type="dxa"/>
            <w:tcBorders>
              <w:top w:val="nil"/>
              <w:left w:val="nil"/>
              <w:bottom w:val="nil"/>
              <w:right w:val="nil"/>
            </w:tcBorders>
            <w:shd w:val="clear" w:color="auto" w:fill="auto"/>
            <w:noWrap/>
            <w:vAlign w:val="center"/>
            <w:hideMark/>
          </w:tcPr>
          <w:p w14:paraId="76C7416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119,94</w:t>
            </w:r>
          </w:p>
        </w:tc>
        <w:tc>
          <w:tcPr>
            <w:tcW w:w="763" w:type="dxa"/>
            <w:tcBorders>
              <w:top w:val="nil"/>
              <w:left w:val="nil"/>
              <w:bottom w:val="nil"/>
              <w:right w:val="nil"/>
            </w:tcBorders>
            <w:shd w:val="clear" w:color="auto" w:fill="auto"/>
            <w:noWrap/>
            <w:vAlign w:val="center"/>
            <w:hideMark/>
          </w:tcPr>
          <w:p w14:paraId="5524E22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0,54</w:t>
            </w:r>
          </w:p>
        </w:tc>
        <w:tc>
          <w:tcPr>
            <w:tcW w:w="584" w:type="dxa"/>
            <w:tcBorders>
              <w:top w:val="nil"/>
              <w:left w:val="nil"/>
              <w:bottom w:val="nil"/>
              <w:right w:val="single" w:sz="4" w:space="0" w:color="auto"/>
            </w:tcBorders>
            <w:shd w:val="clear" w:color="auto" w:fill="auto"/>
            <w:vAlign w:val="center"/>
            <w:hideMark/>
          </w:tcPr>
          <w:p w14:paraId="03042AC4"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0,45</w:t>
            </w:r>
          </w:p>
        </w:tc>
        <w:tc>
          <w:tcPr>
            <w:tcW w:w="842" w:type="dxa"/>
            <w:tcBorders>
              <w:top w:val="nil"/>
              <w:left w:val="nil"/>
              <w:bottom w:val="nil"/>
              <w:right w:val="nil"/>
            </w:tcBorders>
            <w:shd w:val="clear" w:color="auto" w:fill="auto"/>
            <w:noWrap/>
            <w:vAlign w:val="center"/>
            <w:hideMark/>
          </w:tcPr>
          <w:p w14:paraId="51E950B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136,69</w:t>
            </w:r>
          </w:p>
        </w:tc>
        <w:tc>
          <w:tcPr>
            <w:tcW w:w="805" w:type="dxa"/>
            <w:tcBorders>
              <w:top w:val="nil"/>
              <w:left w:val="nil"/>
              <w:bottom w:val="nil"/>
              <w:right w:val="nil"/>
            </w:tcBorders>
            <w:shd w:val="clear" w:color="auto" w:fill="auto"/>
            <w:noWrap/>
            <w:vAlign w:val="center"/>
            <w:hideMark/>
          </w:tcPr>
          <w:p w14:paraId="7ECA0FBC"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5,88</w:t>
            </w:r>
          </w:p>
        </w:tc>
        <w:tc>
          <w:tcPr>
            <w:tcW w:w="584" w:type="dxa"/>
            <w:tcBorders>
              <w:top w:val="nil"/>
              <w:left w:val="nil"/>
              <w:bottom w:val="nil"/>
              <w:right w:val="single" w:sz="4" w:space="0" w:color="auto"/>
            </w:tcBorders>
            <w:shd w:val="clear" w:color="auto" w:fill="auto"/>
            <w:vAlign w:val="center"/>
            <w:hideMark/>
          </w:tcPr>
          <w:p w14:paraId="28CAAA4A"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4,30</w:t>
            </w:r>
          </w:p>
        </w:tc>
        <w:tc>
          <w:tcPr>
            <w:tcW w:w="798" w:type="dxa"/>
            <w:tcBorders>
              <w:top w:val="nil"/>
              <w:left w:val="nil"/>
              <w:bottom w:val="nil"/>
              <w:right w:val="nil"/>
            </w:tcBorders>
            <w:shd w:val="clear" w:color="auto" w:fill="auto"/>
            <w:noWrap/>
            <w:vAlign w:val="center"/>
            <w:hideMark/>
          </w:tcPr>
          <w:p w14:paraId="01F3B0A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97,67</w:t>
            </w:r>
          </w:p>
        </w:tc>
        <w:tc>
          <w:tcPr>
            <w:tcW w:w="805" w:type="dxa"/>
            <w:tcBorders>
              <w:top w:val="nil"/>
              <w:left w:val="nil"/>
              <w:bottom w:val="nil"/>
              <w:right w:val="nil"/>
            </w:tcBorders>
            <w:shd w:val="clear" w:color="auto" w:fill="auto"/>
            <w:noWrap/>
            <w:vAlign w:val="center"/>
            <w:hideMark/>
          </w:tcPr>
          <w:p w14:paraId="7CCBB87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20,61</w:t>
            </w:r>
          </w:p>
        </w:tc>
        <w:tc>
          <w:tcPr>
            <w:tcW w:w="606" w:type="dxa"/>
            <w:tcBorders>
              <w:top w:val="nil"/>
              <w:left w:val="nil"/>
              <w:bottom w:val="nil"/>
              <w:right w:val="single" w:sz="4" w:space="0" w:color="auto"/>
            </w:tcBorders>
            <w:shd w:val="clear" w:color="auto" w:fill="auto"/>
            <w:vAlign w:val="center"/>
            <w:hideMark/>
          </w:tcPr>
          <w:p w14:paraId="2E71E031"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21,10</w:t>
            </w:r>
          </w:p>
        </w:tc>
        <w:tc>
          <w:tcPr>
            <w:tcW w:w="798" w:type="dxa"/>
            <w:tcBorders>
              <w:top w:val="nil"/>
              <w:left w:val="nil"/>
              <w:bottom w:val="nil"/>
              <w:right w:val="nil"/>
            </w:tcBorders>
            <w:shd w:val="clear" w:color="auto" w:fill="auto"/>
            <w:noWrap/>
            <w:vAlign w:val="center"/>
            <w:hideMark/>
          </w:tcPr>
          <w:p w14:paraId="61B2928A"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49,97</w:t>
            </w:r>
          </w:p>
        </w:tc>
        <w:tc>
          <w:tcPr>
            <w:tcW w:w="820" w:type="dxa"/>
            <w:tcBorders>
              <w:top w:val="nil"/>
              <w:left w:val="nil"/>
              <w:bottom w:val="nil"/>
              <w:right w:val="nil"/>
            </w:tcBorders>
            <w:shd w:val="clear" w:color="auto" w:fill="auto"/>
            <w:noWrap/>
            <w:vAlign w:val="center"/>
            <w:hideMark/>
          </w:tcPr>
          <w:p w14:paraId="1AAC90B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32,51</w:t>
            </w:r>
          </w:p>
        </w:tc>
        <w:tc>
          <w:tcPr>
            <w:tcW w:w="606" w:type="dxa"/>
            <w:tcBorders>
              <w:top w:val="nil"/>
              <w:left w:val="nil"/>
              <w:bottom w:val="nil"/>
              <w:right w:val="nil"/>
            </w:tcBorders>
            <w:shd w:val="clear" w:color="auto" w:fill="auto"/>
            <w:vAlign w:val="center"/>
            <w:hideMark/>
          </w:tcPr>
          <w:p w14:paraId="6937F15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65,06</w:t>
            </w:r>
          </w:p>
        </w:tc>
      </w:tr>
      <w:tr w:rsidR="007B6C07" w:rsidRPr="003B3897" w14:paraId="08AF3971" w14:textId="77777777" w:rsidTr="004A2F16">
        <w:trPr>
          <w:trHeight w:val="300"/>
        </w:trPr>
        <w:tc>
          <w:tcPr>
            <w:tcW w:w="793" w:type="dxa"/>
            <w:tcBorders>
              <w:top w:val="nil"/>
              <w:left w:val="nil"/>
              <w:bottom w:val="nil"/>
              <w:right w:val="nil"/>
            </w:tcBorders>
            <w:shd w:val="clear" w:color="auto" w:fill="auto"/>
            <w:vAlign w:val="center"/>
            <w:hideMark/>
          </w:tcPr>
          <w:p w14:paraId="71C04A04" w14:textId="00BE720E" w:rsidR="007B6C07" w:rsidRPr="007D3345" w:rsidRDefault="007B6C07" w:rsidP="004A2F16">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MPRV SR</w:t>
            </w:r>
          </w:p>
        </w:tc>
        <w:tc>
          <w:tcPr>
            <w:tcW w:w="798" w:type="dxa"/>
            <w:tcBorders>
              <w:top w:val="nil"/>
              <w:left w:val="nil"/>
              <w:bottom w:val="nil"/>
              <w:right w:val="nil"/>
            </w:tcBorders>
            <w:shd w:val="clear" w:color="auto" w:fill="auto"/>
            <w:noWrap/>
            <w:vAlign w:val="center"/>
            <w:hideMark/>
          </w:tcPr>
          <w:p w14:paraId="78E45CB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763" w:type="dxa"/>
            <w:tcBorders>
              <w:top w:val="nil"/>
              <w:left w:val="nil"/>
              <w:bottom w:val="nil"/>
              <w:right w:val="nil"/>
            </w:tcBorders>
            <w:shd w:val="clear" w:color="auto" w:fill="auto"/>
            <w:noWrap/>
            <w:vAlign w:val="center"/>
            <w:hideMark/>
          </w:tcPr>
          <w:p w14:paraId="6BC5834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584" w:type="dxa"/>
            <w:tcBorders>
              <w:top w:val="nil"/>
              <w:left w:val="nil"/>
              <w:bottom w:val="nil"/>
              <w:right w:val="single" w:sz="4" w:space="0" w:color="auto"/>
            </w:tcBorders>
            <w:shd w:val="clear" w:color="auto" w:fill="auto"/>
            <w:vAlign w:val="center"/>
            <w:hideMark/>
          </w:tcPr>
          <w:p w14:paraId="134996C1"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842" w:type="dxa"/>
            <w:tcBorders>
              <w:top w:val="nil"/>
              <w:left w:val="nil"/>
              <w:bottom w:val="nil"/>
              <w:right w:val="nil"/>
            </w:tcBorders>
            <w:shd w:val="clear" w:color="auto" w:fill="auto"/>
            <w:noWrap/>
            <w:vAlign w:val="center"/>
            <w:hideMark/>
          </w:tcPr>
          <w:p w14:paraId="092935D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0D0451A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584" w:type="dxa"/>
            <w:tcBorders>
              <w:top w:val="nil"/>
              <w:left w:val="nil"/>
              <w:bottom w:val="nil"/>
              <w:right w:val="single" w:sz="4" w:space="0" w:color="auto"/>
            </w:tcBorders>
            <w:shd w:val="clear" w:color="auto" w:fill="auto"/>
            <w:vAlign w:val="center"/>
            <w:hideMark/>
          </w:tcPr>
          <w:p w14:paraId="79BC4801"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4723493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2FBDCB8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0,09</w:t>
            </w:r>
          </w:p>
        </w:tc>
        <w:tc>
          <w:tcPr>
            <w:tcW w:w="606" w:type="dxa"/>
            <w:tcBorders>
              <w:top w:val="nil"/>
              <w:left w:val="nil"/>
              <w:bottom w:val="nil"/>
              <w:right w:val="single" w:sz="4" w:space="0" w:color="auto"/>
            </w:tcBorders>
            <w:shd w:val="clear" w:color="auto" w:fill="auto"/>
            <w:vAlign w:val="center"/>
            <w:hideMark/>
          </w:tcPr>
          <w:p w14:paraId="1F35EB7D"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7297CE0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20" w:type="dxa"/>
            <w:tcBorders>
              <w:top w:val="nil"/>
              <w:left w:val="nil"/>
              <w:bottom w:val="nil"/>
              <w:right w:val="nil"/>
            </w:tcBorders>
            <w:shd w:val="clear" w:color="auto" w:fill="auto"/>
            <w:noWrap/>
            <w:vAlign w:val="center"/>
            <w:hideMark/>
          </w:tcPr>
          <w:p w14:paraId="44C80EE1"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606" w:type="dxa"/>
            <w:tcBorders>
              <w:top w:val="nil"/>
              <w:left w:val="nil"/>
              <w:bottom w:val="nil"/>
              <w:right w:val="nil"/>
            </w:tcBorders>
            <w:shd w:val="clear" w:color="auto" w:fill="auto"/>
            <w:vAlign w:val="center"/>
            <w:hideMark/>
          </w:tcPr>
          <w:p w14:paraId="49EF9EE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r>
      <w:tr w:rsidR="007B6C07" w:rsidRPr="003B3897" w14:paraId="13C68E62" w14:textId="77777777" w:rsidTr="004A2F16">
        <w:trPr>
          <w:trHeight w:val="300"/>
        </w:trPr>
        <w:tc>
          <w:tcPr>
            <w:tcW w:w="793" w:type="dxa"/>
            <w:tcBorders>
              <w:top w:val="nil"/>
              <w:left w:val="nil"/>
              <w:bottom w:val="nil"/>
              <w:right w:val="nil"/>
            </w:tcBorders>
            <w:shd w:val="clear" w:color="auto" w:fill="auto"/>
            <w:vAlign w:val="center"/>
            <w:hideMark/>
          </w:tcPr>
          <w:p w14:paraId="453B68C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MD SR</w:t>
            </w:r>
          </w:p>
        </w:tc>
        <w:tc>
          <w:tcPr>
            <w:tcW w:w="798" w:type="dxa"/>
            <w:tcBorders>
              <w:top w:val="nil"/>
              <w:left w:val="nil"/>
              <w:bottom w:val="nil"/>
              <w:right w:val="nil"/>
            </w:tcBorders>
            <w:shd w:val="clear" w:color="auto" w:fill="auto"/>
            <w:noWrap/>
            <w:vAlign w:val="center"/>
            <w:hideMark/>
          </w:tcPr>
          <w:p w14:paraId="132EC9F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150,55</w:t>
            </w:r>
          </w:p>
        </w:tc>
        <w:tc>
          <w:tcPr>
            <w:tcW w:w="763" w:type="dxa"/>
            <w:tcBorders>
              <w:top w:val="nil"/>
              <w:left w:val="nil"/>
              <w:bottom w:val="nil"/>
              <w:right w:val="nil"/>
            </w:tcBorders>
            <w:shd w:val="clear" w:color="auto" w:fill="auto"/>
            <w:noWrap/>
            <w:vAlign w:val="center"/>
            <w:hideMark/>
          </w:tcPr>
          <w:p w14:paraId="050713BA"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584" w:type="dxa"/>
            <w:tcBorders>
              <w:top w:val="nil"/>
              <w:left w:val="nil"/>
              <w:bottom w:val="nil"/>
              <w:right w:val="single" w:sz="4" w:space="0" w:color="auto"/>
            </w:tcBorders>
            <w:shd w:val="clear" w:color="auto" w:fill="auto"/>
            <w:vAlign w:val="center"/>
            <w:hideMark/>
          </w:tcPr>
          <w:p w14:paraId="7B8C77DF"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42" w:type="dxa"/>
            <w:tcBorders>
              <w:top w:val="nil"/>
              <w:left w:val="nil"/>
              <w:bottom w:val="nil"/>
              <w:right w:val="nil"/>
            </w:tcBorders>
            <w:shd w:val="clear" w:color="auto" w:fill="auto"/>
            <w:noWrap/>
            <w:vAlign w:val="center"/>
            <w:hideMark/>
          </w:tcPr>
          <w:p w14:paraId="56DF93C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146,59</w:t>
            </w:r>
          </w:p>
        </w:tc>
        <w:tc>
          <w:tcPr>
            <w:tcW w:w="805" w:type="dxa"/>
            <w:tcBorders>
              <w:top w:val="nil"/>
              <w:left w:val="nil"/>
              <w:bottom w:val="nil"/>
              <w:right w:val="nil"/>
            </w:tcBorders>
            <w:shd w:val="clear" w:color="auto" w:fill="auto"/>
            <w:noWrap/>
            <w:vAlign w:val="center"/>
            <w:hideMark/>
          </w:tcPr>
          <w:p w14:paraId="5A353D8A"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0,33</w:t>
            </w:r>
          </w:p>
        </w:tc>
        <w:tc>
          <w:tcPr>
            <w:tcW w:w="584" w:type="dxa"/>
            <w:tcBorders>
              <w:top w:val="nil"/>
              <w:left w:val="nil"/>
              <w:bottom w:val="nil"/>
              <w:right w:val="single" w:sz="4" w:space="0" w:color="auto"/>
            </w:tcBorders>
            <w:shd w:val="clear" w:color="auto" w:fill="auto"/>
            <w:vAlign w:val="center"/>
            <w:hideMark/>
          </w:tcPr>
          <w:p w14:paraId="4786C7D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0,23</w:t>
            </w:r>
          </w:p>
        </w:tc>
        <w:tc>
          <w:tcPr>
            <w:tcW w:w="798" w:type="dxa"/>
            <w:tcBorders>
              <w:top w:val="nil"/>
              <w:left w:val="nil"/>
              <w:bottom w:val="nil"/>
              <w:right w:val="nil"/>
            </w:tcBorders>
            <w:shd w:val="clear" w:color="auto" w:fill="auto"/>
            <w:noWrap/>
            <w:vAlign w:val="center"/>
            <w:hideMark/>
          </w:tcPr>
          <w:p w14:paraId="18ACCAB0"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164,27</w:t>
            </w:r>
          </w:p>
        </w:tc>
        <w:tc>
          <w:tcPr>
            <w:tcW w:w="805" w:type="dxa"/>
            <w:tcBorders>
              <w:top w:val="nil"/>
              <w:left w:val="nil"/>
              <w:bottom w:val="nil"/>
              <w:right w:val="nil"/>
            </w:tcBorders>
            <w:shd w:val="clear" w:color="auto" w:fill="auto"/>
            <w:noWrap/>
            <w:vAlign w:val="center"/>
            <w:hideMark/>
          </w:tcPr>
          <w:p w14:paraId="37E87E0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152,49</w:t>
            </w:r>
          </w:p>
        </w:tc>
        <w:tc>
          <w:tcPr>
            <w:tcW w:w="606" w:type="dxa"/>
            <w:tcBorders>
              <w:top w:val="nil"/>
              <w:left w:val="nil"/>
              <w:bottom w:val="nil"/>
              <w:right w:val="single" w:sz="4" w:space="0" w:color="auto"/>
            </w:tcBorders>
            <w:shd w:val="clear" w:color="auto" w:fill="auto"/>
            <w:vAlign w:val="center"/>
            <w:hideMark/>
          </w:tcPr>
          <w:p w14:paraId="6D37C64E"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92,83</w:t>
            </w:r>
          </w:p>
        </w:tc>
        <w:tc>
          <w:tcPr>
            <w:tcW w:w="798" w:type="dxa"/>
            <w:tcBorders>
              <w:top w:val="nil"/>
              <w:left w:val="nil"/>
              <w:bottom w:val="nil"/>
              <w:right w:val="nil"/>
            </w:tcBorders>
            <w:shd w:val="clear" w:color="auto" w:fill="auto"/>
            <w:noWrap/>
            <w:vAlign w:val="center"/>
            <w:hideMark/>
          </w:tcPr>
          <w:p w14:paraId="0FBF908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441,38</w:t>
            </w:r>
          </w:p>
        </w:tc>
        <w:tc>
          <w:tcPr>
            <w:tcW w:w="820" w:type="dxa"/>
            <w:tcBorders>
              <w:top w:val="nil"/>
              <w:left w:val="nil"/>
              <w:bottom w:val="nil"/>
              <w:right w:val="nil"/>
            </w:tcBorders>
            <w:shd w:val="clear" w:color="auto" w:fill="auto"/>
            <w:noWrap/>
            <w:vAlign w:val="center"/>
            <w:hideMark/>
          </w:tcPr>
          <w:p w14:paraId="43185DF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46,87</w:t>
            </w:r>
          </w:p>
        </w:tc>
        <w:tc>
          <w:tcPr>
            <w:tcW w:w="606" w:type="dxa"/>
            <w:tcBorders>
              <w:top w:val="nil"/>
              <w:left w:val="nil"/>
              <w:bottom w:val="nil"/>
              <w:right w:val="nil"/>
            </w:tcBorders>
            <w:shd w:val="clear" w:color="auto" w:fill="auto"/>
            <w:vAlign w:val="center"/>
            <w:hideMark/>
          </w:tcPr>
          <w:p w14:paraId="18DA8FAD"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10,62</w:t>
            </w:r>
          </w:p>
        </w:tc>
      </w:tr>
      <w:tr w:rsidR="007B6C07" w:rsidRPr="003B3897" w14:paraId="33D28C20" w14:textId="77777777" w:rsidTr="004A2F16">
        <w:trPr>
          <w:trHeight w:val="300"/>
        </w:trPr>
        <w:tc>
          <w:tcPr>
            <w:tcW w:w="793" w:type="dxa"/>
            <w:tcBorders>
              <w:top w:val="nil"/>
              <w:left w:val="nil"/>
              <w:bottom w:val="nil"/>
              <w:right w:val="nil"/>
            </w:tcBorders>
            <w:shd w:val="clear" w:color="auto" w:fill="auto"/>
            <w:vAlign w:val="center"/>
            <w:hideMark/>
          </w:tcPr>
          <w:p w14:paraId="4350F15C"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ÚVO</w:t>
            </w:r>
          </w:p>
        </w:tc>
        <w:tc>
          <w:tcPr>
            <w:tcW w:w="798" w:type="dxa"/>
            <w:tcBorders>
              <w:top w:val="nil"/>
              <w:left w:val="nil"/>
              <w:bottom w:val="nil"/>
              <w:right w:val="nil"/>
            </w:tcBorders>
            <w:shd w:val="clear" w:color="auto" w:fill="auto"/>
            <w:noWrap/>
            <w:vAlign w:val="center"/>
            <w:hideMark/>
          </w:tcPr>
          <w:p w14:paraId="1348334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0,51</w:t>
            </w:r>
          </w:p>
        </w:tc>
        <w:tc>
          <w:tcPr>
            <w:tcW w:w="763" w:type="dxa"/>
            <w:tcBorders>
              <w:top w:val="nil"/>
              <w:left w:val="nil"/>
              <w:bottom w:val="nil"/>
              <w:right w:val="nil"/>
            </w:tcBorders>
            <w:shd w:val="clear" w:color="auto" w:fill="auto"/>
            <w:noWrap/>
            <w:vAlign w:val="center"/>
            <w:hideMark/>
          </w:tcPr>
          <w:p w14:paraId="53E346D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0,03</w:t>
            </w:r>
          </w:p>
        </w:tc>
        <w:tc>
          <w:tcPr>
            <w:tcW w:w="584" w:type="dxa"/>
            <w:tcBorders>
              <w:top w:val="nil"/>
              <w:left w:val="nil"/>
              <w:bottom w:val="nil"/>
              <w:right w:val="single" w:sz="4" w:space="0" w:color="auto"/>
            </w:tcBorders>
            <w:shd w:val="clear" w:color="auto" w:fill="auto"/>
            <w:vAlign w:val="center"/>
            <w:hideMark/>
          </w:tcPr>
          <w:p w14:paraId="5121741B"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5,65</w:t>
            </w:r>
          </w:p>
        </w:tc>
        <w:tc>
          <w:tcPr>
            <w:tcW w:w="842" w:type="dxa"/>
            <w:tcBorders>
              <w:top w:val="nil"/>
              <w:left w:val="nil"/>
              <w:bottom w:val="nil"/>
              <w:right w:val="nil"/>
            </w:tcBorders>
            <w:shd w:val="clear" w:color="auto" w:fill="auto"/>
            <w:noWrap/>
            <w:vAlign w:val="center"/>
            <w:hideMark/>
          </w:tcPr>
          <w:p w14:paraId="0B700D0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0,45</w:t>
            </w:r>
          </w:p>
        </w:tc>
        <w:tc>
          <w:tcPr>
            <w:tcW w:w="805" w:type="dxa"/>
            <w:tcBorders>
              <w:top w:val="nil"/>
              <w:left w:val="nil"/>
              <w:bottom w:val="nil"/>
              <w:right w:val="nil"/>
            </w:tcBorders>
            <w:shd w:val="clear" w:color="auto" w:fill="auto"/>
            <w:noWrap/>
            <w:vAlign w:val="center"/>
            <w:hideMark/>
          </w:tcPr>
          <w:p w14:paraId="64B0512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0,20</w:t>
            </w:r>
          </w:p>
        </w:tc>
        <w:tc>
          <w:tcPr>
            <w:tcW w:w="584" w:type="dxa"/>
            <w:tcBorders>
              <w:top w:val="nil"/>
              <w:left w:val="nil"/>
              <w:bottom w:val="nil"/>
              <w:right w:val="single" w:sz="4" w:space="0" w:color="auto"/>
            </w:tcBorders>
            <w:shd w:val="clear" w:color="auto" w:fill="auto"/>
            <w:vAlign w:val="center"/>
            <w:hideMark/>
          </w:tcPr>
          <w:p w14:paraId="5B264B4A"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44,16</w:t>
            </w:r>
          </w:p>
        </w:tc>
        <w:tc>
          <w:tcPr>
            <w:tcW w:w="798" w:type="dxa"/>
            <w:tcBorders>
              <w:top w:val="nil"/>
              <w:left w:val="nil"/>
              <w:bottom w:val="nil"/>
              <w:right w:val="nil"/>
            </w:tcBorders>
            <w:shd w:val="clear" w:color="auto" w:fill="auto"/>
            <w:noWrap/>
            <w:vAlign w:val="center"/>
            <w:hideMark/>
          </w:tcPr>
          <w:p w14:paraId="672334F7"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0,44</w:t>
            </w:r>
          </w:p>
        </w:tc>
        <w:tc>
          <w:tcPr>
            <w:tcW w:w="805" w:type="dxa"/>
            <w:tcBorders>
              <w:top w:val="nil"/>
              <w:left w:val="nil"/>
              <w:bottom w:val="nil"/>
              <w:right w:val="nil"/>
            </w:tcBorders>
            <w:shd w:val="clear" w:color="auto" w:fill="auto"/>
            <w:noWrap/>
            <w:vAlign w:val="center"/>
            <w:hideMark/>
          </w:tcPr>
          <w:p w14:paraId="4CB3D4D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0,39</w:t>
            </w:r>
          </w:p>
        </w:tc>
        <w:tc>
          <w:tcPr>
            <w:tcW w:w="606" w:type="dxa"/>
            <w:tcBorders>
              <w:top w:val="nil"/>
              <w:left w:val="nil"/>
              <w:bottom w:val="nil"/>
              <w:right w:val="single" w:sz="4" w:space="0" w:color="auto"/>
            </w:tcBorders>
            <w:shd w:val="clear" w:color="auto" w:fill="auto"/>
            <w:vAlign w:val="center"/>
            <w:hideMark/>
          </w:tcPr>
          <w:p w14:paraId="29F88E7A"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88,62</w:t>
            </w:r>
          </w:p>
        </w:tc>
        <w:tc>
          <w:tcPr>
            <w:tcW w:w="798" w:type="dxa"/>
            <w:tcBorders>
              <w:top w:val="nil"/>
              <w:left w:val="nil"/>
              <w:bottom w:val="nil"/>
              <w:right w:val="nil"/>
            </w:tcBorders>
            <w:shd w:val="clear" w:color="auto" w:fill="auto"/>
            <w:noWrap/>
            <w:vAlign w:val="center"/>
            <w:hideMark/>
          </w:tcPr>
          <w:p w14:paraId="3F7EA06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0,31</w:t>
            </w:r>
          </w:p>
        </w:tc>
        <w:tc>
          <w:tcPr>
            <w:tcW w:w="820" w:type="dxa"/>
            <w:tcBorders>
              <w:top w:val="nil"/>
              <w:left w:val="nil"/>
              <w:bottom w:val="nil"/>
              <w:right w:val="nil"/>
            </w:tcBorders>
            <w:shd w:val="clear" w:color="auto" w:fill="auto"/>
            <w:noWrap/>
            <w:vAlign w:val="center"/>
            <w:hideMark/>
          </w:tcPr>
          <w:p w14:paraId="77DC978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0,12</w:t>
            </w:r>
          </w:p>
        </w:tc>
        <w:tc>
          <w:tcPr>
            <w:tcW w:w="606" w:type="dxa"/>
            <w:tcBorders>
              <w:top w:val="nil"/>
              <w:left w:val="nil"/>
              <w:bottom w:val="nil"/>
              <w:right w:val="nil"/>
            </w:tcBorders>
            <w:shd w:val="clear" w:color="auto" w:fill="auto"/>
            <w:vAlign w:val="center"/>
            <w:hideMark/>
          </w:tcPr>
          <w:p w14:paraId="64AF4AB9"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38,30</w:t>
            </w:r>
          </w:p>
        </w:tc>
      </w:tr>
      <w:tr w:rsidR="007B6C07" w:rsidRPr="003B3897" w14:paraId="5344E6B3" w14:textId="77777777" w:rsidTr="004A2F16">
        <w:trPr>
          <w:trHeight w:val="300"/>
        </w:trPr>
        <w:tc>
          <w:tcPr>
            <w:tcW w:w="793" w:type="dxa"/>
            <w:tcBorders>
              <w:top w:val="nil"/>
              <w:left w:val="nil"/>
              <w:bottom w:val="nil"/>
              <w:right w:val="nil"/>
            </w:tcBorders>
            <w:shd w:val="clear" w:color="auto" w:fill="auto"/>
            <w:vAlign w:val="center"/>
            <w:hideMark/>
          </w:tcPr>
          <w:p w14:paraId="2F56773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VPS</w:t>
            </w:r>
          </w:p>
        </w:tc>
        <w:tc>
          <w:tcPr>
            <w:tcW w:w="798" w:type="dxa"/>
            <w:tcBorders>
              <w:top w:val="nil"/>
              <w:left w:val="nil"/>
              <w:bottom w:val="nil"/>
              <w:right w:val="nil"/>
            </w:tcBorders>
            <w:shd w:val="clear" w:color="auto" w:fill="auto"/>
            <w:noWrap/>
            <w:vAlign w:val="center"/>
            <w:hideMark/>
          </w:tcPr>
          <w:p w14:paraId="2327B59F"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763" w:type="dxa"/>
            <w:tcBorders>
              <w:top w:val="nil"/>
              <w:left w:val="nil"/>
              <w:bottom w:val="nil"/>
              <w:right w:val="nil"/>
            </w:tcBorders>
            <w:shd w:val="clear" w:color="auto" w:fill="auto"/>
            <w:noWrap/>
            <w:vAlign w:val="center"/>
            <w:hideMark/>
          </w:tcPr>
          <w:p w14:paraId="456F634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1,93</w:t>
            </w:r>
          </w:p>
        </w:tc>
        <w:tc>
          <w:tcPr>
            <w:tcW w:w="584" w:type="dxa"/>
            <w:tcBorders>
              <w:top w:val="nil"/>
              <w:left w:val="nil"/>
              <w:bottom w:val="nil"/>
              <w:right w:val="single" w:sz="4" w:space="0" w:color="auto"/>
            </w:tcBorders>
            <w:shd w:val="clear" w:color="auto" w:fill="auto"/>
            <w:vAlign w:val="center"/>
            <w:hideMark/>
          </w:tcPr>
          <w:p w14:paraId="5D40CF25"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842" w:type="dxa"/>
            <w:tcBorders>
              <w:top w:val="nil"/>
              <w:left w:val="nil"/>
              <w:bottom w:val="nil"/>
              <w:right w:val="nil"/>
            </w:tcBorders>
            <w:shd w:val="clear" w:color="auto" w:fill="auto"/>
            <w:noWrap/>
            <w:vAlign w:val="center"/>
            <w:hideMark/>
          </w:tcPr>
          <w:p w14:paraId="1A57A04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2EAD65FE"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0,07</w:t>
            </w:r>
          </w:p>
        </w:tc>
        <w:tc>
          <w:tcPr>
            <w:tcW w:w="584" w:type="dxa"/>
            <w:tcBorders>
              <w:top w:val="nil"/>
              <w:left w:val="nil"/>
              <w:bottom w:val="nil"/>
              <w:right w:val="single" w:sz="4" w:space="0" w:color="auto"/>
            </w:tcBorders>
            <w:shd w:val="clear" w:color="auto" w:fill="auto"/>
            <w:vAlign w:val="center"/>
            <w:hideMark/>
          </w:tcPr>
          <w:p w14:paraId="4D2E87B5"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0D18FAB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05" w:type="dxa"/>
            <w:tcBorders>
              <w:top w:val="nil"/>
              <w:left w:val="nil"/>
              <w:bottom w:val="nil"/>
              <w:right w:val="nil"/>
            </w:tcBorders>
            <w:shd w:val="clear" w:color="auto" w:fill="auto"/>
            <w:noWrap/>
            <w:vAlign w:val="center"/>
            <w:hideMark/>
          </w:tcPr>
          <w:p w14:paraId="12569DF7"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0,69</w:t>
            </w:r>
          </w:p>
        </w:tc>
        <w:tc>
          <w:tcPr>
            <w:tcW w:w="606" w:type="dxa"/>
            <w:tcBorders>
              <w:top w:val="nil"/>
              <w:left w:val="nil"/>
              <w:bottom w:val="nil"/>
              <w:right w:val="single" w:sz="4" w:space="0" w:color="auto"/>
            </w:tcBorders>
            <w:shd w:val="clear" w:color="auto" w:fill="auto"/>
            <w:vAlign w:val="center"/>
            <w:hideMark/>
          </w:tcPr>
          <w:p w14:paraId="1FF6C6A7"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592FB7C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820" w:type="dxa"/>
            <w:tcBorders>
              <w:top w:val="nil"/>
              <w:left w:val="nil"/>
              <w:bottom w:val="nil"/>
              <w:right w:val="nil"/>
            </w:tcBorders>
            <w:shd w:val="clear" w:color="auto" w:fill="auto"/>
            <w:noWrap/>
            <w:vAlign w:val="center"/>
            <w:hideMark/>
          </w:tcPr>
          <w:p w14:paraId="16AB2A16"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0,00</w:t>
            </w:r>
          </w:p>
        </w:tc>
        <w:tc>
          <w:tcPr>
            <w:tcW w:w="606" w:type="dxa"/>
            <w:tcBorders>
              <w:top w:val="nil"/>
              <w:left w:val="nil"/>
              <w:bottom w:val="nil"/>
              <w:right w:val="nil"/>
            </w:tcBorders>
            <w:shd w:val="clear" w:color="auto" w:fill="auto"/>
            <w:vAlign w:val="center"/>
            <w:hideMark/>
          </w:tcPr>
          <w:p w14:paraId="3F7A561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r>
      <w:tr w:rsidR="007B6C07" w:rsidRPr="003B3897" w14:paraId="30CF6FDC" w14:textId="77777777" w:rsidTr="004A2F16">
        <w:trPr>
          <w:trHeight w:val="348"/>
        </w:trPr>
        <w:tc>
          <w:tcPr>
            <w:tcW w:w="793" w:type="dxa"/>
            <w:tcBorders>
              <w:top w:val="nil"/>
              <w:left w:val="nil"/>
              <w:bottom w:val="nil"/>
              <w:right w:val="nil"/>
            </w:tcBorders>
            <w:shd w:val="clear" w:color="auto" w:fill="auto"/>
            <w:vAlign w:val="center"/>
            <w:hideMark/>
          </w:tcPr>
          <w:p w14:paraId="15534C07" w14:textId="77777777" w:rsidR="007B6C07" w:rsidRPr="007D3345" w:rsidRDefault="007B6C07" w:rsidP="002E1FF0">
            <w:pPr>
              <w:spacing w:after="0" w:line="240" w:lineRule="auto"/>
              <w:jc w:val="center"/>
              <w:rPr>
                <w:rFonts w:eastAsia="Times New Roman" w:cs="Segoe UI"/>
                <w:color w:val="000000"/>
                <w:sz w:val="14"/>
                <w:szCs w:val="14"/>
                <w:lang w:eastAsia="sk-SK"/>
              </w:rPr>
            </w:pPr>
            <w:r w:rsidRPr="007D3345">
              <w:rPr>
                <w:rFonts w:eastAsia="Times New Roman" w:cs="Segoe UI"/>
                <w:color w:val="000000"/>
                <w:sz w:val="14"/>
                <w:szCs w:val="14"/>
                <w:lang w:eastAsia="sk-SK"/>
              </w:rPr>
              <w:t>ÚPPVL pre PO a ZE</w:t>
            </w:r>
          </w:p>
        </w:tc>
        <w:tc>
          <w:tcPr>
            <w:tcW w:w="798" w:type="dxa"/>
            <w:tcBorders>
              <w:top w:val="nil"/>
              <w:left w:val="nil"/>
              <w:bottom w:val="nil"/>
              <w:right w:val="nil"/>
            </w:tcBorders>
            <w:shd w:val="clear" w:color="auto" w:fill="auto"/>
            <w:noWrap/>
            <w:vAlign w:val="bottom"/>
            <w:hideMark/>
          </w:tcPr>
          <w:p w14:paraId="37986AB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63" w:type="dxa"/>
            <w:tcBorders>
              <w:top w:val="nil"/>
              <w:left w:val="nil"/>
              <w:bottom w:val="nil"/>
              <w:right w:val="nil"/>
            </w:tcBorders>
            <w:shd w:val="clear" w:color="auto" w:fill="auto"/>
            <w:noWrap/>
            <w:vAlign w:val="bottom"/>
            <w:hideMark/>
          </w:tcPr>
          <w:p w14:paraId="6D426423"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584" w:type="dxa"/>
            <w:tcBorders>
              <w:top w:val="nil"/>
              <w:left w:val="nil"/>
              <w:bottom w:val="nil"/>
              <w:right w:val="single" w:sz="4" w:space="0" w:color="auto"/>
            </w:tcBorders>
            <w:shd w:val="clear" w:color="auto" w:fill="auto"/>
            <w:vAlign w:val="center"/>
            <w:hideMark/>
          </w:tcPr>
          <w:p w14:paraId="2708905F"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842" w:type="dxa"/>
            <w:tcBorders>
              <w:top w:val="nil"/>
              <w:left w:val="nil"/>
              <w:bottom w:val="nil"/>
              <w:right w:val="nil"/>
            </w:tcBorders>
            <w:shd w:val="clear" w:color="auto" w:fill="auto"/>
            <w:noWrap/>
            <w:vAlign w:val="bottom"/>
            <w:hideMark/>
          </w:tcPr>
          <w:p w14:paraId="0E97578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805" w:type="dxa"/>
            <w:tcBorders>
              <w:top w:val="nil"/>
              <w:left w:val="nil"/>
              <w:bottom w:val="nil"/>
              <w:right w:val="nil"/>
            </w:tcBorders>
            <w:shd w:val="clear" w:color="auto" w:fill="auto"/>
            <w:noWrap/>
            <w:vAlign w:val="bottom"/>
            <w:hideMark/>
          </w:tcPr>
          <w:p w14:paraId="5F0535F9"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584" w:type="dxa"/>
            <w:tcBorders>
              <w:top w:val="nil"/>
              <w:left w:val="nil"/>
              <w:bottom w:val="nil"/>
              <w:right w:val="single" w:sz="4" w:space="0" w:color="auto"/>
            </w:tcBorders>
            <w:shd w:val="clear" w:color="auto" w:fill="auto"/>
            <w:vAlign w:val="center"/>
            <w:hideMark/>
          </w:tcPr>
          <w:p w14:paraId="65F4752F"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6E408335"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805" w:type="dxa"/>
            <w:tcBorders>
              <w:top w:val="nil"/>
              <w:left w:val="nil"/>
              <w:bottom w:val="nil"/>
              <w:right w:val="nil"/>
            </w:tcBorders>
            <w:shd w:val="clear" w:color="auto" w:fill="auto"/>
            <w:noWrap/>
            <w:vAlign w:val="center"/>
            <w:hideMark/>
          </w:tcPr>
          <w:p w14:paraId="3BF6811D"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606" w:type="dxa"/>
            <w:tcBorders>
              <w:top w:val="nil"/>
              <w:left w:val="nil"/>
              <w:bottom w:val="nil"/>
              <w:right w:val="single" w:sz="4" w:space="0" w:color="auto"/>
            </w:tcBorders>
            <w:shd w:val="clear" w:color="auto" w:fill="auto"/>
            <w:vAlign w:val="center"/>
            <w:hideMark/>
          </w:tcPr>
          <w:p w14:paraId="7AC40EEC"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w:t>
            </w:r>
          </w:p>
        </w:tc>
        <w:tc>
          <w:tcPr>
            <w:tcW w:w="798" w:type="dxa"/>
            <w:tcBorders>
              <w:top w:val="nil"/>
              <w:left w:val="nil"/>
              <w:bottom w:val="nil"/>
              <w:right w:val="nil"/>
            </w:tcBorders>
            <w:shd w:val="clear" w:color="auto" w:fill="auto"/>
            <w:noWrap/>
            <w:vAlign w:val="center"/>
            <w:hideMark/>
          </w:tcPr>
          <w:p w14:paraId="4E7D6852"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131,41</w:t>
            </w:r>
          </w:p>
        </w:tc>
        <w:tc>
          <w:tcPr>
            <w:tcW w:w="820" w:type="dxa"/>
            <w:tcBorders>
              <w:top w:val="nil"/>
              <w:left w:val="nil"/>
              <w:bottom w:val="nil"/>
              <w:right w:val="nil"/>
            </w:tcBorders>
            <w:shd w:val="clear" w:color="auto" w:fill="auto"/>
            <w:noWrap/>
            <w:vAlign w:val="center"/>
            <w:hideMark/>
          </w:tcPr>
          <w:p w14:paraId="3C1803E8" w14:textId="77777777" w:rsidR="007B6C07" w:rsidRPr="007D3345" w:rsidRDefault="007B6C07" w:rsidP="002E1FF0">
            <w:pPr>
              <w:spacing w:after="0" w:line="240" w:lineRule="auto"/>
              <w:jc w:val="right"/>
              <w:rPr>
                <w:rFonts w:eastAsia="Times New Roman" w:cs="Segoe UI"/>
                <w:color w:val="000000"/>
                <w:sz w:val="16"/>
                <w:szCs w:val="16"/>
                <w:lang w:eastAsia="sk-SK"/>
              </w:rPr>
            </w:pPr>
            <w:r w:rsidRPr="007D3345">
              <w:rPr>
                <w:rFonts w:eastAsia="Times New Roman" w:cs="Segoe UI"/>
                <w:color w:val="000000"/>
                <w:sz w:val="16"/>
                <w:szCs w:val="16"/>
                <w:lang w:eastAsia="sk-SK"/>
              </w:rPr>
              <w:t>4,63</w:t>
            </w:r>
          </w:p>
        </w:tc>
        <w:tc>
          <w:tcPr>
            <w:tcW w:w="606" w:type="dxa"/>
            <w:tcBorders>
              <w:top w:val="nil"/>
              <w:left w:val="nil"/>
              <w:bottom w:val="nil"/>
              <w:right w:val="nil"/>
            </w:tcBorders>
            <w:shd w:val="clear" w:color="auto" w:fill="auto"/>
            <w:vAlign w:val="center"/>
            <w:hideMark/>
          </w:tcPr>
          <w:p w14:paraId="005AA743" w14:textId="77777777" w:rsidR="007B6C07" w:rsidRPr="007D3345" w:rsidRDefault="007B6C07" w:rsidP="002E1FF0">
            <w:pPr>
              <w:spacing w:after="0" w:line="240" w:lineRule="auto"/>
              <w:jc w:val="center"/>
              <w:rPr>
                <w:rFonts w:eastAsia="Times New Roman" w:cs="Segoe UI"/>
                <w:color w:val="000000"/>
                <w:sz w:val="16"/>
                <w:szCs w:val="16"/>
                <w:lang w:eastAsia="sk-SK"/>
              </w:rPr>
            </w:pPr>
            <w:r w:rsidRPr="007D3345">
              <w:rPr>
                <w:rFonts w:eastAsia="Times New Roman" w:cs="Segoe UI"/>
                <w:color w:val="000000"/>
                <w:sz w:val="16"/>
                <w:szCs w:val="16"/>
                <w:lang w:eastAsia="sk-SK"/>
              </w:rPr>
              <w:t>3,52</w:t>
            </w:r>
          </w:p>
        </w:tc>
      </w:tr>
      <w:tr w:rsidR="007B6C07" w:rsidRPr="003B3897" w14:paraId="4983B5E3" w14:textId="77777777" w:rsidTr="004A2F16">
        <w:trPr>
          <w:trHeight w:val="312"/>
        </w:trPr>
        <w:tc>
          <w:tcPr>
            <w:tcW w:w="793" w:type="dxa"/>
            <w:tcBorders>
              <w:top w:val="single" w:sz="8" w:space="0" w:color="auto"/>
              <w:left w:val="nil"/>
              <w:bottom w:val="single" w:sz="8" w:space="0" w:color="auto"/>
              <w:right w:val="nil"/>
            </w:tcBorders>
            <w:shd w:val="clear" w:color="000000" w:fill="FFFFFF"/>
            <w:vAlign w:val="center"/>
            <w:hideMark/>
          </w:tcPr>
          <w:p w14:paraId="21031F72" w14:textId="77777777" w:rsidR="007B6C07" w:rsidRPr="007D3345" w:rsidRDefault="007B6C07" w:rsidP="002E1FF0">
            <w:pPr>
              <w:spacing w:after="0" w:line="240" w:lineRule="auto"/>
              <w:jc w:val="left"/>
              <w:rPr>
                <w:rFonts w:eastAsia="Times New Roman" w:cs="Segoe UI"/>
                <w:b/>
                <w:bCs/>
                <w:color w:val="000000"/>
                <w:sz w:val="16"/>
                <w:szCs w:val="16"/>
                <w:lang w:eastAsia="sk-SK"/>
              </w:rPr>
            </w:pPr>
            <w:r w:rsidRPr="007D3345">
              <w:rPr>
                <w:rFonts w:eastAsia="Times New Roman" w:cs="Segoe UI"/>
                <w:b/>
                <w:bCs/>
                <w:color w:val="000000"/>
                <w:sz w:val="16"/>
                <w:szCs w:val="16"/>
                <w:lang w:eastAsia="sk-SK"/>
              </w:rPr>
              <w:t>Spolu</w:t>
            </w:r>
          </w:p>
        </w:tc>
        <w:tc>
          <w:tcPr>
            <w:tcW w:w="798" w:type="dxa"/>
            <w:tcBorders>
              <w:top w:val="single" w:sz="8" w:space="0" w:color="auto"/>
              <w:left w:val="nil"/>
              <w:bottom w:val="single" w:sz="8" w:space="0" w:color="auto"/>
              <w:right w:val="nil"/>
            </w:tcBorders>
            <w:shd w:val="clear" w:color="000000" w:fill="FFFFFF"/>
            <w:vAlign w:val="center"/>
            <w:hideMark/>
          </w:tcPr>
          <w:p w14:paraId="0FDA1615" w14:textId="77777777" w:rsidR="007B6C07" w:rsidRPr="007D3345" w:rsidRDefault="007B6C07" w:rsidP="002E1FF0">
            <w:pPr>
              <w:spacing w:after="0" w:line="240" w:lineRule="auto"/>
              <w:jc w:val="right"/>
              <w:rPr>
                <w:rFonts w:eastAsia="Times New Roman" w:cs="Segoe UI"/>
                <w:b/>
                <w:bCs/>
                <w:color w:val="000000"/>
                <w:sz w:val="16"/>
                <w:szCs w:val="16"/>
                <w:lang w:eastAsia="sk-SK"/>
              </w:rPr>
            </w:pPr>
            <w:r w:rsidRPr="007D3345">
              <w:rPr>
                <w:rFonts w:eastAsia="Times New Roman" w:cs="Segoe UI"/>
                <w:b/>
                <w:bCs/>
                <w:color w:val="000000"/>
                <w:sz w:val="16"/>
                <w:szCs w:val="16"/>
                <w:lang w:eastAsia="sk-SK"/>
              </w:rPr>
              <w:t>1 301,97</w:t>
            </w:r>
          </w:p>
        </w:tc>
        <w:tc>
          <w:tcPr>
            <w:tcW w:w="763" w:type="dxa"/>
            <w:tcBorders>
              <w:top w:val="single" w:sz="8" w:space="0" w:color="auto"/>
              <w:left w:val="nil"/>
              <w:bottom w:val="single" w:sz="8" w:space="0" w:color="auto"/>
              <w:right w:val="nil"/>
            </w:tcBorders>
            <w:shd w:val="clear" w:color="000000" w:fill="FFFFFF"/>
            <w:vAlign w:val="center"/>
            <w:hideMark/>
          </w:tcPr>
          <w:p w14:paraId="3C8DE9EA" w14:textId="77777777" w:rsidR="007B6C07" w:rsidRPr="007D3345" w:rsidRDefault="007B6C07" w:rsidP="002E1FF0">
            <w:pPr>
              <w:spacing w:after="0" w:line="240" w:lineRule="auto"/>
              <w:jc w:val="right"/>
              <w:rPr>
                <w:rFonts w:eastAsia="Times New Roman" w:cs="Segoe UI"/>
                <w:b/>
                <w:bCs/>
                <w:color w:val="000000"/>
                <w:sz w:val="16"/>
                <w:szCs w:val="16"/>
                <w:lang w:eastAsia="sk-SK"/>
              </w:rPr>
            </w:pPr>
            <w:r w:rsidRPr="007D3345">
              <w:rPr>
                <w:rFonts w:eastAsia="Times New Roman" w:cs="Segoe UI"/>
                <w:b/>
                <w:bCs/>
                <w:color w:val="000000"/>
                <w:sz w:val="16"/>
                <w:szCs w:val="16"/>
                <w:lang w:eastAsia="sk-SK"/>
              </w:rPr>
              <w:t>48,97</w:t>
            </w:r>
          </w:p>
        </w:tc>
        <w:tc>
          <w:tcPr>
            <w:tcW w:w="584" w:type="dxa"/>
            <w:tcBorders>
              <w:top w:val="single" w:sz="8" w:space="0" w:color="auto"/>
              <w:left w:val="nil"/>
              <w:bottom w:val="single" w:sz="8" w:space="0" w:color="auto"/>
              <w:right w:val="nil"/>
            </w:tcBorders>
            <w:shd w:val="clear" w:color="000000" w:fill="FFFFFF"/>
            <w:vAlign w:val="center"/>
            <w:hideMark/>
          </w:tcPr>
          <w:p w14:paraId="2B537805" w14:textId="77777777" w:rsidR="007B6C07" w:rsidRPr="007D3345" w:rsidRDefault="007B6C07" w:rsidP="002E1FF0">
            <w:pPr>
              <w:spacing w:after="0" w:line="240" w:lineRule="auto"/>
              <w:jc w:val="center"/>
              <w:rPr>
                <w:rFonts w:eastAsia="Times New Roman" w:cs="Segoe UI"/>
                <w:b/>
                <w:bCs/>
                <w:color w:val="000000"/>
                <w:sz w:val="16"/>
                <w:szCs w:val="16"/>
                <w:lang w:eastAsia="sk-SK"/>
              </w:rPr>
            </w:pPr>
            <w:r w:rsidRPr="007D3345">
              <w:rPr>
                <w:rFonts w:eastAsia="Times New Roman" w:cs="Segoe UI"/>
                <w:b/>
                <w:bCs/>
                <w:color w:val="000000"/>
                <w:sz w:val="16"/>
                <w:szCs w:val="16"/>
                <w:lang w:eastAsia="sk-SK"/>
              </w:rPr>
              <w:t>3,76</w:t>
            </w:r>
          </w:p>
        </w:tc>
        <w:tc>
          <w:tcPr>
            <w:tcW w:w="842" w:type="dxa"/>
            <w:tcBorders>
              <w:top w:val="single" w:sz="8" w:space="0" w:color="auto"/>
              <w:left w:val="nil"/>
              <w:bottom w:val="single" w:sz="8" w:space="0" w:color="auto"/>
              <w:right w:val="nil"/>
            </w:tcBorders>
            <w:shd w:val="clear" w:color="000000" w:fill="FFFFFF"/>
            <w:vAlign w:val="center"/>
            <w:hideMark/>
          </w:tcPr>
          <w:p w14:paraId="3C3032A1" w14:textId="77777777" w:rsidR="007B6C07" w:rsidRPr="007D3345" w:rsidRDefault="007B6C07" w:rsidP="002E1FF0">
            <w:pPr>
              <w:spacing w:after="0" w:line="240" w:lineRule="auto"/>
              <w:jc w:val="right"/>
              <w:rPr>
                <w:rFonts w:eastAsia="Times New Roman" w:cs="Segoe UI"/>
                <w:b/>
                <w:bCs/>
                <w:color w:val="000000"/>
                <w:sz w:val="16"/>
                <w:szCs w:val="16"/>
                <w:lang w:eastAsia="sk-SK"/>
              </w:rPr>
            </w:pPr>
            <w:r w:rsidRPr="007D3345">
              <w:rPr>
                <w:rFonts w:eastAsia="Times New Roman" w:cs="Segoe UI"/>
                <w:b/>
                <w:bCs/>
                <w:color w:val="000000"/>
                <w:sz w:val="16"/>
                <w:szCs w:val="16"/>
                <w:lang w:eastAsia="sk-SK"/>
              </w:rPr>
              <w:t>2 011,25</w:t>
            </w:r>
          </w:p>
        </w:tc>
        <w:tc>
          <w:tcPr>
            <w:tcW w:w="805" w:type="dxa"/>
            <w:tcBorders>
              <w:top w:val="single" w:sz="8" w:space="0" w:color="auto"/>
              <w:left w:val="nil"/>
              <w:bottom w:val="single" w:sz="8" w:space="0" w:color="auto"/>
              <w:right w:val="nil"/>
            </w:tcBorders>
            <w:shd w:val="clear" w:color="000000" w:fill="FFFFFF"/>
            <w:vAlign w:val="center"/>
            <w:hideMark/>
          </w:tcPr>
          <w:p w14:paraId="20132A06" w14:textId="77777777" w:rsidR="007B6C07" w:rsidRPr="007D3345" w:rsidRDefault="007B6C07" w:rsidP="002E1FF0">
            <w:pPr>
              <w:spacing w:after="0" w:line="240" w:lineRule="auto"/>
              <w:jc w:val="right"/>
              <w:rPr>
                <w:rFonts w:eastAsia="Times New Roman" w:cs="Segoe UI"/>
                <w:b/>
                <w:bCs/>
                <w:color w:val="000000"/>
                <w:sz w:val="16"/>
                <w:szCs w:val="16"/>
                <w:lang w:eastAsia="sk-SK"/>
              </w:rPr>
            </w:pPr>
            <w:r w:rsidRPr="007D3345">
              <w:rPr>
                <w:rFonts w:eastAsia="Times New Roman" w:cs="Segoe UI"/>
                <w:b/>
                <w:bCs/>
                <w:color w:val="000000"/>
                <w:sz w:val="16"/>
                <w:szCs w:val="16"/>
                <w:lang w:eastAsia="sk-SK"/>
              </w:rPr>
              <w:t>374,17</w:t>
            </w:r>
          </w:p>
        </w:tc>
        <w:tc>
          <w:tcPr>
            <w:tcW w:w="584" w:type="dxa"/>
            <w:tcBorders>
              <w:top w:val="single" w:sz="8" w:space="0" w:color="auto"/>
              <w:left w:val="nil"/>
              <w:bottom w:val="single" w:sz="8" w:space="0" w:color="auto"/>
              <w:right w:val="nil"/>
            </w:tcBorders>
            <w:shd w:val="clear" w:color="000000" w:fill="FFFFFF"/>
            <w:vAlign w:val="center"/>
            <w:hideMark/>
          </w:tcPr>
          <w:p w14:paraId="1A3FF25D" w14:textId="77777777" w:rsidR="007B6C07" w:rsidRPr="007D3345" w:rsidRDefault="007B6C07" w:rsidP="002E1FF0">
            <w:pPr>
              <w:spacing w:after="0" w:line="240" w:lineRule="auto"/>
              <w:jc w:val="center"/>
              <w:rPr>
                <w:rFonts w:eastAsia="Times New Roman" w:cs="Segoe UI"/>
                <w:b/>
                <w:bCs/>
                <w:color w:val="000000"/>
                <w:sz w:val="16"/>
                <w:szCs w:val="16"/>
                <w:lang w:eastAsia="sk-SK"/>
              </w:rPr>
            </w:pPr>
            <w:r w:rsidRPr="007D3345">
              <w:rPr>
                <w:rFonts w:eastAsia="Times New Roman" w:cs="Segoe UI"/>
                <w:b/>
                <w:bCs/>
                <w:color w:val="000000"/>
                <w:sz w:val="16"/>
                <w:szCs w:val="16"/>
                <w:lang w:eastAsia="sk-SK"/>
              </w:rPr>
              <w:t>18,60</w:t>
            </w:r>
          </w:p>
        </w:tc>
        <w:tc>
          <w:tcPr>
            <w:tcW w:w="798" w:type="dxa"/>
            <w:tcBorders>
              <w:top w:val="single" w:sz="8" w:space="0" w:color="auto"/>
              <w:left w:val="nil"/>
              <w:bottom w:val="single" w:sz="8" w:space="0" w:color="auto"/>
              <w:right w:val="nil"/>
            </w:tcBorders>
            <w:shd w:val="clear" w:color="000000" w:fill="FFFFFF"/>
            <w:vAlign w:val="center"/>
            <w:hideMark/>
          </w:tcPr>
          <w:p w14:paraId="22418685" w14:textId="77777777" w:rsidR="007B6C07" w:rsidRPr="007D3345" w:rsidRDefault="007B6C07" w:rsidP="002E1FF0">
            <w:pPr>
              <w:spacing w:after="0" w:line="240" w:lineRule="auto"/>
              <w:jc w:val="right"/>
              <w:rPr>
                <w:rFonts w:eastAsia="Times New Roman" w:cs="Segoe UI"/>
                <w:b/>
                <w:bCs/>
                <w:color w:val="000000"/>
                <w:sz w:val="16"/>
                <w:szCs w:val="16"/>
                <w:lang w:eastAsia="sk-SK"/>
              </w:rPr>
            </w:pPr>
            <w:r w:rsidRPr="007D3345">
              <w:rPr>
                <w:rFonts w:eastAsia="Times New Roman" w:cs="Segoe UI"/>
                <w:b/>
                <w:bCs/>
                <w:color w:val="000000"/>
                <w:sz w:val="16"/>
                <w:szCs w:val="16"/>
                <w:lang w:eastAsia="sk-SK"/>
              </w:rPr>
              <w:t>1 215,40</w:t>
            </w:r>
          </w:p>
        </w:tc>
        <w:tc>
          <w:tcPr>
            <w:tcW w:w="805" w:type="dxa"/>
            <w:tcBorders>
              <w:top w:val="single" w:sz="8" w:space="0" w:color="auto"/>
              <w:left w:val="nil"/>
              <w:bottom w:val="single" w:sz="8" w:space="0" w:color="auto"/>
              <w:right w:val="nil"/>
            </w:tcBorders>
            <w:shd w:val="clear" w:color="000000" w:fill="FFFFFF"/>
            <w:vAlign w:val="center"/>
            <w:hideMark/>
          </w:tcPr>
          <w:p w14:paraId="46D260A7" w14:textId="77777777" w:rsidR="007B6C07" w:rsidRPr="007D3345" w:rsidRDefault="007B6C07" w:rsidP="002E1FF0">
            <w:pPr>
              <w:spacing w:after="0" w:line="240" w:lineRule="auto"/>
              <w:jc w:val="right"/>
              <w:rPr>
                <w:rFonts w:eastAsia="Times New Roman" w:cs="Segoe UI"/>
                <w:b/>
                <w:bCs/>
                <w:color w:val="000000"/>
                <w:sz w:val="16"/>
                <w:szCs w:val="16"/>
                <w:lang w:eastAsia="sk-SK"/>
              </w:rPr>
            </w:pPr>
            <w:r w:rsidRPr="007D3345">
              <w:rPr>
                <w:rFonts w:eastAsia="Times New Roman" w:cs="Segoe UI"/>
                <w:b/>
                <w:bCs/>
                <w:color w:val="000000"/>
                <w:sz w:val="16"/>
                <w:szCs w:val="16"/>
                <w:lang w:eastAsia="sk-SK"/>
              </w:rPr>
              <w:t>936,29</w:t>
            </w:r>
          </w:p>
        </w:tc>
        <w:tc>
          <w:tcPr>
            <w:tcW w:w="606" w:type="dxa"/>
            <w:tcBorders>
              <w:top w:val="single" w:sz="8" w:space="0" w:color="auto"/>
              <w:left w:val="nil"/>
              <w:bottom w:val="single" w:sz="8" w:space="0" w:color="auto"/>
              <w:right w:val="nil"/>
            </w:tcBorders>
            <w:shd w:val="clear" w:color="000000" w:fill="FFFFFF"/>
            <w:vAlign w:val="center"/>
            <w:hideMark/>
          </w:tcPr>
          <w:p w14:paraId="0FD2B353" w14:textId="77777777" w:rsidR="007B6C07" w:rsidRPr="007D3345" w:rsidRDefault="007B6C07" w:rsidP="002E1FF0">
            <w:pPr>
              <w:spacing w:after="0" w:line="240" w:lineRule="auto"/>
              <w:jc w:val="center"/>
              <w:rPr>
                <w:rFonts w:eastAsia="Times New Roman" w:cs="Segoe UI"/>
                <w:b/>
                <w:bCs/>
                <w:color w:val="000000"/>
                <w:sz w:val="16"/>
                <w:szCs w:val="16"/>
                <w:lang w:eastAsia="sk-SK"/>
              </w:rPr>
            </w:pPr>
            <w:r w:rsidRPr="007D3345">
              <w:rPr>
                <w:rFonts w:eastAsia="Times New Roman" w:cs="Segoe UI"/>
                <w:b/>
                <w:bCs/>
                <w:color w:val="000000"/>
                <w:sz w:val="16"/>
                <w:szCs w:val="16"/>
                <w:lang w:eastAsia="sk-SK"/>
              </w:rPr>
              <w:t>77,04</w:t>
            </w:r>
          </w:p>
        </w:tc>
        <w:tc>
          <w:tcPr>
            <w:tcW w:w="798" w:type="dxa"/>
            <w:tcBorders>
              <w:top w:val="single" w:sz="8" w:space="0" w:color="auto"/>
              <w:left w:val="nil"/>
              <w:bottom w:val="single" w:sz="8" w:space="0" w:color="auto"/>
              <w:right w:val="nil"/>
            </w:tcBorders>
            <w:shd w:val="clear" w:color="000000" w:fill="FFFFFF"/>
            <w:vAlign w:val="center"/>
            <w:hideMark/>
          </w:tcPr>
          <w:p w14:paraId="213623A9" w14:textId="77777777" w:rsidR="007B6C07" w:rsidRPr="007D3345" w:rsidRDefault="007B6C07" w:rsidP="002E1FF0">
            <w:pPr>
              <w:spacing w:after="0" w:line="240" w:lineRule="auto"/>
              <w:jc w:val="right"/>
              <w:rPr>
                <w:rFonts w:eastAsia="Times New Roman" w:cs="Segoe UI"/>
                <w:b/>
                <w:bCs/>
                <w:color w:val="000000"/>
                <w:sz w:val="16"/>
                <w:szCs w:val="16"/>
                <w:lang w:eastAsia="sk-SK"/>
              </w:rPr>
            </w:pPr>
            <w:r w:rsidRPr="007D3345">
              <w:rPr>
                <w:rFonts w:eastAsia="Times New Roman" w:cs="Segoe UI"/>
                <w:b/>
                <w:bCs/>
                <w:color w:val="000000"/>
                <w:sz w:val="16"/>
                <w:szCs w:val="16"/>
                <w:lang w:eastAsia="sk-SK"/>
              </w:rPr>
              <w:t>1 205,55</w:t>
            </w:r>
          </w:p>
        </w:tc>
        <w:tc>
          <w:tcPr>
            <w:tcW w:w="820" w:type="dxa"/>
            <w:tcBorders>
              <w:top w:val="single" w:sz="8" w:space="0" w:color="auto"/>
              <w:left w:val="nil"/>
              <w:bottom w:val="single" w:sz="8" w:space="0" w:color="auto"/>
              <w:right w:val="nil"/>
            </w:tcBorders>
            <w:shd w:val="clear" w:color="000000" w:fill="FFFFFF"/>
            <w:vAlign w:val="center"/>
            <w:hideMark/>
          </w:tcPr>
          <w:p w14:paraId="3502E030" w14:textId="77777777" w:rsidR="007B6C07" w:rsidRPr="007D3345" w:rsidRDefault="007B6C07" w:rsidP="002E1FF0">
            <w:pPr>
              <w:spacing w:after="0" w:line="240" w:lineRule="auto"/>
              <w:jc w:val="right"/>
              <w:rPr>
                <w:rFonts w:eastAsia="Times New Roman" w:cs="Segoe UI"/>
                <w:b/>
                <w:bCs/>
                <w:color w:val="000000"/>
                <w:sz w:val="16"/>
                <w:szCs w:val="16"/>
                <w:lang w:eastAsia="sk-SK"/>
              </w:rPr>
            </w:pPr>
            <w:r w:rsidRPr="007D3345">
              <w:rPr>
                <w:rFonts w:eastAsia="Times New Roman" w:cs="Segoe UI"/>
                <w:b/>
                <w:bCs/>
                <w:color w:val="000000"/>
                <w:sz w:val="16"/>
                <w:szCs w:val="16"/>
                <w:lang w:eastAsia="sk-SK"/>
              </w:rPr>
              <w:t>322,47</w:t>
            </w:r>
          </w:p>
        </w:tc>
        <w:tc>
          <w:tcPr>
            <w:tcW w:w="606" w:type="dxa"/>
            <w:tcBorders>
              <w:top w:val="single" w:sz="8" w:space="0" w:color="auto"/>
              <w:left w:val="nil"/>
              <w:bottom w:val="single" w:sz="8" w:space="0" w:color="auto"/>
              <w:right w:val="nil"/>
            </w:tcBorders>
            <w:shd w:val="clear" w:color="000000" w:fill="FFFFFF"/>
            <w:vAlign w:val="center"/>
            <w:hideMark/>
          </w:tcPr>
          <w:p w14:paraId="4A5F6A74" w14:textId="77777777" w:rsidR="007B6C07" w:rsidRPr="007D3345" w:rsidRDefault="007B6C07" w:rsidP="002E1FF0">
            <w:pPr>
              <w:spacing w:after="0" w:line="240" w:lineRule="auto"/>
              <w:jc w:val="center"/>
              <w:rPr>
                <w:rFonts w:eastAsia="Times New Roman" w:cs="Segoe UI"/>
                <w:b/>
                <w:bCs/>
                <w:color w:val="000000"/>
                <w:sz w:val="16"/>
                <w:szCs w:val="16"/>
                <w:lang w:eastAsia="sk-SK"/>
              </w:rPr>
            </w:pPr>
            <w:r w:rsidRPr="007D3345">
              <w:rPr>
                <w:rFonts w:eastAsia="Times New Roman" w:cs="Segoe UI"/>
                <w:b/>
                <w:bCs/>
                <w:color w:val="000000"/>
                <w:sz w:val="16"/>
                <w:szCs w:val="16"/>
                <w:lang w:eastAsia="sk-SK"/>
              </w:rPr>
              <w:t>26,75</w:t>
            </w:r>
          </w:p>
        </w:tc>
      </w:tr>
    </w:tbl>
    <w:p w14:paraId="0A3825D6" w14:textId="12876EC1" w:rsidR="004C7AED" w:rsidRDefault="007B6C07" w:rsidP="004C7AED">
      <w:pPr>
        <w:spacing w:after="0" w:line="240" w:lineRule="auto"/>
        <w:jc w:val="left"/>
        <w:rPr>
          <w:i/>
          <w:color w:val="314364" w:themeColor="text2"/>
          <w:sz w:val="16"/>
        </w:rPr>
      </w:pPr>
      <w:r w:rsidRPr="00740AEF">
        <w:rPr>
          <w:i/>
          <w:color w:val="314364" w:themeColor="text2"/>
          <w:sz w:val="16"/>
        </w:rPr>
        <w:t>Zdroj: RIS.</w:t>
      </w:r>
      <w:r w:rsidRPr="00740AEF">
        <w:rPr>
          <w:i/>
          <w:color w:val="314364" w:themeColor="text2"/>
          <w:sz w:val="16"/>
        </w:rPr>
        <w:br/>
        <w:t xml:space="preserve">*čerpanie </w:t>
      </w:r>
      <w:r>
        <w:rPr>
          <w:i/>
          <w:color w:val="314364" w:themeColor="text2"/>
          <w:sz w:val="16"/>
        </w:rPr>
        <w:t>platné k</w:t>
      </w:r>
      <w:r w:rsidRPr="00740AEF">
        <w:rPr>
          <w:i/>
          <w:color w:val="314364" w:themeColor="text2"/>
          <w:sz w:val="16"/>
        </w:rPr>
        <w:t> 30. 4. 202</w:t>
      </w:r>
      <w:r>
        <w:rPr>
          <w:i/>
          <w:color w:val="314364" w:themeColor="text2"/>
          <w:sz w:val="16"/>
        </w:rPr>
        <w:t>5</w:t>
      </w:r>
    </w:p>
    <w:p w14:paraId="70B0A9BF" w14:textId="5F58D9BE" w:rsidR="004C7AED" w:rsidRPr="00740AEF" w:rsidRDefault="004C7AED" w:rsidP="004C7AED">
      <w:pPr>
        <w:spacing w:line="240" w:lineRule="auto"/>
        <w:rPr>
          <w:i/>
          <w:color w:val="314364" w:themeColor="text2"/>
          <w:sz w:val="16"/>
        </w:rPr>
        <w:sectPr w:rsidR="004C7AED" w:rsidRPr="00740AEF" w:rsidSect="001C696B">
          <w:headerReference w:type="default" r:id="rId82"/>
          <w:footerReference w:type="default" r:id="rId83"/>
          <w:pgSz w:w="11906" w:h="16838"/>
          <w:pgMar w:top="1418" w:right="1418" w:bottom="1134" w:left="1418" w:header="0" w:footer="709" w:gutter="0"/>
          <w:cols w:space="708"/>
          <w:docGrid w:linePitch="360"/>
        </w:sectPr>
      </w:pPr>
      <w:r>
        <w:rPr>
          <w:i/>
          <w:color w:val="314364" w:themeColor="text2"/>
          <w:sz w:val="16"/>
        </w:rPr>
        <w:t xml:space="preserve">Poznámka: </w:t>
      </w:r>
      <w:r w:rsidRPr="004C7AED">
        <w:rPr>
          <w:i/>
          <w:color w:val="314364" w:themeColor="text2"/>
          <w:sz w:val="16"/>
        </w:rPr>
        <w:t>Čerpanie zahŕňa aj realizované výdavky z prostriedkov POO prenesených z predchádzajúcich rokov (§ 8 ods. 6 z. č. 523/2004 Z.</w:t>
      </w:r>
      <w:r>
        <w:rPr>
          <w:i/>
          <w:color w:val="314364" w:themeColor="text2"/>
          <w:sz w:val="16"/>
        </w:rPr>
        <w:t xml:space="preserve"> </w:t>
      </w:r>
      <w:r w:rsidRPr="004C7AED">
        <w:rPr>
          <w:i/>
          <w:color w:val="314364" w:themeColor="text2"/>
          <w:sz w:val="16"/>
        </w:rPr>
        <w:t>z.). Tieto prostriedky na základe rozpočtových opatrení navýšili disponibilné zdroje v príslušnom rozpočtovom roku.</w:t>
      </w:r>
    </w:p>
    <w:p w14:paraId="4B43EAA0" w14:textId="0E0C7AF6" w:rsidR="00844102" w:rsidRPr="00D20EA7" w:rsidRDefault="00844102" w:rsidP="00844102">
      <w:pPr>
        <w:keepNext/>
        <w:spacing w:after="0" w:line="240" w:lineRule="auto"/>
        <w:rPr>
          <w:rFonts w:eastAsia="Calibri" w:cs="Times New Roman"/>
          <w:b/>
          <w:iCs/>
          <w:color w:val="314364"/>
          <w:szCs w:val="18"/>
        </w:rPr>
      </w:pPr>
      <w:r w:rsidRPr="00D20EA7">
        <w:rPr>
          <w:rFonts w:eastAsia="Calibri" w:cs="Times New Roman"/>
          <w:b/>
          <w:iCs/>
          <w:color w:val="314364"/>
          <w:szCs w:val="18"/>
        </w:rPr>
        <w:lastRenderedPageBreak/>
        <w:t xml:space="preserve">Tabuľka </w:t>
      </w:r>
      <w:r w:rsidR="00BA5B20">
        <w:rPr>
          <w:rFonts w:eastAsia="Calibri" w:cs="Times New Roman"/>
          <w:b/>
          <w:iCs/>
          <w:color w:val="314364"/>
          <w:szCs w:val="18"/>
        </w:rPr>
        <w:t>8</w:t>
      </w:r>
      <w:r w:rsidRPr="00D20EA7">
        <w:rPr>
          <w:rFonts w:eastAsia="Calibri" w:cs="Times New Roman"/>
          <w:b/>
          <w:iCs/>
          <w:color w:val="314364"/>
          <w:szCs w:val="18"/>
        </w:rPr>
        <w:t>: Príjmy podľa kapitol ŠR na hotovostnej báze za rok 2024 (v tis. eur)</w:t>
      </w:r>
    </w:p>
    <w:tbl>
      <w:tblPr>
        <w:tblW w:w="5000" w:type="pct"/>
        <w:tblLayout w:type="fixed"/>
        <w:tblCellMar>
          <w:left w:w="70" w:type="dxa"/>
          <w:right w:w="70" w:type="dxa"/>
        </w:tblCellMar>
        <w:tblLook w:val="04A0" w:firstRow="1" w:lastRow="0" w:firstColumn="1" w:lastColumn="0" w:noHBand="0" w:noVBand="1"/>
      </w:tblPr>
      <w:tblGrid>
        <w:gridCol w:w="5000"/>
        <w:gridCol w:w="1211"/>
        <w:gridCol w:w="1224"/>
        <w:gridCol w:w="1212"/>
      </w:tblGrid>
      <w:tr w:rsidR="00844102" w:rsidRPr="00D20EA7" w14:paraId="3BD1359F" w14:textId="77777777" w:rsidTr="00F53E08">
        <w:trPr>
          <w:trHeight w:val="283"/>
        </w:trPr>
        <w:tc>
          <w:tcPr>
            <w:tcW w:w="2891" w:type="pct"/>
            <w:shd w:val="clear" w:color="auto" w:fill="314364"/>
            <w:noWrap/>
            <w:vAlign w:val="center"/>
          </w:tcPr>
          <w:p w14:paraId="078CD152" w14:textId="77777777" w:rsidR="00844102" w:rsidRPr="00D20EA7" w:rsidRDefault="00844102" w:rsidP="00F53E08">
            <w:pPr>
              <w:spacing w:after="0" w:line="240" w:lineRule="auto"/>
              <w:jc w:val="left"/>
              <w:rPr>
                <w:rFonts w:eastAsia="Calibri" w:cs="Segoe UI"/>
                <w:b/>
                <w:sz w:val="18"/>
                <w:szCs w:val="18"/>
              </w:rPr>
            </w:pPr>
            <w:r w:rsidRPr="00D20EA7">
              <w:rPr>
                <w:rFonts w:eastAsia="Times New Roman" w:cs="Segoe UI"/>
                <w:b/>
                <w:color w:val="FFFFFF"/>
                <w:sz w:val="18"/>
                <w:szCs w:val="18"/>
                <w:lang w:eastAsia="sk-SK"/>
              </w:rPr>
              <w:t xml:space="preserve">Príjmy kapitol ŠR </w:t>
            </w:r>
          </w:p>
        </w:tc>
        <w:tc>
          <w:tcPr>
            <w:tcW w:w="700" w:type="pct"/>
            <w:shd w:val="clear" w:color="auto" w:fill="314364"/>
            <w:noWrap/>
            <w:vAlign w:val="center"/>
          </w:tcPr>
          <w:p w14:paraId="4046FE6C" w14:textId="77777777" w:rsidR="00844102" w:rsidRPr="00D20EA7" w:rsidRDefault="00844102" w:rsidP="00F53E08">
            <w:pPr>
              <w:spacing w:after="0" w:line="240" w:lineRule="auto"/>
              <w:jc w:val="right"/>
              <w:rPr>
                <w:rFonts w:eastAsia="Calibri" w:cs="Segoe UI"/>
                <w:b/>
                <w:color w:val="FFFFFF"/>
                <w:sz w:val="18"/>
                <w:szCs w:val="18"/>
              </w:rPr>
            </w:pPr>
            <w:r w:rsidRPr="00D20EA7">
              <w:rPr>
                <w:rFonts w:eastAsia="Calibri" w:cs="Segoe UI"/>
                <w:b/>
                <w:color w:val="FFFFFF"/>
                <w:sz w:val="18"/>
                <w:szCs w:val="18"/>
              </w:rPr>
              <w:t>2024 R</w:t>
            </w:r>
          </w:p>
        </w:tc>
        <w:tc>
          <w:tcPr>
            <w:tcW w:w="708" w:type="pct"/>
            <w:shd w:val="clear" w:color="auto" w:fill="314364"/>
            <w:noWrap/>
            <w:vAlign w:val="center"/>
          </w:tcPr>
          <w:p w14:paraId="7E9B4195" w14:textId="77777777" w:rsidR="00844102" w:rsidRPr="00D20EA7" w:rsidRDefault="00844102" w:rsidP="00F53E08">
            <w:pPr>
              <w:spacing w:after="0" w:line="240" w:lineRule="auto"/>
              <w:jc w:val="right"/>
              <w:rPr>
                <w:rFonts w:eastAsia="Calibri" w:cs="Segoe UI"/>
                <w:b/>
                <w:sz w:val="18"/>
                <w:szCs w:val="18"/>
              </w:rPr>
            </w:pPr>
            <w:r w:rsidRPr="00D20EA7">
              <w:rPr>
                <w:rFonts w:eastAsia="Calibri" w:cs="Segoe UI"/>
                <w:b/>
                <w:color w:val="FFFFFF"/>
                <w:sz w:val="18"/>
                <w:szCs w:val="18"/>
              </w:rPr>
              <w:t>2024 S</w:t>
            </w:r>
          </w:p>
        </w:tc>
        <w:tc>
          <w:tcPr>
            <w:tcW w:w="701" w:type="pct"/>
            <w:shd w:val="clear" w:color="auto" w:fill="314364"/>
            <w:vAlign w:val="center"/>
          </w:tcPr>
          <w:p w14:paraId="252FF4DB" w14:textId="77777777" w:rsidR="00844102" w:rsidRPr="00D20EA7" w:rsidRDefault="00844102" w:rsidP="00F53E08">
            <w:pPr>
              <w:spacing w:after="0" w:line="240" w:lineRule="auto"/>
              <w:jc w:val="right"/>
              <w:rPr>
                <w:rFonts w:eastAsia="Calibri" w:cs="Segoe UI"/>
                <w:b/>
                <w:color w:val="FFFFFF"/>
                <w:sz w:val="18"/>
                <w:szCs w:val="18"/>
              </w:rPr>
            </w:pPr>
            <w:r w:rsidRPr="00D20EA7">
              <w:rPr>
                <w:rFonts w:eastAsia="Calibri" w:cs="Segoe UI"/>
                <w:b/>
                <w:color w:val="FFFFFF"/>
                <w:sz w:val="18"/>
                <w:szCs w:val="18"/>
              </w:rPr>
              <w:t>% plnenia</w:t>
            </w:r>
          </w:p>
        </w:tc>
      </w:tr>
      <w:tr w:rsidR="00844102" w:rsidRPr="00D20EA7" w14:paraId="085B769F" w14:textId="77777777" w:rsidTr="00F53E08">
        <w:trPr>
          <w:trHeight w:val="283"/>
        </w:trPr>
        <w:tc>
          <w:tcPr>
            <w:tcW w:w="2891" w:type="pct"/>
            <w:shd w:val="clear" w:color="auto" w:fill="auto"/>
            <w:noWrap/>
            <w:vAlign w:val="center"/>
            <w:hideMark/>
          </w:tcPr>
          <w:p w14:paraId="6402FA36"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Všeobecná pokladničná správa</w:t>
            </w:r>
          </w:p>
        </w:tc>
        <w:tc>
          <w:tcPr>
            <w:tcW w:w="700" w:type="pct"/>
            <w:tcBorders>
              <w:top w:val="nil"/>
              <w:left w:val="nil"/>
              <w:bottom w:val="nil"/>
              <w:right w:val="nil"/>
            </w:tcBorders>
            <w:shd w:val="clear" w:color="auto" w:fill="auto"/>
            <w:noWrap/>
            <w:vAlign w:val="center"/>
          </w:tcPr>
          <w:p w14:paraId="6145E792"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20 975 100</w:t>
            </w:r>
          </w:p>
        </w:tc>
        <w:tc>
          <w:tcPr>
            <w:tcW w:w="708" w:type="pct"/>
            <w:tcBorders>
              <w:top w:val="nil"/>
              <w:left w:val="nil"/>
              <w:bottom w:val="nil"/>
              <w:right w:val="nil"/>
            </w:tcBorders>
            <w:shd w:val="clear" w:color="auto" w:fill="auto"/>
            <w:noWrap/>
            <w:vAlign w:val="center"/>
          </w:tcPr>
          <w:p w14:paraId="51D1B2D7"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20 377 599</w:t>
            </w:r>
          </w:p>
        </w:tc>
        <w:tc>
          <w:tcPr>
            <w:tcW w:w="701" w:type="pct"/>
            <w:tcBorders>
              <w:top w:val="nil"/>
              <w:left w:val="nil"/>
              <w:bottom w:val="nil"/>
              <w:right w:val="nil"/>
            </w:tcBorders>
            <w:vAlign w:val="center"/>
          </w:tcPr>
          <w:p w14:paraId="74C6C409"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97,2</w:t>
            </w:r>
          </w:p>
        </w:tc>
      </w:tr>
      <w:tr w:rsidR="00844102" w:rsidRPr="00D20EA7" w14:paraId="02ACC24D" w14:textId="77777777" w:rsidTr="00F53E08">
        <w:trPr>
          <w:trHeight w:val="283"/>
        </w:trPr>
        <w:tc>
          <w:tcPr>
            <w:tcW w:w="2891" w:type="pct"/>
            <w:shd w:val="clear" w:color="auto" w:fill="auto"/>
            <w:noWrap/>
            <w:vAlign w:val="center"/>
            <w:hideMark/>
          </w:tcPr>
          <w:p w14:paraId="37E27439"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pôdohospodárstva a rozvoja vidieka SR</w:t>
            </w:r>
          </w:p>
        </w:tc>
        <w:tc>
          <w:tcPr>
            <w:tcW w:w="700" w:type="pct"/>
            <w:tcBorders>
              <w:top w:val="nil"/>
              <w:left w:val="nil"/>
              <w:bottom w:val="nil"/>
              <w:right w:val="nil"/>
            </w:tcBorders>
            <w:shd w:val="clear" w:color="auto" w:fill="auto"/>
            <w:noWrap/>
            <w:vAlign w:val="center"/>
          </w:tcPr>
          <w:p w14:paraId="05918CF9"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769 256</w:t>
            </w:r>
          </w:p>
        </w:tc>
        <w:tc>
          <w:tcPr>
            <w:tcW w:w="708" w:type="pct"/>
            <w:tcBorders>
              <w:top w:val="nil"/>
              <w:left w:val="nil"/>
              <w:bottom w:val="nil"/>
              <w:right w:val="nil"/>
            </w:tcBorders>
            <w:shd w:val="clear" w:color="auto" w:fill="auto"/>
            <w:noWrap/>
            <w:vAlign w:val="center"/>
          </w:tcPr>
          <w:p w14:paraId="3BD9CCE7"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934 109</w:t>
            </w:r>
          </w:p>
        </w:tc>
        <w:tc>
          <w:tcPr>
            <w:tcW w:w="701" w:type="pct"/>
            <w:tcBorders>
              <w:top w:val="nil"/>
              <w:left w:val="nil"/>
              <w:bottom w:val="nil"/>
              <w:right w:val="nil"/>
            </w:tcBorders>
            <w:vAlign w:val="center"/>
          </w:tcPr>
          <w:p w14:paraId="2D968659"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121,4</w:t>
            </w:r>
          </w:p>
        </w:tc>
      </w:tr>
      <w:tr w:rsidR="00844102" w:rsidRPr="00D20EA7" w14:paraId="025096DA" w14:textId="77777777" w:rsidTr="00F53E08">
        <w:trPr>
          <w:trHeight w:val="283"/>
        </w:trPr>
        <w:tc>
          <w:tcPr>
            <w:tcW w:w="2891" w:type="pct"/>
            <w:shd w:val="clear" w:color="auto" w:fill="auto"/>
            <w:noWrap/>
            <w:vAlign w:val="center"/>
            <w:hideMark/>
          </w:tcPr>
          <w:p w14:paraId="38A6BFC4"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životného prostredia SR</w:t>
            </w:r>
          </w:p>
        </w:tc>
        <w:tc>
          <w:tcPr>
            <w:tcW w:w="700" w:type="pct"/>
            <w:tcBorders>
              <w:top w:val="nil"/>
              <w:left w:val="nil"/>
              <w:bottom w:val="nil"/>
              <w:right w:val="nil"/>
            </w:tcBorders>
            <w:shd w:val="clear" w:color="auto" w:fill="auto"/>
            <w:noWrap/>
            <w:vAlign w:val="center"/>
          </w:tcPr>
          <w:p w14:paraId="70179A18"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163 650</w:t>
            </w:r>
          </w:p>
        </w:tc>
        <w:tc>
          <w:tcPr>
            <w:tcW w:w="708" w:type="pct"/>
            <w:tcBorders>
              <w:top w:val="nil"/>
              <w:left w:val="nil"/>
              <w:bottom w:val="nil"/>
              <w:right w:val="nil"/>
            </w:tcBorders>
            <w:shd w:val="clear" w:color="auto" w:fill="auto"/>
            <w:noWrap/>
            <w:vAlign w:val="center"/>
          </w:tcPr>
          <w:p w14:paraId="547F7E08"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838 932</w:t>
            </w:r>
          </w:p>
        </w:tc>
        <w:tc>
          <w:tcPr>
            <w:tcW w:w="701" w:type="pct"/>
            <w:tcBorders>
              <w:top w:val="nil"/>
              <w:left w:val="nil"/>
              <w:bottom w:val="nil"/>
              <w:right w:val="nil"/>
            </w:tcBorders>
            <w:vAlign w:val="center"/>
          </w:tcPr>
          <w:p w14:paraId="3A12E7BA"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512,6</w:t>
            </w:r>
          </w:p>
        </w:tc>
      </w:tr>
      <w:tr w:rsidR="00844102" w:rsidRPr="00D20EA7" w14:paraId="3148B466" w14:textId="77777777" w:rsidTr="00F53E08">
        <w:trPr>
          <w:trHeight w:val="283"/>
        </w:trPr>
        <w:tc>
          <w:tcPr>
            <w:tcW w:w="2891" w:type="pct"/>
            <w:shd w:val="clear" w:color="auto" w:fill="auto"/>
            <w:noWrap/>
            <w:vAlign w:val="center"/>
            <w:hideMark/>
          </w:tcPr>
          <w:p w14:paraId="68B7D939"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dopravy SR</w:t>
            </w:r>
          </w:p>
        </w:tc>
        <w:tc>
          <w:tcPr>
            <w:tcW w:w="700" w:type="pct"/>
            <w:tcBorders>
              <w:top w:val="nil"/>
              <w:left w:val="nil"/>
              <w:bottom w:val="nil"/>
              <w:right w:val="nil"/>
            </w:tcBorders>
            <w:shd w:val="clear" w:color="auto" w:fill="auto"/>
            <w:noWrap/>
            <w:vAlign w:val="center"/>
          </w:tcPr>
          <w:p w14:paraId="70154A1B"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94 559</w:t>
            </w:r>
          </w:p>
        </w:tc>
        <w:tc>
          <w:tcPr>
            <w:tcW w:w="708" w:type="pct"/>
            <w:tcBorders>
              <w:top w:val="nil"/>
              <w:left w:val="nil"/>
              <w:bottom w:val="nil"/>
              <w:right w:val="nil"/>
            </w:tcBorders>
            <w:shd w:val="clear" w:color="auto" w:fill="auto"/>
            <w:noWrap/>
            <w:vAlign w:val="center"/>
          </w:tcPr>
          <w:p w14:paraId="7BC8DBF3"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506 908</w:t>
            </w:r>
          </w:p>
        </w:tc>
        <w:tc>
          <w:tcPr>
            <w:tcW w:w="701" w:type="pct"/>
            <w:tcBorders>
              <w:top w:val="nil"/>
              <w:left w:val="nil"/>
              <w:bottom w:val="nil"/>
              <w:right w:val="nil"/>
            </w:tcBorders>
            <w:vAlign w:val="center"/>
          </w:tcPr>
          <w:p w14:paraId="63AAFA14"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536,1</w:t>
            </w:r>
          </w:p>
        </w:tc>
      </w:tr>
      <w:tr w:rsidR="00844102" w:rsidRPr="00D20EA7" w14:paraId="142C997A" w14:textId="77777777" w:rsidTr="00F53E08">
        <w:trPr>
          <w:trHeight w:val="283"/>
        </w:trPr>
        <w:tc>
          <w:tcPr>
            <w:tcW w:w="2891" w:type="pct"/>
            <w:shd w:val="clear" w:color="auto" w:fill="auto"/>
            <w:noWrap/>
            <w:vAlign w:val="center"/>
            <w:hideMark/>
          </w:tcPr>
          <w:p w14:paraId="4D3D6C72"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práce, sociálnych vecí a rodiny SR</w:t>
            </w:r>
          </w:p>
        </w:tc>
        <w:tc>
          <w:tcPr>
            <w:tcW w:w="700" w:type="pct"/>
            <w:tcBorders>
              <w:top w:val="nil"/>
              <w:left w:val="nil"/>
              <w:bottom w:val="nil"/>
              <w:right w:val="nil"/>
            </w:tcBorders>
            <w:shd w:val="clear" w:color="auto" w:fill="auto"/>
            <w:noWrap/>
            <w:vAlign w:val="center"/>
          </w:tcPr>
          <w:p w14:paraId="48761E84"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77 722</w:t>
            </w:r>
          </w:p>
        </w:tc>
        <w:tc>
          <w:tcPr>
            <w:tcW w:w="708" w:type="pct"/>
            <w:tcBorders>
              <w:top w:val="nil"/>
              <w:left w:val="nil"/>
              <w:bottom w:val="nil"/>
              <w:right w:val="nil"/>
            </w:tcBorders>
            <w:shd w:val="clear" w:color="auto" w:fill="auto"/>
            <w:noWrap/>
            <w:vAlign w:val="center"/>
          </w:tcPr>
          <w:p w14:paraId="767D8444"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462 884</w:t>
            </w:r>
          </w:p>
        </w:tc>
        <w:tc>
          <w:tcPr>
            <w:tcW w:w="701" w:type="pct"/>
            <w:tcBorders>
              <w:top w:val="nil"/>
              <w:left w:val="nil"/>
              <w:bottom w:val="nil"/>
              <w:right w:val="nil"/>
            </w:tcBorders>
            <w:vAlign w:val="center"/>
          </w:tcPr>
          <w:p w14:paraId="48482E7F"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595,6</w:t>
            </w:r>
          </w:p>
        </w:tc>
      </w:tr>
      <w:tr w:rsidR="00844102" w:rsidRPr="00D20EA7" w14:paraId="38297994" w14:textId="77777777" w:rsidTr="00F53E08">
        <w:trPr>
          <w:trHeight w:val="283"/>
        </w:trPr>
        <w:tc>
          <w:tcPr>
            <w:tcW w:w="2891" w:type="pct"/>
            <w:shd w:val="clear" w:color="auto" w:fill="auto"/>
            <w:noWrap/>
            <w:vAlign w:val="center"/>
            <w:hideMark/>
          </w:tcPr>
          <w:p w14:paraId="0E08A0E9"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investícií, reg. rozvoja a informatizácie SR</w:t>
            </w:r>
          </w:p>
        </w:tc>
        <w:tc>
          <w:tcPr>
            <w:tcW w:w="700" w:type="pct"/>
            <w:tcBorders>
              <w:top w:val="nil"/>
              <w:left w:val="nil"/>
              <w:bottom w:val="nil"/>
              <w:right w:val="nil"/>
            </w:tcBorders>
            <w:shd w:val="clear" w:color="auto" w:fill="auto"/>
            <w:noWrap/>
            <w:vAlign w:val="center"/>
          </w:tcPr>
          <w:p w14:paraId="7C11B7F9"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77 031</w:t>
            </w:r>
          </w:p>
        </w:tc>
        <w:tc>
          <w:tcPr>
            <w:tcW w:w="708" w:type="pct"/>
            <w:tcBorders>
              <w:top w:val="nil"/>
              <w:left w:val="nil"/>
              <w:bottom w:val="nil"/>
              <w:right w:val="nil"/>
            </w:tcBorders>
            <w:shd w:val="clear" w:color="auto" w:fill="auto"/>
            <w:noWrap/>
            <w:vAlign w:val="center"/>
          </w:tcPr>
          <w:p w14:paraId="4ECBC78A"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364 078</w:t>
            </w:r>
          </w:p>
        </w:tc>
        <w:tc>
          <w:tcPr>
            <w:tcW w:w="701" w:type="pct"/>
            <w:tcBorders>
              <w:top w:val="nil"/>
              <w:left w:val="nil"/>
              <w:bottom w:val="nil"/>
              <w:right w:val="nil"/>
            </w:tcBorders>
            <w:vAlign w:val="center"/>
          </w:tcPr>
          <w:p w14:paraId="7AB2CB2D"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472,6</w:t>
            </w:r>
          </w:p>
        </w:tc>
      </w:tr>
      <w:tr w:rsidR="00844102" w:rsidRPr="00D20EA7" w14:paraId="06E4913D" w14:textId="77777777" w:rsidTr="00F53E08">
        <w:trPr>
          <w:trHeight w:val="283"/>
        </w:trPr>
        <w:tc>
          <w:tcPr>
            <w:tcW w:w="2891" w:type="pct"/>
            <w:shd w:val="clear" w:color="auto" w:fill="auto"/>
            <w:noWrap/>
            <w:vAlign w:val="center"/>
            <w:hideMark/>
          </w:tcPr>
          <w:p w14:paraId="2A2A02E6"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hospodárstva SR</w:t>
            </w:r>
          </w:p>
        </w:tc>
        <w:tc>
          <w:tcPr>
            <w:tcW w:w="700" w:type="pct"/>
            <w:tcBorders>
              <w:top w:val="nil"/>
              <w:left w:val="nil"/>
              <w:bottom w:val="nil"/>
              <w:right w:val="nil"/>
            </w:tcBorders>
            <w:shd w:val="clear" w:color="auto" w:fill="auto"/>
            <w:noWrap/>
            <w:vAlign w:val="center"/>
          </w:tcPr>
          <w:p w14:paraId="28BE0D1E"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150 842</w:t>
            </w:r>
          </w:p>
        </w:tc>
        <w:tc>
          <w:tcPr>
            <w:tcW w:w="708" w:type="pct"/>
            <w:tcBorders>
              <w:top w:val="nil"/>
              <w:left w:val="nil"/>
              <w:bottom w:val="nil"/>
              <w:right w:val="nil"/>
            </w:tcBorders>
            <w:shd w:val="clear" w:color="auto" w:fill="auto"/>
            <w:noWrap/>
            <w:vAlign w:val="center"/>
          </w:tcPr>
          <w:p w14:paraId="1E0A1064"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313 250</w:t>
            </w:r>
          </w:p>
        </w:tc>
        <w:tc>
          <w:tcPr>
            <w:tcW w:w="701" w:type="pct"/>
            <w:tcBorders>
              <w:top w:val="nil"/>
              <w:left w:val="nil"/>
              <w:bottom w:val="nil"/>
              <w:right w:val="nil"/>
            </w:tcBorders>
            <w:vAlign w:val="center"/>
          </w:tcPr>
          <w:p w14:paraId="032393AA"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207,7</w:t>
            </w:r>
          </w:p>
        </w:tc>
      </w:tr>
      <w:tr w:rsidR="00844102" w:rsidRPr="00D20EA7" w14:paraId="6CBD7084" w14:textId="77777777" w:rsidTr="00F53E08">
        <w:trPr>
          <w:trHeight w:val="283"/>
        </w:trPr>
        <w:tc>
          <w:tcPr>
            <w:tcW w:w="2891" w:type="pct"/>
            <w:shd w:val="clear" w:color="auto" w:fill="auto"/>
            <w:noWrap/>
            <w:vAlign w:val="center"/>
            <w:hideMark/>
          </w:tcPr>
          <w:p w14:paraId="09A498A6"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školstva, výskumu, vývoja a mládeže SR</w:t>
            </w:r>
          </w:p>
        </w:tc>
        <w:tc>
          <w:tcPr>
            <w:tcW w:w="700" w:type="pct"/>
            <w:tcBorders>
              <w:top w:val="nil"/>
              <w:left w:val="nil"/>
              <w:bottom w:val="nil"/>
              <w:right w:val="nil"/>
            </w:tcBorders>
            <w:shd w:val="clear" w:color="auto" w:fill="auto"/>
            <w:noWrap/>
            <w:vAlign w:val="center"/>
          </w:tcPr>
          <w:p w14:paraId="0A80C75B"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109 973</w:t>
            </w:r>
          </w:p>
        </w:tc>
        <w:tc>
          <w:tcPr>
            <w:tcW w:w="708" w:type="pct"/>
            <w:tcBorders>
              <w:top w:val="nil"/>
              <w:left w:val="nil"/>
              <w:bottom w:val="nil"/>
              <w:right w:val="nil"/>
            </w:tcBorders>
            <w:shd w:val="clear" w:color="auto" w:fill="auto"/>
            <w:noWrap/>
            <w:vAlign w:val="center"/>
          </w:tcPr>
          <w:p w14:paraId="096C94FA"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207 004</w:t>
            </w:r>
          </w:p>
        </w:tc>
        <w:tc>
          <w:tcPr>
            <w:tcW w:w="701" w:type="pct"/>
            <w:tcBorders>
              <w:top w:val="nil"/>
              <w:left w:val="nil"/>
              <w:bottom w:val="nil"/>
              <w:right w:val="nil"/>
            </w:tcBorders>
            <w:vAlign w:val="center"/>
          </w:tcPr>
          <w:p w14:paraId="259C001F" w14:textId="77777777" w:rsidR="00844102" w:rsidRPr="00D20EA7" w:rsidDel="007D57B1" w:rsidRDefault="00844102" w:rsidP="00F53E08">
            <w:pPr>
              <w:spacing w:after="0" w:line="240" w:lineRule="auto"/>
              <w:ind w:hanging="217"/>
              <w:jc w:val="right"/>
              <w:rPr>
                <w:rFonts w:eastAsia="Calibri" w:cs="Segoe UI"/>
                <w:sz w:val="18"/>
                <w:szCs w:val="18"/>
              </w:rPr>
            </w:pPr>
            <w:r w:rsidRPr="00D20EA7">
              <w:rPr>
                <w:rFonts w:eastAsia="Times New Roman" w:cs="Segoe UI"/>
                <w:sz w:val="18"/>
                <w:szCs w:val="18"/>
                <w:lang w:eastAsia="sk-SK"/>
              </w:rPr>
              <w:t>188,2</w:t>
            </w:r>
          </w:p>
        </w:tc>
      </w:tr>
      <w:tr w:rsidR="00844102" w:rsidRPr="00D20EA7" w14:paraId="6C7BD5CF" w14:textId="77777777" w:rsidTr="00F53E08">
        <w:trPr>
          <w:trHeight w:val="283"/>
        </w:trPr>
        <w:tc>
          <w:tcPr>
            <w:tcW w:w="2891" w:type="pct"/>
            <w:shd w:val="clear" w:color="auto" w:fill="auto"/>
            <w:noWrap/>
            <w:vAlign w:val="center"/>
            <w:hideMark/>
          </w:tcPr>
          <w:p w14:paraId="3A92674C"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vnútra SR</w:t>
            </w:r>
          </w:p>
        </w:tc>
        <w:tc>
          <w:tcPr>
            <w:tcW w:w="700" w:type="pct"/>
            <w:tcBorders>
              <w:top w:val="nil"/>
              <w:left w:val="nil"/>
              <w:bottom w:val="nil"/>
              <w:right w:val="nil"/>
            </w:tcBorders>
            <w:shd w:val="clear" w:color="auto" w:fill="auto"/>
            <w:noWrap/>
            <w:vAlign w:val="center"/>
          </w:tcPr>
          <w:p w14:paraId="1D91A574"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72 802</w:t>
            </w:r>
          </w:p>
        </w:tc>
        <w:tc>
          <w:tcPr>
            <w:tcW w:w="708" w:type="pct"/>
            <w:tcBorders>
              <w:top w:val="nil"/>
              <w:left w:val="nil"/>
              <w:bottom w:val="nil"/>
              <w:right w:val="nil"/>
            </w:tcBorders>
            <w:shd w:val="clear" w:color="auto" w:fill="auto"/>
            <w:noWrap/>
            <w:vAlign w:val="center"/>
          </w:tcPr>
          <w:p w14:paraId="77851A9F"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156 250</w:t>
            </w:r>
          </w:p>
        </w:tc>
        <w:tc>
          <w:tcPr>
            <w:tcW w:w="701" w:type="pct"/>
            <w:tcBorders>
              <w:top w:val="nil"/>
              <w:left w:val="nil"/>
              <w:bottom w:val="nil"/>
              <w:right w:val="nil"/>
            </w:tcBorders>
            <w:vAlign w:val="center"/>
          </w:tcPr>
          <w:p w14:paraId="485B2A8A"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214,6</w:t>
            </w:r>
          </w:p>
        </w:tc>
      </w:tr>
      <w:tr w:rsidR="00844102" w:rsidRPr="00D20EA7" w14:paraId="63A417BD" w14:textId="77777777" w:rsidTr="00F53E08">
        <w:trPr>
          <w:trHeight w:val="283"/>
        </w:trPr>
        <w:tc>
          <w:tcPr>
            <w:tcW w:w="2891" w:type="pct"/>
            <w:shd w:val="clear" w:color="auto" w:fill="auto"/>
            <w:noWrap/>
            <w:vAlign w:val="center"/>
            <w:hideMark/>
          </w:tcPr>
          <w:p w14:paraId="65C652B2"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financií SR</w:t>
            </w:r>
          </w:p>
        </w:tc>
        <w:tc>
          <w:tcPr>
            <w:tcW w:w="700" w:type="pct"/>
            <w:tcBorders>
              <w:top w:val="nil"/>
              <w:left w:val="nil"/>
              <w:bottom w:val="nil"/>
              <w:right w:val="nil"/>
            </w:tcBorders>
            <w:shd w:val="clear" w:color="auto" w:fill="auto"/>
            <w:noWrap/>
            <w:vAlign w:val="center"/>
          </w:tcPr>
          <w:p w14:paraId="045F511B"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69 010</w:t>
            </w:r>
          </w:p>
        </w:tc>
        <w:tc>
          <w:tcPr>
            <w:tcW w:w="708" w:type="pct"/>
            <w:tcBorders>
              <w:top w:val="nil"/>
              <w:left w:val="nil"/>
              <w:bottom w:val="nil"/>
              <w:right w:val="nil"/>
            </w:tcBorders>
            <w:shd w:val="clear" w:color="auto" w:fill="auto"/>
            <w:noWrap/>
            <w:vAlign w:val="center"/>
          </w:tcPr>
          <w:p w14:paraId="57B73580"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90 245</w:t>
            </w:r>
          </w:p>
        </w:tc>
        <w:tc>
          <w:tcPr>
            <w:tcW w:w="701" w:type="pct"/>
            <w:tcBorders>
              <w:top w:val="nil"/>
              <w:left w:val="nil"/>
              <w:bottom w:val="nil"/>
              <w:right w:val="nil"/>
            </w:tcBorders>
            <w:vAlign w:val="center"/>
          </w:tcPr>
          <w:p w14:paraId="2A8C4E49"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130,8</w:t>
            </w:r>
          </w:p>
        </w:tc>
      </w:tr>
      <w:tr w:rsidR="00844102" w:rsidRPr="00D20EA7" w14:paraId="78A96BEF" w14:textId="77777777" w:rsidTr="00F53E08">
        <w:trPr>
          <w:trHeight w:val="283"/>
        </w:trPr>
        <w:tc>
          <w:tcPr>
            <w:tcW w:w="2891" w:type="pct"/>
            <w:shd w:val="clear" w:color="auto" w:fill="auto"/>
            <w:noWrap/>
            <w:vAlign w:val="center"/>
            <w:hideMark/>
          </w:tcPr>
          <w:p w14:paraId="292FA9F8"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zdravotníctva SR</w:t>
            </w:r>
          </w:p>
        </w:tc>
        <w:tc>
          <w:tcPr>
            <w:tcW w:w="700" w:type="pct"/>
            <w:tcBorders>
              <w:top w:val="nil"/>
              <w:left w:val="nil"/>
              <w:bottom w:val="nil"/>
              <w:right w:val="nil"/>
            </w:tcBorders>
            <w:shd w:val="clear" w:color="auto" w:fill="auto"/>
            <w:noWrap/>
            <w:vAlign w:val="center"/>
          </w:tcPr>
          <w:p w14:paraId="24984FAF"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67 287</w:t>
            </w:r>
          </w:p>
        </w:tc>
        <w:tc>
          <w:tcPr>
            <w:tcW w:w="708" w:type="pct"/>
            <w:tcBorders>
              <w:top w:val="nil"/>
              <w:left w:val="nil"/>
              <w:bottom w:val="nil"/>
              <w:right w:val="nil"/>
            </w:tcBorders>
            <w:shd w:val="clear" w:color="auto" w:fill="auto"/>
            <w:noWrap/>
            <w:vAlign w:val="center"/>
          </w:tcPr>
          <w:p w14:paraId="0235B615"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76 488</w:t>
            </w:r>
          </w:p>
        </w:tc>
        <w:tc>
          <w:tcPr>
            <w:tcW w:w="701" w:type="pct"/>
            <w:tcBorders>
              <w:top w:val="nil"/>
              <w:left w:val="nil"/>
              <w:bottom w:val="nil"/>
              <w:right w:val="nil"/>
            </w:tcBorders>
            <w:vAlign w:val="center"/>
          </w:tcPr>
          <w:p w14:paraId="6196FE5F"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113,7</w:t>
            </w:r>
          </w:p>
        </w:tc>
      </w:tr>
      <w:tr w:rsidR="00844102" w:rsidRPr="00D20EA7" w14:paraId="5A697F59" w14:textId="77777777" w:rsidTr="00F53E08">
        <w:trPr>
          <w:trHeight w:val="283"/>
        </w:trPr>
        <w:tc>
          <w:tcPr>
            <w:tcW w:w="2891" w:type="pct"/>
            <w:shd w:val="clear" w:color="auto" w:fill="auto"/>
            <w:noWrap/>
            <w:vAlign w:val="center"/>
            <w:hideMark/>
          </w:tcPr>
          <w:p w14:paraId="169EB679"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spravodlivosti SR</w:t>
            </w:r>
          </w:p>
        </w:tc>
        <w:tc>
          <w:tcPr>
            <w:tcW w:w="700" w:type="pct"/>
            <w:tcBorders>
              <w:top w:val="nil"/>
              <w:left w:val="nil"/>
              <w:bottom w:val="nil"/>
              <w:right w:val="nil"/>
            </w:tcBorders>
            <w:shd w:val="clear" w:color="auto" w:fill="auto"/>
            <w:noWrap/>
            <w:vAlign w:val="center"/>
          </w:tcPr>
          <w:p w14:paraId="61CB032A"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28 122</w:t>
            </w:r>
          </w:p>
        </w:tc>
        <w:tc>
          <w:tcPr>
            <w:tcW w:w="708" w:type="pct"/>
            <w:tcBorders>
              <w:top w:val="nil"/>
              <w:left w:val="nil"/>
              <w:bottom w:val="nil"/>
              <w:right w:val="nil"/>
            </w:tcBorders>
            <w:shd w:val="clear" w:color="auto" w:fill="auto"/>
            <w:noWrap/>
            <w:vAlign w:val="center"/>
          </w:tcPr>
          <w:p w14:paraId="44455FD6"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42 616</w:t>
            </w:r>
          </w:p>
        </w:tc>
        <w:tc>
          <w:tcPr>
            <w:tcW w:w="701" w:type="pct"/>
            <w:tcBorders>
              <w:top w:val="nil"/>
              <w:left w:val="nil"/>
              <w:bottom w:val="nil"/>
              <w:right w:val="nil"/>
            </w:tcBorders>
            <w:vAlign w:val="center"/>
          </w:tcPr>
          <w:p w14:paraId="347A7F11"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151,5</w:t>
            </w:r>
          </w:p>
        </w:tc>
      </w:tr>
      <w:tr w:rsidR="00844102" w:rsidRPr="00D20EA7" w14:paraId="3AE1E6A7" w14:textId="77777777" w:rsidTr="00F53E08">
        <w:trPr>
          <w:trHeight w:val="283"/>
        </w:trPr>
        <w:tc>
          <w:tcPr>
            <w:tcW w:w="2891" w:type="pct"/>
            <w:shd w:val="clear" w:color="auto" w:fill="auto"/>
            <w:noWrap/>
            <w:vAlign w:val="center"/>
            <w:hideMark/>
          </w:tcPr>
          <w:p w14:paraId="1C4760CF"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obrany SR</w:t>
            </w:r>
          </w:p>
        </w:tc>
        <w:tc>
          <w:tcPr>
            <w:tcW w:w="700" w:type="pct"/>
            <w:tcBorders>
              <w:top w:val="nil"/>
              <w:left w:val="nil"/>
              <w:bottom w:val="nil"/>
              <w:right w:val="nil"/>
            </w:tcBorders>
            <w:shd w:val="clear" w:color="auto" w:fill="auto"/>
            <w:noWrap/>
            <w:vAlign w:val="center"/>
          </w:tcPr>
          <w:p w14:paraId="7959B91E"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16 368</w:t>
            </w:r>
          </w:p>
        </w:tc>
        <w:tc>
          <w:tcPr>
            <w:tcW w:w="708" w:type="pct"/>
            <w:tcBorders>
              <w:top w:val="nil"/>
              <w:left w:val="nil"/>
              <w:bottom w:val="nil"/>
              <w:right w:val="nil"/>
            </w:tcBorders>
            <w:shd w:val="clear" w:color="auto" w:fill="auto"/>
            <w:noWrap/>
            <w:vAlign w:val="center"/>
          </w:tcPr>
          <w:p w14:paraId="021F9E87"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26 974</w:t>
            </w:r>
          </w:p>
        </w:tc>
        <w:tc>
          <w:tcPr>
            <w:tcW w:w="701" w:type="pct"/>
            <w:tcBorders>
              <w:top w:val="nil"/>
              <w:left w:val="nil"/>
              <w:bottom w:val="nil"/>
              <w:right w:val="nil"/>
            </w:tcBorders>
            <w:vAlign w:val="center"/>
          </w:tcPr>
          <w:p w14:paraId="12114071"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164,8</w:t>
            </w:r>
          </w:p>
        </w:tc>
      </w:tr>
      <w:tr w:rsidR="00844102" w:rsidRPr="00D20EA7" w14:paraId="02727633" w14:textId="77777777" w:rsidTr="00F53E08">
        <w:trPr>
          <w:trHeight w:val="283"/>
        </w:trPr>
        <w:tc>
          <w:tcPr>
            <w:tcW w:w="2891" w:type="pct"/>
            <w:shd w:val="clear" w:color="auto" w:fill="auto"/>
            <w:noWrap/>
            <w:vAlign w:val="center"/>
            <w:hideMark/>
          </w:tcPr>
          <w:p w14:paraId="075A569C"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Protimonopolný úrad SR</w:t>
            </w:r>
          </w:p>
        </w:tc>
        <w:tc>
          <w:tcPr>
            <w:tcW w:w="700" w:type="pct"/>
            <w:tcBorders>
              <w:top w:val="nil"/>
              <w:left w:val="nil"/>
              <w:bottom w:val="nil"/>
              <w:right w:val="nil"/>
            </w:tcBorders>
            <w:shd w:val="clear" w:color="auto" w:fill="auto"/>
            <w:noWrap/>
            <w:vAlign w:val="center"/>
          </w:tcPr>
          <w:p w14:paraId="2FB94C28"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1 000</w:t>
            </w:r>
          </w:p>
        </w:tc>
        <w:tc>
          <w:tcPr>
            <w:tcW w:w="708" w:type="pct"/>
            <w:tcBorders>
              <w:top w:val="nil"/>
              <w:left w:val="nil"/>
              <w:bottom w:val="nil"/>
              <w:right w:val="nil"/>
            </w:tcBorders>
            <w:shd w:val="clear" w:color="auto" w:fill="auto"/>
            <w:noWrap/>
            <w:vAlign w:val="center"/>
          </w:tcPr>
          <w:p w14:paraId="72AB57D2"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26 669</w:t>
            </w:r>
          </w:p>
        </w:tc>
        <w:tc>
          <w:tcPr>
            <w:tcW w:w="701" w:type="pct"/>
            <w:tcBorders>
              <w:top w:val="nil"/>
              <w:left w:val="nil"/>
              <w:bottom w:val="nil"/>
              <w:right w:val="nil"/>
            </w:tcBorders>
            <w:vAlign w:val="center"/>
          </w:tcPr>
          <w:p w14:paraId="32550375"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2666,9</w:t>
            </w:r>
          </w:p>
        </w:tc>
      </w:tr>
      <w:tr w:rsidR="00844102" w:rsidRPr="00D20EA7" w14:paraId="61EFCDB5" w14:textId="77777777" w:rsidTr="00F53E08">
        <w:trPr>
          <w:trHeight w:val="283"/>
        </w:trPr>
        <w:tc>
          <w:tcPr>
            <w:tcW w:w="2891" w:type="pct"/>
            <w:shd w:val="clear" w:color="auto" w:fill="auto"/>
            <w:noWrap/>
            <w:vAlign w:val="center"/>
            <w:hideMark/>
          </w:tcPr>
          <w:p w14:paraId="7C2D3C12"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Úrad jadrového dozoru SR</w:t>
            </w:r>
          </w:p>
        </w:tc>
        <w:tc>
          <w:tcPr>
            <w:tcW w:w="700" w:type="pct"/>
            <w:tcBorders>
              <w:top w:val="nil"/>
              <w:left w:val="nil"/>
              <w:bottom w:val="nil"/>
              <w:right w:val="nil"/>
            </w:tcBorders>
            <w:shd w:val="clear" w:color="auto" w:fill="auto"/>
            <w:noWrap/>
            <w:vAlign w:val="center"/>
          </w:tcPr>
          <w:p w14:paraId="6E666B8F"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8 539</w:t>
            </w:r>
          </w:p>
        </w:tc>
        <w:tc>
          <w:tcPr>
            <w:tcW w:w="708" w:type="pct"/>
            <w:tcBorders>
              <w:top w:val="nil"/>
              <w:left w:val="nil"/>
              <w:bottom w:val="nil"/>
              <w:right w:val="nil"/>
            </w:tcBorders>
            <w:shd w:val="clear" w:color="auto" w:fill="auto"/>
            <w:noWrap/>
            <w:vAlign w:val="center"/>
          </w:tcPr>
          <w:p w14:paraId="6A3948CE"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9 049</w:t>
            </w:r>
          </w:p>
        </w:tc>
        <w:tc>
          <w:tcPr>
            <w:tcW w:w="701" w:type="pct"/>
            <w:tcBorders>
              <w:top w:val="nil"/>
              <w:left w:val="nil"/>
              <w:bottom w:val="nil"/>
              <w:right w:val="nil"/>
            </w:tcBorders>
            <w:vAlign w:val="center"/>
          </w:tcPr>
          <w:p w14:paraId="32AAEA6B"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106,0</w:t>
            </w:r>
          </w:p>
        </w:tc>
      </w:tr>
      <w:tr w:rsidR="00844102" w:rsidRPr="00D20EA7" w14:paraId="0B7A1D39" w14:textId="77777777" w:rsidTr="00F53E08">
        <w:trPr>
          <w:trHeight w:val="283"/>
        </w:trPr>
        <w:tc>
          <w:tcPr>
            <w:tcW w:w="2891" w:type="pct"/>
            <w:shd w:val="clear" w:color="auto" w:fill="auto"/>
            <w:noWrap/>
            <w:vAlign w:val="center"/>
            <w:hideMark/>
          </w:tcPr>
          <w:p w14:paraId="47B3737E"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kultúry SR</w:t>
            </w:r>
          </w:p>
        </w:tc>
        <w:tc>
          <w:tcPr>
            <w:tcW w:w="700" w:type="pct"/>
            <w:tcBorders>
              <w:top w:val="nil"/>
              <w:left w:val="nil"/>
              <w:bottom w:val="nil"/>
              <w:right w:val="nil"/>
            </w:tcBorders>
            <w:shd w:val="clear" w:color="auto" w:fill="auto"/>
            <w:noWrap/>
            <w:vAlign w:val="center"/>
          </w:tcPr>
          <w:p w14:paraId="4A628157"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1 200</w:t>
            </w:r>
          </w:p>
        </w:tc>
        <w:tc>
          <w:tcPr>
            <w:tcW w:w="708" w:type="pct"/>
            <w:tcBorders>
              <w:top w:val="nil"/>
              <w:left w:val="nil"/>
              <w:bottom w:val="nil"/>
              <w:right w:val="nil"/>
            </w:tcBorders>
            <w:shd w:val="clear" w:color="auto" w:fill="auto"/>
            <w:noWrap/>
            <w:vAlign w:val="center"/>
          </w:tcPr>
          <w:p w14:paraId="4008B4E8"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4 625</w:t>
            </w:r>
          </w:p>
        </w:tc>
        <w:tc>
          <w:tcPr>
            <w:tcW w:w="701" w:type="pct"/>
            <w:tcBorders>
              <w:top w:val="nil"/>
              <w:left w:val="nil"/>
              <w:bottom w:val="nil"/>
              <w:right w:val="nil"/>
            </w:tcBorders>
            <w:vAlign w:val="center"/>
          </w:tcPr>
          <w:p w14:paraId="2910FB01"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385,4</w:t>
            </w:r>
          </w:p>
        </w:tc>
      </w:tr>
      <w:tr w:rsidR="00844102" w:rsidRPr="00D20EA7" w14:paraId="219D1E9A" w14:textId="77777777" w:rsidTr="00F53E08">
        <w:trPr>
          <w:trHeight w:val="283"/>
        </w:trPr>
        <w:tc>
          <w:tcPr>
            <w:tcW w:w="2891" w:type="pct"/>
            <w:shd w:val="clear" w:color="auto" w:fill="auto"/>
            <w:noWrap/>
            <w:vAlign w:val="center"/>
            <w:hideMark/>
          </w:tcPr>
          <w:p w14:paraId="66BFCE99"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Úrad priemyselného vlastníctva SR</w:t>
            </w:r>
          </w:p>
        </w:tc>
        <w:tc>
          <w:tcPr>
            <w:tcW w:w="700" w:type="pct"/>
            <w:tcBorders>
              <w:top w:val="nil"/>
              <w:left w:val="nil"/>
              <w:bottom w:val="nil"/>
              <w:right w:val="nil"/>
            </w:tcBorders>
            <w:shd w:val="clear" w:color="auto" w:fill="auto"/>
            <w:noWrap/>
            <w:vAlign w:val="center"/>
          </w:tcPr>
          <w:p w14:paraId="6765BAF1"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3 535</w:t>
            </w:r>
          </w:p>
        </w:tc>
        <w:tc>
          <w:tcPr>
            <w:tcW w:w="708" w:type="pct"/>
            <w:tcBorders>
              <w:top w:val="nil"/>
              <w:left w:val="nil"/>
              <w:bottom w:val="nil"/>
              <w:right w:val="nil"/>
            </w:tcBorders>
            <w:shd w:val="clear" w:color="auto" w:fill="auto"/>
            <w:noWrap/>
            <w:vAlign w:val="center"/>
          </w:tcPr>
          <w:p w14:paraId="44C196F4"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3 748</w:t>
            </w:r>
          </w:p>
        </w:tc>
        <w:tc>
          <w:tcPr>
            <w:tcW w:w="701" w:type="pct"/>
            <w:tcBorders>
              <w:top w:val="nil"/>
              <w:left w:val="nil"/>
              <w:bottom w:val="nil"/>
              <w:right w:val="nil"/>
            </w:tcBorders>
            <w:vAlign w:val="center"/>
          </w:tcPr>
          <w:p w14:paraId="51C8DB97"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106,0</w:t>
            </w:r>
          </w:p>
        </w:tc>
      </w:tr>
      <w:tr w:rsidR="00844102" w:rsidRPr="00D20EA7" w14:paraId="7F4B91B0" w14:textId="77777777" w:rsidTr="00F53E08">
        <w:trPr>
          <w:trHeight w:val="283"/>
        </w:trPr>
        <w:tc>
          <w:tcPr>
            <w:tcW w:w="2891" w:type="pct"/>
            <w:shd w:val="clear" w:color="auto" w:fill="auto"/>
            <w:noWrap/>
            <w:vAlign w:val="center"/>
            <w:hideMark/>
          </w:tcPr>
          <w:p w14:paraId="23ABBF42"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Úrad pre verejné obstarávanie</w:t>
            </w:r>
          </w:p>
        </w:tc>
        <w:tc>
          <w:tcPr>
            <w:tcW w:w="700" w:type="pct"/>
            <w:tcBorders>
              <w:top w:val="nil"/>
              <w:left w:val="nil"/>
              <w:bottom w:val="nil"/>
              <w:right w:val="nil"/>
            </w:tcBorders>
            <w:shd w:val="clear" w:color="auto" w:fill="auto"/>
            <w:noWrap/>
            <w:vAlign w:val="center"/>
          </w:tcPr>
          <w:p w14:paraId="0ED4FB21"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1 000</w:t>
            </w:r>
          </w:p>
        </w:tc>
        <w:tc>
          <w:tcPr>
            <w:tcW w:w="708" w:type="pct"/>
            <w:tcBorders>
              <w:top w:val="nil"/>
              <w:left w:val="nil"/>
              <w:bottom w:val="nil"/>
              <w:right w:val="nil"/>
            </w:tcBorders>
            <w:shd w:val="clear" w:color="auto" w:fill="auto"/>
            <w:noWrap/>
            <w:vAlign w:val="center"/>
          </w:tcPr>
          <w:p w14:paraId="1BB2E4A7"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3 549</w:t>
            </w:r>
          </w:p>
        </w:tc>
        <w:tc>
          <w:tcPr>
            <w:tcW w:w="701" w:type="pct"/>
            <w:tcBorders>
              <w:top w:val="nil"/>
              <w:left w:val="nil"/>
              <w:bottom w:val="nil"/>
              <w:right w:val="nil"/>
            </w:tcBorders>
            <w:vAlign w:val="center"/>
          </w:tcPr>
          <w:p w14:paraId="38FA8EF8"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354,9</w:t>
            </w:r>
          </w:p>
        </w:tc>
      </w:tr>
      <w:tr w:rsidR="00844102" w:rsidRPr="00D20EA7" w14:paraId="6EE63B8E" w14:textId="77777777" w:rsidTr="00F53E08">
        <w:trPr>
          <w:trHeight w:val="283"/>
        </w:trPr>
        <w:tc>
          <w:tcPr>
            <w:tcW w:w="2891" w:type="pct"/>
            <w:shd w:val="clear" w:color="auto" w:fill="auto"/>
            <w:noWrap/>
            <w:vAlign w:val="center"/>
            <w:hideMark/>
          </w:tcPr>
          <w:p w14:paraId="112105BA"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Kancelária Národnej rady SR</w:t>
            </w:r>
          </w:p>
        </w:tc>
        <w:tc>
          <w:tcPr>
            <w:tcW w:w="700" w:type="pct"/>
            <w:tcBorders>
              <w:top w:val="nil"/>
              <w:left w:val="nil"/>
              <w:bottom w:val="nil"/>
              <w:right w:val="nil"/>
            </w:tcBorders>
            <w:shd w:val="clear" w:color="auto" w:fill="auto"/>
            <w:noWrap/>
            <w:vAlign w:val="center"/>
          </w:tcPr>
          <w:p w14:paraId="3AE55C8E"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1 400</w:t>
            </w:r>
          </w:p>
        </w:tc>
        <w:tc>
          <w:tcPr>
            <w:tcW w:w="708" w:type="pct"/>
            <w:tcBorders>
              <w:top w:val="nil"/>
              <w:left w:val="nil"/>
              <w:bottom w:val="nil"/>
              <w:right w:val="nil"/>
            </w:tcBorders>
            <w:shd w:val="clear" w:color="auto" w:fill="auto"/>
            <w:noWrap/>
            <w:vAlign w:val="center"/>
          </w:tcPr>
          <w:p w14:paraId="0C1C7EF8"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2 549</w:t>
            </w:r>
          </w:p>
        </w:tc>
        <w:tc>
          <w:tcPr>
            <w:tcW w:w="701" w:type="pct"/>
            <w:tcBorders>
              <w:top w:val="nil"/>
              <w:left w:val="nil"/>
              <w:bottom w:val="nil"/>
              <w:right w:val="nil"/>
            </w:tcBorders>
            <w:vAlign w:val="center"/>
          </w:tcPr>
          <w:p w14:paraId="3C3F993B"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182,1</w:t>
            </w:r>
          </w:p>
        </w:tc>
      </w:tr>
      <w:tr w:rsidR="00844102" w:rsidRPr="00D20EA7" w14:paraId="3FE75C64" w14:textId="77777777" w:rsidTr="00F53E08">
        <w:trPr>
          <w:trHeight w:val="283"/>
        </w:trPr>
        <w:tc>
          <w:tcPr>
            <w:tcW w:w="2891" w:type="pct"/>
            <w:shd w:val="clear" w:color="auto" w:fill="auto"/>
            <w:noWrap/>
            <w:vAlign w:val="center"/>
            <w:hideMark/>
          </w:tcPr>
          <w:p w14:paraId="1187AF99"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zahraničných vecí a európskych zálež. SR</w:t>
            </w:r>
          </w:p>
        </w:tc>
        <w:tc>
          <w:tcPr>
            <w:tcW w:w="700" w:type="pct"/>
            <w:tcBorders>
              <w:top w:val="nil"/>
              <w:left w:val="nil"/>
              <w:bottom w:val="nil"/>
              <w:right w:val="nil"/>
            </w:tcBorders>
            <w:shd w:val="clear" w:color="auto" w:fill="auto"/>
            <w:noWrap/>
            <w:vAlign w:val="center"/>
          </w:tcPr>
          <w:p w14:paraId="1D68418C"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2 000</w:t>
            </w:r>
          </w:p>
        </w:tc>
        <w:tc>
          <w:tcPr>
            <w:tcW w:w="708" w:type="pct"/>
            <w:tcBorders>
              <w:top w:val="nil"/>
              <w:left w:val="nil"/>
              <w:bottom w:val="nil"/>
              <w:right w:val="nil"/>
            </w:tcBorders>
            <w:shd w:val="clear" w:color="auto" w:fill="auto"/>
            <w:noWrap/>
            <w:vAlign w:val="center"/>
          </w:tcPr>
          <w:p w14:paraId="43A75DD8"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2 158</w:t>
            </w:r>
          </w:p>
        </w:tc>
        <w:tc>
          <w:tcPr>
            <w:tcW w:w="701" w:type="pct"/>
            <w:tcBorders>
              <w:top w:val="nil"/>
              <w:left w:val="nil"/>
              <w:bottom w:val="nil"/>
              <w:right w:val="nil"/>
            </w:tcBorders>
            <w:vAlign w:val="center"/>
          </w:tcPr>
          <w:p w14:paraId="06C7F3F9"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107,9</w:t>
            </w:r>
          </w:p>
        </w:tc>
      </w:tr>
      <w:tr w:rsidR="00844102" w:rsidRPr="00D20EA7" w14:paraId="6408BD77" w14:textId="77777777" w:rsidTr="00F53E08">
        <w:trPr>
          <w:trHeight w:val="283"/>
        </w:trPr>
        <w:tc>
          <w:tcPr>
            <w:tcW w:w="2891" w:type="pct"/>
            <w:shd w:val="clear" w:color="auto" w:fill="auto"/>
            <w:noWrap/>
            <w:vAlign w:val="center"/>
            <w:hideMark/>
          </w:tcPr>
          <w:p w14:paraId="29D0465D"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Úrad vlády SR</w:t>
            </w:r>
          </w:p>
        </w:tc>
        <w:tc>
          <w:tcPr>
            <w:tcW w:w="700" w:type="pct"/>
            <w:tcBorders>
              <w:top w:val="nil"/>
              <w:left w:val="nil"/>
              <w:bottom w:val="nil"/>
              <w:right w:val="nil"/>
            </w:tcBorders>
            <w:shd w:val="clear" w:color="auto" w:fill="auto"/>
            <w:noWrap/>
            <w:vAlign w:val="center"/>
          </w:tcPr>
          <w:p w14:paraId="3628360D"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700</w:t>
            </w:r>
          </w:p>
        </w:tc>
        <w:tc>
          <w:tcPr>
            <w:tcW w:w="708" w:type="pct"/>
            <w:tcBorders>
              <w:top w:val="nil"/>
              <w:left w:val="nil"/>
              <w:bottom w:val="nil"/>
              <w:right w:val="nil"/>
            </w:tcBorders>
            <w:shd w:val="clear" w:color="auto" w:fill="auto"/>
            <w:noWrap/>
            <w:vAlign w:val="center"/>
          </w:tcPr>
          <w:p w14:paraId="3FAE6983"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1 761</w:t>
            </w:r>
          </w:p>
        </w:tc>
        <w:tc>
          <w:tcPr>
            <w:tcW w:w="701" w:type="pct"/>
            <w:tcBorders>
              <w:top w:val="nil"/>
              <w:left w:val="nil"/>
              <w:bottom w:val="nil"/>
              <w:right w:val="nil"/>
            </w:tcBorders>
            <w:vAlign w:val="center"/>
          </w:tcPr>
          <w:p w14:paraId="2112A9CC"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251,6</w:t>
            </w:r>
          </w:p>
        </w:tc>
      </w:tr>
      <w:tr w:rsidR="00844102" w:rsidRPr="00D20EA7" w14:paraId="2345E65F" w14:textId="77777777" w:rsidTr="00F53E08">
        <w:trPr>
          <w:trHeight w:val="283"/>
        </w:trPr>
        <w:tc>
          <w:tcPr>
            <w:tcW w:w="2891" w:type="pct"/>
            <w:shd w:val="clear" w:color="auto" w:fill="auto"/>
            <w:noWrap/>
            <w:vAlign w:val="center"/>
            <w:hideMark/>
          </w:tcPr>
          <w:p w14:paraId="3E596D93"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Štatistický úrad SR</w:t>
            </w:r>
          </w:p>
        </w:tc>
        <w:tc>
          <w:tcPr>
            <w:tcW w:w="700" w:type="pct"/>
            <w:tcBorders>
              <w:top w:val="nil"/>
              <w:left w:val="nil"/>
              <w:bottom w:val="nil"/>
              <w:right w:val="nil"/>
            </w:tcBorders>
            <w:shd w:val="clear" w:color="auto" w:fill="auto"/>
            <w:noWrap/>
            <w:vAlign w:val="center"/>
          </w:tcPr>
          <w:p w14:paraId="07CD7719"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90</w:t>
            </w:r>
          </w:p>
        </w:tc>
        <w:tc>
          <w:tcPr>
            <w:tcW w:w="708" w:type="pct"/>
            <w:tcBorders>
              <w:top w:val="nil"/>
              <w:left w:val="nil"/>
              <w:bottom w:val="nil"/>
              <w:right w:val="nil"/>
            </w:tcBorders>
            <w:shd w:val="clear" w:color="auto" w:fill="auto"/>
            <w:noWrap/>
            <w:vAlign w:val="center"/>
          </w:tcPr>
          <w:p w14:paraId="705EB3A0"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1 408</w:t>
            </w:r>
          </w:p>
        </w:tc>
        <w:tc>
          <w:tcPr>
            <w:tcW w:w="701" w:type="pct"/>
            <w:tcBorders>
              <w:top w:val="nil"/>
              <w:left w:val="nil"/>
              <w:bottom w:val="nil"/>
              <w:right w:val="nil"/>
            </w:tcBorders>
            <w:vAlign w:val="center"/>
          </w:tcPr>
          <w:p w14:paraId="7C1DEE24"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1564,4</w:t>
            </w:r>
          </w:p>
        </w:tc>
      </w:tr>
      <w:tr w:rsidR="00844102" w:rsidRPr="00D20EA7" w14:paraId="06C05C30" w14:textId="77777777" w:rsidTr="00F53E08">
        <w:trPr>
          <w:trHeight w:val="283"/>
        </w:trPr>
        <w:tc>
          <w:tcPr>
            <w:tcW w:w="2891" w:type="pct"/>
            <w:shd w:val="clear" w:color="auto" w:fill="auto"/>
            <w:noWrap/>
            <w:vAlign w:val="center"/>
            <w:hideMark/>
          </w:tcPr>
          <w:p w14:paraId="4BA397C3"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Úrad pre normalizáciu, metrológiu a skúšobníctvo SR</w:t>
            </w:r>
          </w:p>
        </w:tc>
        <w:tc>
          <w:tcPr>
            <w:tcW w:w="700" w:type="pct"/>
            <w:tcBorders>
              <w:top w:val="nil"/>
              <w:left w:val="nil"/>
              <w:bottom w:val="nil"/>
              <w:right w:val="nil"/>
            </w:tcBorders>
            <w:shd w:val="clear" w:color="auto" w:fill="auto"/>
            <w:noWrap/>
            <w:vAlign w:val="center"/>
          </w:tcPr>
          <w:p w14:paraId="5E01F818"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1 000</w:t>
            </w:r>
          </w:p>
        </w:tc>
        <w:tc>
          <w:tcPr>
            <w:tcW w:w="708" w:type="pct"/>
            <w:tcBorders>
              <w:top w:val="nil"/>
              <w:left w:val="nil"/>
              <w:bottom w:val="nil"/>
              <w:right w:val="nil"/>
            </w:tcBorders>
            <w:shd w:val="clear" w:color="auto" w:fill="auto"/>
            <w:noWrap/>
            <w:vAlign w:val="center"/>
          </w:tcPr>
          <w:p w14:paraId="0C978BE9"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1 164</w:t>
            </w:r>
          </w:p>
        </w:tc>
        <w:tc>
          <w:tcPr>
            <w:tcW w:w="701" w:type="pct"/>
            <w:tcBorders>
              <w:top w:val="nil"/>
              <w:left w:val="nil"/>
              <w:bottom w:val="nil"/>
              <w:right w:val="nil"/>
            </w:tcBorders>
            <w:vAlign w:val="center"/>
          </w:tcPr>
          <w:p w14:paraId="2CDF1F4B"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116,4</w:t>
            </w:r>
          </w:p>
        </w:tc>
      </w:tr>
      <w:tr w:rsidR="00844102" w:rsidRPr="00D20EA7" w14:paraId="1BBAD4C1" w14:textId="77777777" w:rsidTr="00F53E08">
        <w:trPr>
          <w:trHeight w:val="283"/>
        </w:trPr>
        <w:tc>
          <w:tcPr>
            <w:tcW w:w="2891" w:type="pct"/>
            <w:shd w:val="clear" w:color="auto" w:fill="auto"/>
            <w:noWrap/>
            <w:vAlign w:val="center"/>
            <w:hideMark/>
          </w:tcPr>
          <w:p w14:paraId="1C9D4C0C"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Správa štátnych hmotných rezerv SR</w:t>
            </w:r>
          </w:p>
        </w:tc>
        <w:tc>
          <w:tcPr>
            <w:tcW w:w="700" w:type="pct"/>
            <w:tcBorders>
              <w:top w:val="nil"/>
              <w:left w:val="nil"/>
              <w:bottom w:val="nil"/>
              <w:right w:val="nil"/>
            </w:tcBorders>
            <w:shd w:val="clear" w:color="auto" w:fill="auto"/>
            <w:noWrap/>
            <w:vAlign w:val="center"/>
          </w:tcPr>
          <w:p w14:paraId="597B1B16"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709</w:t>
            </w:r>
          </w:p>
        </w:tc>
        <w:tc>
          <w:tcPr>
            <w:tcW w:w="708" w:type="pct"/>
            <w:tcBorders>
              <w:top w:val="nil"/>
              <w:left w:val="nil"/>
              <w:bottom w:val="nil"/>
              <w:right w:val="nil"/>
            </w:tcBorders>
            <w:shd w:val="clear" w:color="auto" w:fill="auto"/>
            <w:noWrap/>
            <w:vAlign w:val="center"/>
          </w:tcPr>
          <w:p w14:paraId="62CAF3B5"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851</w:t>
            </w:r>
          </w:p>
        </w:tc>
        <w:tc>
          <w:tcPr>
            <w:tcW w:w="701" w:type="pct"/>
            <w:tcBorders>
              <w:top w:val="nil"/>
              <w:left w:val="nil"/>
              <w:bottom w:val="nil"/>
              <w:right w:val="nil"/>
            </w:tcBorders>
            <w:vAlign w:val="center"/>
          </w:tcPr>
          <w:p w14:paraId="1EF442FE"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120,0</w:t>
            </w:r>
          </w:p>
        </w:tc>
      </w:tr>
      <w:tr w:rsidR="00844102" w:rsidRPr="00D20EA7" w14:paraId="37B8DC08" w14:textId="77777777" w:rsidTr="00F53E08">
        <w:trPr>
          <w:trHeight w:val="283"/>
        </w:trPr>
        <w:tc>
          <w:tcPr>
            <w:tcW w:w="2891" w:type="pct"/>
            <w:shd w:val="clear" w:color="auto" w:fill="auto"/>
            <w:noWrap/>
            <w:vAlign w:val="center"/>
            <w:hideMark/>
          </w:tcPr>
          <w:p w14:paraId="6980B8B7"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Generálna prokuratúra SR</w:t>
            </w:r>
          </w:p>
        </w:tc>
        <w:tc>
          <w:tcPr>
            <w:tcW w:w="700" w:type="pct"/>
            <w:tcBorders>
              <w:top w:val="nil"/>
              <w:left w:val="nil"/>
              <w:bottom w:val="nil"/>
              <w:right w:val="nil"/>
            </w:tcBorders>
            <w:shd w:val="clear" w:color="auto" w:fill="auto"/>
            <w:noWrap/>
            <w:vAlign w:val="center"/>
          </w:tcPr>
          <w:p w14:paraId="0A3B4510"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350</w:t>
            </w:r>
          </w:p>
        </w:tc>
        <w:tc>
          <w:tcPr>
            <w:tcW w:w="708" w:type="pct"/>
            <w:tcBorders>
              <w:top w:val="nil"/>
              <w:left w:val="nil"/>
              <w:bottom w:val="nil"/>
              <w:right w:val="nil"/>
            </w:tcBorders>
            <w:shd w:val="clear" w:color="auto" w:fill="auto"/>
            <w:noWrap/>
            <w:vAlign w:val="center"/>
          </w:tcPr>
          <w:p w14:paraId="1ED51E9A"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820</w:t>
            </w:r>
          </w:p>
        </w:tc>
        <w:tc>
          <w:tcPr>
            <w:tcW w:w="701" w:type="pct"/>
            <w:tcBorders>
              <w:top w:val="nil"/>
              <w:left w:val="nil"/>
              <w:bottom w:val="nil"/>
              <w:right w:val="nil"/>
            </w:tcBorders>
            <w:vAlign w:val="center"/>
          </w:tcPr>
          <w:p w14:paraId="7103BEBA"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234,3</w:t>
            </w:r>
          </w:p>
        </w:tc>
      </w:tr>
      <w:tr w:rsidR="00844102" w:rsidRPr="00D20EA7" w14:paraId="718CF2D7" w14:textId="77777777" w:rsidTr="00F53E08">
        <w:trPr>
          <w:trHeight w:val="283"/>
        </w:trPr>
        <w:tc>
          <w:tcPr>
            <w:tcW w:w="2891" w:type="pct"/>
            <w:shd w:val="clear" w:color="auto" w:fill="auto"/>
            <w:noWrap/>
            <w:vAlign w:val="center"/>
            <w:hideMark/>
          </w:tcPr>
          <w:p w14:paraId="49DDFF7D"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Úrad pre reguláciu sieťových odvetví</w:t>
            </w:r>
          </w:p>
        </w:tc>
        <w:tc>
          <w:tcPr>
            <w:tcW w:w="700" w:type="pct"/>
            <w:tcBorders>
              <w:top w:val="nil"/>
              <w:left w:val="nil"/>
              <w:bottom w:val="nil"/>
              <w:right w:val="nil"/>
            </w:tcBorders>
            <w:shd w:val="clear" w:color="auto" w:fill="auto"/>
            <w:noWrap/>
            <w:vAlign w:val="center"/>
          </w:tcPr>
          <w:p w14:paraId="649F3D6B"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300</w:t>
            </w:r>
          </w:p>
        </w:tc>
        <w:tc>
          <w:tcPr>
            <w:tcW w:w="708" w:type="pct"/>
            <w:tcBorders>
              <w:top w:val="nil"/>
              <w:left w:val="nil"/>
              <w:bottom w:val="nil"/>
              <w:right w:val="nil"/>
            </w:tcBorders>
            <w:shd w:val="clear" w:color="auto" w:fill="auto"/>
            <w:noWrap/>
            <w:vAlign w:val="center"/>
          </w:tcPr>
          <w:p w14:paraId="4C0417FF"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586</w:t>
            </w:r>
          </w:p>
        </w:tc>
        <w:tc>
          <w:tcPr>
            <w:tcW w:w="701" w:type="pct"/>
            <w:tcBorders>
              <w:top w:val="nil"/>
              <w:left w:val="nil"/>
              <w:bottom w:val="nil"/>
              <w:right w:val="nil"/>
            </w:tcBorders>
            <w:vAlign w:val="center"/>
          </w:tcPr>
          <w:p w14:paraId="54198194"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195,3</w:t>
            </w:r>
          </w:p>
        </w:tc>
      </w:tr>
      <w:tr w:rsidR="00844102" w:rsidRPr="00D20EA7" w14:paraId="6CF2D477" w14:textId="77777777" w:rsidTr="00F53E08">
        <w:trPr>
          <w:trHeight w:val="283"/>
        </w:trPr>
        <w:tc>
          <w:tcPr>
            <w:tcW w:w="2891" w:type="pct"/>
            <w:shd w:val="clear" w:color="auto" w:fill="auto"/>
            <w:noWrap/>
            <w:vAlign w:val="center"/>
            <w:hideMark/>
          </w:tcPr>
          <w:p w14:paraId="474D0769"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Úrad geodézie, kartografie a katastra SR</w:t>
            </w:r>
          </w:p>
        </w:tc>
        <w:tc>
          <w:tcPr>
            <w:tcW w:w="700" w:type="pct"/>
            <w:tcBorders>
              <w:top w:val="nil"/>
              <w:left w:val="nil"/>
              <w:bottom w:val="nil"/>
              <w:right w:val="nil"/>
            </w:tcBorders>
            <w:shd w:val="clear" w:color="auto" w:fill="auto"/>
            <w:noWrap/>
            <w:vAlign w:val="center"/>
          </w:tcPr>
          <w:p w14:paraId="712210CC"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230</w:t>
            </w:r>
          </w:p>
        </w:tc>
        <w:tc>
          <w:tcPr>
            <w:tcW w:w="708" w:type="pct"/>
            <w:tcBorders>
              <w:top w:val="nil"/>
              <w:left w:val="nil"/>
              <w:bottom w:val="nil"/>
              <w:right w:val="nil"/>
            </w:tcBorders>
            <w:shd w:val="clear" w:color="auto" w:fill="auto"/>
            <w:noWrap/>
            <w:vAlign w:val="center"/>
          </w:tcPr>
          <w:p w14:paraId="42EB5127"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526</w:t>
            </w:r>
          </w:p>
        </w:tc>
        <w:tc>
          <w:tcPr>
            <w:tcW w:w="701" w:type="pct"/>
            <w:tcBorders>
              <w:top w:val="nil"/>
              <w:left w:val="nil"/>
              <w:bottom w:val="nil"/>
              <w:right w:val="nil"/>
            </w:tcBorders>
            <w:vAlign w:val="center"/>
          </w:tcPr>
          <w:p w14:paraId="58952680"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228,7</w:t>
            </w:r>
          </w:p>
        </w:tc>
      </w:tr>
      <w:tr w:rsidR="00844102" w:rsidRPr="00D20EA7" w14:paraId="47062618" w14:textId="77777777" w:rsidTr="00F53E08">
        <w:trPr>
          <w:trHeight w:val="283"/>
        </w:trPr>
        <w:tc>
          <w:tcPr>
            <w:tcW w:w="2891" w:type="pct"/>
            <w:shd w:val="clear" w:color="auto" w:fill="auto"/>
            <w:noWrap/>
            <w:vAlign w:val="center"/>
            <w:hideMark/>
          </w:tcPr>
          <w:p w14:paraId="3ACDBC83"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Slovenská akadémia vied</w:t>
            </w:r>
          </w:p>
        </w:tc>
        <w:tc>
          <w:tcPr>
            <w:tcW w:w="700" w:type="pct"/>
            <w:tcBorders>
              <w:top w:val="nil"/>
              <w:left w:val="nil"/>
              <w:bottom w:val="nil"/>
              <w:right w:val="nil"/>
            </w:tcBorders>
            <w:shd w:val="clear" w:color="auto" w:fill="auto"/>
            <w:noWrap/>
            <w:vAlign w:val="center"/>
          </w:tcPr>
          <w:p w14:paraId="01C5BAFF"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8 000</w:t>
            </w:r>
          </w:p>
        </w:tc>
        <w:tc>
          <w:tcPr>
            <w:tcW w:w="708" w:type="pct"/>
            <w:tcBorders>
              <w:top w:val="nil"/>
              <w:left w:val="nil"/>
              <w:bottom w:val="nil"/>
              <w:right w:val="nil"/>
            </w:tcBorders>
            <w:shd w:val="clear" w:color="auto" w:fill="auto"/>
            <w:noWrap/>
            <w:vAlign w:val="center"/>
          </w:tcPr>
          <w:p w14:paraId="19A36E1B"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304</w:t>
            </w:r>
          </w:p>
        </w:tc>
        <w:tc>
          <w:tcPr>
            <w:tcW w:w="701" w:type="pct"/>
            <w:tcBorders>
              <w:top w:val="nil"/>
              <w:left w:val="nil"/>
              <w:bottom w:val="nil"/>
              <w:right w:val="nil"/>
            </w:tcBorders>
            <w:vAlign w:val="center"/>
          </w:tcPr>
          <w:p w14:paraId="2DC3AE65"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3,8</w:t>
            </w:r>
          </w:p>
        </w:tc>
      </w:tr>
      <w:tr w:rsidR="00844102" w:rsidRPr="00D20EA7" w14:paraId="19553A85" w14:textId="77777777" w:rsidTr="00F53E08">
        <w:trPr>
          <w:trHeight w:val="283"/>
        </w:trPr>
        <w:tc>
          <w:tcPr>
            <w:tcW w:w="2891" w:type="pct"/>
            <w:shd w:val="clear" w:color="auto" w:fill="auto"/>
            <w:noWrap/>
            <w:vAlign w:val="center"/>
            <w:hideMark/>
          </w:tcPr>
          <w:p w14:paraId="51F0328C" w14:textId="77777777" w:rsidR="00844102" w:rsidRPr="00D20EA7" w:rsidRDefault="00844102" w:rsidP="00F53E08">
            <w:pPr>
              <w:spacing w:after="0" w:line="240" w:lineRule="auto"/>
              <w:ind w:right="-207"/>
              <w:jc w:val="left"/>
              <w:rPr>
                <w:rFonts w:eastAsia="Calibri" w:cs="Segoe UI"/>
                <w:sz w:val="18"/>
                <w:szCs w:val="18"/>
              </w:rPr>
            </w:pPr>
            <w:r w:rsidRPr="00D20EA7">
              <w:rPr>
                <w:rFonts w:eastAsia="Times New Roman" w:cs="Segoe UI"/>
                <w:sz w:val="18"/>
                <w:szCs w:val="18"/>
                <w:lang w:eastAsia="sk-SK"/>
              </w:rPr>
              <w:t>Úrad pre územné plánovanie a výstavbu SR</w:t>
            </w:r>
          </w:p>
        </w:tc>
        <w:tc>
          <w:tcPr>
            <w:tcW w:w="700" w:type="pct"/>
            <w:tcBorders>
              <w:top w:val="nil"/>
              <w:left w:val="nil"/>
              <w:bottom w:val="nil"/>
              <w:right w:val="nil"/>
            </w:tcBorders>
            <w:shd w:val="clear" w:color="auto" w:fill="auto"/>
            <w:noWrap/>
            <w:vAlign w:val="center"/>
          </w:tcPr>
          <w:p w14:paraId="06CFF7CF"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0</w:t>
            </w:r>
          </w:p>
        </w:tc>
        <w:tc>
          <w:tcPr>
            <w:tcW w:w="708" w:type="pct"/>
            <w:tcBorders>
              <w:top w:val="nil"/>
              <w:left w:val="nil"/>
              <w:bottom w:val="nil"/>
              <w:right w:val="nil"/>
            </w:tcBorders>
            <w:shd w:val="clear" w:color="auto" w:fill="auto"/>
            <w:noWrap/>
            <w:vAlign w:val="center"/>
          </w:tcPr>
          <w:p w14:paraId="73627698"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188</w:t>
            </w:r>
          </w:p>
        </w:tc>
        <w:tc>
          <w:tcPr>
            <w:tcW w:w="701" w:type="pct"/>
            <w:tcBorders>
              <w:top w:val="nil"/>
              <w:left w:val="nil"/>
              <w:bottom w:val="nil"/>
              <w:right w:val="nil"/>
            </w:tcBorders>
            <w:vAlign w:val="center"/>
          </w:tcPr>
          <w:p w14:paraId="236CA07A"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w:t>
            </w:r>
          </w:p>
        </w:tc>
      </w:tr>
      <w:tr w:rsidR="00844102" w:rsidRPr="00D20EA7" w14:paraId="64461265" w14:textId="77777777" w:rsidTr="00F53E08">
        <w:trPr>
          <w:trHeight w:val="283"/>
        </w:trPr>
        <w:tc>
          <w:tcPr>
            <w:tcW w:w="2891" w:type="pct"/>
            <w:shd w:val="clear" w:color="auto" w:fill="auto"/>
            <w:noWrap/>
            <w:vAlign w:val="center"/>
            <w:hideMark/>
          </w:tcPr>
          <w:p w14:paraId="75B2BDC1"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Slovenská informačná služba</w:t>
            </w:r>
          </w:p>
        </w:tc>
        <w:tc>
          <w:tcPr>
            <w:tcW w:w="700" w:type="pct"/>
            <w:tcBorders>
              <w:top w:val="nil"/>
              <w:left w:val="nil"/>
              <w:bottom w:val="nil"/>
              <w:right w:val="nil"/>
            </w:tcBorders>
            <w:shd w:val="clear" w:color="auto" w:fill="auto"/>
            <w:noWrap/>
            <w:vAlign w:val="center"/>
          </w:tcPr>
          <w:p w14:paraId="65269337"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120</w:t>
            </w:r>
          </w:p>
        </w:tc>
        <w:tc>
          <w:tcPr>
            <w:tcW w:w="708" w:type="pct"/>
            <w:tcBorders>
              <w:top w:val="nil"/>
              <w:left w:val="nil"/>
              <w:bottom w:val="nil"/>
              <w:right w:val="nil"/>
            </w:tcBorders>
            <w:shd w:val="clear" w:color="auto" w:fill="auto"/>
            <w:noWrap/>
            <w:vAlign w:val="center"/>
          </w:tcPr>
          <w:p w14:paraId="13EA99CC"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179</w:t>
            </w:r>
          </w:p>
        </w:tc>
        <w:tc>
          <w:tcPr>
            <w:tcW w:w="701" w:type="pct"/>
            <w:tcBorders>
              <w:top w:val="nil"/>
              <w:left w:val="nil"/>
              <w:bottom w:val="nil"/>
              <w:right w:val="nil"/>
            </w:tcBorders>
            <w:vAlign w:val="center"/>
          </w:tcPr>
          <w:p w14:paraId="2A1AE168"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149,2</w:t>
            </w:r>
          </w:p>
        </w:tc>
      </w:tr>
      <w:tr w:rsidR="00844102" w:rsidRPr="00D20EA7" w14:paraId="60A1044D" w14:textId="77777777" w:rsidTr="00F53E08">
        <w:trPr>
          <w:trHeight w:val="283"/>
        </w:trPr>
        <w:tc>
          <w:tcPr>
            <w:tcW w:w="2891" w:type="pct"/>
            <w:shd w:val="clear" w:color="auto" w:fill="auto"/>
            <w:noWrap/>
            <w:vAlign w:val="center"/>
            <w:hideMark/>
          </w:tcPr>
          <w:p w14:paraId="6F3C8EB2"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Národný bezpečnostný úrad</w:t>
            </w:r>
          </w:p>
        </w:tc>
        <w:tc>
          <w:tcPr>
            <w:tcW w:w="700" w:type="pct"/>
            <w:tcBorders>
              <w:top w:val="nil"/>
              <w:left w:val="nil"/>
              <w:bottom w:val="nil"/>
              <w:right w:val="nil"/>
            </w:tcBorders>
            <w:shd w:val="clear" w:color="auto" w:fill="auto"/>
            <w:noWrap/>
            <w:vAlign w:val="center"/>
          </w:tcPr>
          <w:p w14:paraId="013B32FC"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22</w:t>
            </w:r>
          </w:p>
        </w:tc>
        <w:tc>
          <w:tcPr>
            <w:tcW w:w="708" w:type="pct"/>
            <w:tcBorders>
              <w:top w:val="nil"/>
              <w:left w:val="nil"/>
              <w:bottom w:val="nil"/>
              <w:right w:val="nil"/>
            </w:tcBorders>
            <w:shd w:val="clear" w:color="auto" w:fill="auto"/>
            <w:noWrap/>
            <w:vAlign w:val="center"/>
          </w:tcPr>
          <w:p w14:paraId="571FABD0"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108</w:t>
            </w:r>
          </w:p>
        </w:tc>
        <w:tc>
          <w:tcPr>
            <w:tcW w:w="701" w:type="pct"/>
            <w:tcBorders>
              <w:top w:val="nil"/>
              <w:left w:val="nil"/>
              <w:bottom w:val="nil"/>
              <w:right w:val="nil"/>
            </w:tcBorders>
            <w:vAlign w:val="center"/>
          </w:tcPr>
          <w:p w14:paraId="750F223A"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490,9</w:t>
            </w:r>
          </w:p>
        </w:tc>
      </w:tr>
      <w:tr w:rsidR="00844102" w:rsidRPr="00D20EA7" w14:paraId="466A2D40" w14:textId="77777777" w:rsidTr="00F53E08">
        <w:trPr>
          <w:trHeight w:val="283"/>
        </w:trPr>
        <w:tc>
          <w:tcPr>
            <w:tcW w:w="2891" w:type="pct"/>
            <w:shd w:val="clear" w:color="auto" w:fill="auto"/>
            <w:noWrap/>
            <w:vAlign w:val="center"/>
            <w:hideMark/>
          </w:tcPr>
          <w:p w14:paraId="1C2EFA48"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Kancelária Ústavného súdu SR</w:t>
            </w:r>
          </w:p>
        </w:tc>
        <w:tc>
          <w:tcPr>
            <w:tcW w:w="700" w:type="pct"/>
            <w:tcBorders>
              <w:top w:val="nil"/>
              <w:left w:val="nil"/>
              <w:bottom w:val="nil"/>
              <w:right w:val="nil"/>
            </w:tcBorders>
            <w:shd w:val="clear" w:color="auto" w:fill="auto"/>
            <w:noWrap/>
            <w:vAlign w:val="center"/>
          </w:tcPr>
          <w:p w14:paraId="51445CBE"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10</w:t>
            </w:r>
          </w:p>
        </w:tc>
        <w:tc>
          <w:tcPr>
            <w:tcW w:w="708" w:type="pct"/>
            <w:tcBorders>
              <w:top w:val="nil"/>
              <w:left w:val="nil"/>
              <w:bottom w:val="nil"/>
              <w:right w:val="nil"/>
            </w:tcBorders>
            <w:shd w:val="clear" w:color="auto" w:fill="auto"/>
            <w:noWrap/>
            <w:vAlign w:val="center"/>
          </w:tcPr>
          <w:p w14:paraId="46A6D4E4"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43</w:t>
            </w:r>
          </w:p>
        </w:tc>
        <w:tc>
          <w:tcPr>
            <w:tcW w:w="701" w:type="pct"/>
            <w:tcBorders>
              <w:top w:val="nil"/>
              <w:left w:val="nil"/>
              <w:bottom w:val="nil"/>
              <w:right w:val="nil"/>
            </w:tcBorders>
            <w:vAlign w:val="center"/>
          </w:tcPr>
          <w:p w14:paraId="09420FF0"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430,0</w:t>
            </w:r>
          </w:p>
        </w:tc>
      </w:tr>
      <w:tr w:rsidR="00844102" w:rsidRPr="00D20EA7" w14:paraId="104B09D2" w14:textId="77777777" w:rsidTr="00F53E08">
        <w:trPr>
          <w:trHeight w:val="283"/>
        </w:trPr>
        <w:tc>
          <w:tcPr>
            <w:tcW w:w="2891" w:type="pct"/>
            <w:shd w:val="clear" w:color="auto" w:fill="auto"/>
            <w:noWrap/>
            <w:vAlign w:val="center"/>
            <w:hideMark/>
          </w:tcPr>
          <w:p w14:paraId="7256B987"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Najvyšší kontrolný úrad SR</w:t>
            </w:r>
          </w:p>
        </w:tc>
        <w:tc>
          <w:tcPr>
            <w:tcW w:w="700" w:type="pct"/>
            <w:tcBorders>
              <w:top w:val="nil"/>
              <w:left w:val="nil"/>
              <w:right w:val="nil"/>
            </w:tcBorders>
            <w:shd w:val="clear" w:color="auto" w:fill="auto"/>
            <w:noWrap/>
            <w:vAlign w:val="center"/>
          </w:tcPr>
          <w:p w14:paraId="0418629D"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12</w:t>
            </w:r>
          </w:p>
        </w:tc>
        <w:tc>
          <w:tcPr>
            <w:tcW w:w="708" w:type="pct"/>
            <w:tcBorders>
              <w:top w:val="nil"/>
              <w:left w:val="nil"/>
              <w:right w:val="nil"/>
            </w:tcBorders>
            <w:shd w:val="clear" w:color="auto" w:fill="auto"/>
            <w:noWrap/>
            <w:vAlign w:val="center"/>
          </w:tcPr>
          <w:p w14:paraId="368BCA2C"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41</w:t>
            </w:r>
          </w:p>
        </w:tc>
        <w:tc>
          <w:tcPr>
            <w:tcW w:w="701" w:type="pct"/>
            <w:tcBorders>
              <w:top w:val="nil"/>
              <w:left w:val="nil"/>
              <w:right w:val="nil"/>
            </w:tcBorders>
            <w:vAlign w:val="center"/>
          </w:tcPr>
          <w:p w14:paraId="2BD7C91C"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341,7</w:t>
            </w:r>
          </w:p>
        </w:tc>
      </w:tr>
      <w:tr w:rsidR="00844102" w:rsidRPr="00D20EA7" w14:paraId="4009D1C4" w14:textId="77777777" w:rsidTr="00F53E08">
        <w:trPr>
          <w:trHeight w:val="283"/>
        </w:trPr>
        <w:tc>
          <w:tcPr>
            <w:tcW w:w="2891" w:type="pct"/>
            <w:shd w:val="clear" w:color="auto" w:fill="auto"/>
            <w:noWrap/>
            <w:vAlign w:val="center"/>
            <w:hideMark/>
          </w:tcPr>
          <w:p w14:paraId="29C47E2E"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Kancelária Najvyššieho súdu SR</w:t>
            </w:r>
          </w:p>
        </w:tc>
        <w:tc>
          <w:tcPr>
            <w:tcW w:w="700" w:type="pct"/>
            <w:tcBorders>
              <w:top w:val="nil"/>
              <w:left w:val="nil"/>
              <w:bottom w:val="nil"/>
              <w:right w:val="nil"/>
            </w:tcBorders>
            <w:shd w:val="clear" w:color="auto" w:fill="auto"/>
            <w:noWrap/>
            <w:vAlign w:val="center"/>
          </w:tcPr>
          <w:p w14:paraId="722969B9"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10</w:t>
            </w:r>
          </w:p>
        </w:tc>
        <w:tc>
          <w:tcPr>
            <w:tcW w:w="708" w:type="pct"/>
            <w:tcBorders>
              <w:top w:val="nil"/>
              <w:left w:val="nil"/>
              <w:bottom w:val="nil"/>
              <w:right w:val="nil"/>
            </w:tcBorders>
            <w:shd w:val="clear" w:color="auto" w:fill="auto"/>
            <w:noWrap/>
            <w:vAlign w:val="center"/>
          </w:tcPr>
          <w:p w14:paraId="39C9D532"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40</w:t>
            </w:r>
          </w:p>
        </w:tc>
        <w:tc>
          <w:tcPr>
            <w:tcW w:w="701" w:type="pct"/>
            <w:tcBorders>
              <w:top w:val="nil"/>
              <w:left w:val="nil"/>
              <w:bottom w:val="nil"/>
              <w:right w:val="nil"/>
            </w:tcBorders>
            <w:vAlign w:val="center"/>
          </w:tcPr>
          <w:p w14:paraId="0F04A3BA"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400,0</w:t>
            </w:r>
          </w:p>
        </w:tc>
      </w:tr>
      <w:tr w:rsidR="00844102" w:rsidRPr="00D20EA7" w14:paraId="5819BD7A" w14:textId="77777777" w:rsidTr="00F53E08">
        <w:trPr>
          <w:trHeight w:val="283"/>
        </w:trPr>
        <w:tc>
          <w:tcPr>
            <w:tcW w:w="2891" w:type="pct"/>
            <w:shd w:val="clear" w:color="auto" w:fill="auto"/>
            <w:noWrap/>
            <w:vAlign w:val="center"/>
            <w:hideMark/>
          </w:tcPr>
          <w:p w14:paraId="53C112B6"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Kancelária prezidenta SR</w:t>
            </w:r>
          </w:p>
        </w:tc>
        <w:tc>
          <w:tcPr>
            <w:tcW w:w="700" w:type="pct"/>
            <w:tcBorders>
              <w:top w:val="nil"/>
              <w:left w:val="nil"/>
              <w:bottom w:val="nil"/>
              <w:right w:val="nil"/>
            </w:tcBorders>
            <w:shd w:val="clear" w:color="auto" w:fill="auto"/>
            <w:noWrap/>
            <w:vAlign w:val="center"/>
          </w:tcPr>
          <w:p w14:paraId="30F7A709"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15</w:t>
            </w:r>
          </w:p>
        </w:tc>
        <w:tc>
          <w:tcPr>
            <w:tcW w:w="708" w:type="pct"/>
            <w:tcBorders>
              <w:top w:val="nil"/>
              <w:left w:val="nil"/>
              <w:bottom w:val="nil"/>
              <w:right w:val="nil"/>
            </w:tcBorders>
            <w:shd w:val="clear" w:color="auto" w:fill="auto"/>
            <w:noWrap/>
            <w:vAlign w:val="center"/>
          </w:tcPr>
          <w:p w14:paraId="27CFD2B9"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37</w:t>
            </w:r>
          </w:p>
        </w:tc>
        <w:tc>
          <w:tcPr>
            <w:tcW w:w="701" w:type="pct"/>
            <w:tcBorders>
              <w:top w:val="nil"/>
              <w:left w:val="nil"/>
              <w:bottom w:val="nil"/>
              <w:right w:val="nil"/>
            </w:tcBorders>
            <w:vAlign w:val="center"/>
          </w:tcPr>
          <w:p w14:paraId="6AD3BD80"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246,7</w:t>
            </w:r>
          </w:p>
        </w:tc>
      </w:tr>
      <w:tr w:rsidR="00844102" w:rsidRPr="00D20EA7" w14:paraId="42DA34C3" w14:textId="77777777" w:rsidTr="00F53E08">
        <w:trPr>
          <w:trHeight w:val="283"/>
        </w:trPr>
        <w:tc>
          <w:tcPr>
            <w:tcW w:w="2891" w:type="pct"/>
            <w:shd w:val="clear" w:color="auto" w:fill="auto"/>
            <w:noWrap/>
            <w:vAlign w:val="center"/>
            <w:hideMark/>
          </w:tcPr>
          <w:p w14:paraId="6E86D366"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Ministerstvo cestovného ruchu a športu SR</w:t>
            </w:r>
          </w:p>
        </w:tc>
        <w:tc>
          <w:tcPr>
            <w:tcW w:w="700" w:type="pct"/>
            <w:tcBorders>
              <w:top w:val="nil"/>
              <w:left w:val="nil"/>
              <w:right w:val="nil"/>
            </w:tcBorders>
            <w:shd w:val="clear" w:color="auto" w:fill="auto"/>
            <w:noWrap/>
            <w:vAlign w:val="center"/>
          </w:tcPr>
          <w:p w14:paraId="4568E757"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0</w:t>
            </w:r>
          </w:p>
        </w:tc>
        <w:tc>
          <w:tcPr>
            <w:tcW w:w="708" w:type="pct"/>
            <w:tcBorders>
              <w:top w:val="nil"/>
              <w:left w:val="nil"/>
              <w:right w:val="nil"/>
            </w:tcBorders>
            <w:shd w:val="clear" w:color="auto" w:fill="auto"/>
            <w:noWrap/>
            <w:vAlign w:val="center"/>
          </w:tcPr>
          <w:p w14:paraId="647FD509"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25</w:t>
            </w:r>
          </w:p>
        </w:tc>
        <w:tc>
          <w:tcPr>
            <w:tcW w:w="701" w:type="pct"/>
            <w:tcBorders>
              <w:top w:val="nil"/>
              <w:left w:val="nil"/>
              <w:right w:val="nil"/>
            </w:tcBorders>
            <w:vAlign w:val="center"/>
          </w:tcPr>
          <w:p w14:paraId="171CB1B5"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w:t>
            </w:r>
          </w:p>
        </w:tc>
      </w:tr>
      <w:tr w:rsidR="00844102" w:rsidRPr="00D20EA7" w14:paraId="5184BBFD" w14:textId="77777777" w:rsidTr="00F53E08">
        <w:trPr>
          <w:trHeight w:val="283"/>
        </w:trPr>
        <w:tc>
          <w:tcPr>
            <w:tcW w:w="2891" w:type="pct"/>
            <w:shd w:val="clear" w:color="auto" w:fill="auto"/>
            <w:noWrap/>
            <w:vAlign w:val="center"/>
          </w:tcPr>
          <w:p w14:paraId="4826E5AC"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Kancelária Najvyššieho správneho súdu SR</w:t>
            </w:r>
          </w:p>
        </w:tc>
        <w:tc>
          <w:tcPr>
            <w:tcW w:w="700" w:type="pct"/>
            <w:tcBorders>
              <w:top w:val="nil"/>
              <w:left w:val="nil"/>
              <w:right w:val="nil"/>
            </w:tcBorders>
            <w:shd w:val="clear" w:color="auto" w:fill="auto"/>
            <w:noWrap/>
            <w:vAlign w:val="center"/>
          </w:tcPr>
          <w:p w14:paraId="1745C03E"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0</w:t>
            </w:r>
          </w:p>
        </w:tc>
        <w:tc>
          <w:tcPr>
            <w:tcW w:w="708" w:type="pct"/>
            <w:tcBorders>
              <w:top w:val="nil"/>
              <w:left w:val="nil"/>
              <w:right w:val="nil"/>
            </w:tcBorders>
            <w:shd w:val="clear" w:color="auto" w:fill="auto"/>
            <w:noWrap/>
            <w:vAlign w:val="center"/>
          </w:tcPr>
          <w:p w14:paraId="69ECCC4F"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15</w:t>
            </w:r>
          </w:p>
        </w:tc>
        <w:tc>
          <w:tcPr>
            <w:tcW w:w="701" w:type="pct"/>
            <w:tcBorders>
              <w:top w:val="nil"/>
              <w:left w:val="nil"/>
              <w:right w:val="nil"/>
            </w:tcBorders>
            <w:vAlign w:val="center"/>
          </w:tcPr>
          <w:p w14:paraId="3C66DEF9"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w:t>
            </w:r>
          </w:p>
        </w:tc>
      </w:tr>
      <w:tr w:rsidR="00844102" w:rsidRPr="00D20EA7" w14:paraId="763C9BA6" w14:textId="77777777" w:rsidTr="00F53E08">
        <w:trPr>
          <w:trHeight w:val="283"/>
        </w:trPr>
        <w:tc>
          <w:tcPr>
            <w:tcW w:w="2891" w:type="pct"/>
            <w:tcBorders>
              <w:bottom w:val="single" w:sz="4" w:space="0" w:color="314364"/>
            </w:tcBorders>
            <w:shd w:val="clear" w:color="auto" w:fill="auto"/>
            <w:noWrap/>
            <w:vAlign w:val="center"/>
          </w:tcPr>
          <w:p w14:paraId="6C2CC853" w14:textId="77777777" w:rsidR="00844102" w:rsidRPr="00D20EA7" w:rsidRDefault="00844102" w:rsidP="00F53E08">
            <w:pPr>
              <w:spacing w:after="0" w:line="240" w:lineRule="auto"/>
              <w:jc w:val="left"/>
              <w:rPr>
                <w:rFonts w:eastAsia="Calibri" w:cs="Segoe UI"/>
                <w:sz w:val="18"/>
                <w:szCs w:val="18"/>
              </w:rPr>
            </w:pPr>
            <w:r w:rsidRPr="00D20EA7">
              <w:rPr>
                <w:rFonts w:eastAsia="Times New Roman" w:cs="Segoe UI"/>
                <w:sz w:val="18"/>
                <w:szCs w:val="18"/>
                <w:lang w:eastAsia="sk-SK"/>
              </w:rPr>
              <w:t>Kancelária Súdnej rady SR</w:t>
            </w:r>
          </w:p>
        </w:tc>
        <w:tc>
          <w:tcPr>
            <w:tcW w:w="700" w:type="pct"/>
            <w:tcBorders>
              <w:top w:val="nil"/>
              <w:left w:val="nil"/>
              <w:bottom w:val="single" w:sz="4" w:space="0" w:color="314364"/>
              <w:right w:val="nil"/>
            </w:tcBorders>
            <w:shd w:val="clear" w:color="auto" w:fill="auto"/>
            <w:noWrap/>
            <w:vAlign w:val="center"/>
          </w:tcPr>
          <w:p w14:paraId="0D0E1C2E"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0</w:t>
            </w:r>
          </w:p>
        </w:tc>
        <w:tc>
          <w:tcPr>
            <w:tcW w:w="708" w:type="pct"/>
            <w:tcBorders>
              <w:top w:val="nil"/>
              <w:left w:val="nil"/>
              <w:bottom w:val="single" w:sz="4" w:space="0" w:color="314364"/>
              <w:right w:val="nil"/>
            </w:tcBorders>
            <w:shd w:val="clear" w:color="auto" w:fill="auto"/>
            <w:noWrap/>
            <w:vAlign w:val="center"/>
          </w:tcPr>
          <w:p w14:paraId="715BC648"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w:t>
            </w:r>
          </w:p>
        </w:tc>
        <w:tc>
          <w:tcPr>
            <w:tcW w:w="701" w:type="pct"/>
            <w:tcBorders>
              <w:top w:val="nil"/>
              <w:left w:val="nil"/>
              <w:bottom w:val="single" w:sz="4" w:space="0" w:color="314364"/>
              <w:right w:val="nil"/>
            </w:tcBorders>
            <w:vAlign w:val="center"/>
          </w:tcPr>
          <w:p w14:paraId="68D2B37C" w14:textId="77777777" w:rsidR="00844102" w:rsidRPr="00D20EA7" w:rsidDel="007D57B1"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w:t>
            </w:r>
          </w:p>
        </w:tc>
      </w:tr>
      <w:tr w:rsidR="00844102" w:rsidRPr="00D20EA7" w14:paraId="0D1E2569" w14:textId="77777777" w:rsidTr="00F53E08">
        <w:trPr>
          <w:trHeight w:val="283"/>
        </w:trPr>
        <w:tc>
          <w:tcPr>
            <w:tcW w:w="2891" w:type="pct"/>
            <w:tcBorders>
              <w:top w:val="single" w:sz="4" w:space="0" w:color="314364"/>
              <w:bottom w:val="single" w:sz="4" w:space="0" w:color="auto"/>
            </w:tcBorders>
            <w:shd w:val="clear" w:color="auto" w:fill="auto"/>
            <w:noWrap/>
            <w:vAlign w:val="center"/>
          </w:tcPr>
          <w:p w14:paraId="0E2C15F6" w14:textId="77777777" w:rsidR="00844102" w:rsidRPr="00D20EA7" w:rsidRDefault="00844102" w:rsidP="00F53E08">
            <w:pPr>
              <w:spacing w:after="0" w:line="240" w:lineRule="auto"/>
              <w:jc w:val="left"/>
              <w:rPr>
                <w:rFonts w:eastAsia="Calibri" w:cs="Segoe UI"/>
                <w:b/>
                <w:sz w:val="18"/>
                <w:szCs w:val="18"/>
              </w:rPr>
            </w:pPr>
            <w:r w:rsidRPr="00D20EA7">
              <w:rPr>
                <w:rFonts w:eastAsia="Times New Roman" w:cs="Segoe UI"/>
                <w:b/>
                <w:sz w:val="18"/>
                <w:szCs w:val="18"/>
                <w:lang w:eastAsia="sk-SK"/>
              </w:rPr>
              <w:t>SPOLU</w:t>
            </w:r>
          </w:p>
        </w:tc>
        <w:tc>
          <w:tcPr>
            <w:tcW w:w="700" w:type="pct"/>
            <w:tcBorders>
              <w:top w:val="single" w:sz="4" w:space="0" w:color="314364"/>
              <w:left w:val="nil"/>
              <w:bottom w:val="single" w:sz="4" w:space="0" w:color="auto"/>
              <w:right w:val="nil"/>
            </w:tcBorders>
            <w:shd w:val="clear" w:color="auto" w:fill="auto"/>
            <w:noWrap/>
            <w:vAlign w:val="center"/>
          </w:tcPr>
          <w:p w14:paraId="4C532C26" w14:textId="77777777" w:rsidR="00844102" w:rsidRPr="00D20EA7" w:rsidDel="007D57B1" w:rsidRDefault="00844102" w:rsidP="00F53E08">
            <w:pPr>
              <w:spacing w:after="0" w:line="240" w:lineRule="auto"/>
              <w:jc w:val="right"/>
              <w:rPr>
                <w:rFonts w:eastAsia="Calibri" w:cs="Segoe UI"/>
                <w:b/>
                <w:sz w:val="18"/>
                <w:szCs w:val="18"/>
              </w:rPr>
            </w:pPr>
            <w:r w:rsidRPr="00D20EA7">
              <w:rPr>
                <w:rFonts w:eastAsia="Times New Roman" w:cs="Segoe UI"/>
                <w:b/>
                <w:sz w:val="18"/>
                <w:szCs w:val="18"/>
                <w:lang w:eastAsia="sk-SK"/>
              </w:rPr>
              <w:t>22 701 961</w:t>
            </w:r>
          </w:p>
        </w:tc>
        <w:tc>
          <w:tcPr>
            <w:tcW w:w="708" w:type="pct"/>
            <w:tcBorders>
              <w:top w:val="single" w:sz="4" w:space="0" w:color="314364"/>
              <w:left w:val="nil"/>
              <w:bottom w:val="single" w:sz="4" w:space="0" w:color="auto"/>
              <w:right w:val="nil"/>
            </w:tcBorders>
            <w:shd w:val="clear" w:color="auto" w:fill="auto"/>
            <w:noWrap/>
            <w:vAlign w:val="center"/>
          </w:tcPr>
          <w:p w14:paraId="2DD186F9" w14:textId="77777777" w:rsidR="00844102" w:rsidRPr="00D20EA7" w:rsidDel="007D57B1" w:rsidRDefault="00844102" w:rsidP="00F53E08">
            <w:pPr>
              <w:spacing w:after="0" w:line="240" w:lineRule="auto"/>
              <w:jc w:val="right"/>
              <w:rPr>
                <w:rFonts w:eastAsia="Calibri" w:cs="Segoe UI"/>
                <w:b/>
                <w:sz w:val="18"/>
                <w:szCs w:val="18"/>
              </w:rPr>
            </w:pPr>
            <w:r w:rsidRPr="00D20EA7">
              <w:rPr>
                <w:rFonts w:eastAsia="Times New Roman" w:cs="Segoe UI"/>
                <w:b/>
                <w:sz w:val="18"/>
                <w:szCs w:val="18"/>
                <w:lang w:eastAsia="sk-SK"/>
              </w:rPr>
              <w:t>24 457 784</w:t>
            </w:r>
          </w:p>
        </w:tc>
        <w:tc>
          <w:tcPr>
            <w:tcW w:w="701" w:type="pct"/>
            <w:tcBorders>
              <w:top w:val="single" w:sz="4" w:space="0" w:color="314364"/>
              <w:left w:val="nil"/>
              <w:bottom w:val="single" w:sz="4" w:space="0" w:color="auto"/>
              <w:right w:val="nil"/>
            </w:tcBorders>
            <w:vAlign w:val="center"/>
          </w:tcPr>
          <w:p w14:paraId="5A33B7C7" w14:textId="77777777" w:rsidR="00844102" w:rsidRPr="00D20EA7" w:rsidDel="007D57B1" w:rsidRDefault="00844102" w:rsidP="00F53E08">
            <w:pPr>
              <w:spacing w:after="0" w:line="240" w:lineRule="auto"/>
              <w:jc w:val="right"/>
              <w:rPr>
                <w:rFonts w:eastAsia="Calibri" w:cs="Segoe UI"/>
                <w:b/>
                <w:sz w:val="18"/>
                <w:szCs w:val="18"/>
              </w:rPr>
            </w:pPr>
            <w:r w:rsidRPr="00D20EA7">
              <w:rPr>
                <w:rFonts w:eastAsia="Times New Roman" w:cs="Segoe UI"/>
                <w:b/>
                <w:sz w:val="18"/>
                <w:szCs w:val="18"/>
                <w:lang w:eastAsia="sk-SK"/>
              </w:rPr>
              <w:t>107,7</w:t>
            </w:r>
          </w:p>
        </w:tc>
      </w:tr>
    </w:tbl>
    <w:p w14:paraId="588DF7FF" w14:textId="77777777" w:rsidR="00844102" w:rsidRPr="00D20EA7" w:rsidRDefault="00844102" w:rsidP="00844102">
      <w:pPr>
        <w:spacing w:after="0" w:line="240" w:lineRule="auto"/>
        <w:jc w:val="left"/>
        <w:rPr>
          <w:rFonts w:eastAsia="Calibri" w:cs="Times New Roman"/>
          <w:i/>
          <w:color w:val="314364"/>
          <w:sz w:val="16"/>
        </w:rPr>
      </w:pPr>
      <w:r w:rsidRPr="00D20EA7">
        <w:rPr>
          <w:rFonts w:eastAsia="Calibri" w:cs="Times New Roman"/>
          <w:i/>
          <w:color w:val="314364"/>
          <w:sz w:val="16"/>
        </w:rPr>
        <w:t>Zdroj: Návrh ŠZÚ 2024.</w:t>
      </w:r>
    </w:p>
    <w:p w14:paraId="596FDD15" w14:textId="71BD6749" w:rsidR="00844102" w:rsidRPr="00D20EA7" w:rsidRDefault="00844102" w:rsidP="00844102">
      <w:pPr>
        <w:spacing w:after="0" w:line="240" w:lineRule="auto"/>
        <w:jc w:val="left"/>
        <w:rPr>
          <w:rFonts w:eastAsia="Calibri" w:cs="Times New Roman"/>
          <w:i/>
          <w:color w:val="314364"/>
          <w:sz w:val="16"/>
        </w:rPr>
      </w:pPr>
      <w:r w:rsidRPr="00D20EA7">
        <w:rPr>
          <w:rFonts w:eastAsia="Calibri" w:cs="Times New Roman"/>
          <w:i/>
          <w:color w:val="314364"/>
          <w:sz w:val="16"/>
        </w:rPr>
        <w:t>S – skutočnosť, R – rozpočet</w:t>
      </w:r>
      <w:r w:rsidR="00C10075">
        <w:rPr>
          <w:rFonts w:eastAsia="Calibri" w:cs="Times New Roman"/>
          <w:i/>
          <w:color w:val="314364"/>
          <w:sz w:val="16"/>
        </w:rPr>
        <w:t>.</w:t>
      </w:r>
    </w:p>
    <w:p w14:paraId="33815A9A" w14:textId="77777777" w:rsidR="00844102" w:rsidRPr="00D20EA7" w:rsidRDefault="00844102" w:rsidP="00844102">
      <w:pPr>
        <w:spacing w:line="240" w:lineRule="auto"/>
        <w:jc w:val="left"/>
        <w:rPr>
          <w:rFonts w:eastAsia="Calibri" w:cs="Times New Roman"/>
          <w:i/>
          <w:color w:val="314364"/>
          <w:sz w:val="16"/>
        </w:rPr>
      </w:pPr>
      <w:r w:rsidRPr="00D20EA7">
        <w:rPr>
          <w:rFonts w:eastAsia="Calibri" w:cs="Times New Roman"/>
          <w:i/>
          <w:color w:val="314364"/>
          <w:sz w:val="16"/>
        </w:rPr>
        <w:br w:type="page"/>
      </w:r>
    </w:p>
    <w:p w14:paraId="047D95F9" w14:textId="5CAC3632" w:rsidR="00844102" w:rsidRPr="00D20EA7" w:rsidRDefault="00844102" w:rsidP="00844102">
      <w:pPr>
        <w:keepNext/>
        <w:spacing w:after="0" w:line="240" w:lineRule="auto"/>
        <w:rPr>
          <w:rFonts w:eastAsia="Calibri" w:cs="Times New Roman"/>
          <w:b/>
          <w:iCs/>
          <w:color w:val="314364"/>
          <w:szCs w:val="18"/>
        </w:rPr>
      </w:pPr>
      <w:r w:rsidRPr="00D20EA7">
        <w:rPr>
          <w:rFonts w:eastAsia="Calibri" w:cs="Times New Roman"/>
          <w:b/>
          <w:iCs/>
          <w:color w:val="314364"/>
          <w:szCs w:val="18"/>
        </w:rPr>
        <w:lastRenderedPageBreak/>
        <w:t xml:space="preserve">Tabuľka </w:t>
      </w:r>
      <w:r w:rsidR="00BA5B20">
        <w:rPr>
          <w:rFonts w:eastAsia="Calibri" w:cs="Times New Roman"/>
          <w:b/>
          <w:iCs/>
          <w:color w:val="314364"/>
          <w:szCs w:val="18"/>
        </w:rPr>
        <w:t>9</w:t>
      </w:r>
      <w:r w:rsidRPr="00D20EA7">
        <w:rPr>
          <w:rFonts w:eastAsia="Calibri" w:cs="Times New Roman"/>
          <w:b/>
          <w:iCs/>
          <w:color w:val="314364"/>
          <w:szCs w:val="18"/>
        </w:rPr>
        <w:t>: Výdavky podľa kapitol ŠR na hotovostnej báze za rok 2024 (v tis. eur)</w:t>
      </w:r>
    </w:p>
    <w:tbl>
      <w:tblPr>
        <w:tblW w:w="0" w:type="auto"/>
        <w:tblBorders>
          <w:bottom w:val="single" w:sz="4" w:space="0" w:color="314364"/>
        </w:tblBorders>
        <w:tblLayout w:type="fixed"/>
        <w:tblCellMar>
          <w:left w:w="70" w:type="dxa"/>
          <w:right w:w="70" w:type="dxa"/>
        </w:tblCellMar>
        <w:tblLook w:val="04A0" w:firstRow="1" w:lastRow="0" w:firstColumn="1" w:lastColumn="0" w:noHBand="0" w:noVBand="1"/>
      </w:tblPr>
      <w:tblGrid>
        <w:gridCol w:w="5387"/>
        <w:gridCol w:w="1134"/>
        <w:gridCol w:w="1276"/>
        <w:gridCol w:w="1273"/>
      </w:tblGrid>
      <w:tr w:rsidR="00844102" w:rsidRPr="00D20EA7" w14:paraId="5E4A4158" w14:textId="77777777" w:rsidTr="00F53E08">
        <w:trPr>
          <w:trHeight w:val="283"/>
        </w:trPr>
        <w:tc>
          <w:tcPr>
            <w:tcW w:w="5387" w:type="dxa"/>
            <w:shd w:val="clear" w:color="auto" w:fill="314364"/>
            <w:noWrap/>
            <w:vAlign w:val="center"/>
          </w:tcPr>
          <w:p w14:paraId="60EF24A2" w14:textId="77777777" w:rsidR="00844102" w:rsidRPr="00D20EA7" w:rsidRDefault="00844102" w:rsidP="00F53E08">
            <w:pPr>
              <w:spacing w:after="0" w:line="240" w:lineRule="auto"/>
              <w:jc w:val="left"/>
              <w:rPr>
                <w:rFonts w:eastAsia="Times New Roman" w:cs="Segoe UI"/>
                <w:b/>
                <w:color w:val="FFFFFF"/>
                <w:sz w:val="18"/>
                <w:szCs w:val="18"/>
                <w:lang w:eastAsia="sk-SK"/>
              </w:rPr>
            </w:pPr>
            <w:r w:rsidRPr="00D20EA7">
              <w:rPr>
                <w:rFonts w:eastAsia="Times New Roman" w:cs="Segoe UI"/>
                <w:b/>
                <w:color w:val="FFFFFF"/>
                <w:sz w:val="18"/>
                <w:szCs w:val="18"/>
                <w:lang w:eastAsia="sk-SK"/>
              </w:rPr>
              <w:t xml:space="preserve">Výdavky kapitol ŠR </w:t>
            </w:r>
          </w:p>
        </w:tc>
        <w:tc>
          <w:tcPr>
            <w:tcW w:w="1134" w:type="dxa"/>
            <w:shd w:val="clear" w:color="auto" w:fill="314364"/>
            <w:noWrap/>
            <w:vAlign w:val="center"/>
          </w:tcPr>
          <w:p w14:paraId="515D3703" w14:textId="77777777" w:rsidR="00844102" w:rsidRPr="00D20EA7" w:rsidRDefault="00844102" w:rsidP="00F53E08">
            <w:pPr>
              <w:spacing w:after="0" w:line="240" w:lineRule="auto"/>
              <w:jc w:val="right"/>
              <w:rPr>
                <w:rFonts w:eastAsia="Times New Roman" w:cs="Segoe UI"/>
                <w:b/>
                <w:color w:val="FFFFFF"/>
                <w:sz w:val="18"/>
                <w:szCs w:val="18"/>
                <w:lang w:eastAsia="sk-SK"/>
              </w:rPr>
            </w:pPr>
            <w:r w:rsidRPr="00D20EA7">
              <w:rPr>
                <w:rFonts w:eastAsia="Times New Roman" w:cs="Segoe UI"/>
                <w:b/>
                <w:color w:val="FFFFFF"/>
                <w:sz w:val="18"/>
                <w:szCs w:val="18"/>
                <w:lang w:eastAsia="sk-SK"/>
              </w:rPr>
              <w:t>2024 R</w:t>
            </w:r>
          </w:p>
        </w:tc>
        <w:tc>
          <w:tcPr>
            <w:tcW w:w="1276" w:type="dxa"/>
            <w:shd w:val="clear" w:color="auto" w:fill="314364"/>
            <w:noWrap/>
            <w:vAlign w:val="center"/>
          </w:tcPr>
          <w:p w14:paraId="001457F8" w14:textId="77777777" w:rsidR="00844102" w:rsidRPr="00D20EA7" w:rsidRDefault="00844102" w:rsidP="00F53E08">
            <w:pPr>
              <w:spacing w:after="0" w:line="240" w:lineRule="auto"/>
              <w:jc w:val="right"/>
              <w:rPr>
                <w:rFonts w:eastAsia="Times New Roman" w:cs="Segoe UI"/>
                <w:b/>
                <w:color w:val="FFFFFF"/>
                <w:sz w:val="18"/>
                <w:szCs w:val="18"/>
                <w:lang w:eastAsia="sk-SK"/>
              </w:rPr>
            </w:pPr>
            <w:r w:rsidRPr="00D20EA7">
              <w:rPr>
                <w:rFonts w:eastAsia="Times New Roman" w:cs="Segoe UI"/>
                <w:b/>
                <w:color w:val="FFFFFF"/>
                <w:sz w:val="18"/>
                <w:szCs w:val="18"/>
                <w:lang w:eastAsia="sk-SK"/>
              </w:rPr>
              <w:t>2024 S</w:t>
            </w:r>
          </w:p>
        </w:tc>
        <w:tc>
          <w:tcPr>
            <w:tcW w:w="1273" w:type="dxa"/>
            <w:shd w:val="clear" w:color="auto" w:fill="314364"/>
            <w:noWrap/>
            <w:vAlign w:val="center"/>
          </w:tcPr>
          <w:p w14:paraId="277F6B75" w14:textId="77777777" w:rsidR="00844102" w:rsidRPr="00D20EA7" w:rsidRDefault="00844102" w:rsidP="00F53E08">
            <w:pPr>
              <w:spacing w:after="0" w:line="240" w:lineRule="auto"/>
              <w:jc w:val="right"/>
              <w:rPr>
                <w:rFonts w:eastAsia="Times New Roman" w:cs="Segoe UI"/>
                <w:b/>
                <w:color w:val="FFFFFF"/>
                <w:sz w:val="18"/>
                <w:szCs w:val="18"/>
                <w:lang w:eastAsia="sk-SK"/>
              </w:rPr>
            </w:pPr>
            <w:r w:rsidRPr="00D20EA7">
              <w:rPr>
                <w:rFonts w:eastAsia="Times New Roman" w:cs="Segoe UI"/>
                <w:b/>
                <w:color w:val="FFFFFF"/>
                <w:sz w:val="18"/>
                <w:szCs w:val="18"/>
                <w:lang w:eastAsia="sk-SK"/>
              </w:rPr>
              <w:t>% čerpania</w:t>
            </w:r>
          </w:p>
        </w:tc>
      </w:tr>
      <w:tr w:rsidR="00844102" w:rsidRPr="00D20EA7" w14:paraId="284030A2" w14:textId="77777777" w:rsidTr="00F53E08">
        <w:trPr>
          <w:trHeight w:val="283"/>
        </w:trPr>
        <w:tc>
          <w:tcPr>
            <w:tcW w:w="5387" w:type="dxa"/>
            <w:tcBorders>
              <w:right w:val="nil"/>
            </w:tcBorders>
            <w:shd w:val="clear" w:color="auto" w:fill="auto"/>
            <w:noWrap/>
            <w:vAlign w:val="center"/>
            <w:hideMark/>
          </w:tcPr>
          <w:p w14:paraId="61B9AC47"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Všeobecná pokladničná správa</w:t>
            </w:r>
          </w:p>
        </w:tc>
        <w:tc>
          <w:tcPr>
            <w:tcW w:w="1134" w:type="dxa"/>
            <w:tcBorders>
              <w:top w:val="nil"/>
              <w:left w:val="nil"/>
              <w:bottom w:val="nil"/>
              <w:right w:val="nil"/>
            </w:tcBorders>
            <w:shd w:val="clear" w:color="auto" w:fill="auto"/>
            <w:noWrap/>
            <w:vAlign w:val="center"/>
          </w:tcPr>
          <w:p w14:paraId="2B12FB6F"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6 882 154</w:t>
            </w:r>
          </w:p>
        </w:tc>
        <w:tc>
          <w:tcPr>
            <w:tcW w:w="1276" w:type="dxa"/>
            <w:tcBorders>
              <w:top w:val="nil"/>
              <w:left w:val="nil"/>
              <w:bottom w:val="nil"/>
              <w:right w:val="nil"/>
            </w:tcBorders>
            <w:shd w:val="clear" w:color="auto" w:fill="auto"/>
            <w:noWrap/>
            <w:vAlign w:val="center"/>
          </w:tcPr>
          <w:p w14:paraId="12448A6C"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4 877 341</w:t>
            </w:r>
          </w:p>
        </w:tc>
        <w:tc>
          <w:tcPr>
            <w:tcW w:w="1273" w:type="dxa"/>
            <w:tcBorders>
              <w:top w:val="nil"/>
              <w:left w:val="nil"/>
              <w:bottom w:val="nil"/>
              <w:right w:val="nil"/>
            </w:tcBorders>
            <w:shd w:val="clear" w:color="auto" w:fill="auto"/>
            <w:noWrap/>
            <w:vAlign w:val="center"/>
          </w:tcPr>
          <w:p w14:paraId="6A7F1471"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70,9</w:t>
            </w:r>
          </w:p>
        </w:tc>
      </w:tr>
      <w:tr w:rsidR="00844102" w:rsidRPr="00D20EA7" w14:paraId="37A1FE75" w14:textId="77777777" w:rsidTr="00F53E08">
        <w:trPr>
          <w:trHeight w:val="283"/>
        </w:trPr>
        <w:tc>
          <w:tcPr>
            <w:tcW w:w="5387" w:type="dxa"/>
            <w:tcBorders>
              <w:right w:val="nil"/>
            </w:tcBorders>
            <w:shd w:val="clear" w:color="auto" w:fill="auto"/>
            <w:noWrap/>
            <w:vAlign w:val="center"/>
            <w:hideMark/>
          </w:tcPr>
          <w:p w14:paraId="41967AD0"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práce, sociálnych vecí a rodiny SR</w:t>
            </w:r>
          </w:p>
        </w:tc>
        <w:tc>
          <w:tcPr>
            <w:tcW w:w="1134" w:type="dxa"/>
            <w:tcBorders>
              <w:top w:val="nil"/>
              <w:left w:val="nil"/>
              <w:bottom w:val="nil"/>
              <w:right w:val="nil"/>
            </w:tcBorders>
            <w:shd w:val="clear" w:color="auto" w:fill="auto"/>
            <w:noWrap/>
            <w:vAlign w:val="center"/>
          </w:tcPr>
          <w:p w14:paraId="44F24DBC"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4 488 024</w:t>
            </w:r>
          </w:p>
        </w:tc>
        <w:tc>
          <w:tcPr>
            <w:tcW w:w="1276" w:type="dxa"/>
            <w:tcBorders>
              <w:top w:val="nil"/>
              <w:left w:val="nil"/>
              <w:bottom w:val="nil"/>
              <w:right w:val="nil"/>
            </w:tcBorders>
            <w:shd w:val="clear" w:color="auto" w:fill="auto"/>
            <w:noWrap/>
            <w:vAlign w:val="center"/>
          </w:tcPr>
          <w:p w14:paraId="1E9D0CC6"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4 729 322</w:t>
            </w:r>
          </w:p>
        </w:tc>
        <w:tc>
          <w:tcPr>
            <w:tcW w:w="1273" w:type="dxa"/>
            <w:tcBorders>
              <w:top w:val="nil"/>
              <w:left w:val="nil"/>
              <w:bottom w:val="nil"/>
              <w:right w:val="nil"/>
            </w:tcBorders>
            <w:shd w:val="clear" w:color="auto" w:fill="auto"/>
            <w:noWrap/>
            <w:vAlign w:val="center"/>
          </w:tcPr>
          <w:p w14:paraId="09FFDBDA"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105,4</w:t>
            </w:r>
          </w:p>
        </w:tc>
      </w:tr>
      <w:tr w:rsidR="00844102" w:rsidRPr="00D20EA7" w14:paraId="5931D848" w14:textId="77777777" w:rsidTr="00F53E08">
        <w:trPr>
          <w:trHeight w:val="283"/>
        </w:trPr>
        <w:tc>
          <w:tcPr>
            <w:tcW w:w="5387" w:type="dxa"/>
            <w:tcBorders>
              <w:right w:val="nil"/>
            </w:tcBorders>
            <w:shd w:val="clear" w:color="auto" w:fill="auto"/>
            <w:noWrap/>
            <w:vAlign w:val="center"/>
            <w:hideMark/>
          </w:tcPr>
          <w:p w14:paraId="5CAB9430"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školstva, výskumu, vývoja a mládeže SR</w:t>
            </w:r>
          </w:p>
        </w:tc>
        <w:tc>
          <w:tcPr>
            <w:tcW w:w="1134" w:type="dxa"/>
            <w:tcBorders>
              <w:top w:val="nil"/>
              <w:left w:val="nil"/>
              <w:bottom w:val="nil"/>
              <w:right w:val="nil"/>
            </w:tcBorders>
            <w:shd w:val="clear" w:color="auto" w:fill="auto"/>
            <w:noWrap/>
            <w:vAlign w:val="center"/>
          </w:tcPr>
          <w:p w14:paraId="3D60CC6E"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4 287 473</w:t>
            </w:r>
          </w:p>
        </w:tc>
        <w:tc>
          <w:tcPr>
            <w:tcW w:w="1276" w:type="dxa"/>
            <w:tcBorders>
              <w:top w:val="nil"/>
              <w:left w:val="nil"/>
              <w:bottom w:val="nil"/>
              <w:right w:val="nil"/>
            </w:tcBorders>
            <w:shd w:val="clear" w:color="auto" w:fill="auto"/>
            <w:noWrap/>
            <w:vAlign w:val="center"/>
          </w:tcPr>
          <w:p w14:paraId="458F6D61"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4 428 483</w:t>
            </w:r>
          </w:p>
        </w:tc>
        <w:tc>
          <w:tcPr>
            <w:tcW w:w="1273" w:type="dxa"/>
            <w:tcBorders>
              <w:top w:val="nil"/>
              <w:left w:val="nil"/>
              <w:bottom w:val="nil"/>
              <w:right w:val="nil"/>
            </w:tcBorders>
            <w:shd w:val="clear" w:color="auto" w:fill="auto"/>
            <w:noWrap/>
            <w:vAlign w:val="center"/>
          </w:tcPr>
          <w:p w14:paraId="2A63FEC7"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103,3</w:t>
            </w:r>
          </w:p>
        </w:tc>
      </w:tr>
      <w:tr w:rsidR="00844102" w:rsidRPr="00D20EA7" w14:paraId="41B8CBA1" w14:textId="77777777" w:rsidTr="00F53E08">
        <w:trPr>
          <w:trHeight w:val="283"/>
        </w:trPr>
        <w:tc>
          <w:tcPr>
            <w:tcW w:w="5387" w:type="dxa"/>
            <w:tcBorders>
              <w:right w:val="nil"/>
            </w:tcBorders>
            <w:shd w:val="clear" w:color="auto" w:fill="auto"/>
            <w:noWrap/>
            <w:vAlign w:val="center"/>
            <w:hideMark/>
          </w:tcPr>
          <w:p w14:paraId="684320A4"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zdravotníctva SR</w:t>
            </w:r>
          </w:p>
        </w:tc>
        <w:tc>
          <w:tcPr>
            <w:tcW w:w="1134" w:type="dxa"/>
            <w:tcBorders>
              <w:top w:val="nil"/>
              <w:left w:val="nil"/>
              <w:bottom w:val="nil"/>
              <w:right w:val="nil"/>
            </w:tcBorders>
            <w:shd w:val="clear" w:color="auto" w:fill="auto"/>
            <w:noWrap/>
            <w:vAlign w:val="center"/>
          </w:tcPr>
          <w:p w14:paraId="72480F4A"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2 669 180</w:t>
            </w:r>
          </w:p>
        </w:tc>
        <w:tc>
          <w:tcPr>
            <w:tcW w:w="1276" w:type="dxa"/>
            <w:tcBorders>
              <w:top w:val="nil"/>
              <w:left w:val="nil"/>
              <w:bottom w:val="nil"/>
              <w:right w:val="nil"/>
            </w:tcBorders>
            <w:shd w:val="clear" w:color="auto" w:fill="auto"/>
            <w:noWrap/>
            <w:vAlign w:val="center"/>
          </w:tcPr>
          <w:p w14:paraId="517F704F"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2 742 779</w:t>
            </w:r>
          </w:p>
        </w:tc>
        <w:tc>
          <w:tcPr>
            <w:tcW w:w="1273" w:type="dxa"/>
            <w:tcBorders>
              <w:top w:val="nil"/>
              <w:left w:val="nil"/>
              <w:bottom w:val="nil"/>
              <w:right w:val="nil"/>
            </w:tcBorders>
            <w:shd w:val="clear" w:color="auto" w:fill="auto"/>
            <w:noWrap/>
            <w:vAlign w:val="center"/>
          </w:tcPr>
          <w:p w14:paraId="21046C3B"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102,8</w:t>
            </w:r>
          </w:p>
        </w:tc>
      </w:tr>
      <w:tr w:rsidR="00844102" w:rsidRPr="00D20EA7" w14:paraId="140A8DB1" w14:textId="77777777" w:rsidTr="00F53E08">
        <w:trPr>
          <w:trHeight w:val="283"/>
        </w:trPr>
        <w:tc>
          <w:tcPr>
            <w:tcW w:w="5387" w:type="dxa"/>
            <w:tcBorders>
              <w:right w:val="nil"/>
            </w:tcBorders>
            <w:shd w:val="clear" w:color="auto" w:fill="auto"/>
            <w:noWrap/>
            <w:vAlign w:val="center"/>
            <w:hideMark/>
          </w:tcPr>
          <w:p w14:paraId="6968C22B"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dopravy SR</w:t>
            </w:r>
          </w:p>
        </w:tc>
        <w:tc>
          <w:tcPr>
            <w:tcW w:w="1134" w:type="dxa"/>
            <w:tcBorders>
              <w:top w:val="nil"/>
              <w:left w:val="nil"/>
              <w:bottom w:val="nil"/>
              <w:right w:val="nil"/>
            </w:tcBorders>
            <w:shd w:val="clear" w:color="auto" w:fill="auto"/>
            <w:noWrap/>
            <w:vAlign w:val="center"/>
          </w:tcPr>
          <w:p w14:paraId="72EDCDED"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2 230 537</w:t>
            </w:r>
          </w:p>
        </w:tc>
        <w:tc>
          <w:tcPr>
            <w:tcW w:w="1276" w:type="dxa"/>
            <w:tcBorders>
              <w:top w:val="nil"/>
              <w:left w:val="nil"/>
              <w:bottom w:val="nil"/>
              <w:right w:val="nil"/>
            </w:tcBorders>
            <w:shd w:val="clear" w:color="auto" w:fill="auto"/>
            <w:noWrap/>
            <w:vAlign w:val="center"/>
          </w:tcPr>
          <w:p w14:paraId="2801E2ED"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2 625 251</w:t>
            </w:r>
          </w:p>
        </w:tc>
        <w:tc>
          <w:tcPr>
            <w:tcW w:w="1273" w:type="dxa"/>
            <w:tcBorders>
              <w:top w:val="nil"/>
              <w:left w:val="nil"/>
              <w:bottom w:val="nil"/>
              <w:right w:val="nil"/>
            </w:tcBorders>
            <w:shd w:val="clear" w:color="auto" w:fill="auto"/>
            <w:noWrap/>
            <w:vAlign w:val="center"/>
          </w:tcPr>
          <w:p w14:paraId="6B6B723D"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117,7</w:t>
            </w:r>
          </w:p>
        </w:tc>
      </w:tr>
      <w:tr w:rsidR="00844102" w:rsidRPr="00D20EA7" w14:paraId="6A1A359C" w14:textId="77777777" w:rsidTr="00F53E08">
        <w:trPr>
          <w:trHeight w:val="283"/>
        </w:trPr>
        <w:tc>
          <w:tcPr>
            <w:tcW w:w="5387" w:type="dxa"/>
            <w:tcBorders>
              <w:right w:val="nil"/>
            </w:tcBorders>
            <w:shd w:val="clear" w:color="auto" w:fill="auto"/>
            <w:noWrap/>
            <w:vAlign w:val="center"/>
            <w:hideMark/>
          </w:tcPr>
          <w:p w14:paraId="73EA78C5"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obrany SR</w:t>
            </w:r>
          </w:p>
        </w:tc>
        <w:tc>
          <w:tcPr>
            <w:tcW w:w="1134" w:type="dxa"/>
            <w:tcBorders>
              <w:top w:val="nil"/>
              <w:left w:val="nil"/>
              <w:bottom w:val="nil"/>
              <w:right w:val="nil"/>
            </w:tcBorders>
            <w:shd w:val="clear" w:color="auto" w:fill="auto"/>
            <w:noWrap/>
            <w:vAlign w:val="center"/>
          </w:tcPr>
          <w:p w14:paraId="0528039F"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2 609 208</w:t>
            </w:r>
          </w:p>
        </w:tc>
        <w:tc>
          <w:tcPr>
            <w:tcW w:w="1276" w:type="dxa"/>
            <w:tcBorders>
              <w:top w:val="nil"/>
              <w:left w:val="nil"/>
              <w:bottom w:val="nil"/>
              <w:right w:val="nil"/>
            </w:tcBorders>
            <w:shd w:val="clear" w:color="auto" w:fill="auto"/>
            <w:noWrap/>
            <w:vAlign w:val="center"/>
          </w:tcPr>
          <w:p w14:paraId="6B1FAD85"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2 574 464</w:t>
            </w:r>
          </w:p>
        </w:tc>
        <w:tc>
          <w:tcPr>
            <w:tcW w:w="1273" w:type="dxa"/>
            <w:tcBorders>
              <w:top w:val="nil"/>
              <w:left w:val="nil"/>
              <w:bottom w:val="nil"/>
              <w:right w:val="nil"/>
            </w:tcBorders>
            <w:shd w:val="clear" w:color="auto" w:fill="auto"/>
            <w:noWrap/>
            <w:vAlign w:val="center"/>
          </w:tcPr>
          <w:p w14:paraId="3950C173"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98,7</w:t>
            </w:r>
          </w:p>
        </w:tc>
      </w:tr>
      <w:tr w:rsidR="00844102" w:rsidRPr="00D20EA7" w14:paraId="2A274D8A" w14:textId="77777777" w:rsidTr="00F53E08">
        <w:trPr>
          <w:trHeight w:val="283"/>
        </w:trPr>
        <w:tc>
          <w:tcPr>
            <w:tcW w:w="5387" w:type="dxa"/>
            <w:tcBorders>
              <w:right w:val="nil"/>
            </w:tcBorders>
            <w:shd w:val="clear" w:color="auto" w:fill="auto"/>
            <w:noWrap/>
            <w:vAlign w:val="center"/>
            <w:hideMark/>
          </w:tcPr>
          <w:p w14:paraId="0A87A3E7"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vnútra SR</w:t>
            </w:r>
          </w:p>
        </w:tc>
        <w:tc>
          <w:tcPr>
            <w:tcW w:w="1134" w:type="dxa"/>
            <w:tcBorders>
              <w:top w:val="nil"/>
              <w:left w:val="nil"/>
              <w:bottom w:val="nil"/>
              <w:right w:val="nil"/>
            </w:tcBorders>
            <w:shd w:val="clear" w:color="auto" w:fill="auto"/>
            <w:noWrap/>
            <w:vAlign w:val="center"/>
          </w:tcPr>
          <w:p w14:paraId="10A77C8F"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1 865 465</w:t>
            </w:r>
          </w:p>
        </w:tc>
        <w:tc>
          <w:tcPr>
            <w:tcW w:w="1276" w:type="dxa"/>
            <w:tcBorders>
              <w:top w:val="nil"/>
              <w:left w:val="nil"/>
              <w:bottom w:val="nil"/>
              <w:right w:val="nil"/>
            </w:tcBorders>
            <w:shd w:val="clear" w:color="auto" w:fill="auto"/>
            <w:noWrap/>
            <w:vAlign w:val="center"/>
          </w:tcPr>
          <w:p w14:paraId="046230CD"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2 092 082</w:t>
            </w:r>
          </w:p>
        </w:tc>
        <w:tc>
          <w:tcPr>
            <w:tcW w:w="1273" w:type="dxa"/>
            <w:tcBorders>
              <w:top w:val="nil"/>
              <w:left w:val="nil"/>
              <w:bottom w:val="nil"/>
              <w:right w:val="nil"/>
            </w:tcBorders>
            <w:shd w:val="clear" w:color="auto" w:fill="auto"/>
            <w:noWrap/>
            <w:vAlign w:val="center"/>
          </w:tcPr>
          <w:p w14:paraId="45F6DA73"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112,1</w:t>
            </w:r>
          </w:p>
        </w:tc>
      </w:tr>
      <w:tr w:rsidR="00844102" w:rsidRPr="00D20EA7" w14:paraId="5F46CFC2" w14:textId="77777777" w:rsidTr="00F53E08">
        <w:trPr>
          <w:trHeight w:val="283"/>
        </w:trPr>
        <w:tc>
          <w:tcPr>
            <w:tcW w:w="5387" w:type="dxa"/>
            <w:tcBorders>
              <w:right w:val="nil"/>
            </w:tcBorders>
            <w:shd w:val="clear" w:color="auto" w:fill="auto"/>
            <w:noWrap/>
            <w:vAlign w:val="center"/>
            <w:hideMark/>
          </w:tcPr>
          <w:p w14:paraId="40D65FDB"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hospodárstva SR</w:t>
            </w:r>
          </w:p>
        </w:tc>
        <w:tc>
          <w:tcPr>
            <w:tcW w:w="1134" w:type="dxa"/>
            <w:tcBorders>
              <w:top w:val="nil"/>
              <w:left w:val="nil"/>
              <w:bottom w:val="nil"/>
              <w:right w:val="nil"/>
            </w:tcBorders>
            <w:shd w:val="clear" w:color="auto" w:fill="auto"/>
            <w:noWrap/>
            <w:vAlign w:val="center"/>
          </w:tcPr>
          <w:p w14:paraId="7B281B4A"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412 425</w:t>
            </w:r>
          </w:p>
        </w:tc>
        <w:tc>
          <w:tcPr>
            <w:tcW w:w="1276" w:type="dxa"/>
            <w:tcBorders>
              <w:top w:val="nil"/>
              <w:left w:val="nil"/>
              <w:bottom w:val="nil"/>
              <w:right w:val="nil"/>
            </w:tcBorders>
            <w:shd w:val="clear" w:color="auto" w:fill="auto"/>
            <w:noWrap/>
            <w:vAlign w:val="center"/>
          </w:tcPr>
          <w:p w14:paraId="4CABD1B4"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1 500 278</w:t>
            </w:r>
          </w:p>
        </w:tc>
        <w:tc>
          <w:tcPr>
            <w:tcW w:w="1273" w:type="dxa"/>
            <w:tcBorders>
              <w:top w:val="nil"/>
              <w:left w:val="nil"/>
              <w:bottom w:val="nil"/>
              <w:right w:val="nil"/>
            </w:tcBorders>
            <w:shd w:val="clear" w:color="auto" w:fill="auto"/>
            <w:noWrap/>
            <w:vAlign w:val="center"/>
          </w:tcPr>
          <w:p w14:paraId="7698CEEA"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363,8</w:t>
            </w:r>
          </w:p>
        </w:tc>
      </w:tr>
      <w:tr w:rsidR="00844102" w:rsidRPr="00D20EA7" w14:paraId="08B98B06" w14:textId="77777777" w:rsidTr="00F53E08">
        <w:trPr>
          <w:trHeight w:val="283"/>
        </w:trPr>
        <w:tc>
          <w:tcPr>
            <w:tcW w:w="5387" w:type="dxa"/>
            <w:tcBorders>
              <w:right w:val="nil"/>
            </w:tcBorders>
            <w:shd w:val="clear" w:color="auto" w:fill="auto"/>
            <w:noWrap/>
            <w:vAlign w:val="center"/>
            <w:hideMark/>
          </w:tcPr>
          <w:p w14:paraId="3A9D1CEB"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pôdohospodárstva a rozvoja vidieka SR</w:t>
            </w:r>
          </w:p>
        </w:tc>
        <w:tc>
          <w:tcPr>
            <w:tcW w:w="1134" w:type="dxa"/>
            <w:tcBorders>
              <w:top w:val="nil"/>
              <w:left w:val="nil"/>
              <w:bottom w:val="nil"/>
              <w:right w:val="nil"/>
            </w:tcBorders>
            <w:shd w:val="clear" w:color="auto" w:fill="auto"/>
            <w:noWrap/>
            <w:vAlign w:val="center"/>
          </w:tcPr>
          <w:p w14:paraId="386B3C3D"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1 168 300</w:t>
            </w:r>
          </w:p>
        </w:tc>
        <w:tc>
          <w:tcPr>
            <w:tcW w:w="1276" w:type="dxa"/>
            <w:tcBorders>
              <w:top w:val="nil"/>
              <w:left w:val="nil"/>
              <w:bottom w:val="nil"/>
              <w:right w:val="nil"/>
            </w:tcBorders>
            <w:shd w:val="clear" w:color="auto" w:fill="auto"/>
            <w:noWrap/>
            <w:vAlign w:val="center"/>
          </w:tcPr>
          <w:p w14:paraId="04F2B3F9"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1 364 974</w:t>
            </w:r>
          </w:p>
        </w:tc>
        <w:tc>
          <w:tcPr>
            <w:tcW w:w="1273" w:type="dxa"/>
            <w:tcBorders>
              <w:top w:val="nil"/>
              <w:left w:val="nil"/>
              <w:bottom w:val="nil"/>
              <w:right w:val="nil"/>
            </w:tcBorders>
            <w:shd w:val="clear" w:color="auto" w:fill="auto"/>
            <w:noWrap/>
            <w:vAlign w:val="center"/>
          </w:tcPr>
          <w:p w14:paraId="6DEF19B1"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116,8</w:t>
            </w:r>
          </w:p>
        </w:tc>
      </w:tr>
      <w:tr w:rsidR="00844102" w:rsidRPr="00D20EA7" w14:paraId="00D3DF42" w14:textId="77777777" w:rsidTr="00F53E08">
        <w:trPr>
          <w:trHeight w:val="283"/>
        </w:trPr>
        <w:tc>
          <w:tcPr>
            <w:tcW w:w="5387" w:type="dxa"/>
            <w:tcBorders>
              <w:right w:val="nil"/>
            </w:tcBorders>
            <w:shd w:val="clear" w:color="auto" w:fill="auto"/>
            <w:noWrap/>
            <w:vAlign w:val="center"/>
            <w:hideMark/>
          </w:tcPr>
          <w:p w14:paraId="51171210" w14:textId="77777777" w:rsidR="00844102" w:rsidRPr="00D20EA7" w:rsidRDefault="00844102" w:rsidP="00F53E08">
            <w:pPr>
              <w:spacing w:after="0" w:line="240" w:lineRule="auto"/>
              <w:ind w:right="-12"/>
              <w:jc w:val="left"/>
              <w:rPr>
                <w:rFonts w:eastAsia="Times New Roman" w:cs="Segoe UI"/>
                <w:sz w:val="18"/>
                <w:szCs w:val="18"/>
                <w:lang w:eastAsia="sk-SK"/>
              </w:rPr>
            </w:pPr>
            <w:r w:rsidRPr="00D20EA7">
              <w:rPr>
                <w:rFonts w:eastAsia="Times New Roman" w:cs="Segoe UI"/>
                <w:sz w:val="18"/>
                <w:szCs w:val="18"/>
                <w:lang w:eastAsia="sk-SK"/>
              </w:rPr>
              <w:t>Ministerstvo spravodlivosti SR</w:t>
            </w:r>
          </w:p>
        </w:tc>
        <w:tc>
          <w:tcPr>
            <w:tcW w:w="1134" w:type="dxa"/>
            <w:tcBorders>
              <w:top w:val="nil"/>
              <w:left w:val="nil"/>
              <w:bottom w:val="nil"/>
              <w:right w:val="nil"/>
            </w:tcBorders>
            <w:shd w:val="clear" w:color="auto" w:fill="auto"/>
            <w:noWrap/>
            <w:vAlign w:val="center"/>
          </w:tcPr>
          <w:p w14:paraId="7D1CC215"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659 563</w:t>
            </w:r>
          </w:p>
        </w:tc>
        <w:tc>
          <w:tcPr>
            <w:tcW w:w="1276" w:type="dxa"/>
            <w:tcBorders>
              <w:top w:val="nil"/>
              <w:left w:val="nil"/>
              <w:bottom w:val="nil"/>
              <w:right w:val="nil"/>
            </w:tcBorders>
            <w:shd w:val="clear" w:color="auto" w:fill="auto"/>
            <w:noWrap/>
            <w:vAlign w:val="center"/>
          </w:tcPr>
          <w:p w14:paraId="534E8A67"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747 634</w:t>
            </w:r>
          </w:p>
        </w:tc>
        <w:tc>
          <w:tcPr>
            <w:tcW w:w="1273" w:type="dxa"/>
            <w:tcBorders>
              <w:top w:val="nil"/>
              <w:left w:val="nil"/>
              <w:bottom w:val="nil"/>
              <w:right w:val="nil"/>
            </w:tcBorders>
            <w:shd w:val="clear" w:color="auto" w:fill="auto"/>
            <w:noWrap/>
            <w:vAlign w:val="center"/>
          </w:tcPr>
          <w:p w14:paraId="0720651E"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113,4</w:t>
            </w:r>
          </w:p>
        </w:tc>
      </w:tr>
      <w:tr w:rsidR="00844102" w:rsidRPr="00D20EA7" w14:paraId="01DCDE4D" w14:textId="77777777" w:rsidTr="00F53E08">
        <w:trPr>
          <w:trHeight w:val="283"/>
        </w:trPr>
        <w:tc>
          <w:tcPr>
            <w:tcW w:w="5387" w:type="dxa"/>
            <w:tcBorders>
              <w:right w:val="nil"/>
            </w:tcBorders>
            <w:shd w:val="clear" w:color="auto" w:fill="auto"/>
            <w:noWrap/>
            <w:vAlign w:val="center"/>
            <w:hideMark/>
          </w:tcPr>
          <w:p w14:paraId="5B2892A9"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financií SR</w:t>
            </w:r>
          </w:p>
        </w:tc>
        <w:tc>
          <w:tcPr>
            <w:tcW w:w="1134" w:type="dxa"/>
            <w:tcBorders>
              <w:top w:val="nil"/>
              <w:left w:val="nil"/>
              <w:bottom w:val="nil"/>
              <w:right w:val="nil"/>
            </w:tcBorders>
            <w:shd w:val="clear" w:color="auto" w:fill="auto"/>
            <w:noWrap/>
            <w:vAlign w:val="center"/>
          </w:tcPr>
          <w:p w14:paraId="3E8F3344"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684 324</w:t>
            </w:r>
          </w:p>
        </w:tc>
        <w:tc>
          <w:tcPr>
            <w:tcW w:w="1276" w:type="dxa"/>
            <w:tcBorders>
              <w:top w:val="nil"/>
              <w:left w:val="nil"/>
              <w:bottom w:val="nil"/>
              <w:right w:val="nil"/>
            </w:tcBorders>
            <w:shd w:val="clear" w:color="auto" w:fill="auto"/>
            <w:noWrap/>
            <w:vAlign w:val="center"/>
          </w:tcPr>
          <w:p w14:paraId="16AE7CCA"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654 337</w:t>
            </w:r>
          </w:p>
        </w:tc>
        <w:tc>
          <w:tcPr>
            <w:tcW w:w="1273" w:type="dxa"/>
            <w:tcBorders>
              <w:top w:val="nil"/>
              <w:left w:val="nil"/>
              <w:bottom w:val="nil"/>
              <w:right w:val="nil"/>
            </w:tcBorders>
            <w:shd w:val="clear" w:color="auto" w:fill="auto"/>
            <w:noWrap/>
            <w:vAlign w:val="center"/>
          </w:tcPr>
          <w:p w14:paraId="3EF616FE"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95,6</w:t>
            </w:r>
          </w:p>
        </w:tc>
      </w:tr>
      <w:tr w:rsidR="00844102" w:rsidRPr="00D20EA7" w14:paraId="2426E39E" w14:textId="77777777" w:rsidTr="00F53E08">
        <w:trPr>
          <w:trHeight w:val="283"/>
        </w:trPr>
        <w:tc>
          <w:tcPr>
            <w:tcW w:w="5387" w:type="dxa"/>
            <w:tcBorders>
              <w:right w:val="nil"/>
            </w:tcBorders>
            <w:shd w:val="clear" w:color="auto" w:fill="auto"/>
            <w:noWrap/>
            <w:vAlign w:val="center"/>
            <w:hideMark/>
          </w:tcPr>
          <w:p w14:paraId="1148E327"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investícií, reg. rozvoja a informatizácie SR</w:t>
            </w:r>
          </w:p>
        </w:tc>
        <w:tc>
          <w:tcPr>
            <w:tcW w:w="1134" w:type="dxa"/>
            <w:tcBorders>
              <w:top w:val="nil"/>
              <w:left w:val="nil"/>
              <w:bottom w:val="nil"/>
              <w:right w:val="nil"/>
            </w:tcBorders>
            <w:shd w:val="clear" w:color="auto" w:fill="auto"/>
            <w:noWrap/>
            <w:vAlign w:val="center"/>
          </w:tcPr>
          <w:p w14:paraId="343F04F8"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421 392</w:t>
            </w:r>
          </w:p>
        </w:tc>
        <w:tc>
          <w:tcPr>
            <w:tcW w:w="1276" w:type="dxa"/>
            <w:tcBorders>
              <w:top w:val="nil"/>
              <w:left w:val="nil"/>
              <w:bottom w:val="nil"/>
              <w:right w:val="nil"/>
            </w:tcBorders>
            <w:shd w:val="clear" w:color="auto" w:fill="auto"/>
            <w:noWrap/>
            <w:vAlign w:val="center"/>
          </w:tcPr>
          <w:p w14:paraId="70AE789B"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534 773</w:t>
            </w:r>
          </w:p>
        </w:tc>
        <w:tc>
          <w:tcPr>
            <w:tcW w:w="1273" w:type="dxa"/>
            <w:tcBorders>
              <w:top w:val="nil"/>
              <w:left w:val="nil"/>
              <w:bottom w:val="nil"/>
              <w:right w:val="nil"/>
            </w:tcBorders>
            <w:shd w:val="clear" w:color="auto" w:fill="auto"/>
            <w:noWrap/>
            <w:vAlign w:val="center"/>
          </w:tcPr>
          <w:p w14:paraId="7055BC54"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126,9</w:t>
            </w:r>
          </w:p>
        </w:tc>
      </w:tr>
      <w:tr w:rsidR="00844102" w:rsidRPr="00D20EA7" w14:paraId="23C96BF8" w14:textId="77777777" w:rsidTr="00F53E08">
        <w:trPr>
          <w:trHeight w:val="283"/>
        </w:trPr>
        <w:tc>
          <w:tcPr>
            <w:tcW w:w="5387" w:type="dxa"/>
            <w:tcBorders>
              <w:right w:val="nil"/>
            </w:tcBorders>
            <w:shd w:val="clear" w:color="auto" w:fill="auto"/>
            <w:noWrap/>
            <w:vAlign w:val="center"/>
            <w:hideMark/>
          </w:tcPr>
          <w:p w14:paraId="02F6FD0B"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kultúry SR</w:t>
            </w:r>
          </w:p>
        </w:tc>
        <w:tc>
          <w:tcPr>
            <w:tcW w:w="1134" w:type="dxa"/>
            <w:tcBorders>
              <w:top w:val="nil"/>
              <w:left w:val="nil"/>
              <w:bottom w:val="nil"/>
              <w:right w:val="nil"/>
            </w:tcBorders>
            <w:shd w:val="clear" w:color="auto" w:fill="auto"/>
            <w:noWrap/>
            <w:vAlign w:val="center"/>
          </w:tcPr>
          <w:p w14:paraId="58563DE6"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443 146</w:t>
            </w:r>
          </w:p>
        </w:tc>
        <w:tc>
          <w:tcPr>
            <w:tcW w:w="1276" w:type="dxa"/>
            <w:tcBorders>
              <w:top w:val="nil"/>
              <w:left w:val="nil"/>
              <w:bottom w:val="nil"/>
              <w:right w:val="nil"/>
            </w:tcBorders>
            <w:shd w:val="clear" w:color="auto" w:fill="auto"/>
            <w:noWrap/>
            <w:vAlign w:val="center"/>
          </w:tcPr>
          <w:p w14:paraId="7F919584"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448 220</w:t>
            </w:r>
          </w:p>
        </w:tc>
        <w:tc>
          <w:tcPr>
            <w:tcW w:w="1273" w:type="dxa"/>
            <w:tcBorders>
              <w:top w:val="nil"/>
              <w:left w:val="nil"/>
              <w:bottom w:val="nil"/>
              <w:right w:val="nil"/>
            </w:tcBorders>
            <w:shd w:val="clear" w:color="auto" w:fill="auto"/>
            <w:noWrap/>
            <w:vAlign w:val="center"/>
          </w:tcPr>
          <w:p w14:paraId="0F21EE8E"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101,1</w:t>
            </w:r>
          </w:p>
        </w:tc>
      </w:tr>
      <w:tr w:rsidR="00844102" w:rsidRPr="00D20EA7" w14:paraId="1D50D771" w14:textId="77777777" w:rsidTr="00F53E08">
        <w:trPr>
          <w:trHeight w:val="283"/>
        </w:trPr>
        <w:tc>
          <w:tcPr>
            <w:tcW w:w="5387" w:type="dxa"/>
            <w:tcBorders>
              <w:right w:val="nil"/>
            </w:tcBorders>
            <w:shd w:val="clear" w:color="auto" w:fill="auto"/>
            <w:noWrap/>
            <w:vAlign w:val="center"/>
            <w:hideMark/>
          </w:tcPr>
          <w:p w14:paraId="013FCD48"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životného prostredia SR</w:t>
            </w:r>
          </w:p>
        </w:tc>
        <w:tc>
          <w:tcPr>
            <w:tcW w:w="1134" w:type="dxa"/>
            <w:tcBorders>
              <w:top w:val="nil"/>
              <w:left w:val="nil"/>
              <w:bottom w:val="nil"/>
              <w:right w:val="nil"/>
            </w:tcBorders>
            <w:shd w:val="clear" w:color="auto" w:fill="auto"/>
            <w:noWrap/>
            <w:vAlign w:val="center"/>
          </w:tcPr>
          <w:p w14:paraId="07B301E0"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445 730</w:t>
            </w:r>
          </w:p>
        </w:tc>
        <w:tc>
          <w:tcPr>
            <w:tcW w:w="1276" w:type="dxa"/>
            <w:tcBorders>
              <w:top w:val="nil"/>
              <w:left w:val="nil"/>
              <w:bottom w:val="nil"/>
              <w:right w:val="nil"/>
            </w:tcBorders>
            <w:shd w:val="clear" w:color="auto" w:fill="auto"/>
            <w:noWrap/>
            <w:vAlign w:val="center"/>
          </w:tcPr>
          <w:p w14:paraId="795BA31F"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296 611</w:t>
            </w:r>
          </w:p>
        </w:tc>
        <w:tc>
          <w:tcPr>
            <w:tcW w:w="1273" w:type="dxa"/>
            <w:tcBorders>
              <w:top w:val="nil"/>
              <w:left w:val="nil"/>
              <w:bottom w:val="nil"/>
              <w:right w:val="nil"/>
            </w:tcBorders>
            <w:shd w:val="clear" w:color="auto" w:fill="auto"/>
            <w:noWrap/>
            <w:vAlign w:val="center"/>
          </w:tcPr>
          <w:p w14:paraId="4B8DE32B"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66,5</w:t>
            </w:r>
          </w:p>
        </w:tc>
      </w:tr>
      <w:tr w:rsidR="00844102" w:rsidRPr="00D20EA7" w14:paraId="21FBD221" w14:textId="77777777" w:rsidTr="00F53E08">
        <w:trPr>
          <w:trHeight w:val="283"/>
        </w:trPr>
        <w:tc>
          <w:tcPr>
            <w:tcW w:w="5387" w:type="dxa"/>
            <w:tcBorders>
              <w:right w:val="nil"/>
            </w:tcBorders>
            <w:shd w:val="clear" w:color="auto" w:fill="auto"/>
            <w:noWrap/>
            <w:vAlign w:val="center"/>
            <w:hideMark/>
          </w:tcPr>
          <w:p w14:paraId="4165D654"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cestovného ruchu a športu SR</w:t>
            </w:r>
          </w:p>
        </w:tc>
        <w:tc>
          <w:tcPr>
            <w:tcW w:w="1134" w:type="dxa"/>
            <w:tcBorders>
              <w:top w:val="nil"/>
              <w:left w:val="nil"/>
              <w:bottom w:val="nil"/>
              <w:right w:val="nil"/>
            </w:tcBorders>
            <w:shd w:val="clear" w:color="auto" w:fill="auto"/>
            <w:noWrap/>
            <w:vAlign w:val="center"/>
          </w:tcPr>
          <w:p w14:paraId="7ADC2AE8"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0</w:t>
            </w:r>
          </w:p>
        </w:tc>
        <w:tc>
          <w:tcPr>
            <w:tcW w:w="1276" w:type="dxa"/>
            <w:tcBorders>
              <w:top w:val="nil"/>
              <w:left w:val="nil"/>
              <w:bottom w:val="nil"/>
              <w:right w:val="nil"/>
            </w:tcBorders>
            <w:shd w:val="clear" w:color="auto" w:fill="auto"/>
            <w:noWrap/>
            <w:vAlign w:val="center"/>
          </w:tcPr>
          <w:p w14:paraId="6B66F0AD"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200 240</w:t>
            </w:r>
          </w:p>
        </w:tc>
        <w:tc>
          <w:tcPr>
            <w:tcW w:w="1273" w:type="dxa"/>
            <w:tcBorders>
              <w:top w:val="nil"/>
              <w:left w:val="nil"/>
              <w:bottom w:val="nil"/>
              <w:right w:val="nil"/>
            </w:tcBorders>
            <w:shd w:val="clear" w:color="auto" w:fill="auto"/>
            <w:noWrap/>
            <w:vAlign w:val="center"/>
          </w:tcPr>
          <w:p w14:paraId="672C1A5A"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w:t>
            </w:r>
          </w:p>
        </w:tc>
      </w:tr>
      <w:tr w:rsidR="00844102" w:rsidRPr="00D20EA7" w14:paraId="03F8ABDD" w14:textId="77777777" w:rsidTr="00F53E08">
        <w:trPr>
          <w:trHeight w:val="283"/>
        </w:trPr>
        <w:tc>
          <w:tcPr>
            <w:tcW w:w="5387" w:type="dxa"/>
            <w:tcBorders>
              <w:right w:val="nil"/>
            </w:tcBorders>
            <w:shd w:val="clear" w:color="auto" w:fill="auto"/>
            <w:noWrap/>
            <w:vAlign w:val="center"/>
            <w:hideMark/>
          </w:tcPr>
          <w:p w14:paraId="54B8F0E3"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Ministerstvo zahraničných vecí a európskych zálež. SR</w:t>
            </w:r>
          </w:p>
        </w:tc>
        <w:tc>
          <w:tcPr>
            <w:tcW w:w="1134" w:type="dxa"/>
            <w:tcBorders>
              <w:top w:val="nil"/>
              <w:left w:val="nil"/>
              <w:bottom w:val="nil"/>
              <w:right w:val="nil"/>
            </w:tcBorders>
            <w:shd w:val="clear" w:color="auto" w:fill="auto"/>
            <w:noWrap/>
            <w:vAlign w:val="center"/>
          </w:tcPr>
          <w:p w14:paraId="55FE1772"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177 339</w:t>
            </w:r>
          </w:p>
        </w:tc>
        <w:tc>
          <w:tcPr>
            <w:tcW w:w="1276" w:type="dxa"/>
            <w:tcBorders>
              <w:top w:val="nil"/>
              <w:left w:val="nil"/>
              <w:bottom w:val="nil"/>
              <w:right w:val="nil"/>
            </w:tcBorders>
            <w:shd w:val="clear" w:color="auto" w:fill="auto"/>
            <w:noWrap/>
            <w:vAlign w:val="center"/>
          </w:tcPr>
          <w:p w14:paraId="0FD6483C"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188 428</w:t>
            </w:r>
          </w:p>
        </w:tc>
        <w:tc>
          <w:tcPr>
            <w:tcW w:w="1273" w:type="dxa"/>
            <w:tcBorders>
              <w:top w:val="nil"/>
              <w:left w:val="nil"/>
              <w:bottom w:val="nil"/>
              <w:right w:val="nil"/>
            </w:tcBorders>
            <w:shd w:val="clear" w:color="auto" w:fill="auto"/>
            <w:noWrap/>
            <w:vAlign w:val="center"/>
          </w:tcPr>
          <w:p w14:paraId="2A9DD4C7"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106,3</w:t>
            </w:r>
          </w:p>
        </w:tc>
      </w:tr>
      <w:tr w:rsidR="00844102" w:rsidRPr="00D20EA7" w14:paraId="664716D0" w14:textId="77777777" w:rsidTr="00F53E08">
        <w:trPr>
          <w:trHeight w:val="283"/>
        </w:trPr>
        <w:tc>
          <w:tcPr>
            <w:tcW w:w="5387" w:type="dxa"/>
            <w:tcBorders>
              <w:right w:val="nil"/>
            </w:tcBorders>
            <w:shd w:val="clear" w:color="auto" w:fill="auto"/>
            <w:noWrap/>
            <w:vAlign w:val="center"/>
            <w:hideMark/>
          </w:tcPr>
          <w:p w14:paraId="75E60164"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Generálna prokuratúra SR</w:t>
            </w:r>
          </w:p>
        </w:tc>
        <w:tc>
          <w:tcPr>
            <w:tcW w:w="1134" w:type="dxa"/>
            <w:tcBorders>
              <w:top w:val="nil"/>
              <w:left w:val="nil"/>
              <w:bottom w:val="nil"/>
              <w:right w:val="nil"/>
            </w:tcBorders>
            <w:shd w:val="clear" w:color="auto" w:fill="auto"/>
            <w:noWrap/>
            <w:vAlign w:val="center"/>
          </w:tcPr>
          <w:p w14:paraId="13D05DCE"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143 303</w:t>
            </w:r>
          </w:p>
        </w:tc>
        <w:tc>
          <w:tcPr>
            <w:tcW w:w="1276" w:type="dxa"/>
            <w:tcBorders>
              <w:top w:val="nil"/>
              <w:left w:val="nil"/>
              <w:bottom w:val="nil"/>
              <w:right w:val="nil"/>
            </w:tcBorders>
            <w:shd w:val="clear" w:color="auto" w:fill="auto"/>
            <w:noWrap/>
            <w:vAlign w:val="center"/>
          </w:tcPr>
          <w:p w14:paraId="3BAB60B5"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152 940</w:t>
            </w:r>
          </w:p>
        </w:tc>
        <w:tc>
          <w:tcPr>
            <w:tcW w:w="1273" w:type="dxa"/>
            <w:tcBorders>
              <w:top w:val="nil"/>
              <w:left w:val="nil"/>
              <w:bottom w:val="nil"/>
              <w:right w:val="nil"/>
            </w:tcBorders>
            <w:shd w:val="clear" w:color="auto" w:fill="auto"/>
            <w:noWrap/>
            <w:vAlign w:val="center"/>
          </w:tcPr>
          <w:p w14:paraId="38A9D46C"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106,7</w:t>
            </w:r>
          </w:p>
        </w:tc>
      </w:tr>
      <w:tr w:rsidR="00844102" w:rsidRPr="00D20EA7" w14:paraId="3494FD6F" w14:textId="77777777" w:rsidTr="00F53E08">
        <w:trPr>
          <w:trHeight w:val="283"/>
        </w:trPr>
        <w:tc>
          <w:tcPr>
            <w:tcW w:w="5387" w:type="dxa"/>
            <w:tcBorders>
              <w:right w:val="nil"/>
            </w:tcBorders>
            <w:shd w:val="clear" w:color="auto" w:fill="auto"/>
            <w:noWrap/>
            <w:vAlign w:val="center"/>
            <w:hideMark/>
          </w:tcPr>
          <w:p w14:paraId="504312C3" w14:textId="77777777" w:rsidR="00844102" w:rsidRPr="00D20EA7" w:rsidRDefault="00844102" w:rsidP="00F53E08">
            <w:pPr>
              <w:spacing w:after="0" w:line="240" w:lineRule="auto"/>
              <w:ind w:right="-72"/>
              <w:jc w:val="left"/>
              <w:rPr>
                <w:rFonts w:eastAsia="Times New Roman" w:cs="Segoe UI"/>
                <w:sz w:val="18"/>
                <w:szCs w:val="18"/>
                <w:lang w:eastAsia="sk-SK"/>
              </w:rPr>
            </w:pPr>
            <w:r w:rsidRPr="00D20EA7">
              <w:rPr>
                <w:rFonts w:eastAsia="Times New Roman" w:cs="Segoe UI"/>
                <w:sz w:val="18"/>
                <w:szCs w:val="18"/>
                <w:lang w:eastAsia="sk-SK"/>
              </w:rPr>
              <w:t>Slovenská akadémia vied</w:t>
            </w:r>
          </w:p>
        </w:tc>
        <w:tc>
          <w:tcPr>
            <w:tcW w:w="1134" w:type="dxa"/>
            <w:tcBorders>
              <w:top w:val="nil"/>
              <w:left w:val="nil"/>
              <w:bottom w:val="nil"/>
              <w:right w:val="nil"/>
            </w:tcBorders>
            <w:shd w:val="clear" w:color="auto" w:fill="auto"/>
            <w:noWrap/>
            <w:vAlign w:val="center"/>
          </w:tcPr>
          <w:p w14:paraId="38339D94"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125 655</w:t>
            </w:r>
          </w:p>
        </w:tc>
        <w:tc>
          <w:tcPr>
            <w:tcW w:w="1276" w:type="dxa"/>
            <w:tcBorders>
              <w:top w:val="nil"/>
              <w:left w:val="nil"/>
              <w:bottom w:val="nil"/>
              <w:right w:val="nil"/>
            </w:tcBorders>
            <w:shd w:val="clear" w:color="auto" w:fill="auto"/>
            <w:noWrap/>
            <w:vAlign w:val="center"/>
          </w:tcPr>
          <w:p w14:paraId="2F310F55"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135 554</w:t>
            </w:r>
          </w:p>
        </w:tc>
        <w:tc>
          <w:tcPr>
            <w:tcW w:w="1273" w:type="dxa"/>
            <w:tcBorders>
              <w:top w:val="nil"/>
              <w:left w:val="nil"/>
              <w:bottom w:val="nil"/>
              <w:right w:val="nil"/>
            </w:tcBorders>
            <w:shd w:val="clear" w:color="auto" w:fill="auto"/>
            <w:noWrap/>
            <w:vAlign w:val="center"/>
          </w:tcPr>
          <w:p w14:paraId="0825FE2F"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107,9</w:t>
            </w:r>
          </w:p>
        </w:tc>
      </w:tr>
      <w:tr w:rsidR="00844102" w:rsidRPr="00D20EA7" w14:paraId="018BE36F" w14:textId="77777777" w:rsidTr="00F53E08">
        <w:trPr>
          <w:trHeight w:val="283"/>
        </w:trPr>
        <w:tc>
          <w:tcPr>
            <w:tcW w:w="5387" w:type="dxa"/>
            <w:tcBorders>
              <w:right w:val="nil"/>
            </w:tcBorders>
            <w:shd w:val="clear" w:color="auto" w:fill="auto"/>
            <w:noWrap/>
            <w:vAlign w:val="center"/>
            <w:hideMark/>
          </w:tcPr>
          <w:p w14:paraId="52CB532E"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Úrad vlády SR</w:t>
            </w:r>
          </w:p>
        </w:tc>
        <w:tc>
          <w:tcPr>
            <w:tcW w:w="1134" w:type="dxa"/>
            <w:tcBorders>
              <w:top w:val="nil"/>
              <w:left w:val="nil"/>
              <w:bottom w:val="nil"/>
              <w:right w:val="nil"/>
            </w:tcBorders>
            <w:shd w:val="clear" w:color="auto" w:fill="auto"/>
            <w:noWrap/>
            <w:vAlign w:val="center"/>
          </w:tcPr>
          <w:p w14:paraId="5D42ECF7"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208 194</w:t>
            </w:r>
          </w:p>
        </w:tc>
        <w:tc>
          <w:tcPr>
            <w:tcW w:w="1276" w:type="dxa"/>
            <w:tcBorders>
              <w:top w:val="nil"/>
              <w:left w:val="nil"/>
              <w:bottom w:val="nil"/>
              <w:right w:val="nil"/>
            </w:tcBorders>
            <w:shd w:val="clear" w:color="auto" w:fill="auto"/>
            <w:noWrap/>
            <w:vAlign w:val="center"/>
          </w:tcPr>
          <w:p w14:paraId="6B89B717"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126 825</w:t>
            </w:r>
          </w:p>
        </w:tc>
        <w:tc>
          <w:tcPr>
            <w:tcW w:w="1273" w:type="dxa"/>
            <w:tcBorders>
              <w:top w:val="nil"/>
              <w:left w:val="nil"/>
              <w:bottom w:val="nil"/>
              <w:right w:val="nil"/>
            </w:tcBorders>
            <w:shd w:val="clear" w:color="auto" w:fill="auto"/>
            <w:noWrap/>
            <w:vAlign w:val="center"/>
          </w:tcPr>
          <w:p w14:paraId="1D41D4C2"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60,9</w:t>
            </w:r>
          </w:p>
        </w:tc>
      </w:tr>
      <w:tr w:rsidR="00844102" w:rsidRPr="00D20EA7" w14:paraId="18601524" w14:textId="77777777" w:rsidTr="00F53E08">
        <w:trPr>
          <w:trHeight w:val="283"/>
        </w:trPr>
        <w:tc>
          <w:tcPr>
            <w:tcW w:w="5387" w:type="dxa"/>
            <w:tcBorders>
              <w:right w:val="nil"/>
            </w:tcBorders>
            <w:shd w:val="clear" w:color="auto" w:fill="auto"/>
            <w:noWrap/>
            <w:vAlign w:val="center"/>
            <w:hideMark/>
          </w:tcPr>
          <w:p w14:paraId="6EA0BB57"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Slovenská informačná služba</w:t>
            </w:r>
          </w:p>
        </w:tc>
        <w:tc>
          <w:tcPr>
            <w:tcW w:w="1134" w:type="dxa"/>
            <w:tcBorders>
              <w:top w:val="nil"/>
              <w:left w:val="nil"/>
              <w:bottom w:val="nil"/>
              <w:right w:val="nil"/>
            </w:tcBorders>
            <w:shd w:val="clear" w:color="auto" w:fill="auto"/>
            <w:noWrap/>
            <w:vAlign w:val="center"/>
          </w:tcPr>
          <w:p w14:paraId="273FE448"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84 087</w:t>
            </w:r>
          </w:p>
        </w:tc>
        <w:tc>
          <w:tcPr>
            <w:tcW w:w="1276" w:type="dxa"/>
            <w:tcBorders>
              <w:top w:val="nil"/>
              <w:left w:val="nil"/>
              <w:bottom w:val="nil"/>
              <w:right w:val="nil"/>
            </w:tcBorders>
            <w:shd w:val="clear" w:color="auto" w:fill="auto"/>
            <w:noWrap/>
            <w:vAlign w:val="center"/>
          </w:tcPr>
          <w:p w14:paraId="59255DEB"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101 487</w:t>
            </w:r>
          </w:p>
        </w:tc>
        <w:tc>
          <w:tcPr>
            <w:tcW w:w="1273" w:type="dxa"/>
            <w:tcBorders>
              <w:top w:val="nil"/>
              <w:left w:val="nil"/>
              <w:bottom w:val="nil"/>
              <w:right w:val="nil"/>
            </w:tcBorders>
            <w:shd w:val="clear" w:color="auto" w:fill="auto"/>
            <w:noWrap/>
            <w:vAlign w:val="center"/>
          </w:tcPr>
          <w:p w14:paraId="0990F051"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120,7</w:t>
            </w:r>
          </w:p>
        </w:tc>
      </w:tr>
      <w:tr w:rsidR="00844102" w:rsidRPr="00D20EA7" w14:paraId="073BA516" w14:textId="77777777" w:rsidTr="00F53E08">
        <w:trPr>
          <w:trHeight w:val="283"/>
        </w:trPr>
        <w:tc>
          <w:tcPr>
            <w:tcW w:w="5387" w:type="dxa"/>
            <w:tcBorders>
              <w:right w:val="nil"/>
            </w:tcBorders>
            <w:shd w:val="clear" w:color="auto" w:fill="auto"/>
            <w:noWrap/>
            <w:vAlign w:val="center"/>
            <w:hideMark/>
          </w:tcPr>
          <w:p w14:paraId="3917C505"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Kancelária Národnej rady SR</w:t>
            </w:r>
          </w:p>
        </w:tc>
        <w:tc>
          <w:tcPr>
            <w:tcW w:w="1134" w:type="dxa"/>
            <w:tcBorders>
              <w:top w:val="nil"/>
              <w:left w:val="nil"/>
              <w:bottom w:val="nil"/>
              <w:right w:val="nil"/>
            </w:tcBorders>
            <w:shd w:val="clear" w:color="auto" w:fill="auto"/>
            <w:noWrap/>
            <w:vAlign w:val="center"/>
          </w:tcPr>
          <w:p w14:paraId="5FEE1A78"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48 393</w:t>
            </w:r>
          </w:p>
        </w:tc>
        <w:tc>
          <w:tcPr>
            <w:tcW w:w="1276" w:type="dxa"/>
            <w:tcBorders>
              <w:top w:val="nil"/>
              <w:left w:val="nil"/>
              <w:bottom w:val="nil"/>
              <w:right w:val="nil"/>
            </w:tcBorders>
            <w:shd w:val="clear" w:color="auto" w:fill="auto"/>
            <w:noWrap/>
            <w:vAlign w:val="center"/>
          </w:tcPr>
          <w:p w14:paraId="4C7A5CA3"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49 260</w:t>
            </w:r>
          </w:p>
        </w:tc>
        <w:tc>
          <w:tcPr>
            <w:tcW w:w="1273" w:type="dxa"/>
            <w:tcBorders>
              <w:top w:val="nil"/>
              <w:left w:val="nil"/>
              <w:bottom w:val="nil"/>
              <w:right w:val="nil"/>
            </w:tcBorders>
            <w:shd w:val="clear" w:color="auto" w:fill="auto"/>
            <w:noWrap/>
            <w:vAlign w:val="center"/>
          </w:tcPr>
          <w:p w14:paraId="0D40BA66"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101,8</w:t>
            </w:r>
          </w:p>
        </w:tc>
      </w:tr>
      <w:tr w:rsidR="00844102" w:rsidRPr="00D20EA7" w14:paraId="54D773C0" w14:textId="77777777" w:rsidTr="00F53E08">
        <w:trPr>
          <w:trHeight w:val="283"/>
        </w:trPr>
        <w:tc>
          <w:tcPr>
            <w:tcW w:w="5387" w:type="dxa"/>
            <w:tcBorders>
              <w:right w:val="nil"/>
            </w:tcBorders>
            <w:shd w:val="clear" w:color="auto" w:fill="auto"/>
            <w:noWrap/>
            <w:vAlign w:val="center"/>
            <w:hideMark/>
          </w:tcPr>
          <w:p w14:paraId="16390227"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Štatistický úrad SR</w:t>
            </w:r>
          </w:p>
        </w:tc>
        <w:tc>
          <w:tcPr>
            <w:tcW w:w="1134" w:type="dxa"/>
            <w:tcBorders>
              <w:top w:val="nil"/>
              <w:left w:val="nil"/>
              <w:bottom w:val="nil"/>
              <w:right w:val="nil"/>
            </w:tcBorders>
            <w:shd w:val="clear" w:color="auto" w:fill="auto"/>
            <w:noWrap/>
            <w:vAlign w:val="center"/>
          </w:tcPr>
          <w:p w14:paraId="24145EBF"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43 045</w:t>
            </w:r>
          </w:p>
        </w:tc>
        <w:tc>
          <w:tcPr>
            <w:tcW w:w="1276" w:type="dxa"/>
            <w:tcBorders>
              <w:top w:val="nil"/>
              <w:left w:val="nil"/>
              <w:bottom w:val="nil"/>
              <w:right w:val="nil"/>
            </w:tcBorders>
            <w:shd w:val="clear" w:color="auto" w:fill="auto"/>
            <w:noWrap/>
            <w:vAlign w:val="center"/>
          </w:tcPr>
          <w:p w14:paraId="3C83914A"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46 080</w:t>
            </w:r>
          </w:p>
        </w:tc>
        <w:tc>
          <w:tcPr>
            <w:tcW w:w="1273" w:type="dxa"/>
            <w:tcBorders>
              <w:top w:val="nil"/>
              <w:left w:val="nil"/>
              <w:bottom w:val="nil"/>
              <w:right w:val="nil"/>
            </w:tcBorders>
            <w:shd w:val="clear" w:color="auto" w:fill="auto"/>
            <w:noWrap/>
            <w:vAlign w:val="center"/>
          </w:tcPr>
          <w:p w14:paraId="1E699DCD"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107,1</w:t>
            </w:r>
          </w:p>
        </w:tc>
      </w:tr>
      <w:tr w:rsidR="00844102" w:rsidRPr="00D20EA7" w14:paraId="4C7B7F77" w14:textId="77777777" w:rsidTr="00F53E08">
        <w:trPr>
          <w:trHeight w:val="283"/>
        </w:trPr>
        <w:tc>
          <w:tcPr>
            <w:tcW w:w="5387" w:type="dxa"/>
            <w:tcBorders>
              <w:right w:val="nil"/>
            </w:tcBorders>
            <w:shd w:val="clear" w:color="auto" w:fill="auto"/>
            <w:noWrap/>
            <w:vAlign w:val="center"/>
            <w:hideMark/>
          </w:tcPr>
          <w:p w14:paraId="68806204"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Úrad pre územné plánovanie a výstavbu SR</w:t>
            </w:r>
          </w:p>
        </w:tc>
        <w:tc>
          <w:tcPr>
            <w:tcW w:w="1134" w:type="dxa"/>
            <w:tcBorders>
              <w:top w:val="nil"/>
              <w:left w:val="nil"/>
              <w:bottom w:val="nil"/>
              <w:right w:val="nil"/>
            </w:tcBorders>
            <w:shd w:val="clear" w:color="auto" w:fill="auto"/>
            <w:noWrap/>
            <w:vAlign w:val="center"/>
          </w:tcPr>
          <w:p w14:paraId="203D286B"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61 478</w:t>
            </w:r>
          </w:p>
        </w:tc>
        <w:tc>
          <w:tcPr>
            <w:tcW w:w="1276" w:type="dxa"/>
            <w:tcBorders>
              <w:top w:val="nil"/>
              <w:left w:val="nil"/>
              <w:bottom w:val="nil"/>
              <w:right w:val="nil"/>
            </w:tcBorders>
            <w:shd w:val="clear" w:color="auto" w:fill="auto"/>
            <w:noWrap/>
            <w:vAlign w:val="center"/>
          </w:tcPr>
          <w:p w14:paraId="6544591A"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38 878</w:t>
            </w:r>
          </w:p>
        </w:tc>
        <w:tc>
          <w:tcPr>
            <w:tcW w:w="1273" w:type="dxa"/>
            <w:tcBorders>
              <w:top w:val="nil"/>
              <w:left w:val="nil"/>
              <w:bottom w:val="nil"/>
              <w:right w:val="nil"/>
            </w:tcBorders>
            <w:shd w:val="clear" w:color="auto" w:fill="auto"/>
            <w:noWrap/>
            <w:vAlign w:val="center"/>
          </w:tcPr>
          <w:p w14:paraId="0A1B182F"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63,2</w:t>
            </w:r>
          </w:p>
        </w:tc>
      </w:tr>
      <w:tr w:rsidR="00844102" w:rsidRPr="00D20EA7" w14:paraId="5F1769CA" w14:textId="77777777" w:rsidTr="00F53E08">
        <w:trPr>
          <w:trHeight w:val="283"/>
        </w:trPr>
        <w:tc>
          <w:tcPr>
            <w:tcW w:w="5387" w:type="dxa"/>
            <w:tcBorders>
              <w:right w:val="nil"/>
            </w:tcBorders>
            <w:shd w:val="clear" w:color="auto" w:fill="auto"/>
            <w:noWrap/>
            <w:vAlign w:val="center"/>
            <w:hideMark/>
          </w:tcPr>
          <w:p w14:paraId="38D5E181"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Úrad geodézie, kartografie a katastra SR</w:t>
            </w:r>
          </w:p>
        </w:tc>
        <w:tc>
          <w:tcPr>
            <w:tcW w:w="1134" w:type="dxa"/>
            <w:tcBorders>
              <w:top w:val="nil"/>
              <w:left w:val="nil"/>
              <w:bottom w:val="nil"/>
              <w:right w:val="nil"/>
            </w:tcBorders>
            <w:shd w:val="clear" w:color="auto" w:fill="auto"/>
            <w:noWrap/>
            <w:vAlign w:val="center"/>
          </w:tcPr>
          <w:p w14:paraId="0038F393"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21 058</w:t>
            </w:r>
          </w:p>
        </w:tc>
        <w:tc>
          <w:tcPr>
            <w:tcW w:w="1276" w:type="dxa"/>
            <w:tcBorders>
              <w:top w:val="nil"/>
              <w:left w:val="nil"/>
              <w:bottom w:val="nil"/>
              <w:right w:val="nil"/>
            </w:tcBorders>
            <w:shd w:val="clear" w:color="auto" w:fill="auto"/>
            <w:noWrap/>
            <w:vAlign w:val="center"/>
          </w:tcPr>
          <w:p w14:paraId="23E4FC7C"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22 287</w:t>
            </w:r>
          </w:p>
        </w:tc>
        <w:tc>
          <w:tcPr>
            <w:tcW w:w="1273" w:type="dxa"/>
            <w:tcBorders>
              <w:top w:val="nil"/>
              <w:left w:val="nil"/>
              <w:bottom w:val="nil"/>
              <w:right w:val="nil"/>
            </w:tcBorders>
            <w:shd w:val="clear" w:color="auto" w:fill="auto"/>
            <w:noWrap/>
            <w:vAlign w:val="center"/>
          </w:tcPr>
          <w:p w14:paraId="22B6EFBA"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105,8</w:t>
            </w:r>
          </w:p>
        </w:tc>
      </w:tr>
      <w:tr w:rsidR="00844102" w:rsidRPr="00D20EA7" w14:paraId="21174F70" w14:textId="77777777" w:rsidTr="00F53E08">
        <w:trPr>
          <w:trHeight w:val="283"/>
        </w:trPr>
        <w:tc>
          <w:tcPr>
            <w:tcW w:w="5387" w:type="dxa"/>
            <w:tcBorders>
              <w:right w:val="nil"/>
            </w:tcBorders>
            <w:shd w:val="clear" w:color="auto" w:fill="auto"/>
            <w:noWrap/>
            <w:vAlign w:val="center"/>
            <w:hideMark/>
          </w:tcPr>
          <w:p w14:paraId="20426591"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Národný bezpečnostný úrad</w:t>
            </w:r>
          </w:p>
        </w:tc>
        <w:tc>
          <w:tcPr>
            <w:tcW w:w="1134" w:type="dxa"/>
            <w:tcBorders>
              <w:top w:val="nil"/>
              <w:left w:val="nil"/>
              <w:bottom w:val="nil"/>
              <w:right w:val="nil"/>
            </w:tcBorders>
            <w:shd w:val="clear" w:color="auto" w:fill="auto"/>
            <w:noWrap/>
            <w:vAlign w:val="center"/>
          </w:tcPr>
          <w:p w14:paraId="2E3F36D5"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15 882</w:t>
            </w:r>
          </w:p>
        </w:tc>
        <w:tc>
          <w:tcPr>
            <w:tcW w:w="1276" w:type="dxa"/>
            <w:tcBorders>
              <w:top w:val="nil"/>
              <w:left w:val="nil"/>
              <w:bottom w:val="nil"/>
              <w:right w:val="nil"/>
            </w:tcBorders>
            <w:shd w:val="clear" w:color="auto" w:fill="auto"/>
            <w:noWrap/>
            <w:vAlign w:val="center"/>
          </w:tcPr>
          <w:p w14:paraId="4A2743F9"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18 732</w:t>
            </w:r>
          </w:p>
        </w:tc>
        <w:tc>
          <w:tcPr>
            <w:tcW w:w="1273" w:type="dxa"/>
            <w:tcBorders>
              <w:top w:val="nil"/>
              <w:left w:val="nil"/>
              <w:bottom w:val="nil"/>
              <w:right w:val="nil"/>
            </w:tcBorders>
            <w:shd w:val="clear" w:color="auto" w:fill="auto"/>
            <w:noWrap/>
            <w:vAlign w:val="center"/>
          </w:tcPr>
          <w:p w14:paraId="5F6782F1"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117,9</w:t>
            </w:r>
          </w:p>
        </w:tc>
      </w:tr>
      <w:tr w:rsidR="00844102" w:rsidRPr="00D20EA7" w14:paraId="6643CBEF" w14:textId="77777777" w:rsidTr="00F53E08">
        <w:trPr>
          <w:trHeight w:val="283"/>
        </w:trPr>
        <w:tc>
          <w:tcPr>
            <w:tcW w:w="5387" w:type="dxa"/>
            <w:tcBorders>
              <w:right w:val="nil"/>
            </w:tcBorders>
            <w:shd w:val="clear" w:color="auto" w:fill="auto"/>
            <w:noWrap/>
            <w:vAlign w:val="center"/>
            <w:hideMark/>
          </w:tcPr>
          <w:p w14:paraId="164F4725"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Úrad pre verejné obstarávanie</w:t>
            </w:r>
          </w:p>
        </w:tc>
        <w:tc>
          <w:tcPr>
            <w:tcW w:w="1134" w:type="dxa"/>
            <w:tcBorders>
              <w:top w:val="nil"/>
              <w:left w:val="nil"/>
              <w:bottom w:val="nil"/>
              <w:right w:val="nil"/>
            </w:tcBorders>
            <w:shd w:val="clear" w:color="auto" w:fill="auto"/>
            <w:noWrap/>
            <w:vAlign w:val="center"/>
          </w:tcPr>
          <w:p w14:paraId="7A69068B"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17 292</w:t>
            </w:r>
          </w:p>
        </w:tc>
        <w:tc>
          <w:tcPr>
            <w:tcW w:w="1276" w:type="dxa"/>
            <w:tcBorders>
              <w:top w:val="nil"/>
              <w:left w:val="nil"/>
              <w:bottom w:val="nil"/>
              <w:right w:val="nil"/>
            </w:tcBorders>
            <w:shd w:val="clear" w:color="auto" w:fill="auto"/>
            <w:noWrap/>
            <w:vAlign w:val="center"/>
          </w:tcPr>
          <w:p w14:paraId="2A2CF3DD"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17 841</w:t>
            </w:r>
          </w:p>
        </w:tc>
        <w:tc>
          <w:tcPr>
            <w:tcW w:w="1273" w:type="dxa"/>
            <w:tcBorders>
              <w:top w:val="nil"/>
              <w:left w:val="nil"/>
              <w:bottom w:val="nil"/>
              <w:right w:val="nil"/>
            </w:tcBorders>
            <w:shd w:val="clear" w:color="auto" w:fill="auto"/>
            <w:noWrap/>
            <w:vAlign w:val="center"/>
          </w:tcPr>
          <w:p w14:paraId="19943862"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103,2</w:t>
            </w:r>
          </w:p>
        </w:tc>
      </w:tr>
      <w:tr w:rsidR="00844102" w:rsidRPr="00D20EA7" w14:paraId="24EBA479" w14:textId="77777777" w:rsidTr="00F53E08">
        <w:trPr>
          <w:trHeight w:val="283"/>
        </w:trPr>
        <w:tc>
          <w:tcPr>
            <w:tcW w:w="5387" w:type="dxa"/>
            <w:tcBorders>
              <w:right w:val="nil"/>
            </w:tcBorders>
            <w:shd w:val="clear" w:color="auto" w:fill="auto"/>
            <w:noWrap/>
            <w:vAlign w:val="center"/>
            <w:hideMark/>
          </w:tcPr>
          <w:p w14:paraId="51F382D7"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Kancelária Najvyššieho súdu SR</w:t>
            </w:r>
          </w:p>
        </w:tc>
        <w:tc>
          <w:tcPr>
            <w:tcW w:w="1134" w:type="dxa"/>
            <w:tcBorders>
              <w:top w:val="nil"/>
              <w:left w:val="nil"/>
              <w:bottom w:val="nil"/>
              <w:right w:val="nil"/>
            </w:tcBorders>
            <w:shd w:val="clear" w:color="auto" w:fill="auto"/>
            <w:noWrap/>
            <w:vAlign w:val="center"/>
          </w:tcPr>
          <w:p w14:paraId="05EF44FB"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16 379</w:t>
            </w:r>
          </w:p>
        </w:tc>
        <w:tc>
          <w:tcPr>
            <w:tcW w:w="1276" w:type="dxa"/>
            <w:tcBorders>
              <w:top w:val="nil"/>
              <w:left w:val="nil"/>
              <w:bottom w:val="nil"/>
              <w:right w:val="nil"/>
            </w:tcBorders>
            <w:shd w:val="clear" w:color="auto" w:fill="auto"/>
            <w:noWrap/>
            <w:vAlign w:val="center"/>
          </w:tcPr>
          <w:p w14:paraId="4736009D"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17 174</w:t>
            </w:r>
          </w:p>
        </w:tc>
        <w:tc>
          <w:tcPr>
            <w:tcW w:w="1273" w:type="dxa"/>
            <w:tcBorders>
              <w:top w:val="nil"/>
              <w:left w:val="nil"/>
              <w:bottom w:val="nil"/>
              <w:right w:val="nil"/>
            </w:tcBorders>
            <w:shd w:val="clear" w:color="auto" w:fill="auto"/>
            <w:noWrap/>
            <w:vAlign w:val="center"/>
          </w:tcPr>
          <w:p w14:paraId="7DC2600C"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104,9</w:t>
            </w:r>
          </w:p>
        </w:tc>
      </w:tr>
      <w:tr w:rsidR="00844102" w:rsidRPr="00D20EA7" w14:paraId="502DE792" w14:textId="77777777" w:rsidTr="00F53E08">
        <w:trPr>
          <w:trHeight w:val="283"/>
        </w:trPr>
        <w:tc>
          <w:tcPr>
            <w:tcW w:w="5387" w:type="dxa"/>
            <w:tcBorders>
              <w:right w:val="nil"/>
            </w:tcBorders>
            <w:shd w:val="clear" w:color="auto" w:fill="auto"/>
            <w:noWrap/>
            <w:vAlign w:val="center"/>
            <w:hideMark/>
          </w:tcPr>
          <w:p w14:paraId="7F117006"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Najvyšší kontrolný úrad SR</w:t>
            </w:r>
          </w:p>
        </w:tc>
        <w:tc>
          <w:tcPr>
            <w:tcW w:w="1134" w:type="dxa"/>
            <w:tcBorders>
              <w:top w:val="nil"/>
              <w:left w:val="nil"/>
              <w:bottom w:val="nil"/>
              <w:right w:val="nil"/>
            </w:tcBorders>
            <w:shd w:val="clear" w:color="auto" w:fill="auto"/>
            <w:noWrap/>
            <w:vAlign w:val="center"/>
          </w:tcPr>
          <w:p w14:paraId="5B038D9D"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14 440</w:t>
            </w:r>
          </w:p>
        </w:tc>
        <w:tc>
          <w:tcPr>
            <w:tcW w:w="1276" w:type="dxa"/>
            <w:tcBorders>
              <w:top w:val="nil"/>
              <w:left w:val="nil"/>
              <w:bottom w:val="nil"/>
              <w:right w:val="nil"/>
            </w:tcBorders>
            <w:shd w:val="clear" w:color="auto" w:fill="auto"/>
            <w:noWrap/>
            <w:vAlign w:val="center"/>
          </w:tcPr>
          <w:p w14:paraId="325CAE8E"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15 397</w:t>
            </w:r>
          </w:p>
        </w:tc>
        <w:tc>
          <w:tcPr>
            <w:tcW w:w="1273" w:type="dxa"/>
            <w:tcBorders>
              <w:top w:val="nil"/>
              <w:left w:val="nil"/>
              <w:bottom w:val="nil"/>
              <w:right w:val="nil"/>
            </w:tcBorders>
            <w:shd w:val="clear" w:color="auto" w:fill="auto"/>
            <w:noWrap/>
            <w:vAlign w:val="center"/>
          </w:tcPr>
          <w:p w14:paraId="28A1545B"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106,6</w:t>
            </w:r>
          </w:p>
        </w:tc>
      </w:tr>
      <w:tr w:rsidR="00844102" w:rsidRPr="00D20EA7" w14:paraId="4BEB5B8F" w14:textId="77777777" w:rsidTr="00F53E08">
        <w:trPr>
          <w:trHeight w:val="283"/>
        </w:trPr>
        <w:tc>
          <w:tcPr>
            <w:tcW w:w="5387" w:type="dxa"/>
            <w:tcBorders>
              <w:right w:val="nil"/>
            </w:tcBorders>
            <w:shd w:val="clear" w:color="auto" w:fill="auto"/>
            <w:noWrap/>
            <w:vAlign w:val="center"/>
            <w:hideMark/>
          </w:tcPr>
          <w:p w14:paraId="0C19B4F1"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Úrad jadrového dozoru SR</w:t>
            </w:r>
          </w:p>
        </w:tc>
        <w:tc>
          <w:tcPr>
            <w:tcW w:w="1134" w:type="dxa"/>
            <w:tcBorders>
              <w:top w:val="nil"/>
              <w:left w:val="nil"/>
              <w:bottom w:val="nil"/>
              <w:right w:val="nil"/>
            </w:tcBorders>
            <w:shd w:val="clear" w:color="auto" w:fill="auto"/>
            <w:noWrap/>
            <w:vAlign w:val="center"/>
          </w:tcPr>
          <w:p w14:paraId="513F406A"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10 962</w:t>
            </w:r>
          </w:p>
        </w:tc>
        <w:tc>
          <w:tcPr>
            <w:tcW w:w="1276" w:type="dxa"/>
            <w:tcBorders>
              <w:top w:val="nil"/>
              <w:left w:val="nil"/>
              <w:bottom w:val="nil"/>
              <w:right w:val="nil"/>
            </w:tcBorders>
            <w:shd w:val="clear" w:color="auto" w:fill="auto"/>
            <w:noWrap/>
            <w:vAlign w:val="center"/>
          </w:tcPr>
          <w:p w14:paraId="02970B90"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10 560</w:t>
            </w:r>
          </w:p>
        </w:tc>
        <w:tc>
          <w:tcPr>
            <w:tcW w:w="1273" w:type="dxa"/>
            <w:tcBorders>
              <w:top w:val="nil"/>
              <w:left w:val="nil"/>
              <w:bottom w:val="nil"/>
              <w:right w:val="nil"/>
            </w:tcBorders>
            <w:shd w:val="clear" w:color="auto" w:fill="auto"/>
            <w:noWrap/>
            <w:vAlign w:val="center"/>
          </w:tcPr>
          <w:p w14:paraId="77A339BF"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96,3</w:t>
            </w:r>
          </w:p>
        </w:tc>
      </w:tr>
      <w:tr w:rsidR="00844102" w:rsidRPr="00D20EA7" w14:paraId="14A394C0" w14:textId="77777777" w:rsidTr="00F53E08">
        <w:trPr>
          <w:trHeight w:val="283"/>
        </w:trPr>
        <w:tc>
          <w:tcPr>
            <w:tcW w:w="5387" w:type="dxa"/>
            <w:tcBorders>
              <w:right w:val="nil"/>
            </w:tcBorders>
            <w:shd w:val="clear" w:color="auto" w:fill="auto"/>
            <w:noWrap/>
            <w:vAlign w:val="center"/>
            <w:hideMark/>
          </w:tcPr>
          <w:p w14:paraId="1F246195"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Kancelária Ústavného súdu SR</w:t>
            </w:r>
          </w:p>
        </w:tc>
        <w:tc>
          <w:tcPr>
            <w:tcW w:w="1134" w:type="dxa"/>
            <w:tcBorders>
              <w:top w:val="nil"/>
              <w:left w:val="nil"/>
              <w:bottom w:val="nil"/>
              <w:right w:val="nil"/>
            </w:tcBorders>
            <w:shd w:val="clear" w:color="auto" w:fill="auto"/>
            <w:noWrap/>
            <w:vAlign w:val="center"/>
          </w:tcPr>
          <w:p w14:paraId="51C0426E"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8 575</w:t>
            </w:r>
          </w:p>
        </w:tc>
        <w:tc>
          <w:tcPr>
            <w:tcW w:w="1276" w:type="dxa"/>
            <w:tcBorders>
              <w:top w:val="nil"/>
              <w:left w:val="nil"/>
              <w:bottom w:val="nil"/>
              <w:right w:val="nil"/>
            </w:tcBorders>
            <w:shd w:val="clear" w:color="auto" w:fill="auto"/>
            <w:noWrap/>
            <w:vAlign w:val="center"/>
          </w:tcPr>
          <w:p w14:paraId="57C163BB"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10 028</w:t>
            </w:r>
          </w:p>
        </w:tc>
        <w:tc>
          <w:tcPr>
            <w:tcW w:w="1273" w:type="dxa"/>
            <w:tcBorders>
              <w:top w:val="nil"/>
              <w:left w:val="nil"/>
              <w:bottom w:val="nil"/>
              <w:right w:val="nil"/>
            </w:tcBorders>
            <w:shd w:val="clear" w:color="auto" w:fill="auto"/>
            <w:noWrap/>
            <w:vAlign w:val="center"/>
          </w:tcPr>
          <w:p w14:paraId="311BDABF"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116,9</w:t>
            </w:r>
          </w:p>
        </w:tc>
      </w:tr>
      <w:tr w:rsidR="00844102" w:rsidRPr="00D20EA7" w14:paraId="6E35A9C4" w14:textId="77777777" w:rsidTr="00F53E08">
        <w:trPr>
          <w:trHeight w:val="283"/>
        </w:trPr>
        <w:tc>
          <w:tcPr>
            <w:tcW w:w="5387" w:type="dxa"/>
            <w:tcBorders>
              <w:right w:val="nil"/>
            </w:tcBorders>
            <w:shd w:val="clear" w:color="auto" w:fill="auto"/>
            <w:noWrap/>
            <w:vAlign w:val="center"/>
            <w:hideMark/>
          </w:tcPr>
          <w:p w14:paraId="628E488A"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Správa štátnych hmotných rezerv SR</w:t>
            </w:r>
          </w:p>
        </w:tc>
        <w:tc>
          <w:tcPr>
            <w:tcW w:w="1134" w:type="dxa"/>
            <w:tcBorders>
              <w:top w:val="nil"/>
              <w:left w:val="nil"/>
              <w:bottom w:val="nil"/>
              <w:right w:val="nil"/>
            </w:tcBorders>
            <w:shd w:val="clear" w:color="auto" w:fill="auto"/>
            <w:noWrap/>
            <w:vAlign w:val="center"/>
          </w:tcPr>
          <w:p w14:paraId="0781B838"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11 357</w:t>
            </w:r>
          </w:p>
        </w:tc>
        <w:tc>
          <w:tcPr>
            <w:tcW w:w="1276" w:type="dxa"/>
            <w:tcBorders>
              <w:top w:val="nil"/>
              <w:left w:val="nil"/>
              <w:bottom w:val="nil"/>
              <w:right w:val="nil"/>
            </w:tcBorders>
            <w:shd w:val="clear" w:color="auto" w:fill="auto"/>
            <w:noWrap/>
            <w:vAlign w:val="center"/>
          </w:tcPr>
          <w:p w14:paraId="1684E6E8"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9 919</w:t>
            </w:r>
          </w:p>
        </w:tc>
        <w:tc>
          <w:tcPr>
            <w:tcW w:w="1273" w:type="dxa"/>
            <w:tcBorders>
              <w:top w:val="nil"/>
              <w:left w:val="nil"/>
              <w:bottom w:val="nil"/>
              <w:right w:val="nil"/>
            </w:tcBorders>
            <w:shd w:val="clear" w:color="auto" w:fill="auto"/>
            <w:noWrap/>
            <w:vAlign w:val="center"/>
          </w:tcPr>
          <w:p w14:paraId="039B0C5B"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87,3</w:t>
            </w:r>
          </w:p>
        </w:tc>
      </w:tr>
      <w:tr w:rsidR="00844102" w:rsidRPr="00D20EA7" w14:paraId="62DC95FD" w14:textId="77777777" w:rsidTr="00F53E08">
        <w:trPr>
          <w:trHeight w:val="283"/>
        </w:trPr>
        <w:tc>
          <w:tcPr>
            <w:tcW w:w="5387" w:type="dxa"/>
            <w:tcBorders>
              <w:right w:val="nil"/>
            </w:tcBorders>
            <w:shd w:val="clear" w:color="auto" w:fill="auto"/>
            <w:noWrap/>
            <w:vAlign w:val="center"/>
            <w:hideMark/>
          </w:tcPr>
          <w:p w14:paraId="1BBEB293"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Úrad pre normalizáciu, metrológiu a skúšobníctvo SR</w:t>
            </w:r>
          </w:p>
        </w:tc>
        <w:tc>
          <w:tcPr>
            <w:tcW w:w="1134" w:type="dxa"/>
            <w:tcBorders>
              <w:top w:val="nil"/>
              <w:left w:val="nil"/>
              <w:bottom w:val="nil"/>
              <w:right w:val="nil"/>
            </w:tcBorders>
            <w:shd w:val="clear" w:color="auto" w:fill="auto"/>
            <w:noWrap/>
            <w:vAlign w:val="center"/>
          </w:tcPr>
          <w:p w14:paraId="7DD57A4E"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9 613</w:t>
            </w:r>
          </w:p>
        </w:tc>
        <w:tc>
          <w:tcPr>
            <w:tcW w:w="1276" w:type="dxa"/>
            <w:tcBorders>
              <w:top w:val="nil"/>
              <w:left w:val="nil"/>
              <w:bottom w:val="nil"/>
              <w:right w:val="nil"/>
            </w:tcBorders>
            <w:shd w:val="clear" w:color="auto" w:fill="auto"/>
            <w:noWrap/>
            <w:vAlign w:val="center"/>
          </w:tcPr>
          <w:p w14:paraId="01C1F86D"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9 539</w:t>
            </w:r>
          </w:p>
        </w:tc>
        <w:tc>
          <w:tcPr>
            <w:tcW w:w="1273" w:type="dxa"/>
            <w:tcBorders>
              <w:top w:val="nil"/>
              <w:left w:val="nil"/>
              <w:bottom w:val="nil"/>
              <w:right w:val="nil"/>
            </w:tcBorders>
            <w:shd w:val="clear" w:color="auto" w:fill="auto"/>
            <w:noWrap/>
            <w:vAlign w:val="center"/>
          </w:tcPr>
          <w:p w14:paraId="09642B44"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99,2</w:t>
            </w:r>
          </w:p>
        </w:tc>
      </w:tr>
      <w:tr w:rsidR="00844102" w:rsidRPr="00D20EA7" w14:paraId="48305564" w14:textId="77777777" w:rsidTr="00F53E08">
        <w:trPr>
          <w:trHeight w:val="283"/>
        </w:trPr>
        <w:tc>
          <w:tcPr>
            <w:tcW w:w="5387" w:type="dxa"/>
            <w:tcBorders>
              <w:right w:val="nil"/>
            </w:tcBorders>
            <w:shd w:val="clear" w:color="auto" w:fill="auto"/>
            <w:noWrap/>
            <w:vAlign w:val="center"/>
            <w:hideMark/>
          </w:tcPr>
          <w:p w14:paraId="4372E3EA"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Kancelária prezidenta SR</w:t>
            </w:r>
          </w:p>
        </w:tc>
        <w:tc>
          <w:tcPr>
            <w:tcW w:w="1134" w:type="dxa"/>
            <w:tcBorders>
              <w:top w:val="nil"/>
              <w:left w:val="nil"/>
              <w:bottom w:val="nil"/>
              <w:right w:val="nil"/>
            </w:tcBorders>
            <w:shd w:val="clear" w:color="auto" w:fill="auto"/>
            <w:noWrap/>
            <w:vAlign w:val="center"/>
          </w:tcPr>
          <w:p w14:paraId="299E70D6"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7 438</w:t>
            </w:r>
          </w:p>
        </w:tc>
        <w:tc>
          <w:tcPr>
            <w:tcW w:w="1276" w:type="dxa"/>
            <w:tcBorders>
              <w:top w:val="nil"/>
              <w:left w:val="nil"/>
              <w:bottom w:val="nil"/>
              <w:right w:val="nil"/>
            </w:tcBorders>
            <w:shd w:val="clear" w:color="auto" w:fill="auto"/>
            <w:noWrap/>
            <w:vAlign w:val="center"/>
          </w:tcPr>
          <w:p w14:paraId="3E5B79A4"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9 279</w:t>
            </w:r>
          </w:p>
        </w:tc>
        <w:tc>
          <w:tcPr>
            <w:tcW w:w="1273" w:type="dxa"/>
            <w:tcBorders>
              <w:top w:val="nil"/>
              <w:left w:val="nil"/>
              <w:bottom w:val="nil"/>
              <w:right w:val="nil"/>
            </w:tcBorders>
            <w:shd w:val="clear" w:color="auto" w:fill="auto"/>
            <w:noWrap/>
            <w:vAlign w:val="center"/>
          </w:tcPr>
          <w:p w14:paraId="56564F62"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124,8</w:t>
            </w:r>
          </w:p>
        </w:tc>
      </w:tr>
      <w:tr w:rsidR="00844102" w:rsidRPr="00D20EA7" w14:paraId="12F1B9AE" w14:textId="77777777" w:rsidTr="00F53E08">
        <w:trPr>
          <w:trHeight w:val="283"/>
        </w:trPr>
        <w:tc>
          <w:tcPr>
            <w:tcW w:w="5387" w:type="dxa"/>
            <w:tcBorders>
              <w:right w:val="nil"/>
            </w:tcBorders>
            <w:shd w:val="clear" w:color="auto" w:fill="auto"/>
            <w:noWrap/>
            <w:vAlign w:val="center"/>
            <w:hideMark/>
          </w:tcPr>
          <w:p w14:paraId="0148C1A9"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Kancelária Najvyššieho správneho súdu SR</w:t>
            </w:r>
          </w:p>
        </w:tc>
        <w:tc>
          <w:tcPr>
            <w:tcW w:w="1134" w:type="dxa"/>
            <w:tcBorders>
              <w:top w:val="nil"/>
              <w:left w:val="nil"/>
              <w:bottom w:val="nil"/>
              <w:right w:val="nil"/>
            </w:tcBorders>
            <w:shd w:val="clear" w:color="auto" w:fill="auto"/>
            <w:noWrap/>
            <w:vAlign w:val="center"/>
          </w:tcPr>
          <w:p w14:paraId="5F3A2C30"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8 039</w:t>
            </w:r>
          </w:p>
        </w:tc>
        <w:tc>
          <w:tcPr>
            <w:tcW w:w="1276" w:type="dxa"/>
            <w:tcBorders>
              <w:top w:val="nil"/>
              <w:left w:val="nil"/>
              <w:bottom w:val="nil"/>
              <w:right w:val="nil"/>
            </w:tcBorders>
            <w:shd w:val="clear" w:color="auto" w:fill="auto"/>
            <w:noWrap/>
            <w:vAlign w:val="center"/>
          </w:tcPr>
          <w:p w14:paraId="55BE0554"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7 242</w:t>
            </w:r>
          </w:p>
        </w:tc>
        <w:tc>
          <w:tcPr>
            <w:tcW w:w="1273" w:type="dxa"/>
            <w:tcBorders>
              <w:top w:val="nil"/>
              <w:left w:val="nil"/>
              <w:bottom w:val="nil"/>
              <w:right w:val="nil"/>
            </w:tcBorders>
            <w:shd w:val="clear" w:color="auto" w:fill="auto"/>
            <w:noWrap/>
            <w:vAlign w:val="center"/>
          </w:tcPr>
          <w:p w14:paraId="75DF4F4A"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90,1</w:t>
            </w:r>
          </w:p>
        </w:tc>
      </w:tr>
      <w:tr w:rsidR="00844102" w:rsidRPr="00D20EA7" w14:paraId="7914F6DC" w14:textId="77777777" w:rsidTr="00F53E08">
        <w:trPr>
          <w:trHeight w:val="283"/>
        </w:trPr>
        <w:tc>
          <w:tcPr>
            <w:tcW w:w="5387" w:type="dxa"/>
            <w:tcBorders>
              <w:bottom w:val="nil"/>
              <w:right w:val="nil"/>
            </w:tcBorders>
            <w:shd w:val="clear" w:color="auto" w:fill="auto"/>
            <w:noWrap/>
            <w:vAlign w:val="center"/>
            <w:hideMark/>
          </w:tcPr>
          <w:p w14:paraId="5E6CFBFC"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Úrad pre reguláciu sieťových odvetví</w:t>
            </w:r>
          </w:p>
        </w:tc>
        <w:tc>
          <w:tcPr>
            <w:tcW w:w="1134" w:type="dxa"/>
            <w:tcBorders>
              <w:top w:val="nil"/>
              <w:left w:val="nil"/>
              <w:bottom w:val="nil"/>
              <w:right w:val="nil"/>
            </w:tcBorders>
            <w:shd w:val="clear" w:color="auto" w:fill="auto"/>
            <w:noWrap/>
            <w:vAlign w:val="center"/>
          </w:tcPr>
          <w:p w14:paraId="160BE018"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6 159</w:t>
            </w:r>
          </w:p>
        </w:tc>
        <w:tc>
          <w:tcPr>
            <w:tcW w:w="1276" w:type="dxa"/>
            <w:tcBorders>
              <w:top w:val="nil"/>
              <w:left w:val="nil"/>
              <w:bottom w:val="nil"/>
              <w:right w:val="nil"/>
            </w:tcBorders>
            <w:shd w:val="clear" w:color="auto" w:fill="auto"/>
            <w:noWrap/>
            <w:vAlign w:val="center"/>
          </w:tcPr>
          <w:p w14:paraId="60A0C19F"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6 732</w:t>
            </w:r>
          </w:p>
        </w:tc>
        <w:tc>
          <w:tcPr>
            <w:tcW w:w="1273" w:type="dxa"/>
            <w:tcBorders>
              <w:top w:val="nil"/>
              <w:left w:val="nil"/>
              <w:bottom w:val="nil"/>
              <w:right w:val="nil"/>
            </w:tcBorders>
            <w:shd w:val="clear" w:color="auto" w:fill="auto"/>
            <w:noWrap/>
            <w:vAlign w:val="center"/>
          </w:tcPr>
          <w:p w14:paraId="1230E6DA"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109,3</w:t>
            </w:r>
          </w:p>
        </w:tc>
      </w:tr>
      <w:tr w:rsidR="00844102" w:rsidRPr="00D20EA7" w14:paraId="595D8BFF" w14:textId="77777777" w:rsidTr="00F53E08">
        <w:trPr>
          <w:trHeight w:val="283"/>
        </w:trPr>
        <w:tc>
          <w:tcPr>
            <w:tcW w:w="5387" w:type="dxa"/>
            <w:tcBorders>
              <w:bottom w:val="nil"/>
              <w:right w:val="nil"/>
            </w:tcBorders>
            <w:shd w:val="clear" w:color="auto" w:fill="auto"/>
            <w:noWrap/>
            <w:vAlign w:val="center"/>
          </w:tcPr>
          <w:p w14:paraId="344F4292"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Úrad priemyselného vlastníctva SR</w:t>
            </w:r>
          </w:p>
        </w:tc>
        <w:tc>
          <w:tcPr>
            <w:tcW w:w="1134" w:type="dxa"/>
            <w:tcBorders>
              <w:top w:val="nil"/>
              <w:left w:val="nil"/>
              <w:bottom w:val="nil"/>
              <w:right w:val="nil"/>
            </w:tcBorders>
            <w:shd w:val="clear" w:color="auto" w:fill="auto"/>
            <w:noWrap/>
            <w:vAlign w:val="center"/>
          </w:tcPr>
          <w:p w14:paraId="5FB99D33"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5 499</w:t>
            </w:r>
          </w:p>
        </w:tc>
        <w:tc>
          <w:tcPr>
            <w:tcW w:w="1276" w:type="dxa"/>
            <w:tcBorders>
              <w:top w:val="nil"/>
              <w:left w:val="nil"/>
              <w:bottom w:val="nil"/>
              <w:right w:val="nil"/>
            </w:tcBorders>
            <w:shd w:val="clear" w:color="auto" w:fill="auto"/>
            <w:noWrap/>
            <w:vAlign w:val="center"/>
          </w:tcPr>
          <w:p w14:paraId="6ED09646"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5 597</w:t>
            </w:r>
          </w:p>
        </w:tc>
        <w:tc>
          <w:tcPr>
            <w:tcW w:w="1273" w:type="dxa"/>
            <w:tcBorders>
              <w:top w:val="nil"/>
              <w:left w:val="nil"/>
              <w:bottom w:val="nil"/>
              <w:right w:val="nil"/>
            </w:tcBorders>
            <w:shd w:val="clear" w:color="auto" w:fill="auto"/>
            <w:noWrap/>
            <w:vAlign w:val="center"/>
          </w:tcPr>
          <w:p w14:paraId="5321F915" w14:textId="77777777" w:rsidR="00844102" w:rsidRPr="00D20EA7"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101,8</w:t>
            </w:r>
          </w:p>
        </w:tc>
      </w:tr>
      <w:tr w:rsidR="00844102" w:rsidRPr="00D20EA7" w14:paraId="17B0427C" w14:textId="77777777" w:rsidTr="00F53E08">
        <w:trPr>
          <w:trHeight w:val="283"/>
        </w:trPr>
        <w:tc>
          <w:tcPr>
            <w:tcW w:w="5387" w:type="dxa"/>
            <w:tcBorders>
              <w:bottom w:val="nil"/>
              <w:right w:val="nil"/>
            </w:tcBorders>
            <w:shd w:val="clear" w:color="auto" w:fill="auto"/>
            <w:noWrap/>
            <w:vAlign w:val="center"/>
            <w:hideMark/>
          </w:tcPr>
          <w:p w14:paraId="74D088A8"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Protimonopolný úrad SR</w:t>
            </w:r>
          </w:p>
        </w:tc>
        <w:tc>
          <w:tcPr>
            <w:tcW w:w="1134" w:type="dxa"/>
            <w:tcBorders>
              <w:top w:val="nil"/>
              <w:left w:val="nil"/>
              <w:bottom w:val="nil"/>
              <w:right w:val="nil"/>
            </w:tcBorders>
            <w:shd w:val="clear" w:color="auto" w:fill="auto"/>
            <w:noWrap/>
            <w:vAlign w:val="center"/>
          </w:tcPr>
          <w:p w14:paraId="7F1778C2"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4 088</w:t>
            </w:r>
          </w:p>
        </w:tc>
        <w:tc>
          <w:tcPr>
            <w:tcW w:w="1276" w:type="dxa"/>
            <w:tcBorders>
              <w:top w:val="nil"/>
              <w:left w:val="nil"/>
              <w:bottom w:val="nil"/>
              <w:right w:val="nil"/>
            </w:tcBorders>
            <w:shd w:val="clear" w:color="auto" w:fill="auto"/>
            <w:noWrap/>
            <w:vAlign w:val="center"/>
          </w:tcPr>
          <w:p w14:paraId="4280A1B0" w14:textId="77777777" w:rsidR="00844102" w:rsidRPr="00D20EA7" w:rsidRDefault="00844102" w:rsidP="00F53E08">
            <w:pPr>
              <w:spacing w:after="0" w:line="240" w:lineRule="auto"/>
              <w:jc w:val="right"/>
              <w:rPr>
                <w:rFonts w:eastAsia="Times New Roman" w:cs="Segoe UI"/>
                <w:sz w:val="18"/>
                <w:szCs w:val="18"/>
                <w:lang w:eastAsia="sk-SK"/>
              </w:rPr>
            </w:pPr>
            <w:r w:rsidRPr="00D20EA7">
              <w:rPr>
                <w:rFonts w:eastAsia="Times New Roman" w:cs="Segoe UI"/>
                <w:sz w:val="18"/>
                <w:szCs w:val="18"/>
                <w:lang w:eastAsia="sk-SK"/>
              </w:rPr>
              <w:t>4 474</w:t>
            </w:r>
          </w:p>
        </w:tc>
        <w:tc>
          <w:tcPr>
            <w:tcW w:w="1273" w:type="dxa"/>
            <w:tcBorders>
              <w:top w:val="nil"/>
              <w:left w:val="nil"/>
              <w:bottom w:val="nil"/>
              <w:right w:val="nil"/>
            </w:tcBorders>
            <w:shd w:val="clear" w:color="auto" w:fill="auto"/>
            <w:noWrap/>
            <w:vAlign w:val="center"/>
          </w:tcPr>
          <w:p w14:paraId="5BC7B67A" w14:textId="77777777" w:rsidR="00844102" w:rsidRPr="00D20EA7" w:rsidRDefault="00844102" w:rsidP="00F53E08">
            <w:pPr>
              <w:spacing w:after="0" w:line="240" w:lineRule="auto"/>
              <w:jc w:val="right"/>
              <w:rPr>
                <w:rFonts w:eastAsia="Times New Roman" w:cs="Segoe UI"/>
                <w:color w:val="000000"/>
                <w:sz w:val="18"/>
                <w:szCs w:val="18"/>
                <w:lang w:eastAsia="sk-SK"/>
              </w:rPr>
            </w:pPr>
            <w:r w:rsidRPr="00D20EA7">
              <w:rPr>
                <w:rFonts w:eastAsia="Times New Roman" w:cs="Segoe UI"/>
                <w:sz w:val="18"/>
                <w:szCs w:val="18"/>
                <w:lang w:eastAsia="sk-SK"/>
              </w:rPr>
              <w:t>109,4</w:t>
            </w:r>
          </w:p>
        </w:tc>
      </w:tr>
      <w:tr w:rsidR="00844102" w:rsidRPr="00D20EA7" w14:paraId="03E59111" w14:textId="77777777" w:rsidTr="00F53E08">
        <w:trPr>
          <w:trHeight w:val="283"/>
        </w:trPr>
        <w:tc>
          <w:tcPr>
            <w:tcW w:w="5387" w:type="dxa"/>
            <w:tcBorders>
              <w:bottom w:val="single" w:sz="4" w:space="0" w:color="314364"/>
              <w:right w:val="nil"/>
            </w:tcBorders>
            <w:shd w:val="clear" w:color="auto" w:fill="auto"/>
            <w:noWrap/>
            <w:vAlign w:val="center"/>
          </w:tcPr>
          <w:p w14:paraId="5FF3528E" w14:textId="77777777" w:rsidR="00844102" w:rsidRPr="00D20EA7" w:rsidRDefault="00844102" w:rsidP="00F53E08">
            <w:pPr>
              <w:spacing w:after="0" w:line="240" w:lineRule="auto"/>
              <w:jc w:val="left"/>
              <w:rPr>
                <w:rFonts w:eastAsia="Times New Roman" w:cs="Segoe UI"/>
                <w:sz w:val="18"/>
                <w:szCs w:val="18"/>
                <w:lang w:eastAsia="sk-SK"/>
              </w:rPr>
            </w:pPr>
            <w:r w:rsidRPr="00D20EA7">
              <w:rPr>
                <w:rFonts w:eastAsia="Times New Roman" w:cs="Segoe UI"/>
                <w:sz w:val="18"/>
                <w:szCs w:val="18"/>
                <w:lang w:eastAsia="sk-SK"/>
              </w:rPr>
              <w:t>Kancelária Súdnej rady SR</w:t>
            </w:r>
          </w:p>
        </w:tc>
        <w:tc>
          <w:tcPr>
            <w:tcW w:w="1134" w:type="dxa"/>
            <w:tcBorders>
              <w:top w:val="nil"/>
              <w:left w:val="nil"/>
              <w:bottom w:val="single" w:sz="4" w:space="0" w:color="314364"/>
              <w:right w:val="nil"/>
            </w:tcBorders>
            <w:shd w:val="clear" w:color="auto" w:fill="auto"/>
            <w:noWrap/>
            <w:vAlign w:val="center"/>
          </w:tcPr>
          <w:p w14:paraId="14B304AE" w14:textId="77777777" w:rsidR="00844102" w:rsidRPr="00D20EA7" w:rsidDel="008B086C"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2 695</w:t>
            </w:r>
          </w:p>
        </w:tc>
        <w:tc>
          <w:tcPr>
            <w:tcW w:w="1276" w:type="dxa"/>
            <w:tcBorders>
              <w:top w:val="nil"/>
              <w:left w:val="nil"/>
              <w:bottom w:val="single" w:sz="4" w:space="0" w:color="314364"/>
              <w:right w:val="nil"/>
            </w:tcBorders>
            <w:shd w:val="clear" w:color="auto" w:fill="auto"/>
            <w:noWrap/>
            <w:vAlign w:val="center"/>
          </w:tcPr>
          <w:p w14:paraId="32C73AB0" w14:textId="77777777" w:rsidR="00844102" w:rsidRPr="00D20EA7" w:rsidDel="008B086C"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2 859</w:t>
            </w:r>
          </w:p>
        </w:tc>
        <w:tc>
          <w:tcPr>
            <w:tcW w:w="1273" w:type="dxa"/>
            <w:tcBorders>
              <w:top w:val="nil"/>
              <w:left w:val="nil"/>
              <w:bottom w:val="single" w:sz="4" w:space="0" w:color="314364"/>
              <w:right w:val="nil"/>
            </w:tcBorders>
            <w:shd w:val="clear" w:color="auto" w:fill="auto"/>
            <w:noWrap/>
            <w:vAlign w:val="center"/>
          </w:tcPr>
          <w:p w14:paraId="2023439D" w14:textId="77777777" w:rsidR="00844102" w:rsidRPr="00D20EA7" w:rsidDel="008B086C" w:rsidRDefault="00844102" w:rsidP="00F53E08">
            <w:pPr>
              <w:spacing w:after="0" w:line="240" w:lineRule="auto"/>
              <w:jc w:val="right"/>
              <w:rPr>
                <w:rFonts w:eastAsia="Calibri" w:cs="Segoe UI"/>
                <w:sz w:val="18"/>
                <w:szCs w:val="18"/>
              </w:rPr>
            </w:pPr>
            <w:r w:rsidRPr="00D20EA7">
              <w:rPr>
                <w:rFonts w:eastAsia="Times New Roman" w:cs="Segoe UI"/>
                <w:sz w:val="18"/>
                <w:szCs w:val="18"/>
                <w:lang w:eastAsia="sk-SK"/>
              </w:rPr>
              <w:t>106,1</w:t>
            </w:r>
          </w:p>
        </w:tc>
      </w:tr>
      <w:tr w:rsidR="00844102" w:rsidRPr="00D20EA7" w14:paraId="076A0D97" w14:textId="77777777" w:rsidTr="00F53E08">
        <w:trPr>
          <w:trHeight w:val="283"/>
        </w:trPr>
        <w:tc>
          <w:tcPr>
            <w:tcW w:w="5387" w:type="dxa"/>
            <w:tcBorders>
              <w:top w:val="single" w:sz="4" w:space="0" w:color="314364"/>
              <w:bottom w:val="single" w:sz="4" w:space="0" w:color="auto"/>
              <w:right w:val="nil"/>
            </w:tcBorders>
            <w:shd w:val="clear" w:color="auto" w:fill="auto"/>
            <w:noWrap/>
            <w:vAlign w:val="center"/>
          </w:tcPr>
          <w:p w14:paraId="18FAE10A" w14:textId="77777777" w:rsidR="00844102" w:rsidRPr="00D20EA7" w:rsidRDefault="00844102" w:rsidP="00F53E08">
            <w:pPr>
              <w:spacing w:after="0" w:line="240" w:lineRule="auto"/>
              <w:jc w:val="left"/>
              <w:rPr>
                <w:rFonts w:eastAsia="Times New Roman" w:cs="Segoe UI"/>
                <w:b/>
                <w:sz w:val="18"/>
                <w:szCs w:val="18"/>
                <w:lang w:eastAsia="sk-SK"/>
              </w:rPr>
            </w:pPr>
            <w:r w:rsidRPr="00D20EA7">
              <w:rPr>
                <w:rFonts w:eastAsia="Times New Roman" w:cs="Segoe UI"/>
                <w:b/>
                <w:bCs/>
                <w:color w:val="333333"/>
                <w:sz w:val="18"/>
                <w:szCs w:val="18"/>
                <w:lang w:eastAsia="sk-SK"/>
              </w:rPr>
              <w:t>SPOLU</w:t>
            </w:r>
          </w:p>
        </w:tc>
        <w:tc>
          <w:tcPr>
            <w:tcW w:w="1134" w:type="dxa"/>
            <w:tcBorders>
              <w:top w:val="single" w:sz="4" w:space="0" w:color="314364"/>
              <w:left w:val="nil"/>
              <w:bottom w:val="single" w:sz="4" w:space="0" w:color="auto"/>
              <w:right w:val="nil"/>
            </w:tcBorders>
            <w:shd w:val="clear" w:color="auto" w:fill="auto"/>
            <w:noWrap/>
            <w:vAlign w:val="center"/>
          </w:tcPr>
          <w:p w14:paraId="6B980862" w14:textId="77777777" w:rsidR="00844102" w:rsidRPr="00D20EA7" w:rsidDel="008B086C" w:rsidRDefault="00844102" w:rsidP="00F53E08">
            <w:pPr>
              <w:spacing w:after="0" w:line="240" w:lineRule="auto"/>
              <w:jc w:val="right"/>
              <w:rPr>
                <w:rFonts w:eastAsia="Calibri" w:cs="Segoe UI"/>
                <w:b/>
                <w:sz w:val="18"/>
                <w:szCs w:val="18"/>
              </w:rPr>
            </w:pPr>
            <w:r w:rsidRPr="00D20EA7">
              <w:rPr>
                <w:rFonts w:eastAsia="Times New Roman" w:cs="Segoe UI"/>
                <w:b/>
                <w:bCs/>
                <w:color w:val="333333"/>
                <w:sz w:val="18"/>
                <w:szCs w:val="18"/>
                <w:lang w:eastAsia="sk-SK"/>
              </w:rPr>
              <w:t>30 317 892</w:t>
            </w:r>
          </w:p>
        </w:tc>
        <w:tc>
          <w:tcPr>
            <w:tcW w:w="1276" w:type="dxa"/>
            <w:tcBorders>
              <w:top w:val="single" w:sz="4" w:space="0" w:color="314364"/>
              <w:left w:val="nil"/>
              <w:bottom w:val="single" w:sz="4" w:space="0" w:color="auto"/>
              <w:right w:val="nil"/>
            </w:tcBorders>
            <w:shd w:val="clear" w:color="auto" w:fill="auto"/>
            <w:noWrap/>
            <w:vAlign w:val="center"/>
          </w:tcPr>
          <w:p w14:paraId="428689F1" w14:textId="77777777" w:rsidR="00844102" w:rsidRPr="00D20EA7" w:rsidDel="008B086C" w:rsidRDefault="00844102" w:rsidP="00F53E08">
            <w:pPr>
              <w:spacing w:after="0" w:line="240" w:lineRule="auto"/>
              <w:jc w:val="right"/>
              <w:rPr>
                <w:rFonts w:eastAsia="Calibri" w:cs="Segoe UI"/>
                <w:b/>
                <w:sz w:val="18"/>
                <w:szCs w:val="18"/>
              </w:rPr>
            </w:pPr>
            <w:r w:rsidRPr="00D20EA7">
              <w:rPr>
                <w:rFonts w:eastAsia="Times New Roman" w:cs="Segoe UI"/>
                <w:b/>
                <w:bCs/>
                <w:sz w:val="18"/>
                <w:szCs w:val="18"/>
                <w:lang w:eastAsia="sk-SK"/>
              </w:rPr>
              <w:t>30 823 904</w:t>
            </w:r>
          </w:p>
        </w:tc>
        <w:tc>
          <w:tcPr>
            <w:tcW w:w="1273" w:type="dxa"/>
            <w:tcBorders>
              <w:top w:val="single" w:sz="4" w:space="0" w:color="314364"/>
              <w:left w:val="nil"/>
              <w:bottom w:val="single" w:sz="4" w:space="0" w:color="auto"/>
              <w:right w:val="nil"/>
            </w:tcBorders>
            <w:shd w:val="clear" w:color="auto" w:fill="auto"/>
            <w:noWrap/>
            <w:vAlign w:val="center"/>
          </w:tcPr>
          <w:p w14:paraId="3E66C395" w14:textId="77777777" w:rsidR="00844102" w:rsidRPr="00D20EA7" w:rsidDel="008B086C" w:rsidRDefault="00844102" w:rsidP="00F53E08">
            <w:pPr>
              <w:spacing w:after="0" w:line="240" w:lineRule="auto"/>
              <w:jc w:val="right"/>
              <w:rPr>
                <w:rFonts w:eastAsia="Calibri" w:cs="Segoe UI"/>
                <w:b/>
                <w:sz w:val="18"/>
                <w:szCs w:val="18"/>
              </w:rPr>
            </w:pPr>
            <w:r w:rsidRPr="00D20EA7">
              <w:rPr>
                <w:rFonts w:eastAsia="Times New Roman" w:cs="Segoe UI"/>
                <w:b/>
                <w:color w:val="000000"/>
                <w:sz w:val="18"/>
                <w:szCs w:val="18"/>
                <w:lang w:eastAsia="sk-SK"/>
              </w:rPr>
              <w:t>101,7</w:t>
            </w:r>
          </w:p>
        </w:tc>
      </w:tr>
    </w:tbl>
    <w:p w14:paraId="0A9800E6" w14:textId="77777777" w:rsidR="00844102" w:rsidRPr="00D20EA7" w:rsidRDefault="00844102" w:rsidP="00844102">
      <w:pPr>
        <w:spacing w:after="0" w:line="240" w:lineRule="auto"/>
        <w:jc w:val="left"/>
        <w:rPr>
          <w:rFonts w:eastAsia="Calibri" w:cs="Times New Roman"/>
          <w:i/>
          <w:color w:val="314364"/>
          <w:sz w:val="16"/>
        </w:rPr>
      </w:pPr>
      <w:r w:rsidRPr="00D20EA7">
        <w:rPr>
          <w:rFonts w:eastAsia="Calibri" w:cs="Times New Roman"/>
          <w:i/>
          <w:color w:val="314364"/>
          <w:sz w:val="16"/>
        </w:rPr>
        <w:t>Zdroj: Návrh ŠZÚ 2024.</w:t>
      </w:r>
    </w:p>
    <w:p w14:paraId="04671D06" w14:textId="5E1C1EFF" w:rsidR="00844102" w:rsidRPr="00D20EA7" w:rsidRDefault="00844102" w:rsidP="00844102">
      <w:pPr>
        <w:rPr>
          <w:rFonts w:eastAsia="Times New Roman" w:cs="Segoe UI"/>
          <w:i/>
          <w:szCs w:val="20"/>
        </w:rPr>
      </w:pPr>
      <w:r w:rsidRPr="00D20EA7">
        <w:rPr>
          <w:rFonts w:eastAsia="Calibri" w:cs="Times New Roman"/>
          <w:i/>
          <w:color w:val="314364"/>
          <w:sz w:val="16"/>
        </w:rPr>
        <w:t>S – skutočnosť, R – rozpočet</w:t>
      </w:r>
      <w:r w:rsidR="00C10075">
        <w:rPr>
          <w:rFonts w:eastAsia="Calibri" w:cs="Times New Roman"/>
          <w:i/>
          <w:color w:val="314364"/>
          <w:sz w:val="16"/>
        </w:rPr>
        <w:t>.</w:t>
      </w:r>
    </w:p>
    <w:p w14:paraId="0967FC21" w14:textId="77777777" w:rsidR="008A4BCF" w:rsidRDefault="008A4BCF" w:rsidP="008A4BCF">
      <w:pPr>
        <w:pStyle w:val="Zdroj"/>
        <w:spacing w:after="0"/>
      </w:pPr>
    </w:p>
    <w:p w14:paraId="754043BE" w14:textId="77777777" w:rsidR="008A4BCF" w:rsidRDefault="008A4BCF" w:rsidP="008A4BCF">
      <w:pPr>
        <w:spacing w:after="0"/>
        <w:rPr>
          <w:rFonts w:eastAsia="Calibri" w:cs="Times New Roman"/>
          <w:b/>
          <w:color w:val="314364" w:themeColor="text2"/>
          <w:szCs w:val="18"/>
        </w:rPr>
      </w:pPr>
      <w:r>
        <w:rPr>
          <w:rFonts w:eastAsia="Calibri" w:cs="Times New Roman"/>
          <w:b/>
          <w:color w:val="314364" w:themeColor="text2"/>
          <w:szCs w:val="18"/>
        </w:rPr>
        <w:br w:type="page"/>
      </w:r>
    </w:p>
    <w:p w14:paraId="2F96907B" w14:textId="20485C92" w:rsidR="001A6862" w:rsidRPr="00740AEF" w:rsidRDefault="001A6862" w:rsidP="001A6862">
      <w:pPr>
        <w:spacing w:line="240" w:lineRule="auto"/>
        <w:jc w:val="left"/>
        <w:rPr>
          <w:i/>
          <w:color w:val="314364" w:themeColor="text2"/>
          <w:sz w:val="16"/>
        </w:rPr>
        <w:sectPr w:rsidR="001A6862" w:rsidRPr="00740AEF" w:rsidSect="00F53E08">
          <w:headerReference w:type="default" r:id="rId84"/>
          <w:footerReference w:type="default" r:id="rId85"/>
          <w:pgSz w:w="11906" w:h="16838"/>
          <w:pgMar w:top="1418" w:right="1841" w:bottom="1134" w:left="1418" w:header="0" w:footer="709" w:gutter="0"/>
          <w:cols w:space="708"/>
          <w:docGrid w:linePitch="360"/>
        </w:sectPr>
      </w:pPr>
    </w:p>
    <w:tbl>
      <w:tblPr>
        <w:tblStyle w:val="Mriekatabuky1"/>
        <w:tblW w:w="0" w:type="auto"/>
        <w:tblBorders>
          <w:top w:val="single" w:sz="4" w:space="0" w:color="314364"/>
          <w:left w:val="single" w:sz="4" w:space="0" w:color="314364"/>
          <w:bottom w:val="single" w:sz="4" w:space="0" w:color="314364"/>
          <w:right w:val="single" w:sz="4" w:space="0" w:color="314364"/>
          <w:insideH w:val="none" w:sz="0" w:space="0" w:color="auto"/>
          <w:insideV w:val="none" w:sz="0" w:space="0" w:color="auto"/>
        </w:tblBorders>
        <w:shd w:val="clear" w:color="auto" w:fill="EBF0FB"/>
        <w:tblLook w:val="04A0" w:firstRow="1" w:lastRow="0" w:firstColumn="1" w:lastColumn="0" w:noHBand="0" w:noVBand="1"/>
      </w:tblPr>
      <w:tblGrid>
        <w:gridCol w:w="9060"/>
      </w:tblGrid>
      <w:tr w:rsidR="002B3D9A" w:rsidRPr="002D3A92" w14:paraId="1720B165" w14:textId="77777777" w:rsidTr="002E1FF0">
        <w:tc>
          <w:tcPr>
            <w:tcW w:w="9060" w:type="dxa"/>
            <w:shd w:val="clear" w:color="auto" w:fill="EBF0FB"/>
          </w:tcPr>
          <w:bookmarkEnd w:id="51"/>
          <w:p w14:paraId="6AEDC9BC" w14:textId="2F96D765" w:rsidR="002B3D9A" w:rsidRPr="002D3A92" w:rsidRDefault="002B3D9A" w:rsidP="002E1FF0">
            <w:pPr>
              <w:spacing w:before="120" w:line="240" w:lineRule="auto"/>
              <w:ind w:right="163"/>
              <w:rPr>
                <w:rFonts w:cs="Segoe UI"/>
                <w:b/>
                <w:szCs w:val="18"/>
              </w:rPr>
            </w:pPr>
            <w:r>
              <w:rPr>
                <w:rFonts w:cs="Segoe UI"/>
                <w:b/>
                <w:szCs w:val="18"/>
              </w:rPr>
              <w:lastRenderedPageBreak/>
              <w:t>BOX</w:t>
            </w:r>
            <w:r w:rsidRPr="002D3A92">
              <w:rPr>
                <w:rFonts w:cs="Segoe UI"/>
                <w:b/>
                <w:szCs w:val="18"/>
              </w:rPr>
              <w:t xml:space="preserve"> </w:t>
            </w:r>
            <w:r>
              <w:rPr>
                <w:rFonts w:cs="Segoe UI"/>
                <w:b/>
                <w:szCs w:val="18"/>
              </w:rPr>
              <w:t>1</w:t>
            </w:r>
            <w:r w:rsidRPr="002D3A92">
              <w:rPr>
                <w:rFonts w:cs="Segoe UI"/>
                <w:b/>
                <w:szCs w:val="18"/>
              </w:rPr>
              <w:t xml:space="preserve">: </w:t>
            </w:r>
            <w:r>
              <w:rPr>
                <w:rFonts w:cs="Segoe UI"/>
                <w:b/>
                <w:szCs w:val="18"/>
              </w:rPr>
              <w:t>P</w:t>
            </w:r>
            <w:r w:rsidRPr="002D3A92">
              <w:rPr>
                <w:rFonts w:cs="Segoe UI"/>
                <w:b/>
                <w:szCs w:val="18"/>
              </w:rPr>
              <w:t>rehľad závažných porušení identifikovaných NKÚ SR v relevantných kontrolách</w:t>
            </w:r>
          </w:p>
          <w:p w14:paraId="3F613087" w14:textId="6676ACD7" w:rsidR="002B3D9A" w:rsidRPr="002D3A92" w:rsidRDefault="002B3D9A" w:rsidP="002E1FF0">
            <w:pPr>
              <w:spacing w:line="240" w:lineRule="auto"/>
              <w:rPr>
                <w:rFonts w:eastAsia="Times New Roman" w:cs="Segoe UI"/>
                <w:sz w:val="18"/>
                <w:szCs w:val="18"/>
              </w:rPr>
            </w:pPr>
            <w:r w:rsidRPr="002D3A92">
              <w:rPr>
                <w:rFonts w:eastAsia="Times New Roman" w:cs="Segoe UI"/>
                <w:sz w:val="18"/>
                <w:szCs w:val="18"/>
              </w:rPr>
              <w:t xml:space="preserve">NKÚ SR v rámci svojich kontrol ukončených v roku 2024 zistil viaceré porušenia </w:t>
            </w:r>
            <w:r w:rsidRPr="00F50722">
              <w:rPr>
                <w:rFonts w:eastAsia="Times New Roman" w:cs="Segoe UI"/>
                <w:sz w:val="18"/>
                <w:szCs w:val="18"/>
              </w:rPr>
              <w:t xml:space="preserve">všeobecne záväzných právnych predpisov. </w:t>
            </w:r>
            <w:r w:rsidR="00315037" w:rsidRPr="00F50722">
              <w:rPr>
                <w:rFonts w:eastAsia="Times New Roman" w:cs="Segoe UI"/>
                <w:sz w:val="18"/>
                <w:szCs w:val="18"/>
              </w:rPr>
              <w:t xml:space="preserve">Všetky zistenia sú dostupné na webovom sídle NKÚ SR a za samosprávu tiež v aplikácii </w:t>
            </w:r>
            <w:hyperlink r:id="rId86" w:history="1">
              <w:proofErr w:type="spellStart"/>
              <w:r w:rsidR="00315037" w:rsidRPr="00F50722">
                <w:rPr>
                  <w:rStyle w:val="Hypertextovprepojenie"/>
                  <w:rFonts w:eastAsia="Times New Roman" w:cs="Segoe UI"/>
                  <w:color w:val="auto"/>
                  <w:sz w:val="18"/>
                  <w:szCs w:val="18"/>
                </w:rPr>
                <w:t>MuMap</w:t>
              </w:r>
              <w:proofErr w:type="spellEnd"/>
            </w:hyperlink>
            <w:r w:rsidR="00315037" w:rsidRPr="00F50722">
              <w:rPr>
                <w:rFonts w:eastAsia="Times New Roman" w:cs="Segoe UI"/>
                <w:sz w:val="18"/>
                <w:szCs w:val="18"/>
              </w:rPr>
              <w:t xml:space="preserve">. </w:t>
            </w:r>
            <w:r w:rsidRPr="002D3A92">
              <w:rPr>
                <w:rFonts w:eastAsia="Times New Roman" w:cs="Segoe UI"/>
                <w:sz w:val="18"/>
                <w:szCs w:val="18"/>
              </w:rPr>
              <w:t>Vo vzťahu k</w:t>
            </w:r>
            <w:r w:rsidR="00E351D4">
              <w:rPr>
                <w:rFonts w:eastAsia="Times New Roman" w:cs="Segoe UI"/>
                <w:sz w:val="18"/>
                <w:szCs w:val="18"/>
              </w:rPr>
              <w:t xml:space="preserve"> návrhu </w:t>
            </w:r>
            <w:r w:rsidRPr="002D3A92">
              <w:rPr>
                <w:rFonts w:eastAsia="Times New Roman" w:cs="Segoe UI"/>
                <w:sz w:val="18"/>
                <w:szCs w:val="18"/>
              </w:rPr>
              <w:t xml:space="preserve">ŠZÚ sumarizujeme nižšie významné porušenia nasledovných zákonov: </w:t>
            </w:r>
          </w:p>
          <w:p w14:paraId="0E8F6F02" w14:textId="1FF52E27" w:rsidR="002B3D9A" w:rsidRPr="002D3A92" w:rsidRDefault="002B3D9A" w:rsidP="002B3D9A">
            <w:pPr>
              <w:pStyle w:val="Odsekzoznamu"/>
              <w:numPr>
                <w:ilvl w:val="0"/>
                <w:numId w:val="28"/>
              </w:numPr>
              <w:spacing w:after="200" w:line="240" w:lineRule="auto"/>
              <w:rPr>
                <w:rFonts w:cs="Segoe UI"/>
                <w:sz w:val="18"/>
                <w:szCs w:val="18"/>
              </w:rPr>
            </w:pPr>
            <w:r w:rsidRPr="002D3A92">
              <w:rPr>
                <w:rFonts w:cs="Segoe UI"/>
                <w:sz w:val="18"/>
                <w:szCs w:val="18"/>
              </w:rPr>
              <w:t>523/2004 Z. z. o rozpočtových pravidlách verejnej správy a o zmene a doplnení niektorých zákonov</w:t>
            </w:r>
            <w:r w:rsidR="001204EB">
              <w:rPr>
                <w:rFonts w:cs="Segoe UI"/>
                <w:sz w:val="18"/>
                <w:szCs w:val="18"/>
              </w:rPr>
              <w:t>,</w:t>
            </w:r>
            <w:r w:rsidRPr="002D3A92">
              <w:rPr>
                <w:rFonts w:cs="Segoe UI"/>
                <w:sz w:val="18"/>
                <w:szCs w:val="18"/>
              </w:rPr>
              <w:t xml:space="preserve"> </w:t>
            </w:r>
          </w:p>
          <w:p w14:paraId="2FA2498A" w14:textId="16C75195" w:rsidR="002B3D9A" w:rsidRPr="002D3A92" w:rsidRDefault="002B3D9A" w:rsidP="002B3D9A">
            <w:pPr>
              <w:pStyle w:val="Odsekzoznamu"/>
              <w:numPr>
                <w:ilvl w:val="0"/>
                <w:numId w:val="28"/>
              </w:numPr>
              <w:spacing w:after="200" w:line="240" w:lineRule="auto"/>
              <w:rPr>
                <w:rFonts w:cs="Segoe UI"/>
                <w:sz w:val="18"/>
                <w:szCs w:val="18"/>
              </w:rPr>
            </w:pPr>
            <w:r w:rsidRPr="002D3A92">
              <w:rPr>
                <w:rFonts w:cs="Segoe UI"/>
                <w:sz w:val="18"/>
                <w:szCs w:val="18"/>
              </w:rPr>
              <w:t>583/2004 Z. z. o rozpočtových pravidlách územnej samosprávy a o zmene a doplnení niektorých zákonov</w:t>
            </w:r>
            <w:r w:rsidR="001204EB">
              <w:rPr>
                <w:rFonts w:cs="Segoe UI"/>
                <w:sz w:val="18"/>
                <w:szCs w:val="18"/>
              </w:rPr>
              <w:t>,</w:t>
            </w:r>
          </w:p>
          <w:p w14:paraId="7FEBF43E" w14:textId="706F3BE6" w:rsidR="002B3D9A" w:rsidRPr="002D3A92" w:rsidRDefault="002B3D9A" w:rsidP="002B3D9A">
            <w:pPr>
              <w:pStyle w:val="Odsekzoznamu"/>
              <w:numPr>
                <w:ilvl w:val="0"/>
                <w:numId w:val="28"/>
              </w:numPr>
              <w:spacing w:after="200" w:line="240" w:lineRule="auto"/>
              <w:rPr>
                <w:rFonts w:cs="Segoe UI"/>
                <w:sz w:val="18"/>
                <w:szCs w:val="18"/>
              </w:rPr>
            </w:pPr>
            <w:r w:rsidRPr="002D3A92">
              <w:rPr>
                <w:rFonts w:cs="Segoe UI"/>
                <w:sz w:val="18"/>
                <w:szCs w:val="18"/>
              </w:rPr>
              <w:t>357/2015 Z. z. o finančnej kontrole a audite a o zmene a doplnení niektorých zákonov</w:t>
            </w:r>
            <w:r w:rsidR="001204EB">
              <w:rPr>
                <w:rFonts w:cs="Segoe UI"/>
                <w:sz w:val="18"/>
                <w:szCs w:val="18"/>
              </w:rPr>
              <w:t>,</w:t>
            </w:r>
            <w:r w:rsidRPr="002D3A92">
              <w:rPr>
                <w:rFonts w:cs="Segoe UI"/>
                <w:sz w:val="18"/>
                <w:szCs w:val="18"/>
              </w:rPr>
              <w:t xml:space="preserve"> </w:t>
            </w:r>
          </w:p>
          <w:p w14:paraId="1A05E8CF" w14:textId="234DCE9F"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138/1991 Zb. o majetku obcí</w:t>
            </w:r>
            <w:r w:rsidR="00066B83">
              <w:rPr>
                <w:rFonts w:cs="Segoe UI"/>
                <w:sz w:val="18"/>
                <w:szCs w:val="18"/>
              </w:rPr>
              <w:t>.</w:t>
            </w:r>
            <w:r w:rsidRPr="002D3A92">
              <w:rPr>
                <w:rFonts w:cs="Segoe UI"/>
                <w:sz w:val="18"/>
                <w:szCs w:val="18"/>
              </w:rPr>
              <w:t xml:space="preserve"> </w:t>
            </w:r>
          </w:p>
          <w:p w14:paraId="6FC11175" w14:textId="67F1A689" w:rsidR="002B3D9A" w:rsidRPr="002D3A92" w:rsidRDefault="002B3D9A" w:rsidP="002E1FF0">
            <w:pPr>
              <w:spacing w:line="240" w:lineRule="auto"/>
              <w:rPr>
                <w:rFonts w:eastAsia="Times New Roman" w:cs="Segoe UI"/>
                <w:b/>
                <w:sz w:val="18"/>
                <w:szCs w:val="18"/>
              </w:rPr>
            </w:pPr>
            <w:r w:rsidRPr="002D3A92">
              <w:rPr>
                <w:rFonts w:eastAsia="Times New Roman" w:cs="Segoe UI"/>
                <w:b/>
                <w:sz w:val="18"/>
                <w:szCs w:val="18"/>
              </w:rPr>
              <w:t xml:space="preserve">Porušenia zákona 523/2004 Z. z. o rozpočtových pravidlách </w:t>
            </w:r>
            <w:r>
              <w:rPr>
                <w:rFonts w:eastAsia="Times New Roman" w:cs="Segoe UI"/>
                <w:b/>
                <w:sz w:val="18"/>
                <w:szCs w:val="18"/>
              </w:rPr>
              <w:t>VS</w:t>
            </w:r>
            <w:r w:rsidRPr="002D3A92">
              <w:rPr>
                <w:rFonts w:eastAsia="Times New Roman" w:cs="Segoe UI"/>
                <w:b/>
                <w:sz w:val="18"/>
                <w:szCs w:val="18"/>
              </w:rPr>
              <w:t xml:space="preserve"> a o zmene a doplnení niektorých zákonov </w:t>
            </w:r>
          </w:p>
          <w:p w14:paraId="5CC7A18D"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MŽP SR</w:t>
            </w:r>
          </w:p>
          <w:p w14:paraId="718D755D" w14:textId="77777777"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Vzhľadom na to, že MŽP SR nemá k dispozícii žiadne výsledky vykonanej práce, pracovnej úlohy alebo pracovnej činnosti, ani žiadne podporné dôkazy alebo podklady, ktoré by aspoň čiastočne preukázali výstupy z prác a činností zamestnancov na dohodu, došlo k neefektívnemu vynaloženiu verejných prostriedkov vo výške 126 238,19 eur. Tým porušilo § 19 ods. 6 zákona o rozpočtových pravidlách verejnej správy, podľa ktorého je subjekt verejnej správy povinný pri používaní verejných prostriedkov zachovávať hospodárnosť, efektívnosť a účinnosť ich použitia.</w:t>
            </w:r>
          </w:p>
          <w:p w14:paraId="5ADC5424"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MZ SR</w:t>
            </w:r>
          </w:p>
          <w:p w14:paraId="5194BD86" w14:textId="4DAD5C35"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Tým, že MZ SR nevyužívalo výstupy v zmysle dohôd o vykonaní práce mimo pracovného pomeru, došlo k neefektívnemu vynaloženiu verejných finančných prostriedkov v objeme 38 730,41 eur. Porušilo tak § 19 ods. 6 RPVS</w:t>
            </w:r>
            <w:r w:rsidR="001204EB">
              <w:rPr>
                <w:rFonts w:cs="Segoe UI"/>
                <w:sz w:val="18"/>
                <w:szCs w:val="18"/>
              </w:rPr>
              <w:t>.</w:t>
            </w:r>
          </w:p>
          <w:p w14:paraId="52378C5B"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MO SR</w:t>
            </w:r>
          </w:p>
          <w:p w14:paraId="38104E42" w14:textId="2D33BE44" w:rsidR="002B3D9A" w:rsidRPr="00F50722" w:rsidRDefault="002B3D9A" w:rsidP="002B3D9A">
            <w:pPr>
              <w:pStyle w:val="Odsekzoznamu"/>
              <w:numPr>
                <w:ilvl w:val="0"/>
                <w:numId w:val="28"/>
              </w:numPr>
              <w:spacing w:line="240" w:lineRule="auto"/>
              <w:rPr>
                <w:rFonts w:cs="Segoe UI"/>
                <w:sz w:val="18"/>
                <w:szCs w:val="18"/>
              </w:rPr>
            </w:pPr>
            <w:r w:rsidRPr="00F50722">
              <w:rPr>
                <w:rFonts w:cs="Segoe UI"/>
                <w:sz w:val="18"/>
                <w:szCs w:val="18"/>
              </w:rPr>
              <w:t>2x porušenie § 19 ods. 6 RPVS, znenie porušení nie je možné uviesť</w:t>
            </w:r>
            <w:r w:rsidR="0069554E" w:rsidRPr="00F50722">
              <w:rPr>
                <w:rFonts w:cs="Segoe UI"/>
                <w:sz w:val="18"/>
                <w:szCs w:val="18"/>
              </w:rPr>
              <w:t>, má označenie</w:t>
            </w:r>
            <w:r w:rsidRPr="00F50722">
              <w:rPr>
                <w:rFonts w:cs="Segoe UI"/>
                <w:sz w:val="18"/>
                <w:szCs w:val="18"/>
              </w:rPr>
              <w:t xml:space="preserve"> „Dôverné“.</w:t>
            </w:r>
          </w:p>
          <w:p w14:paraId="64971397" w14:textId="46BDCBB2"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Valaliky Industrial Park, s.</w:t>
            </w:r>
            <w:r w:rsidR="004A2F16">
              <w:rPr>
                <w:rFonts w:eastAsia="Times New Roman" w:cs="Segoe UI"/>
                <w:sz w:val="18"/>
                <w:szCs w:val="18"/>
                <w:u w:val="single"/>
              </w:rPr>
              <w:t xml:space="preserve"> </w:t>
            </w:r>
            <w:r w:rsidRPr="002D3A92">
              <w:rPr>
                <w:rFonts w:eastAsia="Times New Roman" w:cs="Segoe UI"/>
                <w:sz w:val="18"/>
                <w:szCs w:val="18"/>
                <w:u w:val="single"/>
              </w:rPr>
              <w:t>r.</w:t>
            </w:r>
            <w:r w:rsidR="004A2F16">
              <w:rPr>
                <w:rFonts w:eastAsia="Times New Roman" w:cs="Segoe UI"/>
                <w:sz w:val="18"/>
                <w:szCs w:val="18"/>
                <w:u w:val="single"/>
              </w:rPr>
              <w:t xml:space="preserve"> </w:t>
            </w:r>
            <w:r w:rsidRPr="002D3A92">
              <w:rPr>
                <w:rFonts w:eastAsia="Times New Roman" w:cs="Segoe UI"/>
                <w:sz w:val="18"/>
                <w:szCs w:val="18"/>
                <w:u w:val="single"/>
              </w:rPr>
              <w:t xml:space="preserve">o. </w:t>
            </w:r>
          </w:p>
          <w:p w14:paraId="12D76AFD" w14:textId="2C9CA3EB"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NKÚ SR preverením rámcových zmlúv a dodatku k zmluve identifikoval nedodržanie zmluvných podmienok a v prípade vyplatenia finančných prostriedkov 231 004,80 eur bola ZFK vykonaná formálne a nedostatočne. Uvedený postup vyhodnotila kontrola NKÚ SR ako porušenie finančnej disciplíny podľa § 31 ods. 1 písm. m) RPVS</w:t>
            </w:r>
            <w:r w:rsidR="001204EB">
              <w:rPr>
                <w:rFonts w:cs="Segoe UI"/>
                <w:sz w:val="18"/>
                <w:szCs w:val="18"/>
              </w:rPr>
              <w:t>,</w:t>
            </w:r>
            <w:r w:rsidRPr="002D3A92">
              <w:rPr>
                <w:rFonts w:cs="Segoe UI"/>
                <w:sz w:val="18"/>
                <w:szCs w:val="18"/>
              </w:rPr>
              <w:t xml:space="preserve"> a zároveň kontrolovaný subjekt nepostupoval v súlade s § 19 ods. 3 RPVS, podľa ktorého právnická osoba je povinná pri používaní verejných prostriedkov zachovávať hospodárnosť, efektívnosť a účinnosť ich použitia.</w:t>
            </w:r>
          </w:p>
          <w:p w14:paraId="6D302B4C" w14:textId="6FDD77A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 xml:space="preserve">MH </w:t>
            </w:r>
            <w:proofErr w:type="spellStart"/>
            <w:r w:rsidRPr="002D3A92">
              <w:rPr>
                <w:rFonts w:eastAsia="Times New Roman" w:cs="Segoe UI"/>
                <w:sz w:val="18"/>
                <w:szCs w:val="18"/>
                <w:u w:val="single"/>
              </w:rPr>
              <w:t>Invest</w:t>
            </w:r>
            <w:proofErr w:type="spellEnd"/>
            <w:r w:rsidRPr="002D3A92">
              <w:rPr>
                <w:rFonts w:eastAsia="Times New Roman" w:cs="Segoe UI"/>
                <w:sz w:val="18"/>
                <w:szCs w:val="18"/>
                <w:u w:val="single"/>
              </w:rPr>
              <w:t>, s.</w:t>
            </w:r>
            <w:r w:rsidR="004A2F16">
              <w:rPr>
                <w:rFonts w:eastAsia="Times New Roman" w:cs="Segoe UI"/>
                <w:sz w:val="18"/>
                <w:szCs w:val="18"/>
                <w:u w:val="single"/>
              </w:rPr>
              <w:t xml:space="preserve"> </w:t>
            </w:r>
            <w:r w:rsidRPr="002D3A92">
              <w:rPr>
                <w:rFonts w:eastAsia="Times New Roman" w:cs="Segoe UI"/>
                <w:sz w:val="18"/>
                <w:szCs w:val="18"/>
                <w:u w:val="single"/>
              </w:rPr>
              <w:t>r.</w:t>
            </w:r>
            <w:r w:rsidR="004A2F16">
              <w:rPr>
                <w:rFonts w:eastAsia="Times New Roman" w:cs="Segoe UI"/>
                <w:sz w:val="18"/>
                <w:szCs w:val="18"/>
                <w:u w:val="single"/>
              </w:rPr>
              <w:t xml:space="preserve"> </w:t>
            </w:r>
            <w:r w:rsidRPr="002D3A92">
              <w:rPr>
                <w:rFonts w:eastAsia="Times New Roman" w:cs="Segoe UI"/>
                <w:sz w:val="18"/>
                <w:szCs w:val="18"/>
                <w:u w:val="single"/>
              </w:rPr>
              <w:t xml:space="preserve">o. </w:t>
            </w:r>
          </w:p>
          <w:p w14:paraId="6BF9F612" w14:textId="14DC831A"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 xml:space="preserve">Podpisom dodatku č. 1 so spoločnosťou </w:t>
            </w:r>
            <w:proofErr w:type="spellStart"/>
            <w:r w:rsidRPr="002D3A92">
              <w:rPr>
                <w:rFonts w:cs="Segoe UI"/>
                <w:sz w:val="18"/>
                <w:szCs w:val="18"/>
              </w:rPr>
              <w:t>Omnia</w:t>
            </w:r>
            <w:proofErr w:type="spellEnd"/>
            <w:r w:rsidRPr="002D3A92">
              <w:rPr>
                <w:rFonts w:cs="Segoe UI"/>
                <w:sz w:val="18"/>
                <w:szCs w:val="18"/>
              </w:rPr>
              <w:t xml:space="preserve">, </w:t>
            </w:r>
            <w:proofErr w:type="spellStart"/>
            <w:r w:rsidRPr="002D3A92">
              <w:rPr>
                <w:rFonts w:cs="Segoe UI"/>
                <w:sz w:val="18"/>
                <w:szCs w:val="18"/>
              </w:rPr>
              <w:t>s.r.o</w:t>
            </w:r>
            <w:proofErr w:type="spellEnd"/>
            <w:r w:rsidRPr="002D3A92">
              <w:rPr>
                <w:rFonts w:cs="Segoe UI"/>
                <w:sz w:val="18"/>
                <w:szCs w:val="18"/>
              </w:rPr>
              <w:t>.</w:t>
            </w:r>
            <w:r w:rsidR="00066B83">
              <w:rPr>
                <w:rFonts w:cs="Segoe UI"/>
                <w:sz w:val="18"/>
                <w:szCs w:val="18"/>
              </w:rPr>
              <w:t>,</w:t>
            </w:r>
            <w:r w:rsidRPr="002D3A92">
              <w:rPr>
                <w:rFonts w:cs="Segoe UI"/>
                <w:sz w:val="18"/>
                <w:szCs w:val="18"/>
              </w:rPr>
              <w:t xml:space="preserve"> o zvýšení prenajatej plochy kancelárskych priestorov spoločnosť MHI porušila finančnú disciplínu nehospodárnym a neefektívnym vynakladaním verejných prostriedkov podľa § 31 ods. 1 písm. j) RPVS</w:t>
            </w:r>
            <w:r w:rsidR="00066B83">
              <w:rPr>
                <w:rFonts w:cs="Segoe UI"/>
                <w:sz w:val="18"/>
                <w:szCs w:val="18"/>
              </w:rPr>
              <w:t>,</w:t>
            </w:r>
            <w:r w:rsidRPr="002D3A92">
              <w:rPr>
                <w:rFonts w:cs="Segoe UI"/>
                <w:sz w:val="18"/>
                <w:szCs w:val="18"/>
              </w:rPr>
              <w:t xml:space="preserve"> a zároveň kontrolovaný subjekt nepostupoval v súlade s § 19 ods. 3 RPVS, podľa ktorého právnická osoba je povinná pri používaní verejných prostriedkov zachovávať hospodárnosť, efektívnosť a účinnosť ich použitia.</w:t>
            </w:r>
          </w:p>
          <w:p w14:paraId="6F620D4B" w14:textId="2B4DB81A"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Dopravný podnik Bratislava, a.</w:t>
            </w:r>
            <w:r w:rsidR="00066B83">
              <w:rPr>
                <w:rFonts w:eastAsia="Times New Roman" w:cs="Segoe UI"/>
                <w:sz w:val="18"/>
                <w:szCs w:val="18"/>
                <w:u w:val="single"/>
              </w:rPr>
              <w:t xml:space="preserve"> </w:t>
            </w:r>
            <w:r w:rsidRPr="002D3A92">
              <w:rPr>
                <w:rFonts w:eastAsia="Times New Roman" w:cs="Segoe UI"/>
                <w:sz w:val="18"/>
                <w:szCs w:val="18"/>
                <w:u w:val="single"/>
              </w:rPr>
              <w:t xml:space="preserve">s. </w:t>
            </w:r>
          </w:p>
          <w:p w14:paraId="1FA4E0B9" w14:textId="6DAB6E36"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V súvislosti s čerpaním investičného úveru kontrolovaný subjekt DPB, a.</w:t>
            </w:r>
            <w:r w:rsidR="004A2F16">
              <w:rPr>
                <w:rFonts w:cs="Segoe UI"/>
                <w:sz w:val="18"/>
                <w:szCs w:val="18"/>
              </w:rPr>
              <w:t xml:space="preserve"> </w:t>
            </w:r>
            <w:r w:rsidRPr="002D3A92">
              <w:rPr>
                <w:rFonts w:cs="Segoe UI"/>
                <w:sz w:val="18"/>
                <w:szCs w:val="18"/>
              </w:rPr>
              <w:t>s</w:t>
            </w:r>
            <w:r w:rsidR="00A53B88">
              <w:rPr>
                <w:rFonts w:cs="Segoe UI"/>
                <w:sz w:val="18"/>
                <w:szCs w:val="18"/>
              </w:rPr>
              <w:t>.,</w:t>
            </w:r>
            <w:r w:rsidRPr="002D3A92">
              <w:rPr>
                <w:rFonts w:cs="Segoe UI"/>
                <w:sz w:val="18"/>
                <w:szCs w:val="18"/>
              </w:rPr>
              <w:t xml:space="preserve"> nesplnil povinnosť podľa §</w:t>
            </w:r>
            <w:r w:rsidR="00066B83">
              <w:rPr>
                <w:rFonts w:cs="Segoe UI"/>
                <w:sz w:val="18"/>
                <w:szCs w:val="18"/>
              </w:rPr>
              <w:t xml:space="preserve"> </w:t>
            </w:r>
            <w:r w:rsidRPr="002D3A92">
              <w:rPr>
                <w:rFonts w:cs="Segoe UI"/>
                <w:sz w:val="18"/>
                <w:szCs w:val="18"/>
              </w:rPr>
              <w:t>19 ods. 12 RPVS z dôvodu, že nepožiadal včas o súhlasné stanovisko MF SR k načerpaniu úveru. Napriek tomu, že úverová zmluva bola uzatvorená v decembri 2023, DPB, a.</w:t>
            </w:r>
            <w:r w:rsidR="004A2F16">
              <w:rPr>
                <w:rFonts w:cs="Segoe UI"/>
                <w:sz w:val="18"/>
                <w:szCs w:val="18"/>
              </w:rPr>
              <w:t xml:space="preserve"> </w:t>
            </w:r>
            <w:r w:rsidRPr="002D3A92">
              <w:rPr>
                <w:rFonts w:cs="Segoe UI"/>
                <w:sz w:val="18"/>
                <w:szCs w:val="18"/>
              </w:rPr>
              <w:t>s.</w:t>
            </w:r>
            <w:r w:rsidR="00066B83">
              <w:rPr>
                <w:rFonts w:cs="Segoe UI"/>
                <w:sz w:val="18"/>
                <w:szCs w:val="18"/>
              </w:rPr>
              <w:t>,</w:t>
            </w:r>
            <w:r w:rsidRPr="002D3A92">
              <w:rPr>
                <w:rFonts w:cs="Segoe UI"/>
                <w:sz w:val="18"/>
                <w:szCs w:val="18"/>
              </w:rPr>
              <w:t xml:space="preserve"> až po upozornení MF SR požiadal o stanovisko v apríli 2024.</w:t>
            </w:r>
          </w:p>
          <w:p w14:paraId="134DD108"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 xml:space="preserve">Bratislavský samosprávny kraj a mesto Stupava  </w:t>
            </w:r>
          </w:p>
          <w:p w14:paraId="2B58DFBF" w14:textId="382B5AAC"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Nedostatočná projektová príprava a riadenie viedli k dodatočnému zaťaženiu rozpočtu mesta výdavkami, ktoré mohli byť zahrnuté do pôvodne žiadaného NFP. Vynaložením takto vzniknutých výdavkov mesto Stupava nepostupovalo v súlade s § 31 ods. 1 písm. j) zákona č. 523/2004 Z.</w:t>
            </w:r>
            <w:r w:rsidR="004A2F16">
              <w:rPr>
                <w:rFonts w:cs="Segoe UI"/>
                <w:sz w:val="18"/>
                <w:szCs w:val="18"/>
              </w:rPr>
              <w:t xml:space="preserve"> </w:t>
            </w:r>
            <w:r w:rsidRPr="002D3A92">
              <w:rPr>
                <w:rFonts w:cs="Segoe UI"/>
                <w:sz w:val="18"/>
                <w:szCs w:val="18"/>
              </w:rPr>
              <w:t xml:space="preserve">z. </w:t>
            </w:r>
          </w:p>
          <w:p w14:paraId="0B8C72F0"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 xml:space="preserve">Most pri Bratislave </w:t>
            </w:r>
          </w:p>
          <w:p w14:paraId="6CB2AD2A" w14:textId="77777777" w:rsidR="00F50722" w:rsidRDefault="001204EB" w:rsidP="002B3D9A">
            <w:pPr>
              <w:pStyle w:val="Odsekzoznamu"/>
              <w:numPr>
                <w:ilvl w:val="0"/>
                <w:numId w:val="28"/>
              </w:numPr>
              <w:spacing w:line="240" w:lineRule="auto"/>
              <w:rPr>
                <w:rFonts w:cs="Segoe UI"/>
                <w:sz w:val="18"/>
                <w:szCs w:val="18"/>
              </w:rPr>
            </w:pPr>
            <w:r>
              <w:rPr>
                <w:rFonts w:cs="Segoe UI"/>
                <w:sz w:val="18"/>
                <w:szCs w:val="18"/>
              </w:rPr>
              <w:t>P</w:t>
            </w:r>
            <w:r w:rsidR="002B3D9A" w:rsidRPr="002D3A92">
              <w:rPr>
                <w:rFonts w:cs="Segoe UI"/>
                <w:sz w:val="18"/>
                <w:szCs w:val="18"/>
              </w:rPr>
              <w:t>orušil §</w:t>
            </w:r>
            <w:r w:rsidR="00066B83">
              <w:rPr>
                <w:rFonts w:cs="Segoe UI"/>
                <w:sz w:val="18"/>
                <w:szCs w:val="18"/>
              </w:rPr>
              <w:t xml:space="preserve"> </w:t>
            </w:r>
            <w:r w:rsidR="002B3D9A" w:rsidRPr="002D3A92">
              <w:rPr>
                <w:rFonts w:cs="Segoe UI"/>
                <w:sz w:val="18"/>
                <w:szCs w:val="18"/>
              </w:rPr>
              <w:t>31, odsek 1 písmeno j) nehospodárne, neefektívne a neúčinné vynakladanie verejných prostriedkov v časti zákazky SO02, keďže v rámci rozpočtu časti zákazky SO02</w:t>
            </w:r>
            <w:r>
              <w:rPr>
                <w:rFonts w:cs="Segoe UI"/>
                <w:sz w:val="18"/>
                <w:szCs w:val="18"/>
              </w:rPr>
              <w:t>,</w:t>
            </w:r>
            <w:r w:rsidR="002B3D9A" w:rsidRPr="002D3A92">
              <w:rPr>
                <w:rFonts w:cs="Segoe UI"/>
                <w:sz w:val="18"/>
                <w:szCs w:val="18"/>
              </w:rPr>
              <w:t xml:space="preserve"> realizovaného VO30345416</w:t>
            </w:r>
            <w:r>
              <w:rPr>
                <w:rFonts w:cs="Segoe UI"/>
                <w:sz w:val="18"/>
                <w:szCs w:val="18"/>
              </w:rPr>
              <w:t>,</w:t>
            </w:r>
            <w:r w:rsidR="002B3D9A" w:rsidRPr="002D3A92">
              <w:rPr>
                <w:rFonts w:cs="Segoe UI"/>
                <w:sz w:val="18"/>
                <w:szCs w:val="18"/>
              </w:rPr>
              <w:t xml:space="preserve"> bolo identifikované nehospodárne navýšenie ceny v niektorých položkách medzi rozpočtom určujúcim PHZ a rozpočtom k zmluve o dielo s víťazným uchádzačom.</w:t>
            </w:r>
          </w:p>
          <w:p w14:paraId="26221EC8" w14:textId="27D2E40C" w:rsidR="002B3D9A" w:rsidRPr="00F50722" w:rsidRDefault="002B3D9A" w:rsidP="00F50722">
            <w:pPr>
              <w:spacing w:line="240" w:lineRule="auto"/>
              <w:rPr>
                <w:rFonts w:cs="Segoe UI"/>
                <w:sz w:val="18"/>
                <w:szCs w:val="18"/>
              </w:rPr>
            </w:pPr>
          </w:p>
          <w:p w14:paraId="06039DF9" w14:textId="70FFFF28" w:rsidR="002B3D9A" w:rsidRPr="002D3A92" w:rsidRDefault="002B3D9A" w:rsidP="002E1FF0">
            <w:pPr>
              <w:spacing w:after="0" w:line="240" w:lineRule="auto"/>
              <w:rPr>
                <w:rFonts w:eastAsia="Times New Roman" w:cs="Segoe UI"/>
                <w:sz w:val="18"/>
                <w:szCs w:val="18"/>
                <w:u w:val="single"/>
              </w:rPr>
            </w:pPr>
            <w:r w:rsidRPr="002D3A92">
              <w:rPr>
                <w:rFonts w:cs="Segoe UI"/>
                <w:sz w:val="18"/>
                <w:szCs w:val="18"/>
                <w:u w:val="single"/>
              </w:rPr>
              <w:lastRenderedPageBreak/>
              <w:t>Slovenská agentúra pre rozvoj investícií a obchodu</w:t>
            </w:r>
          </w:p>
          <w:p w14:paraId="53D01F97" w14:textId="77777777"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 xml:space="preserve">Tým, že agentúra nezahrnula všetky príjmy a výdavky do schváleného, resp. upraveného rozpočtu za roky 2021 až 2023, nepostupovala v zmysle príručky MF SR (časť III. bod 1.2) a podľa ustanovenia § 24 ods. 1 RPVS, podľa ktorého PO hospodári podľa svojho rozpočtu príjmov a výdavkov a jej rozpočet zahŕňa aj príspevok z rozpočtu zriaďovateľa a prostriedky prijaté od iných subjektov. </w:t>
            </w:r>
          </w:p>
          <w:p w14:paraId="7258BE4B" w14:textId="60837913" w:rsidR="002B3D9A" w:rsidRPr="002D3A92" w:rsidRDefault="00066B83" w:rsidP="002B3D9A">
            <w:pPr>
              <w:pStyle w:val="Odsekzoznamu"/>
              <w:numPr>
                <w:ilvl w:val="0"/>
                <w:numId w:val="28"/>
              </w:numPr>
              <w:spacing w:line="240" w:lineRule="auto"/>
              <w:rPr>
                <w:rFonts w:cs="Segoe UI"/>
                <w:sz w:val="18"/>
                <w:szCs w:val="18"/>
              </w:rPr>
            </w:pPr>
            <w:r>
              <w:rPr>
                <w:rFonts w:cs="Segoe UI"/>
                <w:sz w:val="18"/>
                <w:szCs w:val="18"/>
              </w:rPr>
              <w:t>U</w:t>
            </w:r>
            <w:r w:rsidR="002B3D9A" w:rsidRPr="002D3A92">
              <w:rPr>
                <w:rFonts w:cs="Segoe UI"/>
                <w:sz w:val="18"/>
                <w:szCs w:val="18"/>
              </w:rPr>
              <w:t>skutočnením kapitálových výdavkov v sume 96 370,00 eur na nákup osobných motorových vozidiel agentúra nepostupovala podľa § 19 ods. 4 RPVS, keď štatutárny orgán PO ako subjekt verejnej správy nezabezpečil, aby sa verejné prostriedky uvoľňovali v takej výške, aká zodpovedala rozsahu plnenia úloh zahrnutých v rozpočte subjektu VS, čím došlo k nedodržaniu ustanoveného alebo určeného spôsobu nakladania s verejnými prostriedkami v tejto sume podľa § 31 ods. 1 písm. k) tohto zákona</w:t>
            </w:r>
            <w:r>
              <w:rPr>
                <w:rFonts w:cs="Segoe UI"/>
                <w:sz w:val="18"/>
                <w:szCs w:val="18"/>
              </w:rPr>
              <w:t>.</w:t>
            </w:r>
            <w:r w:rsidR="002B3D9A" w:rsidRPr="002D3A92">
              <w:rPr>
                <w:rFonts w:cs="Segoe UI"/>
                <w:sz w:val="18"/>
                <w:szCs w:val="18"/>
              </w:rPr>
              <w:t xml:space="preserve"> </w:t>
            </w:r>
          </w:p>
          <w:p w14:paraId="5189264D" w14:textId="77777777" w:rsidR="002B3D9A" w:rsidRPr="002D3A92" w:rsidRDefault="002B3D9A" w:rsidP="002E1FF0">
            <w:pPr>
              <w:spacing w:line="240" w:lineRule="auto"/>
              <w:rPr>
                <w:rFonts w:eastAsia="Times New Roman" w:cs="Segoe UI"/>
                <w:sz w:val="18"/>
                <w:szCs w:val="18"/>
              </w:rPr>
            </w:pPr>
            <w:r w:rsidRPr="002D3A92">
              <w:rPr>
                <w:rFonts w:eastAsia="Times New Roman" w:cs="Segoe UI"/>
                <w:b/>
                <w:sz w:val="18"/>
                <w:szCs w:val="18"/>
              </w:rPr>
              <w:t>Porušenia zákona 583/2004 Z. z. o rozpočtových pravidlách územnej samosprávy a o zmene a doplnení niektorých zákonov</w:t>
            </w:r>
          </w:p>
          <w:p w14:paraId="158F36E9"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Územná samospráva (každé zo 16 kontrolovaných miest)</w:t>
            </w:r>
          </w:p>
          <w:p w14:paraId="323A4171" w14:textId="2EC8AA24" w:rsidR="002B3D9A" w:rsidRPr="002D3A92" w:rsidRDefault="001204EB" w:rsidP="002B3D9A">
            <w:pPr>
              <w:pStyle w:val="Odsekzoznamu"/>
              <w:numPr>
                <w:ilvl w:val="0"/>
                <w:numId w:val="28"/>
              </w:numPr>
              <w:spacing w:line="240" w:lineRule="auto"/>
              <w:rPr>
                <w:rFonts w:cs="Segoe UI"/>
                <w:sz w:val="18"/>
                <w:szCs w:val="18"/>
              </w:rPr>
            </w:pPr>
            <w:r>
              <w:rPr>
                <w:rFonts w:cs="Segoe UI"/>
                <w:sz w:val="18"/>
                <w:szCs w:val="18"/>
              </w:rPr>
              <w:t>Paragraf</w:t>
            </w:r>
            <w:r w:rsidR="002B3D9A" w:rsidRPr="002D3A92">
              <w:rPr>
                <w:rFonts w:cs="Segoe UI"/>
                <w:sz w:val="18"/>
                <w:szCs w:val="18"/>
              </w:rPr>
              <w:t xml:space="preserve"> 4 ods. 5: programový rozpočet s nižšou informačnou hodnotou pre chýbajúce zámery programov, pre chýbajúce ciele a merateľné ukazovatele s plánovanými pri prvkoch programov/podprogramov, pre nulové plánované cieľové hodnoty merateľných ukazovateľov, pre nevyčlenenie finančných zdrojov na realizáciu programov rozpočtu</w:t>
            </w:r>
            <w:r w:rsidR="00A53B88">
              <w:rPr>
                <w:rFonts w:cs="Segoe UI"/>
                <w:sz w:val="18"/>
                <w:szCs w:val="18"/>
              </w:rPr>
              <w:t>.</w:t>
            </w:r>
          </w:p>
          <w:p w14:paraId="7FED59BF" w14:textId="77777777" w:rsidR="002B3D9A" w:rsidRPr="002D3A92" w:rsidRDefault="002B3D9A" w:rsidP="002E1FF0">
            <w:pPr>
              <w:spacing w:line="240" w:lineRule="auto"/>
              <w:rPr>
                <w:rFonts w:eastAsia="Times New Roman" w:cs="Segoe UI"/>
                <w:sz w:val="18"/>
                <w:szCs w:val="18"/>
              </w:rPr>
            </w:pPr>
            <w:r w:rsidRPr="002D3A92">
              <w:rPr>
                <w:rFonts w:eastAsia="Times New Roman" w:cs="Segoe UI"/>
                <w:b/>
                <w:sz w:val="18"/>
                <w:szCs w:val="18"/>
              </w:rPr>
              <w:t>Porušenia zákona 357/2015 Z. z. o finančnej kontrole a audite a o zmene a doplnení niektorých zákonov</w:t>
            </w:r>
          </w:p>
          <w:p w14:paraId="4F990273"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 xml:space="preserve">MK SR </w:t>
            </w:r>
          </w:p>
          <w:p w14:paraId="3BFFDE9A" w14:textId="685E207D"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Nevykonaním administratívnej finančnej kontroly refundácie finančných nákladov na geodetické práce</w:t>
            </w:r>
            <w:r w:rsidR="00066B83">
              <w:rPr>
                <w:rFonts w:cs="Segoe UI"/>
                <w:sz w:val="18"/>
                <w:szCs w:val="18"/>
              </w:rPr>
              <w:t xml:space="preserve"> </w:t>
            </w:r>
            <w:r w:rsidR="00066B83" w:rsidRPr="00066B83">
              <w:rPr>
                <w:rFonts w:cs="Segoe UI"/>
                <w:sz w:val="18"/>
                <w:szCs w:val="18"/>
              </w:rPr>
              <w:t>–</w:t>
            </w:r>
            <w:r w:rsidRPr="002D3A92">
              <w:rPr>
                <w:rFonts w:cs="Segoe UI"/>
                <w:sz w:val="18"/>
                <w:szCs w:val="18"/>
              </w:rPr>
              <w:t xml:space="preserve"> poskytnutých v rokoch 2019 a 2020 a vyúčtovania príspevku štátu zo štátneho rozpočtu na roky 2019 až 2021 a kontroly jeho použitia CNS, ministerstvo nedodržalo § 8 ods. 1 zákona o finančnej kontrole a audite, podľa ktorého orgán verejnej správy je povinný vykonávať administratívnu finančnú kontrolu súladu každej finančnej operácie alebo jej časti so skutočnosťami uvedenými v § 6 ods. 4, ak orgán </w:t>
            </w:r>
            <w:r w:rsidR="007B1353">
              <w:rPr>
                <w:rFonts w:cs="Segoe UI"/>
                <w:sz w:val="18"/>
                <w:szCs w:val="18"/>
              </w:rPr>
              <w:t>VS</w:t>
            </w:r>
            <w:r w:rsidRPr="002D3A92">
              <w:rPr>
                <w:rFonts w:cs="Segoe UI"/>
                <w:sz w:val="18"/>
                <w:szCs w:val="18"/>
              </w:rPr>
              <w:t xml:space="preserve"> poskytne verejné financie inej osobe, alebo poskytol verejné financie inej osobe alebo ak sa poskytujú v súlade s osobitným predpisom (nariadenia EÚ). </w:t>
            </w:r>
          </w:p>
          <w:p w14:paraId="620B9834"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MH SR</w:t>
            </w:r>
          </w:p>
          <w:p w14:paraId="71DAF00F" w14:textId="542A4562"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Predložené správy zúčtovania poskytnutého transferu</w:t>
            </w:r>
            <w:r w:rsidR="00A53B88">
              <w:rPr>
                <w:rFonts w:cs="Segoe UI"/>
                <w:sz w:val="18"/>
                <w:szCs w:val="18"/>
              </w:rPr>
              <w:t>,</w:t>
            </w:r>
            <w:r w:rsidRPr="002D3A92">
              <w:rPr>
                <w:rFonts w:cs="Segoe UI"/>
                <w:sz w:val="18"/>
                <w:szCs w:val="18"/>
              </w:rPr>
              <w:t xml:space="preserve"> predkladané príspevkovými organizáciami</w:t>
            </w:r>
            <w:r w:rsidR="00A53B88">
              <w:rPr>
                <w:rFonts w:cs="Segoe UI"/>
                <w:sz w:val="18"/>
                <w:szCs w:val="18"/>
              </w:rPr>
              <w:t>,</w:t>
            </w:r>
            <w:r w:rsidRPr="002D3A92">
              <w:rPr>
                <w:rFonts w:cs="Segoe UI"/>
                <w:sz w:val="18"/>
                <w:szCs w:val="18"/>
              </w:rPr>
              <w:t xml:space="preserve"> neobsahovali účtovné doklady preukazujúce hospodárnosť, efektívnosť a účelnosť poskytnutých finančných prostriedkov, čím zo strany MH SR nebolo preukázané vykonávanie kontroly finančných prostriedkov poskytnutých príspevkovým organizáciám. </w:t>
            </w:r>
          </w:p>
          <w:p w14:paraId="7738623C"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MIRRI SR</w:t>
            </w:r>
          </w:p>
          <w:p w14:paraId="491DA27D" w14:textId="77F0C70D"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Z Usmernenia MF SR č. 2/2021-U k ukončeniu programov financovaných zo štrukturálnych fondov, KF a ENRF na programové obdobie 2014</w:t>
            </w:r>
            <w:r w:rsidR="00066B83">
              <w:rPr>
                <w:rFonts w:cs="Segoe UI"/>
                <w:sz w:val="18"/>
                <w:szCs w:val="18"/>
              </w:rPr>
              <w:t xml:space="preserve"> – </w:t>
            </w:r>
            <w:r w:rsidRPr="002D3A92">
              <w:rPr>
                <w:rFonts w:cs="Segoe UI"/>
                <w:sz w:val="18"/>
                <w:szCs w:val="18"/>
              </w:rPr>
              <w:t xml:space="preserve">2020, vyplývalo, že ak RO uzatvorí zmluvy o poskytnutí NFP s úspešnými žiadateľmi bez zabezpečenia zdrojového krytia v ŠR, poruší zákon č. 357/2015 Z. z. o finančnej kontrole a audite a akékoľvek finančné dôsledky znáša príslušná kapitola RO bez možnosti požiadania MF SR o dodatočné zdroje. MIRRI SR znižovalo alokáciu na PO5, na základe čoho došlo v súvislosti so spomenutým usmernením k uhradeniu sumy 9 252 919 EUR z kapitoly ŠR. </w:t>
            </w:r>
          </w:p>
          <w:p w14:paraId="10EF77A5"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ÚV SR (Úrad splnomocnenca vlády SR pre rómske komunity)</w:t>
            </w:r>
          </w:p>
          <w:p w14:paraId="4DCDAD70" w14:textId="6B11427E" w:rsidR="002B3D9A" w:rsidRPr="002D3A92" w:rsidRDefault="00066B83" w:rsidP="002B3D9A">
            <w:pPr>
              <w:pStyle w:val="Odsekzoznamu"/>
              <w:numPr>
                <w:ilvl w:val="0"/>
                <w:numId w:val="28"/>
              </w:numPr>
              <w:spacing w:line="240" w:lineRule="auto"/>
              <w:rPr>
                <w:rFonts w:cs="Segoe UI"/>
                <w:sz w:val="18"/>
                <w:szCs w:val="18"/>
              </w:rPr>
            </w:pPr>
            <w:r>
              <w:rPr>
                <w:rFonts w:cs="Segoe UI"/>
                <w:sz w:val="18"/>
                <w:szCs w:val="18"/>
              </w:rPr>
              <w:t>Paragraf</w:t>
            </w:r>
            <w:r w:rsidR="002B3D9A" w:rsidRPr="002D3A92">
              <w:rPr>
                <w:rFonts w:cs="Segoe UI"/>
                <w:sz w:val="18"/>
                <w:szCs w:val="18"/>
              </w:rPr>
              <w:t xml:space="preserve"> 6 ods. 3 a 4 tým, že pri overovaní základnej finančnej kontroly pri dohodách o vykonaní práce nebol zabezpečený súlad s cieľmi finančnej kontroly. Cieľom finančnej kontroly bolo najmä dodržiavanie hospodárnosti, efektívnosti, účinnosti a účelnosti pri hospodárení s verejnými financiami a realizácii finančnej operácie alebo jej časti. </w:t>
            </w:r>
          </w:p>
          <w:p w14:paraId="668379E0" w14:textId="1030D6E2" w:rsidR="002B3D9A" w:rsidRPr="002D3A92" w:rsidRDefault="00066B83" w:rsidP="002B3D9A">
            <w:pPr>
              <w:pStyle w:val="Odsekzoznamu"/>
              <w:numPr>
                <w:ilvl w:val="0"/>
                <w:numId w:val="28"/>
              </w:numPr>
              <w:spacing w:line="240" w:lineRule="auto"/>
              <w:rPr>
                <w:rFonts w:cs="Segoe UI"/>
                <w:sz w:val="18"/>
                <w:szCs w:val="18"/>
              </w:rPr>
            </w:pPr>
            <w:r>
              <w:rPr>
                <w:rFonts w:cs="Segoe UI"/>
                <w:sz w:val="18"/>
                <w:szCs w:val="18"/>
              </w:rPr>
              <w:t xml:space="preserve">Paragraf </w:t>
            </w:r>
            <w:r w:rsidR="002B3D9A" w:rsidRPr="002D3A92">
              <w:rPr>
                <w:rFonts w:cs="Segoe UI"/>
                <w:sz w:val="18"/>
                <w:szCs w:val="18"/>
              </w:rPr>
              <w:t xml:space="preserve">7 ods. 1, 2 a 3 tým, že kontrolné listy základnej finančnej kontroly neobsahovali vyjadrenie zamestnanca zodpovedného za rozpočet. </w:t>
            </w:r>
          </w:p>
          <w:p w14:paraId="5CE77E8F" w14:textId="3CB0605D" w:rsidR="002B3D9A" w:rsidRPr="002D3A92" w:rsidRDefault="00066B83" w:rsidP="002B3D9A">
            <w:pPr>
              <w:pStyle w:val="Odsekzoznamu"/>
              <w:numPr>
                <w:ilvl w:val="0"/>
                <w:numId w:val="28"/>
              </w:numPr>
              <w:spacing w:line="240" w:lineRule="auto"/>
              <w:rPr>
                <w:rFonts w:cs="Segoe UI"/>
                <w:sz w:val="18"/>
                <w:szCs w:val="18"/>
              </w:rPr>
            </w:pPr>
            <w:r>
              <w:rPr>
                <w:rFonts w:cs="Segoe UI"/>
                <w:sz w:val="18"/>
                <w:szCs w:val="18"/>
              </w:rPr>
              <w:t xml:space="preserve">Paragraf </w:t>
            </w:r>
            <w:r w:rsidR="002B3D9A" w:rsidRPr="002D3A92">
              <w:rPr>
                <w:rFonts w:cs="Segoe UI"/>
                <w:sz w:val="18"/>
                <w:szCs w:val="18"/>
              </w:rPr>
              <w:t xml:space="preserve"> 7 ods. 3 tým, že na kontrolnom liste k základnej finančnej kontrole absentujú dátumy jej vykonania a taktiež vyjadrenia či danú finančnú operáciu možno/nemožno vykonať, či vo finančnej operácii alebo jej časti možno/nemožno pokračovať alebo či poskytnuté plnenie treba/nie je potrebné vymáhať </w:t>
            </w:r>
            <w:r w:rsidR="001D255B">
              <w:rPr>
                <w:rFonts w:cs="Segoe UI"/>
                <w:sz w:val="18"/>
                <w:szCs w:val="18"/>
              </w:rPr>
              <w:t xml:space="preserve">od </w:t>
            </w:r>
            <w:r w:rsidR="002B3D9A" w:rsidRPr="002D3A92">
              <w:rPr>
                <w:rFonts w:cs="Segoe UI"/>
                <w:sz w:val="18"/>
                <w:szCs w:val="18"/>
              </w:rPr>
              <w:t>vecne príslušného organizačného útvaru.</w:t>
            </w:r>
          </w:p>
          <w:p w14:paraId="0919EB19" w14:textId="77777777" w:rsidR="008F35A2" w:rsidRPr="002D3A92" w:rsidRDefault="008F35A2" w:rsidP="008F35A2">
            <w:pPr>
              <w:spacing w:after="0" w:line="240" w:lineRule="auto"/>
              <w:rPr>
                <w:rFonts w:eastAsia="Times New Roman" w:cs="Segoe UI"/>
                <w:sz w:val="18"/>
                <w:szCs w:val="18"/>
                <w:u w:val="single"/>
              </w:rPr>
            </w:pPr>
            <w:r w:rsidRPr="002D3A92">
              <w:rPr>
                <w:rFonts w:eastAsia="Times New Roman" w:cs="Segoe UI"/>
                <w:sz w:val="18"/>
                <w:szCs w:val="18"/>
                <w:u w:val="single"/>
              </w:rPr>
              <w:t xml:space="preserve">RTVS (STVR) </w:t>
            </w:r>
          </w:p>
          <w:p w14:paraId="425CCC9D" w14:textId="77777777" w:rsidR="008F35A2" w:rsidRPr="002D3A92" w:rsidRDefault="008F35A2" w:rsidP="008F35A2">
            <w:pPr>
              <w:pStyle w:val="Odsekzoznamu"/>
              <w:numPr>
                <w:ilvl w:val="0"/>
                <w:numId w:val="28"/>
              </w:numPr>
              <w:spacing w:line="240" w:lineRule="auto"/>
              <w:rPr>
                <w:rFonts w:cs="Segoe UI"/>
                <w:sz w:val="18"/>
                <w:szCs w:val="18"/>
              </w:rPr>
            </w:pPr>
            <w:r w:rsidRPr="002D3A92">
              <w:rPr>
                <w:rFonts w:cs="Segoe UI"/>
                <w:sz w:val="18"/>
                <w:szCs w:val="18"/>
              </w:rPr>
              <w:t>Predložené vyúčtovania finančných nákladov, na ktoré bol použitý finančný vklad RTVS pri uzatvorených koprodukčných zmluvách</w:t>
            </w:r>
            <w:r>
              <w:rPr>
                <w:rFonts w:cs="Segoe UI"/>
                <w:sz w:val="18"/>
                <w:szCs w:val="18"/>
              </w:rPr>
              <w:t>,</w:t>
            </w:r>
            <w:r w:rsidRPr="002D3A92">
              <w:rPr>
                <w:rFonts w:cs="Segoe UI"/>
                <w:sz w:val="18"/>
                <w:szCs w:val="18"/>
              </w:rPr>
              <w:t xml:space="preserve"> neboli overené administratívnou finančnou kontrolou, čím kontrolovaný subjekt nepostupoval v súlade s § 6 ods. 4 a § 8 ods. 1 zákona o finančnej kontrole a audite. </w:t>
            </w:r>
          </w:p>
          <w:p w14:paraId="475580C5" w14:textId="77777777" w:rsidR="008F35A2" w:rsidRDefault="008F35A2" w:rsidP="002E1FF0">
            <w:pPr>
              <w:spacing w:after="0" w:line="240" w:lineRule="auto"/>
              <w:rPr>
                <w:rFonts w:eastAsia="Times New Roman" w:cs="Segoe UI"/>
                <w:sz w:val="18"/>
                <w:szCs w:val="18"/>
                <w:u w:val="single"/>
              </w:rPr>
            </w:pPr>
          </w:p>
          <w:p w14:paraId="37EF1B47" w14:textId="003D363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lastRenderedPageBreak/>
              <w:t xml:space="preserve">Samospráva (Magistrát hlavného mesta SR Bratislava, Magistrát mesta Košice a 18 okresných miest) </w:t>
            </w:r>
          </w:p>
          <w:p w14:paraId="6AF638C6" w14:textId="5F696B0C" w:rsidR="002B3D9A" w:rsidRDefault="002B3D9A" w:rsidP="002B3D9A">
            <w:pPr>
              <w:pStyle w:val="Odsekzoznamu"/>
              <w:numPr>
                <w:ilvl w:val="0"/>
                <w:numId w:val="28"/>
              </w:numPr>
              <w:spacing w:line="240" w:lineRule="auto"/>
              <w:rPr>
                <w:rFonts w:cs="Segoe UI"/>
                <w:sz w:val="18"/>
                <w:szCs w:val="18"/>
              </w:rPr>
            </w:pPr>
            <w:r w:rsidRPr="002D3A92">
              <w:rPr>
                <w:rFonts w:cs="Segoe UI"/>
                <w:sz w:val="18"/>
                <w:szCs w:val="18"/>
              </w:rPr>
              <w:t>Základná finančná kontrola nebola vykonaná vôbec alebo nesprávne.</w:t>
            </w:r>
          </w:p>
          <w:p w14:paraId="306524E8"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 xml:space="preserve">Fond na podporu umenia </w:t>
            </w:r>
          </w:p>
          <w:p w14:paraId="33459D11" w14:textId="587AB6AF"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Kontrolovaný subjekt vykonal administratívnu finančnú kontrolu (AFK) v 44  % všetkých vyúčtovaných zmlúv od vzniku fondu, t. z., že  FPU nevykonal</w:t>
            </w:r>
            <w:r w:rsidR="0039596F">
              <w:rPr>
                <w:rFonts w:cs="Segoe UI"/>
                <w:sz w:val="18"/>
                <w:szCs w:val="18"/>
              </w:rPr>
              <w:t>,</w:t>
            </w:r>
            <w:r w:rsidRPr="002D3A92">
              <w:rPr>
                <w:rFonts w:cs="Segoe UI"/>
                <w:sz w:val="18"/>
                <w:szCs w:val="18"/>
              </w:rPr>
              <w:t xml:space="preserve"> resp. neukončil </w:t>
            </w:r>
            <w:r w:rsidR="0039596F">
              <w:rPr>
                <w:rFonts w:cs="Segoe UI"/>
                <w:sz w:val="18"/>
                <w:szCs w:val="18"/>
              </w:rPr>
              <w:t xml:space="preserve">požadovanú </w:t>
            </w:r>
            <w:r w:rsidRPr="002D3A92">
              <w:rPr>
                <w:rFonts w:cs="Segoe UI"/>
                <w:sz w:val="18"/>
                <w:szCs w:val="18"/>
              </w:rPr>
              <w:t xml:space="preserve">administratívnu finančnú kontrolu v 12 836 prípadoch (56 %), čím nepostupoval v súlade s § 8 ods. 1 zákona o finančnej kontrole. </w:t>
            </w:r>
          </w:p>
          <w:p w14:paraId="10A76547"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 xml:space="preserve">Fond na podporu kultúry národnostných menšín </w:t>
            </w:r>
          </w:p>
          <w:p w14:paraId="00E50EF1" w14:textId="14FD1F3E"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 xml:space="preserve">Fond pred podpisom zmlúv o poskytnutí príspevku štátu zo ŠR na príslušné rozpočtové roky 2018 </w:t>
            </w:r>
            <w:r w:rsidR="0039596F" w:rsidRPr="002D3A92">
              <w:rPr>
                <w:rFonts w:cs="Segoe UI"/>
                <w:sz w:val="18"/>
                <w:szCs w:val="18"/>
              </w:rPr>
              <w:t>–</w:t>
            </w:r>
            <w:r w:rsidRPr="002D3A92">
              <w:rPr>
                <w:rFonts w:cs="Segoe UI"/>
                <w:sz w:val="18"/>
                <w:szCs w:val="18"/>
              </w:rPr>
              <w:t xml:space="preserve"> 2023 neoveril ZFK, či suma, ktorá mu má byť poskytnutá, je v súlade so zákonom o FPKNM a rovnako či zmluvné podmienky použitia poskytnutých finančných prostriedkov sú v súlade so zákonom o FPKNM. Týmto postupom fond porušil § 7 ods. 1 zákona o finančnej kontrole a audite, podľa ktorého je orgán VS povinný ZFK overovať vždy súlad každej finančnej operácie so skutočnosťami uvedenými v § 6 ods. 4 písm. d) zákona o finančnej kontrole a audite, podľa ktorého orgán verejnej správy finančnou kontrolou overuje súlad s osobitnými predpismi, v tomto prípade so zákonom o FPKNM, v spojení s ustanoveniami Metodického usmernenia sekcie auditu a kontroly MF SR č. MF/010871/2016 – 1411 k finančnej kontrole vykonávanej podľa zákona o finančnej kontrole a audite, vydaného na základe splnomocnenia § 3 písm. b) zákona o finančnej kontrole a audite. </w:t>
            </w:r>
          </w:p>
          <w:p w14:paraId="6E7AE53A" w14:textId="77777777"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FPKNM v kontrolovanom období neukončil AFK vecného vyhodnotenia a finančného vyúčtovania projektov v 5 710 prípadoch (61,44 %), čím nepostupoval v súlade s § 8 ods. 1 zákona o finančnej kontrole a audite, podľa ktorého je orgán VS povinný vykonať AFK súladu každej finančnej operácie alebo jej časti so skutočnosťami uvedenými v § 6 ods. 4 tohto zákona, ak poskytne verejné financie inej osobe alebo poskytol verejné financie inej osobe, alebo ak sa poskytujú v súlade s osobitným predpisom.</w:t>
            </w:r>
          </w:p>
          <w:p w14:paraId="7BB8CC51"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 xml:space="preserve">Audiovizuálny fond </w:t>
            </w:r>
          </w:p>
          <w:p w14:paraId="7B833A88" w14:textId="77777777"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 xml:space="preserve">AVF nevykonával ZFK pred uzatvorením zmlúv a dodatkov k uvedeným zmluvám a ani pri prijatí finančného príspevku zo ŠR od MK SR v období rokov 2021 – 2023, tým nepostupoval v súlade s § 7 ods. 1 zákona o finančnej kontrole a audite, podľa ktorého ZFK je orgán verejnej správy povinný overovať vždy súlad každej finančnej operácie alebo jej časti so skutočnosťami uvedenými v § 6 ods. 4 na príslušných stupňoch riadenia. </w:t>
            </w:r>
          </w:p>
          <w:p w14:paraId="74695E07" w14:textId="12246D22"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 xml:space="preserve">Fond nevykonával AFK v súlade s § 22 ods. 1 zákona o finančnej kontrole a audite, keďže výstupom AFK bolo „Stanovisko“ a nie „Správa“, čím fond nepostupoval v súlade s § 8 ods. 6 zákona o finančnej kontrole a audite, podľa ktorého sa na vykonávanie AFK použijú ustanovenia základných pravidiel finančnej kontroly a auditu podľa § 20 až </w:t>
            </w:r>
            <w:r w:rsidR="001204EB">
              <w:rPr>
                <w:rFonts w:cs="Segoe UI"/>
                <w:sz w:val="18"/>
                <w:szCs w:val="18"/>
              </w:rPr>
              <w:t xml:space="preserve">§ </w:t>
            </w:r>
            <w:r w:rsidRPr="002D3A92">
              <w:rPr>
                <w:rFonts w:cs="Segoe UI"/>
                <w:sz w:val="18"/>
                <w:szCs w:val="18"/>
              </w:rPr>
              <w:t xml:space="preserve">27 uvedeného zákona. </w:t>
            </w:r>
          </w:p>
          <w:p w14:paraId="09491EAB" w14:textId="02570102"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 xml:space="preserve">Na vybranej vzorke zmlúv o poskytnutí dotácie z finančných prostriedkov AVF na podporu AVK a AVP fond nepostupoval v súlade s § 7 ods. 1 až </w:t>
            </w:r>
            <w:r w:rsidR="001204EB">
              <w:rPr>
                <w:rFonts w:cs="Segoe UI"/>
                <w:sz w:val="18"/>
                <w:szCs w:val="18"/>
              </w:rPr>
              <w:t xml:space="preserve">ods. </w:t>
            </w:r>
            <w:r w:rsidRPr="002D3A92">
              <w:rPr>
                <w:rFonts w:cs="Segoe UI"/>
                <w:sz w:val="18"/>
                <w:szCs w:val="18"/>
              </w:rPr>
              <w:t xml:space="preserve">3  zákona o finančnej kontrole a audite, podľa ktorého je orgán verejnej správy povinný overovať vždy súlad každej finančnej operácie alebo jej časti so skutočnosťami uvedenými v § 6 ods. 4 zákona o finančnej kontrole a audite. </w:t>
            </w:r>
          </w:p>
          <w:p w14:paraId="552A3DCB" w14:textId="3DEFACBD"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Pri príjmovej operácii</w:t>
            </w:r>
            <w:r w:rsidR="001204EB">
              <w:rPr>
                <w:rFonts w:cs="Segoe UI"/>
                <w:sz w:val="18"/>
                <w:szCs w:val="18"/>
              </w:rPr>
              <w:t>,</w:t>
            </w:r>
            <w:r w:rsidRPr="002D3A92">
              <w:rPr>
                <w:rFonts w:cs="Segoe UI"/>
                <w:sz w:val="18"/>
                <w:szCs w:val="18"/>
              </w:rPr>
              <w:t xml:space="preserve"> akou bol aj administratívny poplatok, fond nevykonal ZFK na vybranej vzorke žiadostí o podporu AVK a AVP, čím nepostupoval v súlade s § 7 ods. 1 zákona o finančnej kontrole a audite. Vykonaním ZFK je orgán verejnej správy povinný overovať vždy súlad každej finančnej operácie alebo jej časti so skutočnosťami uvedenými v § 6 ods. 4 zákona o finančnej kontrole a audite. </w:t>
            </w:r>
          </w:p>
          <w:p w14:paraId="50916D03" w14:textId="3A81F72A"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Na vybranej vzorke deviatich zmlúv o poskytnutí dotácie z finančných prostriedkov AVF na podporu AVP</w:t>
            </w:r>
            <w:r w:rsidR="001204EB">
              <w:rPr>
                <w:rFonts w:cs="Segoe UI"/>
                <w:sz w:val="18"/>
                <w:szCs w:val="18"/>
              </w:rPr>
              <w:t>,</w:t>
            </w:r>
            <w:r w:rsidRPr="002D3A92">
              <w:rPr>
                <w:rFonts w:cs="Segoe UI"/>
                <w:sz w:val="18"/>
                <w:szCs w:val="18"/>
              </w:rPr>
              <w:t xml:space="preserve"> za kontrolované obdobie 2021 – 2023 fond nevykonal AFK, čím nepostupoval v súlade s § 8 ods. 1 zákona o finančnej kontrole a audite, podľa ktorého je</w:t>
            </w:r>
            <w:r w:rsidR="001204EB">
              <w:rPr>
                <w:rFonts w:cs="Segoe UI"/>
                <w:sz w:val="18"/>
                <w:szCs w:val="18"/>
              </w:rPr>
              <w:t>,</w:t>
            </w:r>
            <w:r w:rsidRPr="002D3A92">
              <w:rPr>
                <w:rFonts w:cs="Segoe UI"/>
                <w:sz w:val="18"/>
                <w:szCs w:val="18"/>
              </w:rPr>
              <w:t xml:space="preserve"> okrem iného</w:t>
            </w:r>
            <w:r w:rsidR="001204EB">
              <w:rPr>
                <w:rFonts w:cs="Segoe UI"/>
                <w:sz w:val="18"/>
                <w:szCs w:val="18"/>
              </w:rPr>
              <w:t>,</w:t>
            </w:r>
            <w:r w:rsidRPr="002D3A92">
              <w:rPr>
                <w:rFonts w:cs="Segoe UI"/>
                <w:sz w:val="18"/>
                <w:szCs w:val="18"/>
              </w:rPr>
              <w:t xml:space="preserve"> orgán verejnej správy povinný vykonávať AFK súladu každej finančnej operácie alebo jej časti so skutočnosťami uvedenými v § 6 ods. 4 zákona o finančnej kontrole a audite.</w:t>
            </w:r>
          </w:p>
          <w:p w14:paraId="760FE4E0" w14:textId="77777777" w:rsidR="002B3D9A" w:rsidRPr="002D3A92" w:rsidRDefault="002B3D9A" w:rsidP="002E1FF0">
            <w:pPr>
              <w:spacing w:line="240" w:lineRule="auto"/>
              <w:rPr>
                <w:rFonts w:cs="Segoe UI"/>
                <w:sz w:val="18"/>
                <w:szCs w:val="18"/>
              </w:rPr>
            </w:pPr>
            <w:r w:rsidRPr="002D3A92">
              <w:rPr>
                <w:rFonts w:eastAsia="Times New Roman" w:cs="Segoe UI"/>
                <w:b/>
                <w:sz w:val="18"/>
                <w:szCs w:val="18"/>
              </w:rPr>
              <w:t>Porušenia zákona 138/1991 Zb. o majetku obcí</w:t>
            </w:r>
          </w:p>
          <w:p w14:paraId="5ACC6EF1" w14:textId="77777777" w:rsidR="002B3D9A" w:rsidRPr="002D3A92" w:rsidRDefault="002B3D9A" w:rsidP="002E1FF0">
            <w:pPr>
              <w:spacing w:after="0" w:line="240" w:lineRule="auto"/>
              <w:rPr>
                <w:rFonts w:eastAsia="Times New Roman" w:cs="Segoe UI"/>
                <w:sz w:val="18"/>
                <w:szCs w:val="18"/>
                <w:u w:val="single"/>
              </w:rPr>
            </w:pPr>
            <w:r w:rsidRPr="002D3A92">
              <w:rPr>
                <w:rFonts w:eastAsia="Times New Roman" w:cs="Segoe UI"/>
                <w:sz w:val="18"/>
                <w:szCs w:val="18"/>
                <w:u w:val="single"/>
              </w:rPr>
              <w:t xml:space="preserve">Samospráva (Magistrát hlavného mesta SR Bratislava, Magistrát mesta Košice a 18 okresných miest) </w:t>
            </w:r>
          </w:p>
          <w:p w14:paraId="6FC90045" w14:textId="77777777" w:rsidR="002B3D9A" w:rsidRPr="002D3A92" w:rsidRDefault="002B3D9A" w:rsidP="002B3D9A">
            <w:pPr>
              <w:pStyle w:val="Odsekzoznamu"/>
              <w:numPr>
                <w:ilvl w:val="0"/>
                <w:numId w:val="28"/>
              </w:numPr>
              <w:spacing w:line="240" w:lineRule="auto"/>
              <w:rPr>
                <w:rFonts w:cs="Segoe UI"/>
                <w:sz w:val="18"/>
                <w:szCs w:val="18"/>
              </w:rPr>
            </w:pPr>
            <w:r w:rsidRPr="002D3A92">
              <w:rPr>
                <w:rFonts w:cs="Segoe UI"/>
                <w:sz w:val="18"/>
                <w:szCs w:val="18"/>
              </w:rPr>
              <w:t>Zásady hospodárenia neobsahovali povinné náležitosti, po zmene zákona neboli včas aktualizované.</w:t>
            </w:r>
          </w:p>
          <w:p w14:paraId="0D1C466A" w14:textId="36E23628" w:rsidR="002B3D9A" w:rsidRPr="002D3A92" w:rsidRDefault="002B3D9A" w:rsidP="002B3D9A">
            <w:pPr>
              <w:pStyle w:val="Odsekzoznamu"/>
              <w:numPr>
                <w:ilvl w:val="0"/>
                <w:numId w:val="28"/>
              </w:numPr>
              <w:spacing w:after="200" w:line="240" w:lineRule="auto"/>
              <w:rPr>
                <w:rFonts w:cs="Segoe UI"/>
                <w:sz w:val="18"/>
                <w:szCs w:val="18"/>
              </w:rPr>
            </w:pPr>
            <w:r w:rsidRPr="002D3A92">
              <w:rPr>
                <w:rFonts w:cs="Segoe UI"/>
                <w:sz w:val="18"/>
                <w:szCs w:val="18"/>
              </w:rPr>
              <w:t xml:space="preserve">Neboli využité všetky právne prostriedky na ochranu, zveľadenie a zhodnotenie majetku mesta </w:t>
            </w:r>
            <w:r w:rsidR="001D255B">
              <w:rPr>
                <w:rFonts w:cs="Segoe UI"/>
                <w:sz w:val="18"/>
                <w:szCs w:val="18"/>
              </w:rPr>
              <w:t>(</w:t>
            </w:r>
            <w:r w:rsidRPr="002D3A92">
              <w:rPr>
                <w:rFonts w:cs="Segoe UI"/>
                <w:sz w:val="18"/>
                <w:szCs w:val="18"/>
              </w:rPr>
              <w:t>neindexovanie nájmu, nevymáhanie pohľadávok</w:t>
            </w:r>
            <w:r w:rsidR="001D255B">
              <w:rPr>
                <w:rFonts w:cs="Segoe UI"/>
                <w:sz w:val="18"/>
                <w:szCs w:val="18"/>
              </w:rPr>
              <w:t>)</w:t>
            </w:r>
            <w:r w:rsidRPr="002D3A92">
              <w:rPr>
                <w:rFonts w:cs="Segoe UI"/>
                <w:sz w:val="18"/>
                <w:szCs w:val="18"/>
              </w:rPr>
              <w:t xml:space="preserve">. </w:t>
            </w:r>
          </w:p>
          <w:p w14:paraId="10C600FD" w14:textId="77777777" w:rsidR="002B3D9A" w:rsidRPr="002D3A92" w:rsidRDefault="002B3D9A" w:rsidP="002B3D9A">
            <w:pPr>
              <w:pStyle w:val="Odsekzoznamu"/>
              <w:numPr>
                <w:ilvl w:val="0"/>
                <w:numId w:val="28"/>
              </w:numPr>
              <w:spacing w:after="200" w:line="240" w:lineRule="auto"/>
              <w:rPr>
                <w:rFonts w:cs="Segoe UI"/>
                <w:sz w:val="18"/>
                <w:szCs w:val="18"/>
              </w:rPr>
            </w:pPr>
            <w:r w:rsidRPr="002D3A92">
              <w:rPr>
                <w:rFonts w:cs="Segoe UI"/>
                <w:sz w:val="18"/>
                <w:szCs w:val="18"/>
              </w:rPr>
              <w:t>Inštitút dôvodu osobitného zreteľa bol využívaný v rozpore so zákonom.</w:t>
            </w:r>
          </w:p>
        </w:tc>
      </w:tr>
    </w:tbl>
    <w:p w14:paraId="4CC53DAA" w14:textId="40147034" w:rsidR="00CC2B42" w:rsidRPr="003102B6" w:rsidRDefault="00CC2B42" w:rsidP="008A4BCF">
      <w:pPr>
        <w:pStyle w:val="Nadpis3"/>
        <w:ind w:left="0"/>
      </w:pPr>
    </w:p>
    <w:sectPr w:rsidR="00CC2B42" w:rsidRPr="003102B6" w:rsidSect="0035229D">
      <w:headerReference w:type="default" r:id="rId87"/>
      <w:footerReference w:type="default" r:id="rId88"/>
      <w:pgSz w:w="11906" w:h="16838"/>
      <w:pgMar w:top="1418" w:right="1418" w:bottom="1134" w:left="1418" w:header="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37B63A" w14:textId="77777777" w:rsidR="0071033B" w:rsidRDefault="0071033B" w:rsidP="004F10D0">
      <w:pPr>
        <w:spacing w:after="0" w:line="240" w:lineRule="auto"/>
      </w:pPr>
      <w:r>
        <w:separator/>
      </w:r>
    </w:p>
  </w:endnote>
  <w:endnote w:type="continuationSeparator" w:id="0">
    <w:p w14:paraId="68B16C42" w14:textId="77777777" w:rsidR="0071033B" w:rsidRDefault="0071033B" w:rsidP="004F10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Montserrat">
    <w:panose1 w:val="00000500000000000000"/>
    <w:charset w:val="EE"/>
    <w:family w:val="auto"/>
    <w:pitch w:val="variable"/>
    <w:sig w:usb0="2000020F" w:usb1="00000003" w:usb2="00000000" w:usb3="00000000" w:csb0="00000197" w:csb1="00000000"/>
  </w:font>
  <w:font w:name="Ebrima">
    <w:panose1 w:val="02000000000000000000"/>
    <w:charset w:val="EE"/>
    <w:family w:val="auto"/>
    <w:pitch w:val="variable"/>
    <w:sig w:usb0="A000005F" w:usb1="02000041" w:usb2="00000800" w:usb3="00000000" w:csb0="00000093" w:csb1="00000000"/>
  </w:font>
  <w:font w:name="+mn-ea">
    <w:panose1 w:val="00000000000000000000"/>
    <w:charset w:val="00"/>
    <w:family w:val="roman"/>
    <w:notTrueType/>
    <w:pitch w:val="default"/>
  </w:font>
  <w:font w:name="Arial Unicode MS">
    <w:panose1 w:val="020B0604020202020204"/>
    <w:charset w:val="00"/>
    <w:family w:val="roman"/>
    <w:pitch w:val="default"/>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A979B" w14:textId="77777777" w:rsidR="00C570EF" w:rsidRDefault="00C570EF">
    <w:pPr>
      <w:pStyle w:val="Pt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14E8A4" w14:textId="77777777" w:rsidR="00C570EF" w:rsidRDefault="00C570EF">
    <w:pPr>
      <w:pStyle w:val="Pt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C93A2D" w14:textId="77777777" w:rsidR="00C570EF" w:rsidRDefault="00C570EF">
    <w:pPr>
      <w:pStyle w:val="Pt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0417407"/>
      <w:docPartObj>
        <w:docPartGallery w:val="Page Numbers (Bottom of Page)"/>
        <w:docPartUnique/>
      </w:docPartObj>
    </w:sdtPr>
    <w:sdtEndPr>
      <w:rPr>
        <w:rFonts w:cs="Segoe UI"/>
      </w:rPr>
    </w:sdtEndPr>
    <w:sdtContent>
      <w:p w14:paraId="024BA635" w14:textId="3A179DE4" w:rsidR="005211A9" w:rsidRPr="00342AA2" w:rsidRDefault="005211A9" w:rsidP="00733BFD">
        <w:pPr>
          <w:pStyle w:val="Pta"/>
          <w:jc w:val="right"/>
          <w:rPr>
            <w:rFonts w:cs="Segoe UI"/>
          </w:rPr>
        </w:pPr>
        <w:r w:rsidRPr="00342AA2">
          <w:rPr>
            <w:rFonts w:cs="Segoe UI"/>
          </w:rPr>
          <w:fldChar w:fldCharType="begin"/>
        </w:r>
        <w:r w:rsidRPr="00342AA2">
          <w:rPr>
            <w:rFonts w:cs="Segoe UI"/>
          </w:rPr>
          <w:instrText>PAGE   \* MERGEFORMAT</w:instrText>
        </w:r>
        <w:r w:rsidRPr="00342AA2">
          <w:rPr>
            <w:rFonts w:cs="Segoe UI"/>
          </w:rPr>
          <w:fldChar w:fldCharType="separate"/>
        </w:r>
        <w:r w:rsidR="00C570EF">
          <w:rPr>
            <w:rFonts w:cs="Segoe UI"/>
            <w:noProof/>
          </w:rPr>
          <w:t>6</w:t>
        </w:r>
        <w:r w:rsidRPr="00342AA2">
          <w:rPr>
            <w:rFonts w:cs="Segoe UI"/>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0346954"/>
      <w:docPartObj>
        <w:docPartGallery w:val="Page Numbers (Bottom of Page)"/>
        <w:docPartUnique/>
      </w:docPartObj>
    </w:sdtPr>
    <w:sdtEndPr>
      <w:rPr>
        <w:rFonts w:cs="Segoe UI"/>
      </w:rPr>
    </w:sdtEndPr>
    <w:sdtContent>
      <w:p w14:paraId="7C45F4FB" w14:textId="2A93DBD6" w:rsidR="005211A9" w:rsidRPr="00342AA2" w:rsidRDefault="005211A9" w:rsidP="00733BFD">
        <w:pPr>
          <w:pStyle w:val="Pta"/>
          <w:jc w:val="right"/>
          <w:rPr>
            <w:rFonts w:cs="Segoe UI"/>
          </w:rPr>
        </w:pPr>
        <w:r w:rsidRPr="00342AA2">
          <w:rPr>
            <w:rFonts w:cs="Segoe UI"/>
          </w:rPr>
          <w:fldChar w:fldCharType="begin"/>
        </w:r>
        <w:r w:rsidRPr="00342AA2">
          <w:rPr>
            <w:rFonts w:cs="Segoe UI"/>
          </w:rPr>
          <w:instrText>PAGE   \* MERGEFORMAT</w:instrText>
        </w:r>
        <w:r w:rsidRPr="00342AA2">
          <w:rPr>
            <w:rFonts w:cs="Segoe UI"/>
          </w:rPr>
          <w:fldChar w:fldCharType="separate"/>
        </w:r>
        <w:r w:rsidR="00C570EF">
          <w:rPr>
            <w:rFonts w:cs="Segoe UI"/>
            <w:noProof/>
          </w:rPr>
          <w:t>71</w:t>
        </w:r>
        <w:r w:rsidRPr="00342AA2">
          <w:rPr>
            <w:rFonts w:cs="Segoe UI"/>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8204755"/>
      <w:docPartObj>
        <w:docPartGallery w:val="Page Numbers (Bottom of Page)"/>
        <w:docPartUnique/>
      </w:docPartObj>
    </w:sdtPr>
    <w:sdtEndPr>
      <w:rPr>
        <w:rFonts w:cs="Segoe UI"/>
      </w:rPr>
    </w:sdtEndPr>
    <w:sdtContent>
      <w:p w14:paraId="2AE942F9" w14:textId="6786E3FE" w:rsidR="005211A9" w:rsidRPr="00342AA2" w:rsidRDefault="005211A9" w:rsidP="00733BFD">
        <w:pPr>
          <w:pStyle w:val="Pta"/>
          <w:jc w:val="right"/>
          <w:rPr>
            <w:rFonts w:cs="Segoe UI"/>
          </w:rPr>
        </w:pPr>
        <w:r w:rsidRPr="00342AA2">
          <w:rPr>
            <w:rFonts w:cs="Segoe UI"/>
          </w:rPr>
          <w:fldChar w:fldCharType="begin"/>
        </w:r>
        <w:r w:rsidRPr="00342AA2">
          <w:rPr>
            <w:rFonts w:cs="Segoe UI"/>
          </w:rPr>
          <w:instrText>PAGE   \* MERGEFORMAT</w:instrText>
        </w:r>
        <w:r w:rsidRPr="00342AA2">
          <w:rPr>
            <w:rFonts w:cs="Segoe UI"/>
          </w:rPr>
          <w:fldChar w:fldCharType="separate"/>
        </w:r>
        <w:r w:rsidR="00C570EF">
          <w:rPr>
            <w:rFonts w:cs="Segoe UI"/>
            <w:noProof/>
          </w:rPr>
          <w:t>73</w:t>
        </w:r>
        <w:r w:rsidRPr="00342AA2">
          <w:rPr>
            <w:rFonts w:cs="Segoe UI"/>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5359340"/>
      <w:docPartObj>
        <w:docPartGallery w:val="Page Numbers (Bottom of Page)"/>
        <w:docPartUnique/>
      </w:docPartObj>
    </w:sdtPr>
    <w:sdtEndPr/>
    <w:sdtContent>
      <w:p w14:paraId="131C6052" w14:textId="104AEAE3" w:rsidR="005211A9" w:rsidRDefault="005211A9" w:rsidP="00733BFD">
        <w:pPr>
          <w:pStyle w:val="Pta"/>
          <w:jc w:val="right"/>
        </w:pPr>
        <w:r>
          <w:fldChar w:fldCharType="begin"/>
        </w:r>
        <w:r>
          <w:instrText>PAGE   \* MERGEFORMAT</w:instrText>
        </w:r>
        <w:r>
          <w:fldChar w:fldCharType="separate"/>
        </w:r>
        <w:r w:rsidR="00C570EF">
          <w:rPr>
            <w:noProof/>
          </w:rPr>
          <w:t>76</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4CFEEE" w14:textId="77777777" w:rsidR="0071033B" w:rsidRDefault="0071033B" w:rsidP="004F10D0">
      <w:pPr>
        <w:spacing w:after="0" w:line="240" w:lineRule="auto"/>
      </w:pPr>
      <w:r>
        <w:separator/>
      </w:r>
    </w:p>
  </w:footnote>
  <w:footnote w:type="continuationSeparator" w:id="0">
    <w:p w14:paraId="3B596492" w14:textId="77777777" w:rsidR="0071033B" w:rsidRDefault="0071033B" w:rsidP="004F10D0">
      <w:pPr>
        <w:spacing w:after="0" w:line="240" w:lineRule="auto"/>
      </w:pPr>
      <w:r>
        <w:continuationSeparator/>
      </w:r>
    </w:p>
  </w:footnote>
  <w:footnote w:id="1">
    <w:p w14:paraId="5965A4B2" w14:textId="77777777" w:rsidR="005211A9" w:rsidRDefault="005211A9" w:rsidP="00E351D4">
      <w:pPr>
        <w:pStyle w:val="Textpoznmkypodiarou"/>
      </w:pPr>
      <w:r>
        <w:rPr>
          <w:rStyle w:val="Odkaznapoznmkupodiarou"/>
        </w:rPr>
        <w:footnoteRef/>
      </w:r>
      <w:r>
        <w:t xml:space="preserve"> RRZ – Správa o dlhodobej udržateľnosti verejných financií za rok 2024. [</w:t>
      </w:r>
      <w:hyperlink r:id="rId1" w:history="1">
        <w:r w:rsidRPr="00082E39">
          <w:rPr>
            <w:rStyle w:val="Hypertextovprepojenie"/>
            <w:sz w:val="16"/>
          </w:rPr>
          <w:t>online</w:t>
        </w:r>
      </w:hyperlink>
      <w:r>
        <w:t>].</w:t>
      </w:r>
    </w:p>
  </w:footnote>
  <w:footnote w:id="2">
    <w:p w14:paraId="4F86C5B1" w14:textId="77777777" w:rsidR="005211A9" w:rsidRDefault="005211A9" w:rsidP="00D955C2">
      <w:pPr>
        <w:pStyle w:val="Textpoznmkypodiarou"/>
      </w:pPr>
      <w:r>
        <w:rPr>
          <w:rStyle w:val="Odkaznapoznmkupodiarou"/>
        </w:rPr>
        <w:footnoteRef/>
      </w:r>
      <w:r>
        <w:t xml:space="preserve"> </w:t>
      </w:r>
      <w:r w:rsidRPr="00B657C8">
        <w:t xml:space="preserve">EK – </w:t>
      </w:r>
      <w:proofErr w:type="spellStart"/>
      <w:r>
        <w:t>Debt</w:t>
      </w:r>
      <w:proofErr w:type="spellEnd"/>
      <w:r>
        <w:t xml:space="preserve"> </w:t>
      </w:r>
      <w:proofErr w:type="spellStart"/>
      <w:r>
        <w:t>Sustainability</w:t>
      </w:r>
      <w:proofErr w:type="spellEnd"/>
      <w:r>
        <w:t xml:space="preserve"> Monitor 2024</w:t>
      </w:r>
      <w:r w:rsidRPr="00B657C8">
        <w:t xml:space="preserve">. </w:t>
      </w:r>
      <w:hyperlink r:id="rId2" w:history="1">
        <w:r w:rsidRPr="00B657C8">
          <w:rPr>
            <w:rStyle w:val="Hypertextovprepojenie"/>
            <w:sz w:val="16"/>
          </w:rPr>
          <w:t>[online]</w:t>
        </w:r>
      </w:hyperlink>
      <w:r w:rsidRPr="00B657C8">
        <w:t>.</w:t>
      </w:r>
    </w:p>
  </w:footnote>
  <w:footnote w:id="3">
    <w:p w14:paraId="5C2B3D38" w14:textId="141272F0" w:rsidR="005211A9" w:rsidRDefault="005211A9" w:rsidP="0024075E">
      <w:pPr>
        <w:pStyle w:val="Textpoznmkypodiarou"/>
      </w:pPr>
      <w:r>
        <w:rPr>
          <w:rStyle w:val="Odkaznapoznmkupodiarou"/>
        </w:rPr>
        <w:footnoteRef/>
      </w:r>
      <w:r>
        <w:t xml:space="preserve"> </w:t>
      </w:r>
      <w:r w:rsidRPr="00C930EF">
        <w:t>Správa o výsledku z kontroly Strednodobé riadenie štátneho dlhu a</w:t>
      </w:r>
      <w:r>
        <w:t> </w:t>
      </w:r>
      <w:r w:rsidRPr="00C930EF">
        <w:t>likvidity</w:t>
      </w:r>
      <w:r>
        <w:t>. [</w:t>
      </w:r>
      <w:hyperlink r:id="rId3" w:history="1">
        <w:r w:rsidRPr="00C930EF">
          <w:rPr>
            <w:rStyle w:val="Hypertextovprepojenie"/>
            <w:sz w:val="16"/>
          </w:rPr>
          <w:t>online</w:t>
        </w:r>
      </w:hyperlink>
      <w:r>
        <w:t>].</w:t>
      </w:r>
    </w:p>
  </w:footnote>
  <w:footnote w:id="4">
    <w:p w14:paraId="05A4852E" w14:textId="77777777" w:rsidR="005211A9" w:rsidRDefault="005211A9" w:rsidP="00F4001C">
      <w:pPr>
        <w:pStyle w:val="Textpoznmkypodiarou"/>
      </w:pPr>
      <w:r>
        <w:rPr>
          <w:rStyle w:val="Odkaznapoznmkupodiarou"/>
        </w:rPr>
        <w:footnoteRef/>
      </w:r>
      <w:r>
        <w:t xml:space="preserve"> </w:t>
      </w:r>
      <w:r w:rsidRPr="00046FA3">
        <w:rPr>
          <w:rFonts w:eastAsia="Times New Roman" w:cs="Segoe UI"/>
        </w:rPr>
        <w:t xml:space="preserve">LVV zahŕňa maximálnu výšku časovo rozlíšených konsolidovaných výdavkov </w:t>
      </w:r>
      <w:r>
        <w:rPr>
          <w:rFonts w:eastAsia="Times New Roman" w:cs="Segoe UI"/>
        </w:rPr>
        <w:t>VS</w:t>
      </w:r>
      <w:r w:rsidRPr="00046FA3">
        <w:rPr>
          <w:rFonts w:eastAsia="Times New Roman" w:cs="Segoe UI"/>
        </w:rPr>
        <w:t xml:space="preserve"> v jednotnej metodike platnej pre EÚ bez úrokových výdavkov, prostriedkov z rozpočtu EÚ </w:t>
      </w:r>
      <w:r>
        <w:rPr>
          <w:rFonts w:eastAsia="Times New Roman" w:cs="Segoe UI"/>
        </w:rPr>
        <w:t xml:space="preserve">a </w:t>
      </w:r>
      <w:r w:rsidRPr="00046FA3">
        <w:rPr>
          <w:rFonts w:eastAsia="Times New Roman" w:cs="Segoe UI"/>
        </w:rPr>
        <w:t xml:space="preserve">POO, cyklických výdavkov na dávky v nezamestnanosti a jednorazových výdavkov. LVV sa vykazuje na akruálnej a konsolidovanej báze, pričom </w:t>
      </w:r>
      <w:r>
        <w:rPr>
          <w:rFonts w:eastAsia="Times New Roman" w:cs="Segoe UI"/>
        </w:rPr>
        <w:t>ŠR</w:t>
      </w:r>
      <w:r w:rsidRPr="00046FA3">
        <w:rPr>
          <w:rFonts w:eastAsia="Times New Roman" w:cs="Segoe UI"/>
        </w:rPr>
        <w:t xml:space="preserve"> a jeho priebežné plnenie sú na hotovostnej báze.</w:t>
      </w:r>
    </w:p>
  </w:footnote>
  <w:footnote w:id="5">
    <w:p w14:paraId="7C8AAC51" w14:textId="5DB7C344" w:rsidR="005211A9" w:rsidRPr="00E1440D" w:rsidRDefault="005211A9" w:rsidP="00AE4675">
      <w:pPr>
        <w:pStyle w:val="Textpoznmkypodiarou"/>
        <w:rPr>
          <w:rFonts w:cs="Segoe UI"/>
          <w:szCs w:val="16"/>
        </w:rPr>
      </w:pPr>
      <w:bookmarkStart w:id="24" w:name="_Hlk197442491"/>
      <w:bookmarkEnd w:id="24"/>
      <w:r w:rsidRPr="00E1440D">
        <w:rPr>
          <w:rStyle w:val="Odkaznapoznmkupodiarou"/>
          <w:rFonts w:cs="Segoe UI"/>
          <w:szCs w:val="16"/>
        </w:rPr>
        <w:footnoteRef/>
      </w:r>
      <w:r w:rsidRPr="00E1440D">
        <w:rPr>
          <w:rFonts w:cs="Segoe UI"/>
          <w:szCs w:val="16"/>
        </w:rPr>
        <w:t xml:space="preserve"> Ústredným orgánom štátnej správy pre centrálne riadenie informatizácie spoločnosti a tvorbu politiky je MIRRI SR, ktoré je gestorom medzirezortného programu 0EK – Informačné technológie financované zo </w:t>
      </w:r>
      <w:r>
        <w:rPr>
          <w:rFonts w:cs="Segoe UI"/>
          <w:szCs w:val="16"/>
        </w:rPr>
        <w:t>ŠR</w:t>
      </w:r>
      <w:r w:rsidRPr="00E1440D">
        <w:rPr>
          <w:rFonts w:cs="Segoe UI"/>
          <w:szCs w:val="16"/>
        </w:rPr>
        <w:t xml:space="preserve"> a zabezpečuje jednotný postup správcov kapitol </w:t>
      </w:r>
      <w:r>
        <w:rPr>
          <w:rFonts w:cs="Segoe UI"/>
          <w:szCs w:val="16"/>
        </w:rPr>
        <w:t>ŠR</w:t>
      </w:r>
      <w:r w:rsidRPr="00E1440D">
        <w:rPr>
          <w:rFonts w:cs="Segoe UI"/>
          <w:szCs w:val="16"/>
        </w:rPr>
        <w:t xml:space="preserve"> a ich RO a PO pri rozpočtovaní a realizácii IT nákupov.</w:t>
      </w:r>
    </w:p>
  </w:footnote>
  <w:footnote w:id="6">
    <w:p w14:paraId="259E1DCA" w14:textId="77777777" w:rsidR="005211A9" w:rsidRDefault="005211A9" w:rsidP="00C36DCD">
      <w:pPr>
        <w:pStyle w:val="Textpoznmkypodiarou"/>
      </w:pPr>
      <w:r>
        <w:rPr>
          <w:rStyle w:val="Odkaznapoznmkupodiarou"/>
        </w:rPr>
        <w:footnoteRef/>
      </w:r>
      <w:r>
        <w:t xml:space="preserve"> Príjmy z poistného od EAO tvoria príspevky od zamestnancov, zamestnávateľov, SZČO a dobrovoľne poistených osôb.</w:t>
      </w:r>
    </w:p>
  </w:footnote>
  <w:footnote w:id="7">
    <w:p w14:paraId="3976BF95" w14:textId="77777777" w:rsidR="005211A9" w:rsidRPr="00A66E65" w:rsidRDefault="005211A9" w:rsidP="001278BD">
      <w:pPr>
        <w:pStyle w:val="Textpoznmkypodiarou"/>
        <w:rPr>
          <w:rFonts w:cs="Segoe UI"/>
          <w:szCs w:val="16"/>
        </w:rPr>
      </w:pPr>
      <w:r w:rsidRPr="00A66E65">
        <w:rPr>
          <w:rStyle w:val="Odkaznapoznmkupodiarou"/>
          <w:rFonts w:cs="Segoe UI"/>
          <w:szCs w:val="16"/>
        </w:rPr>
        <w:footnoteRef/>
      </w:r>
      <w:r w:rsidRPr="00A66E65">
        <w:rPr>
          <w:rFonts w:cs="Segoe UI"/>
          <w:szCs w:val="16"/>
        </w:rPr>
        <w:t xml:space="preserve"> Analytická štúdia č. 7 – Ekonomické prínosy členstva Slovenska v EÚ. NBS. [</w:t>
      </w:r>
      <w:hyperlink r:id="rId4" w:history="1">
        <w:r w:rsidRPr="00A66E65">
          <w:rPr>
            <w:rStyle w:val="Hypertextovprepojenie"/>
            <w:rFonts w:cs="Segoe UI"/>
            <w:sz w:val="16"/>
            <w:szCs w:val="16"/>
          </w:rPr>
          <w:t>online</w:t>
        </w:r>
      </w:hyperlink>
      <w:r w:rsidRPr="00A66E65">
        <w:rPr>
          <w:rFonts w:cs="Segoe UI"/>
          <w:szCs w:val="16"/>
        </w:rPr>
        <w:t>].</w:t>
      </w:r>
    </w:p>
  </w:footnote>
  <w:footnote w:id="8">
    <w:p w14:paraId="7DA0F689" w14:textId="77777777" w:rsidR="005211A9" w:rsidRPr="00077BA8" w:rsidRDefault="005211A9" w:rsidP="001278BD">
      <w:pPr>
        <w:pStyle w:val="Textpoznmkypodiarou"/>
        <w:rPr>
          <w:rFonts w:cs="Segoe UI"/>
          <w:szCs w:val="16"/>
        </w:rPr>
      </w:pPr>
      <w:r w:rsidRPr="00077BA8">
        <w:rPr>
          <w:rStyle w:val="Odkaznapoznmkupodiarou"/>
          <w:rFonts w:cs="Segoe UI"/>
          <w:szCs w:val="16"/>
        </w:rPr>
        <w:footnoteRef/>
      </w:r>
      <w:r w:rsidRPr="00077BA8">
        <w:rPr>
          <w:rFonts w:cs="Segoe UI"/>
          <w:szCs w:val="16"/>
        </w:rPr>
        <w:t xml:space="preserve"> Cyperská republika (CY), Česká republika (CZ), Estónska republika (ET), Litovská republika (LT), Lotyšská republika (LV), Maďarsko (HU), Malta (MT), Poľská republika (PL) a Slovinská republika (SI).</w:t>
      </w:r>
    </w:p>
  </w:footnote>
  <w:footnote w:id="9">
    <w:p w14:paraId="797E91D5" w14:textId="0A6595EF" w:rsidR="005211A9" w:rsidRDefault="005211A9" w:rsidP="008A53BE">
      <w:pPr>
        <w:pStyle w:val="Textpoznmkypodiarou"/>
      </w:pPr>
      <w:r>
        <w:rPr>
          <w:rStyle w:val="Odkaznapoznmkupodiarou"/>
        </w:rPr>
        <w:footnoteRef/>
      </w:r>
      <w:r>
        <w:t xml:space="preserve"> Týka sa OP Integrovaná infraštruktúra (26,3 mil. eur), OP Kvalita životného prostredia (1,6 mil. eur), OP Ľudské zdroje (24,1 tis. eur), OP Efektívna verejná správa (4,1 mil. eur) a OP Technická pomoc (64,8 tis. eur). </w:t>
      </w:r>
    </w:p>
  </w:footnote>
  <w:footnote w:id="10">
    <w:p w14:paraId="07AD9C55" w14:textId="51289E2D" w:rsidR="005211A9" w:rsidRDefault="005211A9" w:rsidP="008A53BE">
      <w:pPr>
        <w:pStyle w:val="Textpoznmkypodiarou"/>
      </w:pPr>
      <w:r>
        <w:rPr>
          <w:rStyle w:val="Odkaznapoznmkupodiarou"/>
        </w:rPr>
        <w:footnoteRef/>
      </w:r>
      <w:r>
        <w:t xml:space="preserve"> </w:t>
      </w:r>
      <w:r w:rsidRPr="00D36E8B">
        <w:t>EK dňa 25.</w:t>
      </w:r>
      <w:r>
        <w:t xml:space="preserve"> </w:t>
      </w:r>
      <w:r w:rsidRPr="00D36E8B">
        <w:t>3.</w:t>
      </w:r>
      <w:r>
        <w:t xml:space="preserve"> </w:t>
      </w:r>
      <w:r w:rsidRPr="00D36E8B">
        <w:t xml:space="preserve">2025 informovala o prepočítanej sume </w:t>
      </w:r>
      <w:proofErr w:type="spellStart"/>
      <w:r w:rsidRPr="00D36E8B">
        <w:t>dekomitmentu</w:t>
      </w:r>
      <w:proofErr w:type="spellEnd"/>
      <w:r w:rsidRPr="00D36E8B">
        <w:t xml:space="preserve"> </w:t>
      </w:r>
      <w:r>
        <w:t xml:space="preserve">PRV 2014 – 2022 (EPFRV) </w:t>
      </w:r>
      <w:r w:rsidRPr="00D36E8B">
        <w:t>na úrovni 180,32 mil. eur</w:t>
      </w:r>
      <w:r>
        <w:t>.</w:t>
      </w:r>
    </w:p>
  </w:footnote>
  <w:footnote w:id="11">
    <w:p w14:paraId="1DFD378D" w14:textId="389AB0F3" w:rsidR="005211A9" w:rsidRDefault="005211A9">
      <w:pPr>
        <w:pStyle w:val="Textpoznmkypodiarou"/>
      </w:pPr>
      <w:r>
        <w:rPr>
          <w:rStyle w:val="Odkaznapoznmkupodiarou"/>
        </w:rPr>
        <w:footnoteRef/>
      </w:r>
      <w:r>
        <w:t xml:space="preserve"> </w:t>
      </w:r>
      <w:r w:rsidRPr="00C930EF">
        <w:t xml:space="preserve">Správa o výsledku z kontroly </w:t>
      </w:r>
      <w:r>
        <w:t>Miestne akčné skupiny. [</w:t>
      </w:r>
      <w:hyperlink r:id="rId5" w:history="1">
        <w:r w:rsidRPr="00C930EF">
          <w:rPr>
            <w:rStyle w:val="Hypertextovprepojenie"/>
            <w:sz w:val="16"/>
          </w:rPr>
          <w:t>online</w:t>
        </w:r>
      </w:hyperlink>
      <w:r>
        <w:t>].</w:t>
      </w:r>
    </w:p>
  </w:footnote>
  <w:footnote w:id="12">
    <w:p w14:paraId="75FC9722" w14:textId="77777777" w:rsidR="005211A9" w:rsidRDefault="005211A9" w:rsidP="006870DE">
      <w:pPr>
        <w:pStyle w:val="Textpoznmkypodiarou"/>
      </w:pPr>
      <w:r>
        <w:rPr>
          <w:rStyle w:val="Odkaznapoznmkupodiarou"/>
        </w:rPr>
        <w:footnoteRef/>
      </w:r>
      <w:r>
        <w:t xml:space="preserve"> Ide o poskytnuté zálohové platby, </w:t>
      </w:r>
      <w:proofErr w:type="spellStart"/>
      <w:r>
        <w:t>predfinancovania</w:t>
      </w:r>
      <w:proofErr w:type="spellEnd"/>
      <w:r>
        <w:t xml:space="preserve"> a refundácie z úrovne vykonávateľov na prijímateľov. Údaj neobsahuje vyplatené prostriedky POO vykonávateľom.</w:t>
      </w:r>
    </w:p>
  </w:footnote>
  <w:footnote w:id="13">
    <w:p w14:paraId="25119EA2" w14:textId="5C3E8E58" w:rsidR="005211A9" w:rsidRDefault="005211A9" w:rsidP="00901F91">
      <w:pPr>
        <w:pStyle w:val="Textpoznmkypodiarou"/>
      </w:pPr>
      <w:r>
        <w:rPr>
          <w:rStyle w:val="Odkaznapoznmkupodiarou"/>
        </w:rPr>
        <w:footnoteRef/>
      </w:r>
      <w:r>
        <w:t xml:space="preserve"> Ide o </w:t>
      </w:r>
      <w:proofErr w:type="spellStart"/>
      <w:r>
        <w:t>predfinancovanie</w:t>
      </w:r>
      <w:proofErr w:type="spellEnd"/>
      <w:r>
        <w:t xml:space="preserve"> vo výške 903,3 mil. eur </w:t>
      </w:r>
      <w:r w:rsidRPr="00C344F9">
        <w:t>a</w:t>
      </w:r>
      <w:r>
        <w:t> štyri uhradené priebežné platby z EK</w:t>
      </w:r>
      <w:r w:rsidRPr="00C344F9">
        <w:t xml:space="preserve"> v celkovej sume</w:t>
      </w:r>
      <w:r>
        <w:t xml:space="preserve"> 2 568,5 mil. </w:t>
      </w:r>
      <w:r w:rsidRPr="00C344F9">
        <w:t>eur.</w:t>
      </w:r>
    </w:p>
  </w:footnote>
  <w:footnote w:id="14">
    <w:p w14:paraId="034EDDAE" w14:textId="77777777" w:rsidR="005211A9" w:rsidRDefault="005211A9" w:rsidP="0040356E">
      <w:pPr>
        <w:pStyle w:val="Textpoznmkypodiarou"/>
      </w:pPr>
      <w:r>
        <w:rPr>
          <w:rStyle w:val="Odkaznapoznmkupodiarou"/>
        </w:rPr>
        <w:footnoteRef/>
      </w:r>
      <w:r>
        <w:t xml:space="preserve"> Stav k 7. 5. 2025. </w:t>
      </w:r>
      <w:r w:rsidRPr="003509B3">
        <w:rPr>
          <w:szCs w:val="16"/>
        </w:rPr>
        <w:t>[</w:t>
      </w:r>
      <w:hyperlink r:id="rId6" w:history="1">
        <w:r w:rsidRPr="003509B3">
          <w:rPr>
            <w:rStyle w:val="Hypertextovprepojenie"/>
            <w:sz w:val="16"/>
            <w:szCs w:val="16"/>
          </w:rPr>
          <w:t>online</w:t>
        </w:r>
      </w:hyperlink>
      <w:r w:rsidRPr="003509B3">
        <w:rPr>
          <w:szCs w:val="16"/>
          <w:u w:val="single"/>
        </w:rPr>
        <w:t>]</w:t>
      </w:r>
      <w:r>
        <w:rPr>
          <w:szCs w:val="16"/>
          <w:u w:val="single"/>
        </w:rPr>
        <w:t>.</w:t>
      </w:r>
    </w:p>
  </w:footnote>
  <w:footnote w:id="15">
    <w:p w14:paraId="039AFE28" w14:textId="2718533E" w:rsidR="005211A9" w:rsidRDefault="005211A9" w:rsidP="0040356E">
      <w:pPr>
        <w:pStyle w:val="Textpoznmkypodiarou"/>
      </w:pPr>
      <w:r>
        <w:rPr>
          <w:rStyle w:val="Odkaznapoznmkupodiarou"/>
        </w:rPr>
        <w:footnoteRef/>
      </w:r>
      <w:r>
        <w:t xml:space="preserve"> V zmysle aktuálne platnej verzie POO, ktorá abstrahuje od návrhu revízie POO, predloženej EK 21. 3. 2025, ktorá zatiaľ nebola schválená. </w:t>
      </w:r>
    </w:p>
  </w:footnote>
  <w:footnote w:id="16">
    <w:p w14:paraId="639B06DB" w14:textId="77777777" w:rsidR="005211A9" w:rsidRPr="004A617D" w:rsidRDefault="005211A9" w:rsidP="00776834">
      <w:pPr>
        <w:pStyle w:val="Textpoznmkypodiarou"/>
      </w:pPr>
      <w:r w:rsidRPr="004A617D">
        <w:rPr>
          <w:rStyle w:val="Odkaznapoznmkupodiarou"/>
        </w:rPr>
        <w:footnoteRef/>
      </w:r>
      <w:r w:rsidRPr="004A617D">
        <w:t xml:space="preserve"> KA-019/2024/1060 Prevencia a podpora zdravia. [</w:t>
      </w:r>
      <w:hyperlink r:id="rId7" w:history="1">
        <w:r w:rsidRPr="004A617D">
          <w:rPr>
            <w:rStyle w:val="Hypertextovprepojenie"/>
            <w:sz w:val="16"/>
          </w:rPr>
          <w:t>online</w:t>
        </w:r>
      </w:hyperlink>
      <w:r w:rsidRPr="004A617D">
        <w:t>].</w:t>
      </w:r>
    </w:p>
  </w:footnote>
  <w:footnote w:id="17">
    <w:p w14:paraId="5E3C8E9F" w14:textId="77777777" w:rsidR="005211A9" w:rsidRDefault="005211A9" w:rsidP="004A617D">
      <w:pPr>
        <w:pStyle w:val="Textpoznmkypodiarou"/>
      </w:pPr>
      <w:r>
        <w:rPr>
          <w:rStyle w:val="Odkaznapoznmkupodiarou"/>
        </w:rPr>
        <w:footnoteRef/>
      </w:r>
      <w:r>
        <w:t xml:space="preserve"> Rozdelenie výdavkov VZP a aj zmeny v ich štruktúre sú podstatnou mierou ovplyvnené vyhláškou </w:t>
      </w:r>
      <w:r w:rsidRPr="001611F3">
        <w:t>MZ SR 55/2024</w:t>
      </w:r>
      <w:r>
        <w:t xml:space="preserve">. </w:t>
      </w:r>
      <w:r w:rsidRPr="003C2CFC">
        <w:rPr>
          <w:rFonts w:cs="Segoe UI"/>
          <w:szCs w:val="16"/>
        </w:rPr>
        <w:t>[</w:t>
      </w:r>
      <w:hyperlink r:id="rId8" w:history="1">
        <w:r w:rsidRPr="003C2CFC">
          <w:rPr>
            <w:rStyle w:val="Hypertextovprepojenie"/>
            <w:rFonts w:cs="Segoe UI"/>
            <w:sz w:val="16"/>
            <w:szCs w:val="16"/>
          </w:rPr>
          <w:t>online</w:t>
        </w:r>
      </w:hyperlink>
      <w:r w:rsidRPr="003C2CFC">
        <w:rPr>
          <w:rFonts w:cs="Segoe UI"/>
          <w:szCs w:val="16"/>
        </w:rPr>
        <w:t>].</w:t>
      </w:r>
    </w:p>
  </w:footnote>
  <w:footnote w:id="18">
    <w:p w14:paraId="1481DE70" w14:textId="54D948B1" w:rsidR="005211A9" w:rsidRPr="00EA43BC" w:rsidRDefault="005211A9" w:rsidP="009E07F7">
      <w:pPr>
        <w:pStyle w:val="Textpoznmkypodiarou"/>
        <w:rPr>
          <w:szCs w:val="16"/>
        </w:rPr>
      </w:pPr>
      <w:r w:rsidRPr="00EA43BC">
        <w:rPr>
          <w:rStyle w:val="Odkaznapoznmkupodiarou"/>
          <w:szCs w:val="16"/>
        </w:rPr>
        <w:footnoteRef/>
      </w:r>
      <w:r w:rsidRPr="00EA43BC">
        <w:rPr>
          <w:szCs w:val="16"/>
        </w:rPr>
        <w:t xml:space="preserve"> </w:t>
      </w:r>
      <w:r>
        <w:rPr>
          <w:szCs w:val="16"/>
        </w:rPr>
        <w:t xml:space="preserve">ÚHP MF SR – </w:t>
      </w:r>
      <w:r w:rsidRPr="00EA43BC">
        <w:rPr>
          <w:szCs w:val="16"/>
        </w:rPr>
        <w:t>Revízia výdavko</w:t>
      </w:r>
      <w:r>
        <w:rPr>
          <w:szCs w:val="16"/>
        </w:rPr>
        <w:t xml:space="preserve">v </w:t>
      </w:r>
      <w:r w:rsidRPr="00EA43BC">
        <w:rPr>
          <w:szCs w:val="16"/>
        </w:rPr>
        <w:t>na nemocnice; marec 2025</w:t>
      </w:r>
      <w:r>
        <w:rPr>
          <w:szCs w:val="16"/>
        </w:rPr>
        <w:t>.</w:t>
      </w:r>
      <w:r w:rsidRPr="00EA43BC">
        <w:rPr>
          <w:szCs w:val="16"/>
        </w:rPr>
        <w:t xml:space="preserve"> </w:t>
      </w:r>
      <w:r w:rsidRPr="00EF538E">
        <w:rPr>
          <w:szCs w:val="16"/>
        </w:rPr>
        <w:t>[</w:t>
      </w:r>
      <w:hyperlink r:id="rId9" w:history="1">
        <w:r w:rsidRPr="00EF538E">
          <w:rPr>
            <w:rStyle w:val="Hypertextovprepojenie"/>
            <w:sz w:val="16"/>
            <w:szCs w:val="16"/>
          </w:rPr>
          <w:t>online</w:t>
        </w:r>
      </w:hyperlink>
      <w:r w:rsidRPr="00EF538E">
        <w:rPr>
          <w:szCs w:val="16"/>
        </w:rPr>
        <w:t>].</w:t>
      </w:r>
    </w:p>
  </w:footnote>
  <w:footnote w:id="19">
    <w:p w14:paraId="0E03F428" w14:textId="77777777" w:rsidR="005211A9" w:rsidRPr="009450D9" w:rsidRDefault="005211A9" w:rsidP="000B5CCE">
      <w:pPr>
        <w:pStyle w:val="Textpoznmkypodiarou"/>
        <w:rPr>
          <w:szCs w:val="16"/>
        </w:rPr>
      </w:pPr>
      <w:r w:rsidRPr="009450D9">
        <w:rPr>
          <w:rStyle w:val="Odkaznapoznmkupodiarou"/>
          <w:szCs w:val="16"/>
        </w:rPr>
        <w:footnoteRef/>
      </w:r>
      <w:r w:rsidRPr="009450D9">
        <w:rPr>
          <w:szCs w:val="16"/>
        </w:rPr>
        <w:t xml:space="preserve"> Zdravotnú poisťovňu od roku 2025 zmení viac ako 114-tisíc poistencov. ÚDZS. 2024. [</w:t>
      </w:r>
      <w:hyperlink r:id="rId10" w:history="1">
        <w:r w:rsidRPr="009450D9">
          <w:rPr>
            <w:rStyle w:val="Hypertextovprepojenie"/>
            <w:sz w:val="16"/>
            <w:szCs w:val="16"/>
          </w:rPr>
          <w:t>online</w:t>
        </w:r>
      </w:hyperlink>
      <w:r w:rsidRPr="009450D9">
        <w:rPr>
          <w:szCs w:val="16"/>
        </w:rPr>
        <w:t>].</w:t>
      </w:r>
    </w:p>
  </w:footnote>
  <w:footnote w:id="20">
    <w:p w14:paraId="5AB92CDD" w14:textId="45ACB58E" w:rsidR="005211A9" w:rsidRPr="00AE567E" w:rsidRDefault="005211A9" w:rsidP="00755AF5">
      <w:pPr>
        <w:pStyle w:val="Textpoznmkypodiarou"/>
        <w:rPr>
          <w:rFonts w:cs="Segoe UI"/>
          <w:szCs w:val="16"/>
        </w:rPr>
      </w:pPr>
      <w:r w:rsidRPr="00AE567E">
        <w:rPr>
          <w:rStyle w:val="Odkaznapoznmkupodiarou"/>
          <w:rFonts w:cs="Segoe UI"/>
          <w:szCs w:val="16"/>
        </w:rPr>
        <w:footnoteRef/>
      </w:r>
      <w:r w:rsidRPr="00AE567E">
        <w:rPr>
          <w:rFonts w:cs="Segoe UI"/>
          <w:szCs w:val="16"/>
        </w:rPr>
        <w:t xml:space="preserve"> Revízia výdavkov na zdravotníctvo – aktualizácia. [</w:t>
      </w:r>
      <w:hyperlink r:id="rId11" w:history="1">
        <w:r w:rsidRPr="00AE567E">
          <w:rPr>
            <w:rStyle w:val="Hypertextovprepojenie"/>
            <w:rFonts w:cs="Segoe UI"/>
            <w:sz w:val="16"/>
            <w:szCs w:val="16"/>
          </w:rPr>
          <w:t>online</w:t>
        </w:r>
      </w:hyperlink>
      <w:r w:rsidRPr="00AE567E">
        <w:rPr>
          <w:rFonts w:cs="Segoe UI"/>
          <w:szCs w:val="16"/>
        </w:rPr>
        <w:t>].</w:t>
      </w:r>
    </w:p>
  </w:footnote>
  <w:footnote w:id="21">
    <w:p w14:paraId="37AADAC2" w14:textId="6A941C3B" w:rsidR="005211A9" w:rsidRDefault="005211A9" w:rsidP="004B3278">
      <w:pPr>
        <w:pStyle w:val="Textpoznmkypodiarou"/>
      </w:pPr>
      <w:r>
        <w:rPr>
          <w:rStyle w:val="Odkaznapoznmkupodiarou"/>
        </w:rPr>
        <w:footnoteRef/>
      </w:r>
      <w:r>
        <w:t xml:space="preserve"> Niektoré z opatrení Revízie výdavkov na zdravotníctvo II., zamerané na liekovú politiku, neboli začaté a dosahujú nulové plnenie, a tak možno konštatovať, že systém VZP každoročne prichádza o prostriedky, prostredníctvom ktorých by bolo možné hradiť zdravotnú starostlivosť pre poistencov. Aj z tohto dôvodu je dôležité pokračovať v implementovaní úsporných opatrení na rok 2025 a začať pripravovať realistické potenciálne úspory na rok 2026 podľa nového implementačného plánu revízie výdavkov.</w:t>
      </w:r>
    </w:p>
  </w:footnote>
  <w:footnote w:id="22">
    <w:p w14:paraId="04C20F1B" w14:textId="417F4D20" w:rsidR="005211A9" w:rsidRPr="003C2CFC" w:rsidRDefault="005211A9" w:rsidP="004B3278">
      <w:pPr>
        <w:pStyle w:val="Textpoznmkypodiarou"/>
        <w:rPr>
          <w:rFonts w:cs="Segoe UI"/>
          <w:szCs w:val="16"/>
        </w:rPr>
      </w:pPr>
      <w:r w:rsidRPr="003C2CFC">
        <w:rPr>
          <w:rStyle w:val="Odkaznapoznmkupodiarou"/>
          <w:rFonts w:cs="Segoe UI"/>
          <w:szCs w:val="16"/>
        </w:rPr>
        <w:footnoteRef/>
      </w:r>
      <w:r w:rsidRPr="003C2CFC">
        <w:rPr>
          <w:rFonts w:cs="Segoe UI"/>
          <w:szCs w:val="16"/>
        </w:rPr>
        <w:t xml:space="preserve"> Veľká alokácia úspor bola </w:t>
      </w:r>
      <w:r>
        <w:rPr>
          <w:rFonts w:cs="Segoe UI"/>
          <w:szCs w:val="16"/>
        </w:rPr>
        <w:t>očakávaná</w:t>
      </w:r>
      <w:r w:rsidRPr="003C2CFC">
        <w:rPr>
          <w:rFonts w:cs="Segoe UI"/>
          <w:szCs w:val="16"/>
        </w:rPr>
        <w:t xml:space="preserve"> od centralizácie nákupu liekov a špecializovaného zdravotníckeho materiálu (ŠZM), ale tiež od redukcie nadbytočných vyšetrení na magnetickej rezonancii, počítačovej tomografii a laboratórnych vyšetrení. Zavedeni</w:t>
      </w:r>
      <w:r>
        <w:rPr>
          <w:rFonts w:cs="Segoe UI"/>
          <w:szCs w:val="16"/>
        </w:rPr>
        <w:t>e</w:t>
      </w:r>
      <w:r w:rsidRPr="003C2CFC">
        <w:rPr>
          <w:rFonts w:cs="Segoe UI"/>
          <w:szCs w:val="16"/>
        </w:rPr>
        <w:t xml:space="preserve"> </w:t>
      </w:r>
      <w:proofErr w:type="spellStart"/>
      <w:r w:rsidRPr="003C2CFC">
        <w:rPr>
          <w:rFonts w:cs="Segoe UI"/>
          <w:szCs w:val="16"/>
        </w:rPr>
        <w:t>referencovania</w:t>
      </w:r>
      <w:proofErr w:type="spellEnd"/>
      <w:r w:rsidRPr="003C2CFC">
        <w:rPr>
          <w:rFonts w:cs="Segoe UI"/>
          <w:szCs w:val="16"/>
        </w:rPr>
        <w:t xml:space="preserve"> cien na zdravotné pomôcky a ŠZM, ale aj </w:t>
      </w:r>
      <w:proofErr w:type="spellStart"/>
      <w:r w:rsidRPr="00D5363A">
        <w:rPr>
          <w:rFonts w:cs="Segoe UI"/>
          <w:szCs w:val="16"/>
        </w:rPr>
        <w:t>referencovanie</w:t>
      </w:r>
      <w:proofErr w:type="spellEnd"/>
      <w:r w:rsidRPr="003C2CFC">
        <w:rPr>
          <w:rFonts w:cs="Segoe UI"/>
          <w:szCs w:val="16"/>
        </w:rPr>
        <w:t xml:space="preserve"> cien výkonov so zahraničím sú tiež opatreniami na dosiahnutie úspor v</w:t>
      </w:r>
      <w:r>
        <w:rPr>
          <w:rFonts w:cs="Segoe UI"/>
          <w:szCs w:val="16"/>
        </w:rPr>
        <w:t> </w:t>
      </w:r>
      <w:r w:rsidRPr="003C2CFC">
        <w:rPr>
          <w:rFonts w:cs="Segoe UI"/>
          <w:szCs w:val="16"/>
        </w:rPr>
        <w:t>zdravotníctve</w:t>
      </w:r>
      <w:r>
        <w:rPr>
          <w:rFonts w:cs="Segoe UI"/>
          <w:szCs w:val="16"/>
        </w:rPr>
        <w:t>.</w:t>
      </w:r>
      <w:r w:rsidRPr="003C2CFC">
        <w:rPr>
          <w:rFonts w:cs="Segoe UI"/>
          <w:szCs w:val="16"/>
        </w:rPr>
        <w:t xml:space="preserve"> </w:t>
      </w:r>
      <w:r>
        <w:rPr>
          <w:rFonts w:cs="Segoe UI"/>
          <w:szCs w:val="16"/>
        </w:rPr>
        <w:t>S</w:t>
      </w:r>
      <w:r w:rsidRPr="003C2CFC">
        <w:rPr>
          <w:rFonts w:cs="Segoe UI"/>
          <w:szCs w:val="16"/>
        </w:rPr>
        <w:t>polu tak mala byť v týchto opatreniach definovaná úspora vo výške 82,6 mil. eur.</w:t>
      </w:r>
    </w:p>
  </w:footnote>
  <w:footnote w:id="23">
    <w:p w14:paraId="6CE698AE" w14:textId="77777777" w:rsidR="005211A9" w:rsidRPr="00745EFF" w:rsidRDefault="005211A9" w:rsidP="00BF38A4">
      <w:pPr>
        <w:pStyle w:val="Textpoznmkypodiarou"/>
        <w:rPr>
          <w:rFonts w:cs="Segoe UI"/>
          <w:szCs w:val="16"/>
        </w:rPr>
      </w:pPr>
      <w:r w:rsidRPr="00745EFF">
        <w:rPr>
          <w:rStyle w:val="Odkaznapoznmkupodiarou"/>
          <w:rFonts w:cs="Segoe UI"/>
          <w:szCs w:val="16"/>
        </w:rPr>
        <w:footnoteRef/>
      </w:r>
      <w:r w:rsidRPr="00745EFF">
        <w:rPr>
          <w:rFonts w:cs="Segoe UI"/>
          <w:szCs w:val="16"/>
        </w:rPr>
        <w:t xml:space="preserve"> Hodnotenie financovania nemocníc podľa všetkých dostupných zdrojov. 2025. [</w:t>
      </w:r>
      <w:hyperlink r:id="rId12" w:history="1">
        <w:r w:rsidRPr="00745EFF">
          <w:rPr>
            <w:rStyle w:val="Hypertextovprepojenie"/>
            <w:rFonts w:cs="Segoe UI"/>
            <w:sz w:val="16"/>
            <w:szCs w:val="16"/>
          </w:rPr>
          <w:t>online</w:t>
        </w:r>
      </w:hyperlink>
      <w:r w:rsidRPr="00745EFF">
        <w:rPr>
          <w:rFonts w:cs="Segoe UI"/>
          <w:szCs w:val="16"/>
        </w:rPr>
        <w:t>].</w:t>
      </w:r>
    </w:p>
  </w:footnote>
  <w:footnote w:id="24">
    <w:p w14:paraId="657C3947" w14:textId="20A9B952" w:rsidR="005211A9" w:rsidRPr="00745EFF" w:rsidRDefault="005211A9" w:rsidP="00BF38A4">
      <w:pPr>
        <w:pStyle w:val="Textpoznmkypodiarou"/>
        <w:rPr>
          <w:rFonts w:cs="Segoe UI"/>
          <w:szCs w:val="16"/>
        </w:rPr>
      </w:pPr>
      <w:r w:rsidRPr="00745EFF">
        <w:rPr>
          <w:rStyle w:val="Odkaznapoznmkupodiarou"/>
          <w:rFonts w:cs="Segoe UI"/>
          <w:szCs w:val="16"/>
        </w:rPr>
        <w:footnoteRef/>
      </w:r>
      <w:r w:rsidRPr="00745EFF">
        <w:rPr>
          <w:rFonts w:cs="Segoe UI"/>
          <w:szCs w:val="16"/>
        </w:rPr>
        <w:t xml:space="preserve"> Vyplýva z Dohôd o odpustení dlhu medzi spoločnosťou </w:t>
      </w:r>
      <w:proofErr w:type="spellStart"/>
      <w:r w:rsidRPr="00745EFF">
        <w:rPr>
          <w:rFonts w:cs="Segoe UI"/>
          <w:szCs w:val="16"/>
        </w:rPr>
        <w:t>Debitum</w:t>
      </w:r>
      <w:proofErr w:type="spellEnd"/>
      <w:r w:rsidRPr="00745EFF">
        <w:rPr>
          <w:rFonts w:cs="Segoe UI"/>
          <w:szCs w:val="16"/>
        </w:rPr>
        <w:t>, a.</w:t>
      </w:r>
      <w:r>
        <w:rPr>
          <w:rFonts w:cs="Segoe UI"/>
          <w:szCs w:val="16"/>
        </w:rPr>
        <w:t xml:space="preserve"> </w:t>
      </w:r>
      <w:r w:rsidRPr="00745EFF">
        <w:rPr>
          <w:rFonts w:cs="Segoe UI"/>
          <w:szCs w:val="16"/>
        </w:rPr>
        <w:t>s.</w:t>
      </w:r>
      <w:r>
        <w:rPr>
          <w:rFonts w:cs="Segoe UI"/>
          <w:szCs w:val="16"/>
        </w:rPr>
        <w:t>,</w:t>
      </w:r>
      <w:r w:rsidRPr="00745EFF">
        <w:rPr>
          <w:rFonts w:cs="Segoe UI"/>
          <w:szCs w:val="16"/>
        </w:rPr>
        <w:t xml:space="preserve"> a UN a FN. [</w:t>
      </w:r>
      <w:hyperlink r:id="rId13" w:history="1">
        <w:r w:rsidRPr="00745EFF">
          <w:rPr>
            <w:rStyle w:val="Hypertextovprepojenie"/>
            <w:rFonts w:cs="Segoe UI"/>
            <w:sz w:val="16"/>
            <w:szCs w:val="16"/>
          </w:rPr>
          <w:t>online</w:t>
        </w:r>
      </w:hyperlink>
      <w:r w:rsidRPr="00745EFF">
        <w:rPr>
          <w:rFonts w:cs="Segoe UI"/>
          <w:szCs w:val="16"/>
        </w:rPr>
        <w:t>].</w:t>
      </w:r>
    </w:p>
  </w:footnote>
  <w:footnote w:id="25">
    <w:p w14:paraId="69AE528D" w14:textId="77777777" w:rsidR="005211A9" w:rsidRPr="00593606" w:rsidRDefault="005211A9" w:rsidP="00BF38A4">
      <w:pPr>
        <w:pStyle w:val="Textpoznmkypodiarou"/>
        <w:rPr>
          <w:rFonts w:cs="Segoe UI"/>
          <w:szCs w:val="16"/>
        </w:rPr>
      </w:pPr>
      <w:r w:rsidRPr="00593606">
        <w:rPr>
          <w:rStyle w:val="Odkaznapoznmkupodiarou"/>
          <w:rFonts w:cs="Segoe UI"/>
          <w:szCs w:val="16"/>
        </w:rPr>
        <w:footnoteRef/>
      </w:r>
      <w:r w:rsidRPr="00593606">
        <w:rPr>
          <w:rFonts w:cs="Segoe UI"/>
          <w:szCs w:val="16"/>
        </w:rPr>
        <w:t xml:space="preserve"> UNB – Univerzitná nemocnica v Bratislave, UNKE – Univerzitná nemocnica v Košiciach, UNM – Univerzitná nemocnica v Martine, FNPO – Fakultná nemocnica Prešov, FNBB – Fakultná nemocnica Banská Bystrica, FNTN – Fakultná nemocnica Trenčín, FNTT – Fakultná nemocnica Trnava, FNTA – Fakultná nemocnica Žilina, NÚDCH – Národný ústav detských chorôb, FNNZ – Fakultná nemocnica Nové Zámky, FNNR – Fakultná nemocnica Nitra, DFNKE – Detská fakultná nemocnica Košice, DFNBB – Detská fakultná nemocnica Banská Bystrica.</w:t>
      </w:r>
    </w:p>
  </w:footnote>
  <w:footnote w:id="26">
    <w:p w14:paraId="5E136EE3" w14:textId="77777777" w:rsidR="005211A9" w:rsidRDefault="005211A9" w:rsidP="00273FE3">
      <w:pPr>
        <w:pStyle w:val="Textpoznmkypodiarou"/>
      </w:pPr>
      <w:r>
        <w:rPr>
          <w:rStyle w:val="Odkaznapoznmkupodiarou"/>
        </w:rPr>
        <w:footnoteRef/>
      </w:r>
      <w:r>
        <w:t xml:space="preserve"> </w:t>
      </w:r>
      <w:r w:rsidRPr="0029088E">
        <w:rPr>
          <w:rFonts w:cs="Segoe UI"/>
          <w:szCs w:val="16"/>
        </w:rPr>
        <w:t>Rozsudok Súdneho dvora EÚ. [</w:t>
      </w:r>
      <w:hyperlink r:id="rId14" w:history="1">
        <w:r w:rsidRPr="0029088E">
          <w:rPr>
            <w:rStyle w:val="Hypertextovprepojenie"/>
            <w:rFonts w:cs="Segoe UI"/>
            <w:sz w:val="16"/>
            <w:szCs w:val="16"/>
          </w:rPr>
          <w:t>online</w:t>
        </w:r>
      </w:hyperlink>
      <w:r w:rsidRPr="0029088E">
        <w:rPr>
          <w:rFonts w:cs="Segoe UI"/>
          <w:szCs w:val="16"/>
        </w:rPr>
        <w:t>].</w:t>
      </w:r>
    </w:p>
  </w:footnote>
  <w:footnote w:id="27">
    <w:p w14:paraId="7A8F5445" w14:textId="5869A695" w:rsidR="005211A9" w:rsidRPr="00865377" w:rsidRDefault="005211A9">
      <w:pPr>
        <w:pStyle w:val="Textpoznmkypodiarou"/>
        <w:rPr>
          <w:szCs w:val="16"/>
        </w:rPr>
      </w:pPr>
      <w:r w:rsidRPr="00865377">
        <w:rPr>
          <w:rStyle w:val="Odkaznapoznmkupodiarou"/>
          <w:szCs w:val="16"/>
        </w:rPr>
        <w:footnoteRef/>
      </w:r>
      <w:r w:rsidRPr="00865377">
        <w:rPr>
          <w:szCs w:val="16"/>
        </w:rPr>
        <w:t xml:space="preserve"> Správa z kontroly</w:t>
      </w:r>
      <w:r w:rsidRPr="00865377">
        <w:rPr>
          <w:rFonts w:cs="Segoe UI"/>
          <w:szCs w:val="16"/>
        </w:rPr>
        <w:t xml:space="preserve"> Záväzky zdravotníckych zariadení. [</w:t>
      </w:r>
      <w:hyperlink r:id="rId15" w:history="1">
        <w:r w:rsidRPr="00865377">
          <w:rPr>
            <w:rStyle w:val="Hypertextovprepojenie"/>
            <w:rFonts w:cs="Segoe UI"/>
            <w:sz w:val="16"/>
            <w:szCs w:val="16"/>
          </w:rPr>
          <w:t>online</w:t>
        </w:r>
      </w:hyperlink>
      <w:r w:rsidRPr="00865377">
        <w:rPr>
          <w:rFonts w:cs="Segoe UI"/>
          <w:szCs w:val="16"/>
        </w:rPr>
        <w:t>].</w:t>
      </w:r>
    </w:p>
  </w:footnote>
  <w:footnote w:id="28">
    <w:p w14:paraId="13A7E3D0" w14:textId="39334082" w:rsidR="005211A9" w:rsidRPr="00865377" w:rsidRDefault="005211A9">
      <w:pPr>
        <w:pStyle w:val="Textpoznmkypodiarou"/>
        <w:rPr>
          <w:szCs w:val="16"/>
        </w:rPr>
      </w:pPr>
      <w:r w:rsidRPr="00865377">
        <w:rPr>
          <w:rStyle w:val="Odkaznapoznmkupodiarou"/>
          <w:szCs w:val="16"/>
        </w:rPr>
        <w:footnoteRef/>
      </w:r>
      <w:r w:rsidRPr="00865377">
        <w:rPr>
          <w:szCs w:val="16"/>
        </w:rPr>
        <w:t xml:space="preserve"> Správa z kontroly </w:t>
      </w:r>
      <w:r w:rsidRPr="00865377">
        <w:rPr>
          <w:rFonts w:cs="Segoe UI"/>
          <w:szCs w:val="16"/>
        </w:rPr>
        <w:t>Úhradové mechanizmy vo vybranej zdravotnej starostlivosti</w:t>
      </w:r>
      <w:r>
        <w:rPr>
          <w:rFonts w:cs="Segoe UI"/>
          <w:szCs w:val="16"/>
        </w:rPr>
        <w:t>,</w:t>
      </w:r>
      <w:r w:rsidRPr="00865377">
        <w:rPr>
          <w:rFonts w:cs="Segoe UI"/>
          <w:szCs w:val="16"/>
        </w:rPr>
        <w:t xml:space="preserve"> poskytovanej na základe verejného zdravotného poistenia. [</w:t>
      </w:r>
      <w:hyperlink r:id="rId16" w:history="1">
        <w:r w:rsidRPr="00865377">
          <w:rPr>
            <w:rStyle w:val="Hypertextovprepojenie"/>
            <w:rFonts w:cs="Segoe UI"/>
            <w:sz w:val="16"/>
            <w:szCs w:val="16"/>
          </w:rPr>
          <w:t>online</w:t>
        </w:r>
      </w:hyperlink>
      <w:r w:rsidRPr="00865377">
        <w:rPr>
          <w:rFonts w:cs="Segoe UI"/>
          <w:szCs w:val="16"/>
        </w:rPr>
        <w:t>].</w:t>
      </w:r>
    </w:p>
  </w:footnote>
  <w:footnote w:id="29">
    <w:p w14:paraId="423BC63C" w14:textId="77777777" w:rsidR="005211A9" w:rsidRDefault="005211A9" w:rsidP="00C6546E">
      <w:pPr>
        <w:pStyle w:val="Textpoznmkypodiarou"/>
      </w:pPr>
      <w:r>
        <w:rPr>
          <w:rStyle w:val="Odkaznapoznmkupodiarou"/>
        </w:rPr>
        <w:footnoteRef/>
      </w:r>
      <w:r>
        <w:t xml:space="preserve"> MH SR – </w:t>
      </w:r>
      <w:r w:rsidRPr="00133335">
        <w:t>Kompenzácie a dotácie cien energií</w:t>
      </w:r>
      <w:r>
        <w:t>. [</w:t>
      </w:r>
      <w:hyperlink r:id="rId17" w:history="1">
        <w:r w:rsidRPr="00133335">
          <w:rPr>
            <w:rStyle w:val="Hypertextovprepojenie"/>
            <w:sz w:val="16"/>
          </w:rPr>
          <w:t>online</w:t>
        </w:r>
      </w:hyperlink>
      <w:r>
        <w:t>].</w:t>
      </w:r>
    </w:p>
  </w:footnote>
  <w:footnote w:id="30">
    <w:p w14:paraId="0A30C617" w14:textId="77777777" w:rsidR="005211A9" w:rsidRDefault="005211A9" w:rsidP="00C6546E">
      <w:pPr>
        <w:pStyle w:val="Textpoznmkypodiarou"/>
      </w:pPr>
      <w:r>
        <w:rPr>
          <w:rStyle w:val="Odkaznapoznmkupodiarou"/>
        </w:rPr>
        <w:footnoteRef/>
      </w:r>
      <w:r>
        <w:t xml:space="preserve"> Nariadenie vlády SR č. 472/2023 Z. z. [</w:t>
      </w:r>
      <w:hyperlink r:id="rId18" w:history="1">
        <w:r w:rsidRPr="00AC2A9F">
          <w:rPr>
            <w:rStyle w:val="Hypertextovprepojenie"/>
            <w:sz w:val="16"/>
          </w:rPr>
          <w:t>online</w:t>
        </w:r>
      </w:hyperlink>
      <w:r>
        <w:t>].</w:t>
      </w:r>
    </w:p>
  </w:footnote>
  <w:footnote w:id="31">
    <w:p w14:paraId="0C2C0F1D" w14:textId="77777777" w:rsidR="005211A9" w:rsidRDefault="005211A9" w:rsidP="00C6546E">
      <w:pPr>
        <w:pStyle w:val="Textpoznmkypodiarou"/>
      </w:pPr>
      <w:r>
        <w:rPr>
          <w:rStyle w:val="Odkaznapoznmkupodiarou"/>
        </w:rPr>
        <w:footnoteRef/>
      </w:r>
      <w:r>
        <w:t xml:space="preserve"> Nariadenie vlády SR č. 463/2023 Z. z. [</w:t>
      </w:r>
      <w:hyperlink r:id="rId19" w:history="1">
        <w:r w:rsidRPr="00AC2A9F">
          <w:rPr>
            <w:rStyle w:val="Hypertextovprepojenie"/>
            <w:sz w:val="16"/>
          </w:rPr>
          <w:t>online</w:t>
        </w:r>
      </w:hyperlink>
      <w:r>
        <w:t>].</w:t>
      </w:r>
    </w:p>
  </w:footnote>
  <w:footnote w:id="32">
    <w:p w14:paraId="114C8C34" w14:textId="77777777" w:rsidR="005211A9" w:rsidRDefault="005211A9" w:rsidP="00C6546E">
      <w:pPr>
        <w:pStyle w:val="Textpoznmkypodiarou"/>
      </w:pPr>
      <w:r>
        <w:rPr>
          <w:rStyle w:val="Odkaznapoznmkupodiarou"/>
        </w:rPr>
        <w:footnoteRef/>
      </w:r>
      <w:r>
        <w:t xml:space="preserve"> Nariadenie vlády SR č. 475/2023 Z. z. [</w:t>
      </w:r>
      <w:hyperlink r:id="rId20" w:history="1">
        <w:r w:rsidRPr="00AC2A9F">
          <w:rPr>
            <w:rStyle w:val="Hypertextovprepojenie"/>
            <w:sz w:val="16"/>
          </w:rPr>
          <w:t>online</w:t>
        </w:r>
      </w:hyperlink>
      <w:r>
        <w:t>].</w:t>
      </w:r>
    </w:p>
  </w:footnote>
  <w:footnote w:id="33">
    <w:p w14:paraId="6855C9DE" w14:textId="77777777" w:rsidR="005211A9" w:rsidRDefault="005211A9" w:rsidP="00F77FDB">
      <w:pPr>
        <w:pStyle w:val="Textpoznmkypodiarou"/>
      </w:pPr>
      <w:r>
        <w:rPr>
          <w:rStyle w:val="Odkaznapoznmkupodiarou"/>
        </w:rPr>
        <w:footnoteRef/>
      </w:r>
      <w:r>
        <w:t xml:space="preserve"> Skutočné využitie </w:t>
      </w:r>
      <w:proofErr w:type="spellStart"/>
      <w:r>
        <w:t>open</w:t>
      </w:r>
      <w:proofErr w:type="spellEnd"/>
      <w:r>
        <w:t xml:space="preserve"> </w:t>
      </w:r>
      <w:proofErr w:type="spellStart"/>
      <w:r>
        <w:t>access</w:t>
      </w:r>
      <w:proofErr w:type="spellEnd"/>
      <w:r>
        <w:t xml:space="preserve"> publikovania článkov na celkovom balíku predplatného bolo vo vydavateľstve </w:t>
      </w:r>
      <w:proofErr w:type="spellStart"/>
      <w:r>
        <w:t>SpringerNature</w:t>
      </w:r>
      <w:proofErr w:type="spellEnd"/>
      <w:r>
        <w:t xml:space="preserve"> na úrovni 80,2 %, v </w:t>
      </w:r>
      <w:proofErr w:type="spellStart"/>
      <w:r>
        <w:t>Elsevier</w:t>
      </w:r>
      <w:proofErr w:type="spellEnd"/>
      <w:r>
        <w:t xml:space="preserve"> na úrovni 100 % a v IEEE dosiahlo úroveň 92,5 %.</w:t>
      </w:r>
    </w:p>
  </w:footnote>
  <w:footnote w:id="34">
    <w:p w14:paraId="3E2E3ADE" w14:textId="77777777" w:rsidR="005211A9" w:rsidRDefault="005211A9" w:rsidP="00F77FDB">
      <w:pPr>
        <w:pStyle w:val="Textpoznmkypodiarou"/>
      </w:pPr>
      <w:r>
        <w:rPr>
          <w:rStyle w:val="Odkaznapoznmkupodiarou"/>
        </w:rPr>
        <w:footnoteRef/>
      </w:r>
      <w:r>
        <w:t xml:space="preserve"> </w:t>
      </w:r>
      <w:r w:rsidRPr="00692141">
        <w:rPr>
          <w:szCs w:val="16"/>
        </w:rPr>
        <w:t>Stanovisko NKÚ SR k Návrhu štátneho záverečného účtu SR za rok 2023. [</w:t>
      </w:r>
      <w:hyperlink r:id="rId21" w:history="1">
        <w:r w:rsidRPr="00692141">
          <w:rPr>
            <w:rStyle w:val="Hypertextovprepojenie"/>
            <w:sz w:val="16"/>
            <w:szCs w:val="16"/>
          </w:rPr>
          <w:t>online</w:t>
        </w:r>
      </w:hyperlink>
      <w:r w:rsidRPr="00692141">
        <w:rPr>
          <w:szCs w:val="16"/>
        </w:rPr>
        <w:t>].</w:t>
      </w:r>
    </w:p>
  </w:footnote>
  <w:footnote w:id="35">
    <w:p w14:paraId="5D1BEBC4" w14:textId="77777777" w:rsidR="005211A9" w:rsidRPr="00692141" w:rsidRDefault="005211A9" w:rsidP="00643864">
      <w:pPr>
        <w:pStyle w:val="Textpoznmkypodiarou"/>
        <w:rPr>
          <w:szCs w:val="16"/>
        </w:rPr>
      </w:pPr>
      <w:r w:rsidRPr="00692141">
        <w:rPr>
          <w:rStyle w:val="Odkaznapoznmkupodiarou"/>
          <w:szCs w:val="16"/>
        </w:rPr>
        <w:footnoteRef/>
      </w:r>
      <w:r w:rsidRPr="00692141">
        <w:rPr>
          <w:szCs w:val="16"/>
        </w:rPr>
        <w:t xml:space="preserve"> Stanovisko NKÚ SR k Návrhu štátneho záverečného účtu SR za rok 2022. [</w:t>
      </w:r>
      <w:hyperlink r:id="rId22" w:history="1">
        <w:r w:rsidRPr="00692141">
          <w:rPr>
            <w:rStyle w:val="Hypertextovprepojenie"/>
            <w:sz w:val="16"/>
            <w:szCs w:val="16"/>
          </w:rPr>
          <w:t>online</w:t>
        </w:r>
      </w:hyperlink>
      <w:r w:rsidRPr="00692141">
        <w:rPr>
          <w:szCs w:val="16"/>
        </w:rPr>
        <w:t>].</w:t>
      </w:r>
    </w:p>
  </w:footnote>
  <w:footnote w:id="36">
    <w:p w14:paraId="1330AE00" w14:textId="77777777" w:rsidR="005211A9" w:rsidRPr="00692141" w:rsidRDefault="005211A9" w:rsidP="00643864">
      <w:pPr>
        <w:pStyle w:val="Textpoznmkypodiarou"/>
        <w:rPr>
          <w:szCs w:val="16"/>
        </w:rPr>
      </w:pPr>
      <w:r w:rsidRPr="00692141">
        <w:rPr>
          <w:rStyle w:val="Odkaznapoznmkupodiarou"/>
          <w:szCs w:val="16"/>
        </w:rPr>
        <w:footnoteRef/>
      </w:r>
      <w:r w:rsidRPr="00692141">
        <w:rPr>
          <w:szCs w:val="16"/>
        </w:rPr>
        <w:t xml:space="preserve"> Stanovisko NKÚ SR k Návrhu štátneho záverečného účtu SR za rok 2023. [</w:t>
      </w:r>
      <w:hyperlink r:id="rId23" w:history="1">
        <w:r w:rsidRPr="00692141">
          <w:rPr>
            <w:rStyle w:val="Hypertextovprepojenie"/>
            <w:sz w:val="16"/>
            <w:szCs w:val="16"/>
          </w:rPr>
          <w:t>online</w:t>
        </w:r>
      </w:hyperlink>
      <w:r w:rsidRPr="00692141">
        <w:rPr>
          <w:szCs w:val="16"/>
        </w:rPr>
        <w:t>].</w:t>
      </w:r>
    </w:p>
  </w:footnote>
  <w:footnote w:id="37">
    <w:p w14:paraId="4D8FE9C6" w14:textId="77777777" w:rsidR="005211A9" w:rsidRPr="00813F3B" w:rsidRDefault="005211A9" w:rsidP="00643864">
      <w:pPr>
        <w:pStyle w:val="Textpoznmkypodiarou"/>
        <w:rPr>
          <w:szCs w:val="16"/>
        </w:rPr>
      </w:pPr>
      <w:r w:rsidRPr="00813F3B">
        <w:rPr>
          <w:rStyle w:val="Odkaznapoznmkupodiarou"/>
          <w:szCs w:val="16"/>
        </w:rPr>
        <w:footnoteRef/>
      </w:r>
      <w:r w:rsidRPr="00813F3B">
        <w:rPr>
          <w:szCs w:val="16"/>
        </w:rPr>
        <w:t xml:space="preserve"> Ide o upravený index dostupnosti MŠ. Index vytvorený Inštitútom vzdelávacej politiky zohľadňuje kapacitu, dopyt, poplatky a demografiu (https://www.minedu.sk/index-dostupnosti-materskych-skol/). </w:t>
      </w:r>
      <w:r>
        <w:rPr>
          <w:szCs w:val="16"/>
        </w:rPr>
        <w:t>I</w:t>
      </w:r>
      <w:r w:rsidRPr="00813F3B">
        <w:rPr>
          <w:szCs w:val="16"/>
        </w:rPr>
        <w:t xml:space="preserve">ndex </w:t>
      </w:r>
      <w:r>
        <w:rPr>
          <w:szCs w:val="16"/>
        </w:rPr>
        <w:t xml:space="preserve">upravený NKÚ SR </w:t>
      </w:r>
      <w:r w:rsidRPr="00813F3B">
        <w:rPr>
          <w:szCs w:val="16"/>
        </w:rPr>
        <w:t>zohľadňuje len kapacitu, dopyt a demografiu, pričom všetky tri komponenty majú rovnakú váhu.</w:t>
      </w:r>
    </w:p>
  </w:footnote>
  <w:footnote w:id="38">
    <w:p w14:paraId="0FFF5B5F" w14:textId="03A05366" w:rsidR="005211A9" w:rsidRDefault="005211A9">
      <w:pPr>
        <w:pStyle w:val="Textpoznmkypodiarou"/>
      </w:pPr>
      <w:r>
        <w:rPr>
          <w:rStyle w:val="Odkaznapoznmkupodiarou"/>
        </w:rPr>
        <w:footnoteRef/>
      </w:r>
      <w:r>
        <w:t xml:space="preserve"> S cieľom riešiť situáciu v lokalitách so závažným nedostatkom miest v MŠ </w:t>
      </w:r>
      <w:r w:rsidRPr="00F05DF1">
        <w:t>vláda SR</w:t>
      </w:r>
      <w:r>
        <w:t xml:space="preserve"> v </w:t>
      </w:r>
      <w:r w:rsidRPr="00F05DF1">
        <w:t>marci 2025 schválila návrh na podporu urýchlenej výstavby kritickej infraštruktúry MŠ v lokalitách s akútnou situáciou. Pôjde</w:t>
      </w:r>
      <w:r>
        <w:t xml:space="preserve"> o priame vyzvania a sumou 11,6 mil. eur bude z plánu obnovy (nad rámec prostriedkov výzvy) podporených spolu šesť subjektov.</w:t>
      </w:r>
    </w:p>
  </w:footnote>
  <w:footnote w:id="39">
    <w:p w14:paraId="7C19C4D7" w14:textId="77777777" w:rsidR="005211A9" w:rsidRDefault="005211A9" w:rsidP="000B5DF0">
      <w:pPr>
        <w:pStyle w:val="Textpoznmkypodiarou"/>
      </w:pPr>
      <w:r w:rsidRPr="005711D1">
        <w:rPr>
          <w:rStyle w:val="Odkaznapoznmkupodiarou"/>
        </w:rPr>
        <w:footnoteRef/>
      </w:r>
      <w:r w:rsidRPr="005711D1">
        <w:t xml:space="preserve"> </w:t>
      </w:r>
      <w:r>
        <w:t xml:space="preserve">Nie všetky podané žiadosti budú </w:t>
      </w:r>
      <w:r w:rsidRPr="006B65C4">
        <w:t>refundované, resp. refundované v plnej výške</w:t>
      </w:r>
    </w:p>
  </w:footnote>
  <w:footnote w:id="40">
    <w:p w14:paraId="33E81F72" w14:textId="77777777" w:rsidR="005211A9" w:rsidRPr="00325463" w:rsidRDefault="005211A9" w:rsidP="009E651C">
      <w:pPr>
        <w:pStyle w:val="Textpoznmkypodiarou"/>
        <w:rPr>
          <w:szCs w:val="16"/>
        </w:rPr>
      </w:pPr>
      <w:r w:rsidRPr="00041698">
        <w:rPr>
          <w:rStyle w:val="Odkaznapoznmkupodiarou"/>
        </w:rPr>
        <w:footnoteRef/>
      </w:r>
      <w:r w:rsidRPr="00041698">
        <w:t xml:space="preserve"> </w:t>
      </w:r>
      <w:r w:rsidRPr="00325463">
        <w:rPr>
          <w:szCs w:val="16"/>
        </w:rPr>
        <w:t xml:space="preserve">Študijné programy pripravujúce na nedostatkové povolanie. Tieto povolania boli identifikované za pomoci odborníkov z rôznych oblastí zaoberajúcich sa pracovným trhom a jeho potrebami. Zoznam týchto študijných programov je zverejnený na </w:t>
      </w:r>
      <w:hyperlink r:id="rId24" w:history="1">
        <w:r>
          <w:rPr>
            <w:rStyle w:val="Hypertextovprepojenie"/>
            <w:sz w:val="16"/>
            <w:szCs w:val="16"/>
          </w:rPr>
          <w:t>[</w:t>
        </w:r>
        <w:r w:rsidRPr="00325463">
          <w:rPr>
            <w:rStyle w:val="Hypertextovprepojenie"/>
            <w:sz w:val="16"/>
            <w:szCs w:val="16"/>
          </w:rPr>
          <w:t>o</w:t>
        </w:r>
        <w:r>
          <w:rPr>
            <w:rStyle w:val="Hypertextovprepojenie"/>
            <w:sz w:val="16"/>
            <w:szCs w:val="16"/>
          </w:rPr>
          <w:t>nline</w:t>
        </w:r>
      </w:hyperlink>
      <w:r>
        <w:rPr>
          <w:rStyle w:val="Hypertextovprepojenie"/>
          <w:sz w:val="16"/>
          <w:szCs w:val="16"/>
        </w:rPr>
        <w:t>]</w:t>
      </w:r>
      <w:r w:rsidRPr="00325463">
        <w:rPr>
          <w:szCs w:val="16"/>
        </w:rPr>
        <w:t>.</w:t>
      </w:r>
    </w:p>
  </w:footnote>
  <w:footnote w:id="41">
    <w:p w14:paraId="2791BEA7" w14:textId="77777777" w:rsidR="005211A9" w:rsidRDefault="005211A9" w:rsidP="00643864">
      <w:pPr>
        <w:pStyle w:val="Textpoznmkypodiarou"/>
      </w:pPr>
      <w:r w:rsidRPr="00844544">
        <w:rPr>
          <w:rStyle w:val="Odkaznapoznmkupodiarou"/>
        </w:rPr>
        <w:footnoteRef/>
      </w:r>
      <w:r w:rsidRPr="00844544">
        <w:t xml:space="preserve"> </w:t>
      </w:r>
      <w:r>
        <w:t>Podiel</w:t>
      </w:r>
      <w:r w:rsidRPr="00844544">
        <w:t xml:space="preserve"> na celkovom počte podporených n</w:t>
      </w:r>
      <w:r>
        <w:t>ajväčších talentov:</w:t>
      </w:r>
      <w:r w:rsidRPr="00844544">
        <w:t> 7,5 % v roku 2022, 5,1 % v roku 2023 a 5,8 % v roku 2024.</w:t>
      </w:r>
    </w:p>
  </w:footnote>
  <w:footnote w:id="42">
    <w:p w14:paraId="58B40035" w14:textId="2854B66B" w:rsidR="005211A9" w:rsidRDefault="005211A9" w:rsidP="00CC7F31">
      <w:pPr>
        <w:pStyle w:val="Textpoznmkypodiarou"/>
      </w:pPr>
      <w:r>
        <w:rPr>
          <w:rStyle w:val="Odkaznapoznmkupodiarou"/>
        </w:rPr>
        <w:footnoteRef/>
      </w:r>
      <w:r>
        <w:t xml:space="preserve"> </w:t>
      </w:r>
      <w:r w:rsidRPr="0047384C">
        <w:rPr>
          <w:noProof/>
        </w:rPr>
        <w:t>Výsledky týchto hodnotení sú zapracované v</w:t>
      </w:r>
      <w:r>
        <w:rPr>
          <w:noProof/>
        </w:rPr>
        <w:t> n</w:t>
      </w:r>
      <w:r w:rsidRPr="0047384C">
        <w:rPr>
          <w:noProof/>
        </w:rPr>
        <w:t>ávrh</w:t>
      </w:r>
      <w:r>
        <w:rPr>
          <w:noProof/>
        </w:rPr>
        <w:t xml:space="preserve">u ZÚ </w:t>
      </w:r>
      <w:r w:rsidRPr="0047384C">
        <w:rPr>
          <w:noProof/>
        </w:rPr>
        <w:t>kapitoly MO SR za rok 2024 (neagregovaná verzia)</w:t>
      </w:r>
      <w:r>
        <w:rPr>
          <w:noProof/>
        </w:rPr>
        <w:t>;</w:t>
      </w:r>
      <w:r w:rsidRPr="0047384C">
        <w:rPr>
          <w:noProof/>
        </w:rPr>
        <w:t xml:space="preserve"> má utajovaný charakter.</w:t>
      </w:r>
    </w:p>
  </w:footnote>
  <w:footnote w:id="43">
    <w:p w14:paraId="7320B237" w14:textId="77777777" w:rsidR="005211A9" w:rsidRDefault="005211A9" w:rsidP="00946D6F">
      <w:pPr>
        <w:pStyle w:val="Textpoznmkypodiarou"/>
      </w:pPr>
      <w:r>
        <w:rPr>
          <w:rStyle w:val="Odkaznapoznmkupodiarou"/>
        </w:rPr>
        <w:footnoteRef/>
      </w:r>
      <w:r>
        <w:t xml:space="preserve"> </w:t>
      </w:r>
      <w:r w:rsidRPr="00C930EF">
        <w:t>Správa o výsledku z</w:t>
      </w:r>
      <w:r>
        <w:t> </w:t>
      </w:r>
      <w:r w:rsidRPr="00C930EF">
        <w:t>kontroly</w:t>
      </w:r>
      <w:r>
        <w:t xml:space="preserve"> </w:t>
      </w:r>
      <w:r w:rsidRPr="002E2FCF">
        <w:t>Darovanie hnuteľného majetku vojenskej povahy Ukrajine</w:t>
      </w:r>
      <w:r>
        <w:t>. [</w:t>
      </w:r>
      <w:hyperlink r:id="rId25" w:history="1">
        <w:r w:rsidRPr="00C930EF">
          <w:rPr>
            <w:rStyle w:val="Hypertextovprepojenie"/>
            <w:sz w:val="16"/>
          </w:rPr>
          <w:t>online</w:t>
        </w:r>
      </w:hyperlink>
      <w:r>
        <w:t>].</w:t>
      </w:r>
    </w:p>
  </w:footnote>
  <w:footnote w:id="44">
    <w:p w14:paraId="1A27BCBC" w14:textId="14C8071C" w:rsidR="005211A9" w:rsidRPr="00F3605E" w:rsidRDefault="005211A9" w:rsidP="00F3605E">
      <w:pPr>
        <w:pStyle w:val="Textpoznmkypodiarou"/>
        <w:rPr>
          <w:szCs w:val="16"/>
        </w:rPr>
      </w:pPr>
      <w:r w:rsidRPr="00F3605E">
        <w:rPr>
          <w:rStyle w:val="Odkaznapoznmkupodiarou"/>
          <w:szCs w:val="16"/>
        </w:rPr>
        <w:footnoteRef/>
      </w:r>
      <w:r w:rsidRPr="00F3605E">
        <w:rPr>
          <w:szCs w:val="16"/>
        </w:rPr>
        <w:t xml:space="preserve"> </w:t>
      </w:r>
      <w:r w:rsidRPr="00F3605E">
        <w:rPr>
          <w:rFonts w:cs="Segoe UI"/>
          <w:szCs w:val="16"/>
        </w:rPr>
        <w:t>I</w:t>
      </w:r>
      <w:r>
        <w:rPr>
          <w:rFonts w:cs="Segoe UI"/>
          <w:szCs w:val="16"/>
        </w:rPr>
        <w:t>nštitút environmentálnej politiky</w:t>
      </w:r>
      <w:r w:rsidRPr="00F3605E">
        <w:rPr>
          <w:rFonts w:cs="Segoe UI"/>
          <w:szCs w:val="16"/>
        </w:rPr>
        <w:t xml:space="preserve">. 2024 – </w:t>
      </w:r>
      <w:proofErr w:type="spellStart"/>
      <w:r w:rsidRPr="00F3605E">
        <w:rPr>
          <w:rFonts w:cs="Segoe UI"/>
          <w:szCs w:val="16"/>
        </w:rPr>
        <w:t>Kanalýza</w:t>
      </w:r>
      <w:proofErr w:type="spellEnd"/>
      <w:r w:rsidRPr="00F3605E">
        <w:rPr>
          <w:rFonts w:cs="Segoe UI"/>
          <w:szCs w:val="16"/>
        </w:rPr>
        <w:t xml:space="preserve">, Analýza stavu </w:t>
      </w:r>
      <w:proofErr w:type="spellStart"/>
      <w:r w:rsidRPr="00F3605E">
        <w:rPr>
          <w:rFonts w:cs="Segoe UI"/>
          <w:szCs w:val="16"/>
        </w:rPr>
        <w:t>odkanalizovania</w:t>
      </w:r>
      <w:proofErr w:type="spellEnd"/>
      <w:r w:rsidRPr="00F3605E">
        <w:rPr>
          <w:rFonts w:cs="Segoe UI"/>
          <w:szCs w:val="16"/>
        </w:rPr>
        <w:t xml:space="preserve"> Slovenskej republiky. Bratislava. </w:t>
      </w:r>
      <w:hyperlink r:id="rId26" w:history="1">
        <w:r w:rsidRPr="00F3605E">
          <w:rPr>
            <w:rStyle w:val="Hypertextovprepojenie"/>
            <w:rFonts w:cs="Segoe UI"/>
            <w:sz w:val="16"/>
            <w:szCs w:val="16"/>
          </w:rPr>
          <w:t>[online]</w:t>
        </w:r>
      </w:hyperlink>
      <w:r w:rsidRPr="00F3605E">
        <w:rPr>
          <w:rStyle w:val="Hypertextovprepojenie"/>
          <w:rFonts w:cs="Segoe UI"/>
          <w:sz w:val="16"/>
          <w:szCs w:val="16"/>
        </w:rPr>
        <w:t>.</w:t>
      </w:r>
    </w:p>
  </w:footnote>
  <w:footnote w:id="45">
    <w:p w14:paraId="0180276E" w14:textId="6204B8C8" w:rsidR="005211A9" w:rsidRPr="00F3605E" w:rsidRDefault="005211A9" w:rsidP="00F3605E">
      <w:pPr>
        <w:pStyle w:val="Textpoznmkypodiarou"/>
        <w:rPr>
          <w:szCs w:val="16"/>
        </w:rPr>
      </w:pPr>
      <w:r w:rsidRPr="00F3605E">
        <w:rPr>
          <w:rStyle w:val="Odkaznapoznmkupodiarou"/>
          <w:szCs w:val="16"/>
        </w:rPr>
        <w:footnoteRef/>
      </w:r>
      <w:r w:rsidRPr="00F3605E">
        <w:rPr>
          <w:szCs w:val="16"/>
        </w:rPr>
        <w:t xml:space="preserve"> NKÚ SR – Správa o výsledku kontroly, Kontrola vo vybraných vodárenských spoločnostiach. August 2024. </w:t>
      </w:r>
      <w:hyperlink r:id="rId27" w:history="1">
        <w:r w:rsidRPr="00F3605E">
          <w:rPr>
            <w:rStyle w:val="Hypertextovprepojenie"/>
            <w:sz w:val="16"/>
            <w:szCs w:val="16"/>
          </w:rPr>
          <w:t>[online]</w:t>
        </w:r>
      </w:hyperlink>
      <w:r w:rsidRPr="00F3605E">
        <w:rPr>
          <w:rStyle w:val="Hypertextovprepojenie"/>
          <w:sz w:val="16"/>
          <w:szCs w:val="16"/>
        </w:rPr>
        <w:t>.</w:t>
      </w:r>
    </w:p>
  </w:footnote>
  <w:footnote w:id="46">
    <w:p w14:paraId="2C75641B" w14:textId="4C71A48A" w:rsidR="005211A9" w:rsidRPr="00F3605E" w:rsidRDefault="005211A9" w:rsidP="00F3605E">
      <w:pPr>
        <w:spacing w:after="0" w:line="240" w:lineRule="auto"/>
        <w:rPr>
          <w:sz w:val="16"/>
          <w:szCs w:val="16"/>
        </w:rPr>
      </w:pPr>
      <w:r w:rsidRPr="00F3605E">
        <w:rPr>
          <w:rStyle w:val="Odkaznapoznmkupodiarou"/>
          <w:sz w:val="16"/>
          <w:szCs w:val="16"/>
        </w:rPr>
        <w:footnoteRef/>
      </w:r>
      <w:r w:rsidRPr="00F3605E">
        <w:rPr>
          <w:rStyle w:val="Odkaznapoznmkupodiarou"/>
          <w:sz w:val="16"/>
          <w:szCs w:val="16"/>
        </w:rPr>
        <w:t xml:space="preserve"> </w:t>
      </w:r>
      <w:r w:rsidRPr="00F3605E">
        <w:rPr>
          <w:sz w:val="16"/>
          <w:szCs w:val="16"/>
        </w:rPr>
        <w:t>Náklady na zabezpečovanie ochrany pred povodňami, plavebných podmienok vodných tokov a starostlivosť o zverený majetok štátu (vodné toky a vodné stavby)</w:t>
      </w:r>
      <w:r>
        <w:rPr>
          <w:sz w:val="16"/>
          <w:szCs w:val="16"/>
        </w:rPr>
        <w:t>.</w:t>
      </w:r>
    </w:p>
  </w:footnote>
  <w:footnote w:id="47">
    <w:p w14:paraId="4B010C5A" w14:textId="77777777" w:rsidR="005211A9" w:rsidRDefault="005211A9" w:rsidP="00F77FDB">
      <w:pPr>
        <w:pStyle w:val="Textpoznmkypodiarou"/>
      </w:pPr>
      <w:r>
        <w:rPr>
          <w:rStyle w:val="Odkaznapoznmkupodiarou"/>
        </w:rPr>
        <w:footnoteRef/>
      </w:r>
      <w:r>
        <w:t xml:space="preserve"> </w:t>
      </w:r>
      <w:r w:rsidRPr="009B43EE">
        <w:t xml:space="preserve">Priemerné vystavenie obyvateľstva jemným prachovým časticiam v ovzduší PM2.5 19 </w:t>
      </w:r>
      <w:proofErr w:type="spellStart"/>
      <w:r w:rsidRPr="009B43EE">
        <w:t>μg</w:t>
      </w:r>
      <w:proofErr w:type="spellEnd"/>
      <w:r w:rsidRPr="009B43EE">
        <w:t>/m</w:t>
      </w:r>
      <w:r w:rsidRPr="009B43EE">
        <w:rPr>
          <w:vertAlign w:val="superscript"/>
        </w:rPr>
        <w:t>3</w:t>
      </w:r>
      <w:r w:rsidRPr="009B43EE">
        <w:t xml:space="preserve"> (priemer OECD je 14</w:t>
      </w:r>
      <w:r>
        <w:t xml:space="preserve"> </w:t>
      </w:r>
      <w:proofErr w:type="spellStart"/>
      <w:r w:rsidRPr="009B43EE">
        <w:t>μg</w:t>
      </w:r>
      <w:proofErr w:type="spellEnd"/>
      <w:r w:rsidRPr="009B43EE">
        <w:t>/m</w:t>
      </w:r>
      <w:r w:rsidRPr="009B43EE">
        <w:rPr>
          <w:vertAlign w:val="superscript"/>
        </w:rPr>
        <w:t>3</w:t>
      </w:r>
      <w:r w:rsidRPr="009B43EE">
        <w:t>)</w:t>
      </w:r>
      <w:r>
        <w:t xml:space="preserve"> v 2022.</w:t>
      </w:r>
    </w:p>
  </w:footnote>
  <w:footnote w:id="48">
    <w:p w14:paraId="1CC8A636" w14:textId="3DEC9BE8" w:rsidR="005211A9" w:rsidRDefault="005211A9" w:rsidP="00F3605E">
      <w:pPr>
        <w:pStyle w:val="Textpoznmkypodiarou"/>
      </w:pPr>
      <w:r>
        <w:rPr>
          <w:rStyle w:val="Odkaznapoznmkupodiarou"/>
        </w:rPr>
        <w:footnoteRef/>
      </w:r>
      <w:r>
        <w:t xml:space="preserve"> 500 kg oproti 520 kg v roku 2021.</w:t>
      </w:r>
    </w:p>
  </w:footnote>
  <w:footnote w:id="49">
    <w:p w14:paraId="589D2618" w14:textId="2E7A8629" w:rsidR="005211A9" w:rsidRDefault="005211A9" w:rsidP="00F3605E">
      <w:pPr>
        <w:pStyle w:val="Textpoznmkypodiarou"/>
      </w:pPr>
      <w:r>
        <w:rPr>
          <w:rStyle w:val="Odkaznapoznmkupodiarou"/>
        </w:rPr>
        <w:footnoteRef/>
      </w:r>
      <w:r>
        <w:t xml:space="preserve"> Ú</w:t>
      </w:r>
      <w:r w:rsidRPr="005F432F">
        <w:t>daje za rok 2024 nie sú v tomto období k dispozícii, štatistiky za rok 2024 sa vyhodnocujú až v priebehu II. – III. štvrťroka 2025</w:t>
      </w:r>
      <w:r>
        <w:t>.</w:t>
      </w:r>
    </w:p>
  </w:footnote>
  <w:footnote w:id="50">
    <w:p w14:paraId="1FCB38F4" w14:textId="6748E6B2" w:rsidR="005211A9" w:rsidRDefault="005211A9" w:rsidP="00F3605E">
      <w:pPr>
        <w:pStyle w:val="Textpoznmkypodiarou"/>
      </w:pPr>
      <w:r>
        <w:rPr>
          <w:rStyle w:val="Odkaznapoznmkupodiarou"/>
        </w:rPr>
        <w:footnoteRef/>
      </w:r>
      <w:r>
        <w:t xml:space="preserve"> </w:t>
      </w:r>
      <w:r w:rsidRPr="00E238B6">
        <w:t>Správa o výsledku kontroly 2022 ŠPSEZ (2016 – 2021)</w:t>
      </w:r>
      <w:r>
        <w:t xml:space="preserve">. </w:t>
      </w:r>
      <w:hyperlink r:id="rId28" w:history="1">
        <w:r w:rsidRPr="00FD0408">
          <w:rPr>
            <w:rStyle w:val="Hypertextovprepojenie"/>
            <w:sz w:val="16"/>
          </w:rPr>
          <w:t>[online]</w:t>
        </w:r>
      </w:hyperlink>
      <w:r>
        <w:rPr>
          <w:rStyle w:val="Hypertextovprepojenie"/>
          <w:sz w:val="16"/>
        </w:rPr>
        <w:t>.</w:t>
      </w:r>
    </w:p>
  </w:footnote>
  <w:footnote w:id="51">
    <w:p w14:paraId="5254BCB6" w14:textId="6184CD5D" w:rsidR="005211A9" w:rsidRDefault="005211A9" w:rsidP="00F3605E">
      <w:pPr>
        <w:pStyle w:val="Textpoznmkypodiarou"/>
      </w:pPr>
      <w:r>
        <w:rPr>
          <w:rStyle w:val="Odkaznapoznmkupodiarou"/>
        </w:rPr>
        <w:footnoteRef/>
      </w:r>
      <w:r>
        <w:t xml:space="preserve"> </w:t>
      </w:r>
      <w:r w:rsidRPr="004A4FB0">
        <w:t xml:space="preserve">OECD </w:t>
      </w:r>
      <w:proofErr w:type="spellStart"/>
      <w:r w:rsidRPr="004A4FB0">
        <w:t>Environmental</w:t>
      </w:r>
      <w:proofErr w:type="spellEnd"/>
      <w:r w:rsidRPr="004A4FB0">
        <w:t xml:space="preserve"> </w:t>
      </w:r>
      <w:proofErr w:type="spellStart"/>
      <w:r w:rsidRPr="004A4FB0">
        <w:t>Performance</w:t>
      </w:r>
      <w:proofErr w:type="spellEnd"/>
      <w:r w:rsidRPr="004A4FB0">
        <w:t xml:space="preserve"> </w:t>
      </w:r>
      <w:proofErr w:type="spellStart"/>
      <w:r w:rsidRPr="004A4FB0">
        <w:t>Reviews</w:t>
      </w:r>
      <w:proofErr w:type="spellEnd"/>
      <w:r w:rsidRPr="004A4FB0">
        <w:t xml:space="preserve">: Slovak </w:t>
      </w:r>
      <w:proofErr w:type="spellStart"/>
      <w:r w:rsidRPr="004A4FB0">
        <w:t>Republic</w:t>
      </w:r>
      <w:proofErr w:type="spellEnd"/>
      <w:r w:rsidRPr="004A4FB0">
        <w:t xml:space="preserve"> 2024</w:t>
      </w:r>
      <w:r>
        <w:t xml:space="preserve">. </w:t>
      </w:r>
      <w:hyperlink r:id="rId29" w:history="1">
        <w:r w:rsidRPr="004A4FB0">
          <w:rPr>
            <w:rStyle w:val="Hypertextovprepojenie"/>
            <w:sz w:val="16"/>
          </w:rPr>
          <w:t>[online]</w:t>
        </w:r>
      </w:hyperlink>
      <w:r>
        <w:rPr>
          <w:rStyle w:val="Hypertextovprepojenie"/>
          <w:sz w:val="16"/>
        </w:rPr>
        <w:t>.</w:t>
      </w:r>
    </w:p>
  </w:footnote>
  <w:footnote w:id="52">
    <w:p w14:paraId="17D86451" w14:textId="37144D39" w:rsidR="005211A9" w:rsidRDefault="005211A9" w:rsidP="00F3605E">
      <w:pPr>
        <w:pStyle w:val="Textpoznmkypodiarou"/>
      </w:pPr>
      <w:r>
        <w:rPr>
          <w:rStyle w:val="Odkaznapoznmkupodiarou"/>
        </w:rPr>
        <w:footnoteRef/>
      </w:r>
      <w:r>
        <w:t xml:space="preserve"> </w:t>
      </w:r>
      <w:proofErr w:type="spellStart"/>
      <w:r w:rsidRPr="00324C81">
        <w:t>Kunmingsko</w:t>
      </w:r>
      <w:proofErr w:type="spellEnd"/>
      <w:r w:rsidRPr="00324C81">
        <w:t>-montrealský globálny rámec pre biodiverzitu</w:t>
      </w:r>
      <w:r>
        <w:t xml:space="preserve"> z roku 2022 a </w:t>
      </w:r>
      <w:r w:rsidRPr="00324C81">
        <w:t>Stratégia EÚ v oblasti biodiverzity do roku 2030</w:t>
      </w:r>
      <w:r>
        <w:t>.</w:t>
      </w:r>
    </w:p>
  </w:footnote>
  <w:footnote w:id="53">
    <w:p w14:paraId="638D34DD" w14:textId="0FE70C8E" w:rsidR="005211A9" w:rsidRDefault="005211A9" w:rsidP="00F3605E">
      <w:pPr>
        <w:pStyle w:val="Textpoznmkypodiarou"/>
      </w:pPr>
      <w:r>
        <w:rPr>
          <w:rStyle w:val="Odkaznapoznmkupodiarou"/>
        </w:rPr>
        <w:footnoteRef/>
      </w:r>
      <w:r>
        <w:t xml:space="preserve"> O</w:t>
      </w:r>
      <w:r w:rsidRPr="00D23146">
        <w:t xml:space="preserve">bchod s emisiami riadi MŽP SR </w:t>
      </w:r>
      <w:r>
        <w:t xml:space="preserve">a </w:t>
      </w:r>
      <w:r w:rsidRPr="00D23146">
        <w:t>spravuje aj ročne pridelené kvóty. Funkciu aukcionára vykonáva Exportno-importná banka.</w:t>
      </w:r>
    </w:p>
  </w:footnote>
  <w:footnote w:id="54">
    <w:p w14:paraId="3B320064" w14:textId="273A83AC" w:rsidR="005211A9" w:rsidRDefault="005211A9" w:rsidP="00F3605E">
      <w:pPr>
        <w:pStyle w:val="Textpoznmkypodiarou"/>
      </w:pPr>
      <w:r>
        <w:rPr>
          <w:rStyle w:val="Odkaznapoznmkupodiarou"/>
        </w:rPr>
        <w:footnoteRef/>
      </w:r>
      <w:r>
        <w:t xml:space="preserve"> </w:t>
      </w:r>
      <w:r w:rsidRPr="00A4220E">
        <w:t>Doposiaľ 60 %  výnosov z aukcií emisných kvót za príslušný rok vytváral kumulatívny zos</w:t>
      </w:r>
      <w:r>
        <w:t>tatok v EF ako nevýdavkovú časť.</w:t>
      </w:r>
    </w:p>
  </w:footnote>
  <w:footnote w:id="55">
    <w:p w14:paraId="5D335F92" w14:textId="676FA1F7" w:rsidR="005211A9" w:rsidRDefault="005211A9" w:rsidP="008427B9">
      <w:pPr>
        <w:pStyle w:val="Textpoznmkypodiarou"/>
      </w:pPr>
      <w:r>
        <w:rPr>
          <w:rStyle w:val="Odkaznapoznmkupodiarou"/>
        </w:rPr>
        <w:footnoteRef/>
      </w:r>
      <w:r>
        <w:t xml:space="preserve"> Zákon č. 414/2012 Z. z. o obchodovaní s emisnými kvótami a o zmene a doplnení niektorých zákonov.</w:t>
      </w:r>
    </w:p>
  </w:footnote>
  <w:footnote w:id="56">
    <w:p w14:paraId="16E65363" w14:textId="41C737C4" w:rsidR="005211A9" w:rsidRDefault="005211A9" w:rsidP="008427B9">
      <w:pPr>
        <w:pStyle w:val="Textpoznmkypodiarou"/>
      </w:pPr>
      <w:r>
        <w:rPr>
          <w:rStyle w:val="Odkaznapoznmkupodiarou"/>
        </w:rPr>
        <w:footnoteRef/>
      </w:r>
      <w:r>
        <w:t xml:space="preserve"> </w:t>
      </w:r>
      <w:r w:rsidRPr="007953DE">
        <w:t xml:space="preserve">Stanovené MF SR </w:t>
      </w:r>
      <w:r>
        <w:t xml:space="preserve">na základe analýzy IFP, </w:t>
      </w:r>
      <w:r w:rsidRPr="007953DE">
        <w:t>ktorý celkovú výšku príjmu z obchodovania s emisnými kvótami upravuje podľa metodiky ESA 2010</w:t>
      </w:r>
      <w:r>
        <w:t xml:space="preserve">. V </w:t>
      </w:r>
      <w:r w:rsidRPr="007953DE">
        <w:t xml:space="preserve">odôvodnených prípadoch </w:t>
      </w:r>
      <w:r>
        <w:t xml:space="preserve">môže MF SR </w:t>
      </w:r>
      <w:r w:rsidRPr="007953DE">
        <w:t xml:space="preserve">meniť výšku </w:t>
      </w:r>
      <w:r>
        <w:t>%</w:t>
      </w:r>
      <w:r w:rsidRPr="007953DE">
        <w:t xml:space="preserve"> distribúcie použiteľného výnosu z dražieb kvót.</w:t>
      </w:r>
    </w:p>
  </w:footnote>
  <w:footnote w:id="57">
    <w:p w14:paraId="1D19AD4C" w14:textId="77777777" w:rsidR="005211A9" w:rsidRDefault="005211A9" w:rsidP="008427B9">
      <w:pPr>
        <w:pStyle w:val="Textpoznmkypodiarou"/>
      </w:pPr>
      <w:r>
        <w:rPr>
          <w:rStyle w:val="Odkaznapoznmkupodiarou"/>
        </w:rPr>
        <w:footnoteRef/>
      </w:r>
      <w:r>
        <w:t xml:space="preserve"> Zrušený bol  % podiel</w:t>
      </w:r>
      <w:r w:rsidRPr="00A4220E">
        <w:t xml:space="preserve"> použiteľného ročného výnosu z dražieb kvót (v roku 2024 </w:t>
      </w:r>
      <w:r>
        <w:t>bol</w:t>
      </w:r>
      <w:r w:rsidRPr="00A4220E">
        <w:t xml:space="preserve"> 40 %, od roku 2025 má byť 50 %)</w:t>
      </w:r>
      <w:r>
        <w:t xml:space="preserve"> </w:t>
      </w:r>
      <w:r w:rsidRPr="00A4220E">
        <w:t>a namiesto neho sa použiteľný výnos z dražieb kvót má určiť ako skutočne dosiahnutý výnos znížený o poplatky podľa osobitného predpisu.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403D65" w14:textId="77777777" w:rsidR="00C570EF" w:rsidRDefault="00C570EF">
    <w:pPr>
      <w:pStyle w:val="Hlavika"/>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803" w:type="pct"/>
      <w:tblInd w:w="-1418" w:type="dxa"/>
      <w:shd w:val="clear" w:color="auto" w:fill="9CB9EC" w:themeFill="accent2"/>
      <w:tblCellMar>
        <w:top w:w="115" w:type="dxa"/>
        <w:left w:w="115" w:type="dxa"/>
        <w:bottom w:w="115" w:type="dxa"/>
        <w:right w:w="115" w:type="dxa"/>
      </w:tblCellMar>
      <w:tblLook w:val="04A0" w:firstRow="1" w:lastRow="0" w:firstColumn="1" w:lastColumn="0" w:noHBand="0" w:noVBand="1"/>
    </w:tblPr>
    <w:tblGrid>
      <w:gridCol w:w="12341"/>
    </w:tblGrid>
    <w:tr w:rsidR="005211A9" w14:paraId="3D984AF9" w14:textId="77777777" w:rsidTr="00D368ED">
      <w:trPr>
        <w:trHeight w:val="1911"/>
      </w:trPr>
      <w:tc>
        <w:tcPr>
          <w:tcW w:w="5000" w:type="pct"/>
          <w:shd w:val="clear" w:color="auto" w:fill="314364"/>
          <w:vAlign w:val="center"/>
        </w:tcPr>
        <w:p w14:paraId="1278EAFC" w14:textId="77777777" w:rsidR="005211A9" w:rsidRPr="00D368ED" w:rsidRDefault="005211A9" w:rsidP="00C62DA9">
          <w:pPr>
            <w:pStyle w:val="Hlavika"/>
            <w:spacing w:before="360" w:after="240"/>
            <w:ind w:left="1308"/>
            <w:jc w:val="left"/>
            <w:rPr>
              <w:rFonts w:cs="Segoe UI"/>
              <w:b/>
              <w:caps/>
              <w:color w:val="FFFFFF" w:themeColor="background1"/>
              <w:sz w:val="40"/>
              <w:szCs w:val="40"/>
            </w:rPr>
          </w:pPr>
          <w:r w:rsidRPr="0060315B">
            <w:rPr>
              <w:rFonts w:cs="Segoe UI"/>
              <w:noProof/>
              <w:color w:val="FFFFFF" w:themeColor="background1"/>
              <w:sz w:val="40"/>
              <w:lang w:eastAsia="sk-SK"/>
            </w:rPr>
            <w:drawing>
              <wp:anchor distT="0" distB="0" distL="114300" distR="114300" simplePos="0" relativeHeight="251659264" behindDoc="0" locked="0" layoutInCell="1" allowOverlap="1" wp14:anchorId="29CDF2DF" wp14:editId="5310C9D4">
                <wp:simplePos x="0" y="0"/>
                <wp:positionH relativeFrom="margin">
                  <wp:posOffset>5232400</wp:posOffset>
                </wp:positionH>
                <wp:positionV relativeFrom="margin">
                  <wp:posOffset>189865</wp:posOffset>
                </wp:positionV>
                <wp:extent cx="1400175" cy="1031875"/>
                <wp:effectExtent l="0" t="0" r="9525" b="0"/>
                <wp:wrapSquare wrapText="bothSides"/>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ázok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00175" cy="1031875"/>
                        </a:xfrm>
                        <a:prstGeom prst="rect">
                          <a:avLst/>
                        </a:prstGeom>
                      </pic:spPr>
                    </pic:pic>
                  </a:graphicData>
                </a:graphic>
                <wp14:sizeRelH relativeFrom="margin">
                  <wp14:pctWidth>0</wp14:pctWidth>
                </wp14:sizeRelH>
                <wp14:sizeRelV relativeFrom="margin">
                  <wp14:pctHeight>0</wp14:pctHeight>
                </wp14:sizeRelV>
              </wp:anchor>
            </w:drawing>
          </w:r>
          <w:r w:rsidRPr="00D368ED">
            <w:rPr>
              <w:rFonts w:cs="Segoe UI"/>
              <w:b/>
              <w:caps/>
              <w:color w:val="FFFFFF" w:themeColor="background1"/>
              <w:sz w:val="40"/>
              <w:szCs w:val="40"/>
            </w:rPr>
            <w:t>NAJVYŠŠÍ KONTROLNÝ ÚRAD</w:t>
          </w:r>
          <w:r w:rsidRPr="00D368ED">
            <w:rPr>
              <w:rFonts w:cs="Segoe UI"/>
              <w:b/>
              <w:caps/>
              <w:color w:val="FFFFFF" w:themeColor="background1"/>
              <w:sz w:val="40"/>
              <w:szCs w:val="40"/>
            </w:rPr>
            <w:br/>
            <w:t>SLOVENSKEJ REPUBLIKY</w:t>
          </w:r>
        </w:p>
        <w:p w14:paraId="599B805D" w14:textId="77777777" w:rsidR="005211A9" w:rsidRPr="00452B4A" w:rsidRDefault="005211A9" w:rsidP="00D368ED">
          <w:pPr>
            <w:pStyle w:val="Hlavika"/>
            <w:ind w:left="1308"/>
            <w:jc w:val="left"/>
            <w:rPr>
              <w:rFonts w:ascii="Montserrat" w:hAnsi="Montserrat"/>
              <w:caps/>
              <w:color w:val="FFFFFF" w:themeColor="background1"/>
            </w:rPr>
          </w:pPr>
          <w:r>
            <w:rPr>
              <w:rFonts w:cs="Segoe UI"/>
              <w:color w:val="FFFFFF" w:themeColor="background1"/>
              <w:sz w:val="24"/>
            </w:rPr>
            <w:t>www.nku.gov.sk</w:t>
          </w:r>
        </w:p>
      </w:tc>
    </w:tr>
  </w:tbl>
  <w:p w14:paraId="16810E79" w14:textId="77777777" w:rsidR="005211A9" w:rsidRDefault="005211A9">
    <w:pPr>
      <w:pStyle w:val="Hlavika"/>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AD1D09" w14:textId="77777777" w:rsidR="00C570EF" w:rsidRDefault="00C570EF">
    <w:pPr>
      <w:pStyle w:val="Hlavika"/>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600" w:type="pct"/>
      <w:tblInd w:w="-1471" w:type="dxa"/>
      <w:shd w:val="clear" w:color="auto" w:fill="9CB9EC" w:themeFill="accent2"/>
      <w:tblCellMar>
        <w:top w:w="115" w:type="dxa"/>
        <w:left w:w="115" w:type="dxa"/>
        <w:bottom w:w="115" w:type="dxa"/>
        <w:right w:w="115" w:type="dxa"/>
      </w:tblCellMar>
      <w:tblLook w:val="04A0" w:firstRow="1" w:lastRow="0" w:firstColumn="1" w:lastColumn="0" w:noHBand="0" w:noVBand="1"/>
    </w:tblPr>
    <w:tblGrid>
      <w:gridCol w:w="11972"/>
    </w:tblGrid>
    <w:tr w:rsidR="005211A9" w14:paraId="1E2BE4C3" w14:textId="77777777" w:rsidTr="0056118C">
      <w:trPr>
        <w:trHeight w:val="1134"/>
      </w:trPr>
      <w:tc>
        <w:tcPr>
          <w:tcW w:w="5000" w:type="pct"/>
          <w:shd w:val="clear" w:color="auto" w:fill="314364"/>
          <w:vAlign w:val="center"/>
        </w:tcPr>
        <w:p w14:paraId="546412A3" w14:textId="77777777" w:rsidR="005211A9" w:rsidRPr="00962F36" w:rsidRDefault="005211A9" w:rsidP="00092577">
          <w:pPr>
            <w:pStyle w:val="Hlavika"/>
            <w:tabs>
              <w:tab w:val="clear" w:pos="4536"/>
              <w:tab w:val="center" w:pos="309"/>
            </w:tabs>
            <w:spacing w:before="120"/>
            <w:ind w:left="309" w:right="1296"/>
            <w:jc w:val="right"/>
            <w:rPr>
              <w:rFonts w:cs="Segoe UI"/>
              <w:color w:val="FFFFFF" w:themeColor="background1"/>
              <w:sz w:val="24"/>
            </w:rPr>
          </w:pPr>
          <w:r>
            <w:rPr>
              <w:rFonts w:cs="Segoe UI"/>
              <w:color w:val="FFFFFF" w:themeColor="background1"/>
              <w:sz w:val="24"/>
            </w:rPr>
            <w:t>www.nku.gov.sk</w:t>
          </w:r>
        </w:p>
      </w:tc>
    </w:tr>
  </w:tbl>
  <w:p w14:paraId="14F3D5BF" w14:textId="77777777" w:rsidR="005211A9" w:rsidRDefault="005211A9">
    <w:pPr>
      <w:pStyle w:val="Hlavika"/>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600" w:type="pct"/>
      <w:tblInd w:w="-1471" w:type="dxa"/>
      <w:shd w:val="clear" w:color="auto" w:fill="9CB9EC" w:themeFill="accent2"/>
      <w:tblCellMar>
        <w:top w:w="115" w:type="dxa"/>
        <w:left w:w="115" w:type="dxa"/>
        <w:bottom w:w="115" w:type="dxa"/>
        <w:right w:w="115" w:type="dxa"/>
      </w:tblCellMar>
      <w:tblLook w:val="04A0" w:firstRow="1" w:lastRow="0" w:firstColumn="1" w:lastColumn="0" w:noHBand="0" w:noVBand="1"/>
    </w:tblPr>
    <w:tblGrid>
      <w:gridCol w:w="11972"/>
    </w:tblGrid>
    <w:tr w:rsidR="005211A9" w14:paraId="1126AE2E" w14:textId="77777777" w:rsidTr="004C0D26">
      <w:trPr>
        <w:trHeight w:val="1134"/>
      </w:trPr>
      <w:tc>
        <w:tcPr>
          <w:tcW w:w="5000" w:type="pct"/>
          <w:shd w:val="clear" w:color="auto" w:fill="314364"/>
          <w:vAlign w:val="center"/>
        </w:tcPr>
        <w:p w14:paraId="74CA54DE" w14:textId="10345B23" w:rsidR="005211A9" w:rsidRPr="004C0D26" w:rsidRDefault="005211A9" w:rsidP="004C0D26">
          <w:pPr>
            <w:pStyle w:val="Hlavika"/>
            <w:tabs>
              <w:tab w:val="clear" w:pos="4536"/>
            </w:tabs>
            <w:spacing w:before="120"/>
            <w:jc w:val="center"/>
            <w:rPr>
              <w:rFonts w:cs="Segoe UI"/>
              <w:b/>
              <w:color w:val="FFFFFF" w:themeColor="background1"/>
              <w:sz w:val="24"/>
            </w:rPr>
          </w:pPr>
          <w:r w:rsidRPr="004C0D26">
            <w:rPr>
              <w:rFonts w:cs="Segoe UI"/>
              <w:b/>
              <w:color w:val="FFFFFF" w:themeColor="background1"/>
              <w:sz w:val="40"/>
            </w:rPr>
            <w:t>HOSPODÁRENIE SR V ČÍSLACH</w:t>
          </w:r>
        </w:p>
      </w:tc>
    </w:tr>
  </w:tbl>
  <w:p w14:paraId="13F4D2FC" w14:textId="77777777" w:rsidR="005211A9" w:rsidRDefault="005211A9">
    <w:pPr>
      <w:pStyle w:val="Hlavika"/>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600" w:type="pct"/>
      <w:tblInd w:w="-1471" w:type="dxa"/>
      <w:shd w:val="clear" w:color="auto" w:fill="9CB9EC" w:themeFill="accent2"/>
      <w:tblCellMar>
        <w:top w:w="115" w:type="dxa"/>
        <w:left w:w="115" w:type="dxa"/>
        <w:bottom w:w="115" w:type="dxa"/>
        <w:right w:w="115" w:type="dxa"/>
      </w:tblCellMar>
      <w:tblLook w:val="04A0" w:firstRow="1" w:lastRow="0" w:firstColumn="1" w:lastColumn="0" w:noHBand="0" w:noVBand="1"/>
    </w:tblPr>
    <w:tblGrid>
      <w:gridCol w:w="11972"/>
    </w:tblGrid>
    <w:tr w:rsidR="005211A9" w14:paraId="7C4CF07A" w14:textId="77777777" w:rsidTr="0056118C">
      <w:trPr>
        <w:trHeight w:val="1134"/>
      </w:trPr>
      <w:tc>
        <w:tcPr>
          <w:tcW w:w="5000" w:type="pct"/>
          <w:shd w:val="clear" w:color="auto" w:fill="314364"/>
          <w:vAlign w:val="center"/>
        </w:tcPr>
        <w:p w14:paraId="1F5789C4" w14:textId="77777777" w:rsidR="005211A9" w:rsidRPr="00962F36" w:rsidRDefault="005211A9" w:rsidP="00092577">
          <w:pPr>
            <w:pStyle w:val="Hlavika"/>
            <w:tabs>
              <w:tab w:val="clear" w:pos="4536"/>
              <w:tab w:val="center" w:pos="309"/>
            </w:tabs>
            <w:spacing w:before="120"/>
            <w:ind w:left="309" w:right="1296"/>
            <w:jc w:val="right"/>
            <w:rPr>
              <w:rFonts w:cs="Segoe UI"/>
              <w:color w:val="FFFFFF" w:themeColor="background1"/>
              <w:sz w:val="24"/>
            </w:rPr>
          </w:pPr>
          <w:r>
            <w:rPr>
              <w:rFonts w:cs="Segoe UI"/>
              <w:color w:val="FFFFFF" w:themeColor="background1"/>
              <w:sz w:val="24"/>
            </w:rPr>
            <w:t>www.nku.gov.sk</w:t>
          </w:r>
        </w:p>
      </w:tc>
    </w:tr>
  </w:tbl>
  <w:p w14:paraId="2EB27514" w14:textId="77777777" w:rsidR="005211A9" w:rsidRDefault="005211A9">
    <w:pPr>
      <w:pStyle w:val="Hlavika"/>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600" w:type="pct"/>
      <w:tblInd w:w="-1471" w:type="dxa"/>
      <w:shd w:val="clear" w:color="auto" w:fill="9CB9EC" w:themeFill="accent2"/>
      <w:tblCellMar>
        <w:top w:w="115" w:type="dxa"/>
        <w:left w:w="115" w:type="dxa"/>
        <w:bottom w:w="115" w:type="dxa"/>
        <w:right w:w="115" w:type="dxa"/>
      </w:tblCellMar>
      <w:tblLook w:val="04A0" w:firstRow="1" w:lastRow="0" w:firstColumn="1" w:lastColumn="0" w:noHBand="0" w:noVBand="1"/>
    </w:tblPr>
    <w:tblGrid>
      <w:gridCol w:w="11414"/>
    </w:tblGrid>
    <w:tr w:rsidR="005211A9" w14:paraId="0C3446B4" w14:textId="77777777" w:rsidTr="0056118C">
      <w:trPr>
        <w:trHeight w:val="1134"/>
      </w:trPr>
      <w:tc>
        <w:tcPr>
          <w:tcW w:w="5000" w:type="pct"/>
          <w:shd w:val="clear" w:color="auto" w:fill="314364"/>
          <w:vAlign w:val="center"/>
        </w:tcPr>
        <w:p w14:paraId="3E318125" w14:textId="77777777" w:rsidR="005211A9" w:rsidRPr="00962F36" w:rsidRDefault="005211A9" w:rsidP="00092577">
          <w:pPr>
            <w:pStyle w:val="Hlavika"/>
            <w:tabs>
              <w:tab w:val="clear" w:pos="4536"/>
              <w:tab w:val="center" w:pos="309"/>
            </w:tabs>
            <w:spacing w:before="120"/>
            <w:ind w:left="309" w:right="1296"/>
            <w:jc w:val="right"/>
            <w:rPr>
              <w:rFonts w:cs="Segoe UI"/>
              <w:color w:val="FFFFFF" w:themeColor="background1"/>
              <w:sz w:val="24"/>
            </w:rPr>
          </w:pPr>
          <w:r>
            <w:rPr>
              <w:rFonts w:cs="Segoe UI"/>
              <w:color w:val="FFFFFF" w:themeColor="background1"/>
              <w:sz w:val="24"/>
            </w:rPr>
            <w:t>www.nku.gov.sk</w:t>
          </w:r>
        </w:p>
      </w:tc>
    </w:tr>
  </w:tbl>
  <w:p w14:paraId="4C892E33" w14:textId="77777777" w:rsidR="005211A9" w:rsidRDefault="005211A9">
    <w:pPr>
      <w:pStyle w:val="Hlavika"/>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6600" w:type="pct"/>
      <w:tblInd w:w="-1471" w:type="dxa"/>
      <w:shd w:val="clear" w:color="auto" w:fill="9CB9EC" w:themeFill="accent2"/>
      <w:tblCellMar>
        <w:top w:w="115" w:type="dxa"/>
        <w:left w:w="115" w:type="dxa"/>
        <w:bottom w:w="115" w:type="dxa"/>
        <w:right w:w="115" w:type="dxa"/>
      </w:tblCellMar>
      <w:tblLook w:val="04A0" w:firstRow="1" w:lastRow="0" w:firstColumn="1" w:lastColumn="0" w:noHBand="0" w:noVBand="1"/>
    </w:tblPr>
    <w:tblGrid>
      <w:gridCol w:w="11972"/>
    </w:tblGrid>
    <w:tr w:rsidR="005211A9" w14:paraId="49660FB9" w14:textId="77777777" w:rsidTr="0056118C">
      <w:trPr>
        <w:trHeight w:val="1134"/>
      </w:trPr>
      <w:tc>
        <w:tcPr>
          <w:tcW w:w="5000" w:type="pct"/>
          <w:shd w:val="clear" w:color="auto" w:fill="314364"/>
          <w:vAlign w:val="center"/>
        </w:tcPr>
        <w:p w14:paraId="726C8CE5" w14:textId="77777777" w:rsidR="005211A9" w:rsidRPr="00962F36" w:rsidRDefault="005211A9" w:rsidP="00092577">
          <w:pPr>
            <w:pStyle w:val="Hlavika"/>
            <w:tabs>
              <w:tab w:val="clear" w:pos="4536"/>
              <w:tab w:val="center" w:pos="309"/>
            </w:tabs>
            <w:spacing w:before="120"/>
            <w:ind w:left="309" w:right="1296"/>
            <w:jc w:val="right"/>
            <w:rPr>
              <w:rFonts w:cs="Segoe UI"/>
              <w:color w:val="FFFFFF" w:themeColor="background1"/>
              <w:sz w:val="24"/>
            </w:rPr>
          </w:pPr>
          <w:r>
            <w:rPr>
              <w:rFonts w:cs="Segoe UI"/>
              <w:color w:val="FFFFFF" w:themeColor="background1"/>
              <w:sz w:val="24"/>
            </w:rPr>
            <w:t>www.nku.gov.sk</w:t>
          </w:r>
        </w:p>
      </w:tc>
    </w:tr>
  </w:tbl>
  <w:p w14:paraId="6B7600A6" w14:textId="77777777" w:rsidR="005211A9" w:rsidRDefault="005211A9">
    <w:pPr>
      <w:pStyle w:val="Hlavik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B2355"/>
    <w:multiLevelType w:val="hybridMultilevel"/>
    <w:tmpl w:val="27CAE994"/>
    <w:lvl w:ilvl="0" w:tplc="2B1ACFC8">
      <w:numFmt w:val="bullet"/>
      <w:lvlText w:val="-"/>
      <w:lvlJc w:val="left"/>
      <w:pPr>
        <w:ind w:left="720" w:hanging="360"/>
      </w:pPr>
      <w:rPr>
        <w:rFonts w:ascii="Segoe UI" w:eastAsiaTheme="minorHAnsi" w:hAnsi="Segoe UI" w:cs="Segoe UI" w:hint="default"/>
      </w:rPr>
    </w:lvl>
    <w:lvl w:ilvl="1" w:tplc="861AFF14">
      <w:numFmt w:val="bullet"/>
      <w:lvlText w:val="•"/>
      <w:lvlJc w:val="left"/>
      <w:pPr>
        <w:ind w:left="1785" w:hanging="705"/>
      </w:pPr>
      <w:rPr>
        <w:rFonts w:ascii="Segoe UI" w:eastAsia="Calibri" w:hAnsi="Segoe UI" w:cs="Segoe UI"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1E304D00"/>
    <w:multiLevelType w:val="hybridMultilevel"/>
    <w:tmpl w:val="827C5B6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15:restartNumberingAfterBreak="0">
    <w:nsid w:val="26333D1C"/>
    <w:multiLevelType w:val="hybridMultilevel"/>
    <w:tmpl w:val="17DEE70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15:restartNumberingAfterBreak="0">
    <w:nsid w:val="269858D5"/>
    <w:multiLevelType w:val="hybridMultilevel"/>
    <w:tmpl w:val="7DF25410"/>
    <w:lvl w:ilvl="0" w:tplc="6AE6818C">
      <w:start w:val="1"/>
      <w:numFmt w:val="bullet"/>
      <w:lvlText w:val=""/>
      <w:lvlJc w:val="left"/>
      <w:pPr>
        <w:ind w:left="567" w:hanging="207"/>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15:restartNumberingAfterBreak="0">
    <w:nsid w:val="300F5B7F"/>
    <w:multiLevelType w:val="hybridMultilevel"/>
    <w:tmpl w:val="E9282D78"/>
    <w:lvl w:ilvl="0" w:tplc="07FE0F28">
      <w:start w:val="1"/>
      <w:numFmt w:val="bullet"/>
      <w:lvlText w:val="-"/>
      <w:lvlJc w:val="left"/>
      <w:pPr>
        <w:ind w:left="720" w:hanging="360"/>
      </w:pPr>
      <w:rPr>
        <w:rFonts w:ascii="Segoe UI" w:eastAsia="Calibri" w:hAnsi="Segoe UI" w:cs="Segoe U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315B3067"/>
    <w:multiLevelType w:val="hybridMultilevel"/>
    <w:tmpl w:val="4B1A9B8A"/>
    <w:lvl w:ilvl="0" w:tplc="2416B410">
      <w:start w:val="1"/>
      <w:numFmt w:val="bullet"/>
      <w:lvlText w:val=""/>
      <w:lvlJc w:val="left"/>
      <w:pPr>
        <w:ind w:left="720" w:hanging="493"/>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15:restartNumberingAfterBreak="0">
    <w:nsid w:val="34C80946"/>
    <w:multiLevelType w:val="hybridMultilevel"/>
    <w:tmpl w:val="C7080D68"/>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3A7C6C90"/>
    <w:multiLevelType w:val="hybridMultilevel"/>
    <w:tmpl w:val="AE7651D6"/>
    <w:lvl w:ilvl="0" w:tplc="FD8C9962">
      <w:start w:val="3"/>
      <w:numFmt w:val="bullet"/>
      <w:lvlText w:val="-"/>
      <w:lvlJc w:val="left"/>
      <w:pPr>
        <w:ind w:left="720" w:hanging="360"/>
      </w:pPr>
      <w:rPr>
        <w:rFonts w:ascii="Segoe UI" w:eastAsiaTheme="minorHAnsi" w:hAnsi="Segoe UI" w:cs="Segoe UI" w:hint="default"/>
        <w:b/>
        <w:color w:val="auto"/>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3BC401FD"/>
    <w:multiLevelType w:val="hybridMultilevel"/>
    <w:tmpl w:val="C0D0763E"/>
    <w:lvl w:ilvl="0" w:tplc="041B000F">
      <w:start w:val="1"/>
      <w:numFmt w:val="decimal"/>
      <w:lvlText w:val="%1."/>
      <w:lvlJc w:val="left"/>
      <w:pPr>
        <w:ind w:left="1068" w:hanging="360"/>
      </w:pPr>
    </w:lvl>
    <w:lvl w:ilvl="1" w:tplc="041B0019">
      <w:start w:val="1"/>
      <w:numFmt w:val="lowerLetter"/>
      <w:lvlText w:val="%2."/>
      <w:lvlJc w:val="left"/>
      <w:pPr>
        <w:ind w:left="1788" w:hanging="360"/>
      </w:pPr>
    </w:lvl>
    <w:lvl w:ilvl="2" w:tplc="041B001B">
      <w:start w:val="1"/>
      <w:numFmt w:val="lowerRoman"/>
      <w:lvlText w:val="%3."/>
      <w:lvlJc w:val="right"/>
      <w:pPr>
        <w:ind w:left="2508" w:hanging="180"/>
      </w:pPr>
    </w:lvl>
    <w:lvl w:ilvl="3" w:tplc="041B000F">
      <w:start w:val="1"/>
      <w:numFmt w:val="decimal"/>
      <w:lvlText w:val="%4."/>
      <w:lvlJc w:val="left"/>
      <w:pPr>
        <w:ind w:left="3228" w:hanging="360"/>
      </w:pPr>
    </w:lvl>
    <w:lvl w:ilvl="4" w:tplc="041B0019">
      <w:start w:val="1"/>
      <w:numFmt w:val="lowerLetter"/>
      <w:lvlText w:val="%5."/>
      <w:lvlJc w:val="left"/>
      <w:pPr>
        <w:ind w:left="3948" w:hanging="360"/>
      </w:pPr>
    </w:lvl>
    <w:lvl w:ilvl="5" w:tplc="041B001B">
      <w:start w:val="1"/>
      <w:numFmt w:val="lowerRoman"/>
      <w:lvlText w:val="%6."/>
      <w:lvlJc w:val="right"/>
      <w:pPr>
        <w:ind w:left="4668" w:hanging="180"/>
      </w:pPr>
    </w:lvl>
    <w:lvl w:ilvl="6" w:tplc="041B000F">
      <w:start w:val="1"/>
      <w:numFmt w:val="decimal"/>
      <w:lvlText w:val="%7."/>
      <w:lvlJc w:val="left"/>
      <w:pPr>
        <w:ind w:left="5388" w:hanging="360"/>
      </w:pPr>
    </w:lvl>
    <w:lvl w:ilvl="7" w:tplc="041B0019">
      <w:start w:val="1"/>
      <w:numFmt w:val="lowerLetter"/>
      <w:lvlText w:val="%8."/>
      <w:lvlJc w:val="left"/>
      <w:pPr>
        <w:ind w:left="6108" w:hanging="360"/>
      </w:pPr>
    </w:lvl>
    <w:lvl w:ilvl="8" w:tplc="041B001B">
      <w:start w:val="1"/>
      <w:numFmt w:val="lowerRoman"/>
      <w:lvlText w:val="%9."/>
      <w:lvlJc w:val="right"/>
      <w:pPr>
        <w:ind w:left="6828" w:hanging="180"/>
      </w:pPr>
    </w:lvl>
  </w:abstractNum>
  <w:abstractNum w:abstractNumId="9" w15:restartNumberingAfterBreak="0">
    <w:nsid w:val="3F642969"/>
    <w:multiLevelType w:val="hybridMultilevel"/>
    <w:tmpl w:val="485A2692"/>
    <w:lvl w:ilvl="0" w:tplc="365491D6">
      <w:start w:val="1"/>
      <w:numFmt w:val="upp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0" w15:restartNumberingAfterBreak="0">
    <w:nsid w:val="400D7590"/>
    <w:multiLevelType w:val="hybridMultilevel"/>
    <w:tmpl w:val="E6C6D84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43223A1A"/>
    <w:multiLevelType w:val="hybridMultilevel"/>
    <w:tmpl w:val="90688902"/>
    <w:lvl w:ilvl="0" w:tplc="7FBE4410">
      <w:numFmt w:val="bullet"/>
      <w:lvlText w:val="-"/>
      <w:lvlJc w:val="left"/>
      <w:pPr>
        <w:ind w:left="720" w:hanging="360"/>
      </w:pPr>
      <w:rPr>
        <w:rFonts w:ascii="Segoe UI" w:eastAsiaTheme="minorHAnsi" w:hAnsi="Segoe UI" w:cs="Segoe U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15:restartNumberingAfterBreak="0">
    <w:nsid w:val="43DA4E7D"/>
    <w:multiLevelType w:val="hybridMultilevel"/>
    <w:tmpl w:val="D49E68A0"/>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48A515BB"/>
    <w:multiLevelType w:val="hybridMultilevel"/>
    <w:tmpl w:val="1DEAFF5E"/>
    <w:lvl w:ilvl="0" w:tplc="DB9EE948">
      <w:numFmt w:val="bullet"/>
      <w:lvlText w:val="-"/>
      <w:lvlJc w:val="left"/>
      <w:pPr>
        <w:ind w:left="720" w:hanging="360"/>
      </w:pPr>
      <w:rPr>
        <w:rFonts w:ascii="Segoe UI" w:eastAsiaTheme="minorHAnsi" w:hAnsi="Segoe UI" w:cs="Segoe U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55D062F5"/>
    <w:multiLevelType w:val="hybridMultilevel"/>
    <w:tmpl w:val="42E4959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15:restartNumberingAfterBreak="0">
    <w:nsid w:val="56DD279B"/>
    <w:multiLevelType w:val="hybridMultilevel"/>
    <w:tmpl w:val="24B217B4"/>
    <w:lvl w:ilvl="0" w:tplc="81CE248E">
      <w:numFmt w:val="bullet"/>
      <w:lvlText w:val="-"/>
      <w:lvlJc w:val="left"/>
      <w:pPr>
        <w:ind w:left="454" w:hanging="227"/>
      </w:pPr>
      <w:rPr>
        <w:rFonts w:ascii="Segoe UI" w:eastAsiaTheme="minorHAnsi" w:hAnsi="Segoe UI" w:hint="default"/>
        <w:sz w:val="24"/>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15:restartNumberingAfterBreak="0">
    <w:nsid w:val="59600ABC"/>
    <w:multiLevelType w:val="hybridMultilevel"/>
    <w:tmpl w:val="7DB4E5CA"/>
    <w:lvl w:ilvl="0" w:tplc="5608C2E0">
      <w:start w:val="1"/>
      <w:numFmt w:val="bullet"/>
      <w:lvlText w:val=""/>
      <w:lvlJc w:val="left"/>
      <w:pPr>
        <w:ind w:left="510" w:hanging="15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5F2569EA"/>
    <w:multiLevelType w:val="hybridMultilevel"/>
    <w:tmpl w:val="5826FEA6"/>
    <w:lvl w:ilvl="0" w:tplc="1EBC9888">
      <w:start w:val="1"/>
      <w:numFmt w:val="bullet"/>
      <w:lvlText w:val=""/>
      <w:lvlJc w:val="left"/>
      <w:pPr>
        <w:ind w:left="360" w:hanging="360"/>
      </w:pPr>
      <w:rPr>
        <w:rFonts w:ascii="Symbol" w:hAnsi="Symbol" w:hint="default"/>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8" w15:restartNumberingAfterBreak="0">
    <w:nsid w:val="660D3C0F"/>
    <w:multiLevelType w:val="hybridMultilevel"/>
    <w:tmpl w:val="7936AE06"/>
    <w:lvl w:ilvl="0" w:tplc="980C73D2">
      <w:start w:val="1"/>
      <w:numFmt w:val="decimal"/>
      <w:pStyle w:val="Pouitliteratra"/>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9" w15:restartNumberingAfterBreak="0">
    <w:nsid w:val="66EC3377"/>
    <w:multiLevelType w:val="hybridMultilevel"/>
    <w:tmpl w:val="557A84E0"/>
    <w:lvl w:ilvl="0" w:tplc="401A95D6">
      <w:numFmt w:val="bullet"/>
      <w:lvlText w:val="-"/>
      <w:lvlJc w:val="left"/>
      <w:pPr>
        <w:ind w:left="720" w:hanging="360"/>
      </w:pPr>
      <w:rPr>
        <w:rFonts w:ascii="Segoe UI" w:eastAsiaTheme="minorHAnsi" w:hAnsi="Segoe UI" w:cs="Segoe UI" w:hint="default"/>
        <w:sz w:val="24"/>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15:restartNumberingAfterBreak="0">
    <w:nsid w:val="6E6F6FA9"/>
    <w:multiLevelType w:val="hybridMultilevel"/>
    <w:tmpl w:val="FB769CE6"/>
    <w:lvl w:ilvl="0" w:tplc="7FBE4410">
      <w:numFmt w:val="bullet"/>
      <w:lvlText w:val="-"/>
      <w:lvlJc w:val="left"/>
      <w:pPr>
        <w:ind w:left="720" w:hanging="360"/>
      </w:pPr>
      <w:rPr>
        <w:rFonts w:ascii="Segoe UI" w:eastAsiaTheme="minorHAnsi" w:hAnsi="Segoe UI" w:cs="Segoe U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72003A90"/>
    <w:multiLevelType w:val="hybridMultilevel"/>
    <w:tmpl w:val="4EC2F822"/>
    <w:lvl w:ilvl="0" w:tplc="09904A96">
      <w:start w:val="338"/>
      <w:numFmt w:val="bullet"/>
      <w:lvlText w:val="-"/>
      <w:lvlJc w:val="left"/>
      <w:pPr>
        <w:ind w:left="720" w:hanging="360"/>
      </w:pPr>
      <w:rPr>
        <w:rFonts w:ascii="Segoe UI" w:eastAsia="Times New Roman" w:hAnsi="Segoe UI" w:cs="Segoe U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15:restartNumberingAfterBreak="0">
    <w:nsid w:val="74FB1768"/>
    <w:multiLevelType w:val="hybridMultilevel"/>
    <w:tmpl w:val="529E100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751E5FAD"/>
    <w:multiLevelType w:val="hybridMultilevel"/>
    <w:tmpl w:val="A7F0221A"/>
    <w:lvl w:ilvl="0" w:tplc="EF927748">
      <w:start w:val="1"/>
      <w:numFmt w:val="bullet"/>
      <w:lvlText w:val=""/>
      <w:lvlJc w:val="left"/>
      <w:pPr>
        <w:ind w:left="510" w:hanging="340"/>
      </w:pPr>
      <w:rPr>
        <w:rFonts w:ascii="Symbol" w:hAnsi="Symbol" w:hint="default"/>
      </w:rPr>
    </w:lvl>
    <w:lvl w:ilvl="1" w:tplc="F17CB392">
      <w:numFmt w:val="bullet"/>
      <w:lvlText w:val="–"/>
      <w:lvlJc w:val="left"/>
      <w:pPr>
        <w:ind w:left="1440" w:hanging="360"/>
      </w:pPr>
      <w:rPr>
        <w:rFonts w:ascii="Arial Narrow" w:eastAsiaTheme="minorHAnsi" w:hAnsi="Arial Narrow" w:cstheme="minorBidi"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4" w15:restartNumberingAfterBreak="0">
    <w:nsid w:val="7718234E"/>
    <w:multiLevelType w:val="multilevel"/>
    <w:tmpl w:val="059CA770"/>
    <w:lvl w:ilvl="0">
      <w:start w:val="1"/>
      <w:numFmt w:val="decimal"/>
      <w:pStyle w:val="Nadpis1"/>
      <w:lvlText w:val="%1"/>
      <w:lvlJc w:val="left"/>
      <w:pPr>
        <w:ind w:left="360" w:hanging="360"/>
      </w:pPr>
      <w:rPr>
        <w:rFonts w:hint="default"/>
      </w:rPr>
    </w:lvl>
    <w:lvl w:ilvl="1">
      <w:start w:val="1"/>
      <w:numFmt w:val="decimal"/>
      <w:isLgl/>
      <w:lvlText w:val="%1.%2"/>
      <w:lvlJc w:val="left"/>
      <w:pPr>
        <w:ind w:left="1343" w:hanging="525"/>
      </w:pPr>
      <w:rPr>
        <w:rFonts w:hint="default"/>
      </w:rPr>
    </w:lvl>
    <w:lvl w:ilvl="2">
      <w:start w:val="3"/>
      <w:numFmt w:val="decimal"/>
      <w:isLgl/>
      <w:lvlText w:val="%1.%2.%3"/>
      <w:lvlJc w:val="left"/>
      <w:pPr>
        <w:ind w:left="1996" w:hanging="720"/>
      </w:pPr>
      <w:rPr>
        <w:rFonts w:hint="default"/>
      </w:rPr>
    </w:lvl>
    <w:lvl w:ilvl="3">
      <w:start w:val="1"/>
      <w:numFmt w:val="decimal"/>
      <w:isLgl/>
      <w:lvlText w:val="%1.%2.%3.%4"/>
      <w:lvlJc w:val="left"/>
      <w:pPr>
        <w:ind w:left="2814" w:hanging="1080"/>
      </w:pPr>
      <w:rPr>
        <w:rFonts w:hint="default"/>
      </w:rPr>
    </w:lvl>
    <w:lvl w:ilvl="4">
      <w:start w:val="1"/>
      <w:numFmt w:val="decimal"/>
      <w:isLgl/>
      <w:lvlText w:val="%1.%2.%3.%4.%5"/>
      <w:lvlJc w:val="left"/>
      <w:pPr>
        <w:ind w:left="3272" w:hanging="1080"/>
      </w:pPr>
      <w:rPr>
        <w:rFonts w:hint="default"/>
      </w:rPr>
    </w:lvl>
    <w:lvl w:ilvl="5">
      <w:start w:val="1"/>
      <w:numFmt w:val="decimal"/>
      <w:isLgl/>
      <w:lvlText w:val="%1.%2.%3.%4.%5.%6"/>
      <w:lvlJc w:val="left"/>
      <w:pPr>
        <w:ind w:left="4090" w:hanging="1440"/>
      </w:pPr>
      <w:rPr>
        <w:rFonts w:hint="default"/>
      </w:rPr>
    </w:lvl>
    <w:lvl w:ilvl="6">
      <w:start w:val="1"/>
      <w:numFmt w:val="decimal"/>
      <w:isLgl/>
      <w:lvlText w:val="%1.%2.%3.%4.%5.%6.%7"/>
      <w:lvlJc w:val="left"/>
      <w:pPr>
        <w:ind w:left="4548" w:hanging="1440"/>
      </w:pPr>
      <w:rPr>
        <w:rFonts w:hint="default"/>
      </w:rPr>
    </w:lvl>
    <w:lvl w:ilvl="7">
      <w:start w:val="1"/>
      <w:numFmt w:val="decimal"/>
      <w:isLgl/>
      <w:lvlText w:val="%1.%2.%3.%4.%5.%6.%7.%8"/>
      <w:lvlJc w:val="left"/>
      <w:pPr>
        <w:ind w:left="5366" w:hanging="1800"/>
      </w:pPr>
      <w:rPr>
        <w:rFonts w:hint="default"/>
      </w:rPr>
    </w:lvl>
    <w:lvl w:ilvl="8">
      <w:start w:val="1"/>
      <w:numFmt w:val="decimal"/>
      <w:isLgl/>
      <w:lvlText w:val="%1.%2.%3.%4.%5.%6.%7.%8.%9"/>
      <w:lvlJc w:val="left"/>
      <w:pPr>
        <w:ind w:left="5824" w:hanging="1800"/>
      </w:pPr>
      <w:rPr>
        <w:rFonts w:hint="default"/>
      </w:rPr>
    </w:lvl>
  </w:abstractNum>
  <w:abstractNum w:abstractNumId="25" w15:restartNumberingAfterBreak="0">
    <w:nsid w:val="78756592"/>
    <w:multiLevelType w:val="hybridMultilevel"/>
    <w:tmpl w:val="9BDEFA5A"/>
    <w:lvl w:ilvl="0" w:tplc="974CB1DA">
      <w:numFmt w:val="bullet"/>
      <w:lvlText w:val=""/>
      <w:lvlJc w:val="left"/>
      <w:pPr>
        <w:ind w:left="720" w:hanging="360"/>
      </w:pPr>
      <w:rPr>
        <w:rFonts w:ascii="Symbol" w:eastAsiaTheme="minorHAnsi" w:hAnsi="Symbol" w:cstheme="minorBid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6" w15:restartNumberingAfterBreak="0">
    <w:nsid w:val="7D102E22"/>
    <w:multiLevelType w:val="hybridMultilevel"/>
    <w:tmpl w:val="B7888AB0"/>
    <w:lvl w:ilvl="0" w:tplc="401A95D6">
      <w:numFmt w:val="bullet"/>
      <w:lvlText w:val="-"/>
      <w:lvlJc w:val="left"/>
      <w:pPr>
        <w:ind w:left="720" w:hanging="360"/>
      </w:pPr>
      <w:rPr>
        <w:rFonts w:ascii="Segoe UI" w:eastAsiaTheme="minorHAnsi" w:hAnsi="Segoe UI" w:cs="Segoe UI" w:hint="default"/>
        <w:sz w:val="24"/>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18"/>
  </w:num>
  <w:num w:numId="2">
    <w:abstractNumId w:val="4"/>
  </w:num>
  <w:num w:numId="3">
    <w:abstractNumId w:val="11"/>
  </w:num>
  <w:num w:numId="4">
    <w:abstractNumId w:val="23"/>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
  </w:num>
  <w:num w:numId="7">
    <w:abstractNumId w:val="17"/>
  </w:num>
  <w:num w:numId="8">
    <w:abstractNumId w:val="24"/>
  </w:num>
  <w:num w:numId="9">
    <w:abstractNumId w:val="16"/>
  </w:num>
  <w:num w:numId="10">
    <w:abstractNumId w:val="24"/>
  </w:num>
  <w:num w:numId="11">
    <w:abstractNumId w:val="7"/>
  </w:num>
  <w:num w:numId="12">
    <w:abstractNumId w:val="14"/>
  </w:num>
  <w:num w:numId="13">
    <w:abstractNumId w:val="2"/>
  </w:num>
  <w:num w:numId="14">
    <w:abstractNumId w:val="0"/>
  </w:num>
  <w:num w:numId="15">
    <w:abstractNumId w:val="25"/>
  </w:num>
  <w:num w:numId="16">
    <w:abstractNumId w:val="8"/>
  </w:num>
  <w:num w:numId="17">
    <w:abstractNumId w:val="10"/>
  </w:num>
  <w:num w:numId="18">
    <w:abstractNumId w:val="21"/>
  </w:num>
  <w:num w:numId="19">
    <w:abstractNumId w:val="1"/>
  </w:num>
  <w:num w:numId="20">
    <w:abstractNumId w:val="24"/>
    <w:lvlOverride w:ilvl="0">
      <w:startOverride w:val="4"/>
    </w:lvlOverride>
    <w:lvlOverride w:ilvl="1">
      <w:startOverride w:val="3"/>
    </w:lvlOverride>
  </w:num>
  <w:num w:numId="21">
    <w:abstractNumId w:val="26"/>
  </w:num>
  <w:num w:numId="22">
    <w:abstractNumId w:val="20"/>
  </w:num>
  <w:num w:numId="23">
    <w:abstractNumId w:val="12"/>
  </w:num>
  <w:num w:numId="24">
    <w:abstractNumId w:val="22"/>
  </w:num>
  <w:num w:numId="25">
    <w:abstractNumId w:val="13"/>
  </w:num>
  <w:num w:numId="26">
    <w:abstractNumId w:val="5"/>
  </w:num>
  <w:num w:numId="27">
    <w:abstractNumId w:val="3"/>
  </w:num>
  <w:num w:numId="28">
    <w:abstractNumId w:val="6"/>
  </w:num>
  <w:num w:numId="29">
    <w:abstractNumId w:val="19"/>
  </w:num>
  <w:num w:numId="30">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36C2"/>
    <w:rsid w:val="00000294"/>
    <w:rsid w:val="000003AC"/>
    <w:rsid w:val="00000A60"/>
    <w:rsid w:val="00001348"/>
    <w:rsid w:val="00001D13"/>
    <w:rsid w:val="000020C7"/>
    <w:rsid w:val="00002667"/>
    <w:rsid w:val="00002874"/>
    <w:rsid w:val="00002EFA"/>
    <w:rsid w:val="000039A4"/>
    <w:rsid w:val="00003F74"/>
    <w:rsid w:val="00004033"/>
    <w:rsid w:val="00004B07"/>
    <w:rsid w:val="00005A23"/>
    <w:rsid w:val="00006326"/>
    <w:rsid w:val="00006881"/>
    <w:rsid w:val="00007439"/>
    <w:rsid w:val="00007F08"/>
    <w:rsid w:val="00010499"/>
    <w:rsid w:val="00010D1E"/>
    <w:rsid w:val="00011DEB"/>
    <w:rsid w:val="00012258"/>
    <w:rsid w:val="00015CB4"/>
    <w:rsid w:val="00017CA7"/>
    <w:rsid w:val="00017D63"/>
    <w:rsid w:val="00020393"/>
    <w:rsid w:val="0002054E"/>
    <w:rsid w:val="00021291"/>
    <w:rsid w:val="000220C7"/>
    <w:rsid w:val="00022607"/>
    <w:rsid w:val="00023340"/>
    <w:rsid w:val="000237AF"/>
    <w:rsid w:val="00023E79"/>
    <w:rsid w:val="000248C3"/>
    <w:rsid w:val="00025225"/>
    <w:rsid w:val="0002561E"/>
    <w:rsid w:val="00025A0E"/>
    <w:rsid w:val="00027FA5"/>
    <w:rsid w:val="00027FE3"/>
    <w:rsid w:val="000306CA"/>
    <w:rsid w:val="00030D77"/>
    <w:rsid w:val="00031716"/>
    <w:rsid w:val="00031F34"/>
    <w:rsid w:val="00032291"/>
    <w:rsid w:val="00033B65"/>
    <w:rsid w:val="00034CCD"/>
    <w:rsid w:val="00034FDB"/>
    <w:rsid w:val="000350AD"/>
    <w:rsid w:val="0003553D"/>
    <w:rsid w:val="00041476"/>
    <w:rsid w:val="0004161F"/>
    <w:rsid w:val="00041751"/>
    <w:rsid w:val="00042DB1"/>
    <w:rsid w:val="00042E7E"/>
    <w:rsid w:val="00043049"/>
    <w:rsid w:val="00043408"/>
    <w:rsid w:val="000443C8"/>
    <w:rsid w:val="00044B87"/>
    <w:rsid w:val="00046011"/>
    <w:rsid w:val="0004651E"/>
    <w:rsid w:val="000469F1"/>
    <w:rsid w:val="00047A70"/>
    <w:rsid w:val="00050329"/>
    <w:rsid w:val="00050436"/>
    <w:rsid w:val="00050861"/>
    <w:rsid w:val="00050AE9"/>
    <w:rsid w:val="00050F66"/>
    <w:rsid w:val="000518F7"/>
    <w:rsid w:val="00051A48"/>
    <w:rsid w:val="00051CA0"/>
    <w:rsid w:val="0005233D"/>
    <w:rsid w:val="0005277C"/>
    <w:rsid w:val="00052A0A"/>
    <w:rsid w:val="00052D96"/>
    <w:rsid w:val="00054A22"/>
    <w:rsid w:val="00054EA8"/>
    <w:rsid w:val="00055575"/>
    <w:rsid w:val="000566B9"/>
    <w:rsid w:val="000567EB"/>
    <w:rsid w:val="00056B89"/>
    <w:rsid w:val="00056EB9"/>
    <w:rsid w:val="0005731D"/>
    <w:rsid w:val="000601AC"/>
    <w:rsid w:val="00060491"/>
    <w:rsid w:val="000606C3"/>
    <w:rsid w:val="00060A3C"/>
    <w:rsid w:val="00060ADF"/>
    <w:rsid w:val="000615A9"/>
    <w:rsid w:val="00061772"/>
    <w:rsid w:val="00061EAE"/>
    <w:rsid w:val="00061F1F"/>
    <w:rsid w:val="00062025"/>
    <w:rsid w:val="000625B2"/>
    <w:rsid w:val="000628FE"/>
    <w:rsid w:val="000637F1"/>
    <w:rsid w:val="000645DC"/>
    <w:rsid w:val="00064BF9"/>
    <w:rsid w:val="00064CA0"/>
    <w:rsid w:val="000652A9"/>
    <w:rsid w:val="00065472"/>
    <w:rsid w:val="000669E9"/>
    <w:rsid w:val="00066A87"/>
    <w:rsid w:val="00066B83"/>
    <w:rsid w:val="00067084"/>
    <w:rsid w:val="00067346"/>
    <w:rsid w:val="00067591"/>
    <w:rsid w:val="0007157E"/>
    <w:rsid w:val="00071CBB"/>
    <w:rsid w:val="00071D97"/>
    <w:rsid w:val="000732E4"/>
    <w:rsid w:val="00073A5A"/>
    <w:rsid w:val="00073C7E"/>
    <w:rsid w:val="000742F9"/>
    <w:rsid w:val="00074AAC"/>
    <w:rsid w:val="00075012"/>
    <w:rsid w:val="00075266"/>
    <w:rsid w:val="00075376"/>
    <w:rsid w:val="0007587F"/>
    <w:rsid w:val="00076129"/>
    <w:rsid w:val="000763B9"/>
    <w:rsid w:val="000774D9"/>
    <w:rsid w:val="00077BA8"/>
    <w:rsid w:val="000807F8"/>
    <w:rsid w:val="00080D8B"/>
    <w:rsid w:val="00081734"/>
    <w:rsid w:val="00081B1A"/>
    <w:rsid w:val="000822F0"/>
    <w:rsid w:val="00083097"/>
    <w:rsid w:val="00083541"/>
    <w:rsid w:val="000841AE"/>
    <w:rsid w:val="0008598B"/>
    <w:rsid w:val="00085AC0"/>
    <w:rsid w:val="000869A6"/>
    <w:rsid w:val="00086CFA"/>
    <w:rsid w:val="0008770A"/>
    <w:rsid w:val="00087C69"/>
    <w:rsid w:val="00091193"/>
    <w:rsid w:val="00091AF8"/>
    <w:rsid w:val="00092577"/>
    <w:rsid w:val="00092B94"/>
    <w:rsid w:val="00092E55"/>
    <w:rsid w:val="000934F7"/>
    <w:rsid w:val="0009377B"/>
    <w:rsid w:val="000946E8"/>
    <w:rsid w:val="0009532E"/>
    <w:rsid w:val="00095CF4"/>
    <w:rsid w:val="00096178"/>
    <w:rsid w:val="00097220"/>
    <w:rsid w:val="000972BD"/>
    <w:rsid w:val="000A00A3"/>
    <w:rsid w:val="000A0207"/>
    <w:rsid w:val="000A043F"/>
    <w:rsid w:val="000A07DB"/>
    <w:rsid w:val="000A0B1D"/>
    <w:rsid w:val="000A107D"/>
    <w:rsid w:val="000A2D0D"/>
    <w:rsid w:val="000A3C9C"/>
    <w:rsid w:val="000A456E"/>
    <w:rsid w:val="000A4E30"/>
    <w:rsid w:val="000A5A5A"/>
    <w:rsid w:val="000A5F43"/>
    <w:rsid w:val="000A6902"/>
    <w:rsid w:val="000A73EC"/>
    <w:rsid w:val="000A7D9C"/>
    <w:rsid w:val="000B0147"/>
    <w:rsid w:val="000B048E"/>
    <w:rsid w:val="000B090C"/>
    <w:rsid w:val="000B115F"/>
    <w:rsid w:val="000B17E1"/>
    <w:rsid w:val="000B1C0A"/>
    <w:rsid w:val="000B2315"/>
    <w:rsid w:val="000B3403"/>
    <w:rsid w:val="000B3D3D"/>
    <w:rsid w:val="000B3E81"/>
    <w:rsid w:val="000B419A"/>
    <w:rsid w:val="000B47A7"/>
    <w:rsid w:val="000B5CCE"/>
    <w:rsid w:val="000B5DF0"/>
    <w:rsid w:val="000B65D2"/>
    <w:rsid w:val="000B6B66"/>
    <w:rsid w:val="000B757D"/>
    <w:rsid w:val="000B79B0"/>
    <w:rsid w:val="000B7C4A"/>
    <w:rsid w:val="000B7CDD"/>
    <w:rsid w:val="000C05D2"/>
    <w:rsid w:val="000C0793"/>
    <w:rsid w:val="000C2CBF"/>
    <w:rsid w:val="000C33D4"/>
    <w:rsid w:val="000C44E9"/>
    <w:rsid w:val="000C49A6"/>
    <w:rsid w:val="000C4B65"/>
    <w:rsid w:val="000C55CC"/>
    <w:rsid w:val="000C7B37"/>
    <w:rsid w:val="000D05F2"/>
    <w:rsid w:val="000D05F7"/>
    <w:rsid w:val="000D06ED"/>
    <w:rsid w:val="000D08CC"/>
    <w:rsid w:val="000D282F"/>
    <w:rsid w:val="000D2C8B"/>
    <w:rsid w:val="000D44E2"/>
    <w:rsid w:val="000D4E03"/>
    <w:rsid w:val="000D6043"/>
    <w:rsid w:val="000D6395"/>
    <w:rsid w:val="000D6535"/>
    <w:rsid w:val="000D6897"/>
    <w:rsid w:val="000D70E5"/>
    <w:rsid w:val="000D7501"/>
    <w:rsid w:val="000E0317"/>
    <w:rsid w:val="000E0405"/>
    <w:rsid w:val="000E081F"/>
    <w:rsid w:val="000E09DC"/>
    <w:rsid w:val="000E14A4"/>
    <w:rsid w:val="000E1E08"/>
    <w:rsid w:val="000E1E91"/>
    <w:rsid w:val="000E227B"/>
    <w:rsid w:val="000E23C9"/>
    <w:rsid w:val="000E3622"/>
    <w:rsid w:val="000E3932"/>
    <w:rsid w:val="000E3AFB"/>
    <w:rsid w:val="000E5184"/>
    <w:rsid w:val="000E57A9"/>
    <w:rsid w:val="000E5831"/>
    <w:rsid w:val="000E703A"/>
    <w:rsid w:val="000E75B3"/>
    <w:rsid w:val="000E7612"/>
    <w:rsid w:val="000E7652"/>
    <w:rsid w:val="000F0595"/>
    <w:rsid w:val="000F0907"/>
    <w:rsid w:val="000F0E19"/>
    <w:rsid w:val="000F1474"/>
    <w:rsid w:val="000F1F04"/>
    <w:rsid w:val="000F1F9B"/>
    <w:rsid w:val="000F2D84"/>
    <w:rsid w:val="000F2FDF"/>
    <w:rsid w:val="000F449C"/>
    <w:rsid w:val="000F4780"/>
    <w:rsid w:val="000F4B02"/>
    <w:rsid w:val="000F56BD"/>
    <w:rsid w:val="000F5C6D"/>
    <w:rsid w:val="000F5D85"/>
    <w:rsid w:val="000F608B"/>
    <w:rsid w:val="000F6BE0"/>
    <w:rsid w:val="000F6D77"/>
    <w:rsid w:val="000F6E16"/>
    <w:rsid w:val="000F746B"/>
    <w:rsid w:val="00100410"/>
    <w:rsid w:val="0010079F"/>
    <w:rsid w:val="00100826"/>
    <w:rsid w:val="00102FC8"/>
    <w:rsid w:val="00104F9C"/>
    <w:rsid w:val="001052D3"/>
    <w:rsid w:val="00105C15"/>
    <w:rsid w:val="00105C46"/>
    <w:rsid w:val="00105E47"/>
    <w:rsid w:val="0010629E"/>
    <w:rsid w:val="00106539"/>
    <w:rsid w:val="00106764"/>
    <w:rsid w:val="001067DB"/>
    <w:rsid w:val="00106BF8"/>
    <w:rsid w:val="001078E1"/>
    <w:rsid w:val="00107C80"/>
    <w:rsid w:val="00107FD0"/>
    <w:rsid w:val="00110271"/>
    <w:rsid w:val="00111090"/>
    <w:rsid w:val="001111BA"/>
    <w:rsid w:val="00111FF4"/>
    <w:rsid w:val="001123B5"/>
    <w:rsid w:val="00112789"/>
    <w:rsid w:val="001133DA"/>
    <w:rsid w:val="0011360B"/>
    <w:rsid w:val="00113C5D"/>
    <w:rsid w:val="00114185"/>
    <w:rsid w:val="001146BD"/>
    <w:rsid w:val="00114DE6"/>
    <w:rsid w:val="0011508D"/>
    <w:rsid w:val="00115102"/>
    <w:rsid w:val="00115741"/>
    <w:rsid w:val="00115BC7"/>
    <w:rsid w:val="00116A72"/>
    <w:rsid w:val="0011737A"/>
    <w:rsid w:val="0011791E"/>
    <w:rsid w:val="0012007B"/>
    <w:rsid w:val="001204EB"/>
    <w:rsid w:val="001209F4"/>
    <w:rsid w:val="00121099"/>
    <w:rsid w:val="00122118"/>
    <w:rsid w:val="00122526"/>
    <w:rsid w:val="001227F7"/>
    <w:rsid w:val="00123066"/>
    <w:rsid w:val="00123348"/>
    <w:rsid w:val="00123812"/>
    <w:rsid w:val="001241C9"/>
    <w:rsid w:val="001254B2"/>
    <w:rsid w:val="001256A4"/>
    <w:rsid w:val="00125972"/>
    <w:rsid w:val="00126219"/>
    <w:rsid w:val="001262A3"/>
    <w:rsid w:val="0012712A"/>
    <w:rsid w:val="00127302"/>
    <w:rsid w:val="001278BD"/>
    <w:rsid w:val="00127A20"/>
    <w:rsid w:val="00127D1A"/>
    <w:rsid w:val="00130318"/>
    <w:rsid w:val="001308E6"/>
    <w:rsid w:val="00130929"/>
    <w:rsid w:val="00131776"/>
    <w:rsid w:val="001318A0"/>
    <w:rsid w:val="00131B0E"/>
    <w:rsid w:val="00132DC7"/>
    <w:rsid w:val="001334B3"/>
    <w:rsid w:val="00133D0E"/>
    <w:rsid w:val="00134BE2"/>
    <w:rsid w:val="00135CA5"/>
    <w:rsid w:val="00135D56"/>
    <w:rsid w:val="00137321"/>
    <w:rsid w:val="00137A77"/>
    <w:rsid w:val="00137EA9"/>
    <w:rsid w:val="00140A29"/>
    <w:rsid w:val="00141569"/>
    <w:rsid w:val="001424DE"/>
    <w:rsid w:val="00143D5A"/>
    <w:rsid w:val="00144438"/>
    <w:rsid w:val="0014526A"/>
    <w:rsid w:val="00145644"/>
    <w:rsid w:val="00145BA9"/>
    <w:rsid w:val="00145FDF"/>
    <w:rsid w:val="001465A2"/>
    <w:rsid w:val="001466AC"/>
    <w:rsid w:val="00146855"/>
    <w:rsid w:val="00147007"/>
    <w:rsid w:val="00147452"/>
    <w:rsid w:val="00147D55"/>
    <w:rsid w:val="00150C3E"/>
    <w:rsid w:val="00151147"/>
    <w:rsid w:val="0015153D"/>
    <w:rsid w:val="001515D1"/>
    <w:rsid w:val="0015171A"/>
    <w:rsid w:val="00152634"/>
    <w:rsid w:val="001529CA"/>
    <w:rsid w:val="00152C77"/>
    <w:rsid w:val="00152CF0"/>
    <w:rsid w:val="0015356E"/>
    <w:rsid w:val="00153599"/>
    <w:rsid w:val="001539AA"/>
    <w:rsid w:val="00153B7B"/>
    <w:rsid w:val="00154246"/>
    <w:rsid w:val="00154F18"/>
    <w:rsid w:val="001551E5"/>
    <w:rsid w:val="00155528"/>
    <w:rsid w:val="001555F8"/>
    <w:rsid w:val="00160835"/>
    <w:rsid w:val="001609D9"/>
    <w:rsid w:val="00160F4C"/>
    <w:rsid w:val="00161337"/>
    <w:rsid w:val="001615BD"/>
    <w:rsid w:val="00161A10"/>
    <w:rsid w:val="00161B2F"/>
    <w:rsid w:val="001622C2"/>
    <w:rsid w:val="001626C3"/>
    <w:rsid w:val="001629C7"/>
    <w:rsid w:val="00164091"/>
    <w:rsid w:val="001648A0"/>
    <w:rsid w:val="00164DF3"/>
    <w:rsid w:val="00165A0A"/>
    <w:rsid w:val="00165D87"/>
    <w:rsid w:val="00167222"/>
    <w:rsid w:val="0016767C"/>
    <w:rsid w:val="00167DB2"/>
    <w:rsid w:val="00170159"/>
    <w:rsid w:val="00170EBD"/>
    <w:rsid w:val="00172759"/>
    <w:rsid w:val="001734A5"/>
    <w:rsid w:val="001736C2"/>
    <w:rsid w:val="00173DD7"/>
    <w:rsid w:val="00174344"/>
    <w:rsid w:val="0017553E"/>
    <w:rsid w:val="001761E0"/>
    <w:rsid w:val="0017673E"/>
    <w:rsid w:val="001767FE"/>
    <w:rsid w:val="001778A6"/>
    <w:rsid w:val="00181C89"/>
    <w:rsid w:val="00182145"/>
    <w:rsid w:val="001825BC"/>
    <w:rsid w:val="00182616"/>
    <w:rsid w:val="001826D3"/>
    <w:rsid w:val="00182851"/>
    <w:rsid w:val="00182BE8"/>
    <w:rsid w:val="00183295"/>
    <w:rsid w:val="0018391F"/>
    <w:rsid w:val="001842B5"/>
    <w:rsid w:val="00184758"/>
    <w:rsid w:val="0018540D"/>
    <w:rsid w:val="00186AD2"/>
    <w:rsid w:val="00187A8F"/>
    <w:rsid w:val="001900F8"/>
    <w:rsid w:val="00190181"/>
    <w:rsid w:val="00190922"/>
    <w:rsid w:val="0019189A"/>
    <w:rsid w:val="00191A51"/>
    <w:rsid w:val="00191B04"/>
    <w:rsid w:val="00191D2B"/>
    <w:rsid w:val="00192722"/>
    <w:rsid w:val="00192A7B"/>
    <w:rsid w:val="00193236"/>
    <w:rsid w:val="00193316"/>
    <w:rsid w:val="0019343E"/>
    <w:rsid w:val="0019494A"/>
    <w:rsid w:val="00194D52"/>
    <w:rsid w:val="00195154"/>
    <w:rsid w:val="00195BFD"/>
    <w:rsid w:val="00196D31"/>
    <w:rsid w:val="00197492"/>
    <w:rsid w:val="001976A5"/>
    <w:rsid w:val="0019785D"/>
    <w:rsid w:val="00197D44"/>
    <w:rsid w:val="001A02AC"/>
    <w:rsid w:val="001A0C13"/>
    <w:rsid w:val="001A2FF8"/>
    <w:rsid w:val="001A3D08"/>
    <w:rsid w:val="001A46DA"/>
    <w:rsid w:val="001A4A44"/>
    <w:rsid w:val="001A5A7E"/>
    <w:rsid w:val="001A6521"/>
    <w:rsid w:val="001A6862"/>
    <w:rsid w:val="001A6A02"/>
    <w:rsid w:val="001A6A41"/>
    <w:rsid w:val="001A6FB8"/>
    <w:rsid w:val="001A7B7E"/>
    <w:rsid w:val="001B03A6"/>
    <w:rsid w:val="001B05D4"/>
    <w:rsid w:val="001B10CB"/>
    <w:rsid w:val="001B1AC2"/>
    <w:rsid w:val="001B2ECE"/>
    <w:rsid w:val="001B38DE"/>
    <w:rsid w:val="001B3C83"/>
    <w:rsid w:val="001B40C3"/>
    <w:rsid w:val="001B464C"/>
    <w:rsid w:val="001B4E3D"/>
    <w:rsid w:val="001B5DED"/>
    <w:rsid w:val="001B5E58"/>
    <w:rsid w:val="001B642F"/>
    <w:rsid w:val="001B69B4"/>
    <w:rsid w:val="001B7313"/>
    <w:rsid w:val="001B7A8D"/>
    <w:rsid w:val="001C196A"/>
    <w:rsid w:val="001C1A61"/>
    <w:rsid w:val="001C2C66"/>
    <w:rsid w:val="001C3C24"/>
    <w:rsid w:val="001C3C79"/>
    <w:rsid w:val="001C3E26"/>
    <w:rsid w:val="001C4048"/>
    <w:rsid w:val="001C4366"/>
    <w:rsid w:val="001C47F4"/>
    <w:rsid w:val="001C696B"/>
    <w:rsid w:val="001C6B11"/>
    <w:rsid w:val="001C767E"/>
    <w:rsid w:val="001D0AFF"/>
    <w:rsid w:val="001D1BE1"/>
    <w:rsid w:val="001D255B"/>
    <w:rsid w:val="001D28E7"/>
    <w:rsid w:val="001D2976"/>
    <w:rsid w:val="001D2B52"/>
    <w:rsid w:val="001D3538"/>
    <w:rsid w:val="001D3A9E"/>
    <w:rsid w:val="001D3B89"/>
    <w:rsid w:val="001D4049"/>
    <w:rsid w:val="001D46C1"/>
    <w:rsid w:val="001D4805"/>
    <w:rsid w:val="001D528A"/>
    <w:rsid w:val="001D56CD"/>
    <w:rsid w:val="001D69DD"/>
    <w:rsid w:val="001D7483"/>
    <w:rsid w:val="001D767F"/>
    <w:rsid w:val="001D7955"/>
    <w:rsid w:val="001D7BD8"/>
    <w:rsid w:val="001E109F"/>
    <w:rsid w:val="001E10F7"/>
    <w:rsid w:val="001E11FE"/>
    <w:rsid w:val="001E15F4"/>
    <w:rsid w:val="001E1637"/>
    <w:rsid w:val="001E1941"/>
    <w:rsid w:val="001E1F58"/>
    <w:rsid w:val="001E20EF"/>
    <w:rsid w:val="001E2419"/>
    <w:rsid w:val="001E27EB"/>
    <w:rsid w:val="001E2F1A"/>
    <w:rsid w:val="001E3DBD"/>
    <w:rsid w:val="001E426C"/>
    <w:rsid w:val="001E547A"/>
    <w:rsid w:val="001E5C0E"/>
    <w:rsid w:val="001E5CA4"/>
    <w:rsid w:val="001E5DB0"/>
    <w:rsid w:val="001E602B"/>
    <w:rsid w:val="001E63E8"/>
    <w:rsid w:val="001E7CCF"/>
    <w:rsid w:val="001F04A4"/>
    <w:rsid w:val="001F0B36"/>
    <w:rsid w:val="001F22A4"/>
    <w:rsid w:val="001F35FE"/>
    <w:rsid w:val="001F3866"/>
    <w:rsid w:val="001F4513"/>
    <w:rsid w:val="001F460E"/>
    <w:rsid w:val="001F46F8"/>
    <w:rsid w:val="001F4AA2"/>
    <w:rsid w:val="001F5220"/>
    <w:rsid w:val="001F596D"/>
    <w:rsid w:val="001F619C"/>
    <w:rsid w:val="001F7057"/>
    <w:rsid w:val="001F7462"/>
    <w:rsid w:val="001F74D6"/>
    <w:rsid w:val="00200433"/>
    <w:rsid w:val="002011C1"/>
    <w:rsid w:val="00201AD2"/>
    <w:rsid w:val="00202081"/>
    <w:rsid w:val="0020222C"/>
    <w:rsid w:val="00202934"/>
    <w:rsid w:val="002031B6"/>
    <w:rsid w:val="002032F9"/>
    <w:rsid w:val="002038B4"/>
    <w:rsid w:val="002046F2"/>
    <w:rsid w:val="00204A6D"/>
    <w:rsid w:val="002064E7"/>
    <w:rsid w:val="002066FB"/>
    <w:rsid w:val="0020707C"/>
    <w:rsid w:val="002071BF"/>
    <w:rsid w:val="002077D2"/>
    <w:rsid w:val="00210ADE"/>
    <w:rsid w:val="00210CF0"/>
    <w:rsid w:val="00211538"/>
    <w:rsid w:val="00211893"/>
    <w:rsid w:val="0021192E"/>
    <w:rsid w:val="00212DE6"/>
    <w:rsid w:val="0021321E"/>
    <w:rsid w:val="0021374F"/>
    <w:rsid w:val="00213D9E"/>
    <w:rsid w:val="00214D64"/>
    <w:rsid w:val="00215066"/>
    <w:rsid w:val="002156D2"/>
    <w:rsid w:val="002158AB"/>
    <w:rsid w:val="00220229"/>
    <w:rsid w:val="00220608"/>
    <w:rsid w:val="00220B75"/>
    <w:rsid w:val="0022128C"/>
    <w:rsid w:val="00221742"/>
    <w:rsid w:val="00222062"/>
    <w:rsid w:val="0022251D"/>
    <w:rsid w:val="0022320A"/>
    <w:rsid w:val="0022363D"/>
    <w:rsid w:val="00223BAA"/>
    <w:rsid w:val="00223F2C"/>
    <w:rsid w:val="002240F4"/>
    <w:rsid w:val="00224E07"/>
    <w:rsid w:val="00225746"/>
    <w:rsid w:val="002267D4"/>
    <w:rsid w:val="002272FA"/>
    <w:rsid w:val="00227B92"/>
    <w:rsid w:val="00227DB9"/>
    <w:rsid w:val="00230663"/>
    <w:rsid w:val="00230728"/>
    <w:rsid w:val="0023083F"/>
    <w:rsid w:val="0023166E"/>
    <w:rsid w:val="0023186B"/>
    <w:rsid w:val="00231B14"/>
    <w:rsid w:val="0023278D"/>
    <w:rsid w:val="0023281E"/>
    <w:rsid w:val="00232A70"/>
    <w:rsid w:val="00232D38"/>
    <w:rsid w:val="00233842"/>
    <w:rsid w:val="00233EB0"/>
    <w:rsid w:val="00234063"/>
    <w:rsid w:val="00234481"/>
    <w:rsid w:val="00234BA5"/>
    <w:rsid w:val="00234C44"/>
    <w:rsid w:val="0023515F"/>
    <w:rsid w:val="002351E4"/>
    <w:rsid w:val="002363F5"/>
    <w:rsid w:val="002372BC"/>
    <w:rsid w:val="0024075E"/>
    <w:rsid w:val="002407D6"/>
    <w:rsid w:val="002413C8"/>
    <w:rsid w:val="002419DE"/>
    <w:rsid w:val="00241B68"/>
    <w:rsid w:val="00241C50"/>
    <w:rsid w:val="00241DE2"/>
    <w:rsid w:val="0024233A"/>
    <w:rsid w:val="002428B5"/>
    <w:rsid w:val="00242A9D"/>
    <w:rsid w:val="00243A51"/>
    <w:rsid w:val="00243C99"/>
    <w:rsid w:val="00243D49"/>
    <w:rsid w:val="00243D4D"/>
    <w:rsid w:val="00245469"/>
    <w:rsid w:val="00246EED"/>
    <w:rsid w:val="00247869"/>
    <w:rsid w:val="002523E4"/>
    <w:rsid w:val="00252540"/>
    <w:rsid w:val="002529E5"/>
    <w:rsid w:val="002548B5"/>
    <w:rsid w:val="00254935"/>
    <w:rsid w:val="0025552C"/>
    <w:rsid w:val="002566E7"/>
    <w:rsid w:val="0025680A"/>
    <w:rsid w:val="00256A74"/>
    <w:rsid w:val="00256AF8"/>
    <w:rsid w:val="002570A4"/>
    <w:rsid w:val="002579CE"/>
    <w:rsid w:val="00257DC9"/>
    <w:rsid w:val="00260589"/>
    <w:rsid w:val="00260E78"/>
    <w:rsid w:val="00262424"/>
    <w:rsid w:val="00263164"/>
    <w:rsid w:val="0026362C"/>
    <w:rsid w:val="0026379B"/>
    <w:rsid w:val="00263BBB"/>
    <w:rsid w:val="00263EB5"/>
    <w:rsid w:val="00264116"/>
    <w:rsid w:val="0026439C"/>
    <w:rsid w:val="002664FC"/>
    <w:rsid w:val="002665F3"/>
    <w:rsid w:val="00266F54"/>
    <w:rsid w:val="002706B2"/>
    <w:rsid w:val="00270C86"/>
    <w:rsid w:val="00270F8D"/>
    <w:rsid w:val="00271C42"/>
    <w:rsid w:val="0027200C"/>
    <w:rsid w:val="002727A0"/>
    <w:rsid w:val="0027333D"/>
    <w:rsid w:val="00273435"/>
    <w:rsid w:val="00273FE3"/>
    <w:rsid w:val="002741AA"/>
    <w:rsid w:val="002745C0"/>
    <w:rsid w:val="0027570B"/>
    <w:rsid w:val="00275C41"/>
    <w:rsid w:val="00275C50"/>
    <w:rsid w:val="00276436"/>
    <w:rsid w:val="00276CEE"/>
    <w:rsid w:val="002772C7"/>
    <w:rsid w:val="00277985"/>
    <w:rsid w:val="00277C8B"/>
    <w:rsid w:val="00283099"/>
    <w:rsid w:val="00285E47"/>
    <w:rsid w:val="00285FA1"/>
    <w:rsid w:val="00286B7A"/>
    <w:rsid w:val="00287025"/>
    <w:rsid w:val="0028719D"/>
    <w:rsid w:val="002872F8"/>
    <w:rsid w:val="0029006B"/>
    <w:rsid w:val="00290500"/>
    <w:rsid w:val="00290B26"/>
    <w:rsid w:val="00292076"/>
    <w:rsid w:val="00292443"/>
    <w:rsid w:val="00294A5D"/>
    <w:rsid w:val="00294C28"/>
    <w:rsid w:val="00295075"/>
    <w:rsid w:val="002959C5"/>
    <w:rsid w:val="00297061"/>
    <w:rsid w:val="002970D7"/>
    <w:rsid w:val="00297510"/>
    <w:rsid w:val="00297EE2"/>
    <w:rsid w:val="002A1496"/>
    <w:rsid w:val="002A20BC"/>
    <w:rsid w:val="002A3F2B"/>
    <w:rsid w:val="002A4564"/>
    <w:rsid w:val="002A46D9"/>
    <w:rsid w:val="002A5171"/>
    <w:rsid w:val="002A5217"/>
    <w:rsid w:val="002A5D73"/>
    <w:rsid w:val="002A652E"/>
    <w:rsid w:val="002A6607"/>
    <w:rsid w:val="002A674F"/>
    <w:rsid w:val="002A677B"/>
    <w:rsid w:val="002B0AFD"/>
    <w:rsid w:val="002B0DCB"/>
    <w:rsid w:val="002B0E19"/>
    <w:rsid w:val="002B0F63"/>
    <w:rsid w:val="002B3571"/>
    <w:rsid w:val="002B3D9A"/>
    <w:rsid w:val="002B3E85"/>
    <w:rsid w:val="002B428B"/>
    <w:rsid w:val="002B4809"/>
    <w:rsid w:val="002B51E9"/>
    <w:rsid w:val="002B62A7"/>
    <w:rsid w:val="002B7960"/>
    <w:rsid w:val="002C027A"/>
    <w:rsid w:val="002C1763"/>
    <w:rsid w:val="002C3D65"/>
    <w:rsid w:val="002C4827"/>
    <w:rsid w:val="002C5517"/>
    <w:rsid w:val="002C61B7"/>
    <w:rsid w:val="002C641A"/>
    <w:rsid w:val="002C6B80"/>
    <w:rsid w:val="002C6C34"/>
    <w:rsid w:val="002C71CC"/>
    <w:rsid w:val="002C790F"/>
    <w:rsid w:val="002C7FF9"/>
    <w:rsid w:val="002D16A3"/>
    <w:rsid w:val="002D216B"/>
    <w:rsid w:val="002D28E4"/>
    <w:rsid w:val="002D2DC9"/>
    <w:rsid w:val="002D3CCA"/>
    <w:rsid w:val="002D4106"/>
    <w:rsid w:val="002D4645"/>
    <w:rsid w:val="002D4ED0"/>
    <w:rsid w:val="002D4EEC"/>
    <w:rsid w:val="002D5105"/>
    <w:rsid w:val="002D54D7"/>
    <w:rsid w:val="002D5984"/>
    <w:rsid w:val="002D5EF1"/>
    <w:rsid w:val="002D61D5"/>
    <w:rsid w:val="002D650E"/>
    <w:rsid w:val="002D6953"/>
    <w:rsid w:val="002D7D5E"/>
    <w:rsid w:val="002E0AA8"/>
    <w:rsid w:val="002E130C"/>
    <w:rsid w:val="002E1446"/>
    <w:rsid w:val="002E1C20"/>
    <w:rsid w:val="002E1FF0"/>
    <w:rsid w:val="002E20A5"/>
    <w:rsid w:val="002E2337"/>
    <w:rsid w:val="002E2817"/>
    <w:rsid w:val="002E2965"/>
    <w:rsid w:val="002E29A6"/>
    <w:rsid w:val="002E2ABB"/>
    <w:rsid w:val="002E2FCF"/>
    <w:rsid w:val="002E3294"/>
    <w:rsid w:val="002E3AB9"/>
    <w:rsid w:val="002E3E94"/>
    <w:rsid w:val="002E43BB"/>
    <w:rsid w:val="002E49E1"/>
    <w:rsid w:val="002E4CC5"/>
    <w:rsid w:val="002E52BA"/>
    <w:rsid w:val="002E694F"/>
    <w:rsid w:val="002F055E"/>
    <w:rsid w:val="002F1328"/>
    <w:rsid w:val="002F1468"/>
    <w:rsid w:val="002F2116"/>
    <w:rsid w:val="002F2149"/>
    <w:rsid w:val="002F2A5C"/>
    <w:rsid w:val="002F2AC0"/>
    <w:rsid w:val="002F388E"/>
    <w:rsid w:val="002F45E5"/>
    <w:rsid w:val="002F4F44"/>
    <w:rsid w:val="002F5CC3"/>
    <w:rsid w:val="002F65B0"/>
    <w:rsid w:val="002F6E31"/>
    <w:rsid w:val="00301215"/>
    <w:rsid w:val="00301279"/>
    <w:rsid w:val="00301E07"/>
    <w:rsid w:val="003031ED"/>
    <w:rsid w:val="00303336"/>
    <w:rsid w:val="00303817"/>
    <w:rsid w:val="00303B8A"/>
    <w:rsid w:val="00303CD5"/>
    <w:rsid w:val="00305D3C"/>
    <w:rsid w:val="0030656E"/>
    <w:rsid w:val="003066DA"/>
    <w:rsid w:val="00306D79"/>
    <w:rsid w:val="0030742B"/>
    <w:rsid w:val="00307F0B"/>
    <w:rsid w:val="0031008D"/>
    <w:rsid w:val="003102B6"/>
    <w:rsid w:val="0031039E"/>
    <w:rsid w:val="00311A80"/>
    <w:rsid w:val="00311DA9"/>
    <w:rsid w:val="00312033"/>
    <w:rsid w:val="0031267F"/>
    <w:rsid w:val="003126C2"/>
    <w:rsid w:val="003131B6"/>
    <w:rsid w:val="00313BE3"/>
    <w:rsid w:val="00313D71"/>
    <w:rsid w:val="00314552"/>
    <w:rsid w:val="00315037"/>
    <w:rsid w:val="003166DF"/>
    <w:rsid w:val="00320202"/>
    <w:rsid w:val="00320B33"/>
    <w:rsid w:val="003212A1"/>
    <w:rsid w:val="003218DA"/>
    <w:rsid w:val="00321E01"/>
    <w:rsid w:val="00322540"/>
    <w:rsid w:val="0032280E"/>
    <w:rsid w:val="00322F02"/>
    <w:rsid w:val="00323FFD"/>
    <w:rsid w:val="0032465C"/>
    <w:rsid w:val="0032491C"/>
    <w:rsid w:val="00324A0D"/>
    <w:rsid w:val="00324BA4"/>
    <w:rsid w:val="00325018"/>
    <w:rsid w:val="00325A54"/>
    <w:rsid w:val="00325C1A"/>
    <w:rsid w:val="003261AC"/>
    <w:rsid w:val="00326687"/>
    <w:rsid w:val="00326B7A"/>
    <w:rsid w:val="00327F0A"/>
    <w:rsid w:val="003308BB"/>
    <w:rsid w:val="00330B34"/>
    <w:rsid w:val="00331350"/>
    <w:rsid w:val="003316F3"/>
    <w:rsid w:val="00332448"/>
    <w:rsid w:val="00333744"/>
    <w:rsid w:val="00335478"/>
    <w:rsid w:val="00335DDE"/>
    <w:rsid w:val="00335E5F"/>
    <w:rsid w:val="00335FB0"/>
    <w:rsid w:val="003369D8"/>
    <w:rsid w:val="00337BD2"/>
    <w:rsid w:val="0034051F"/>
    <w:rsid w:val="003423C9"/>
    <w:rsid w:val="00342AA2"/>
    <w:rsid w:val="003434E6"/>
    <w:rsid w:val="0034391C"/>
    <w:rsid w:val="003441E4"/>
    <w:rsid w:val="00344256"/>
    <w:rsid w:val="00344CF5"/>
    <w:rsid w:val="00345086"/>
    <w:rsid w:val="003451D7"/>
    <w:rsid w:val="003460E2"/>
    <w:rsid w:val="003465F3"/>
    <w:rsid w:val="003469BA"/>
    <w:rsid w:val="003470FF"/>
    <w:rsid w:val="00350588"/>
    <w:rsid w:val="003507F2"/>
    <w:rsid w:val="0035150B"/>
    <w:rsid w:val="0035167C"/>
    <w:rsid w:val="0035229D"/>
    <w:rsid w:val="00352A98"/>
    <w:rsid w:val="00353534"/>
    <w:rsid w:val="00354376"/>
    <w:rsid w:val="0035455B"/>
    <w:rsid w:val="00356869"/>
    <w:rsid w:val="00357325"/>
    <w:rsid w:val="00357361"/>
    <w:rsid w:val="003577BE"/>
    <w:rsid w:val="00357F99"/>
    <w:rsid w:val="0036113A"/>
    <w:rsid w:val="00362C0F"/>
    <w:rsid w:val="00362DAD"/>
    <w:rsid w:val="0036313C"/>
    <w:rsid w:val="00363203"/>
    <w:rsid w:val="00363DB9"/>
    <w:rsid w:val="00363DD7"/>
    <w:rsid w:val="0036463B"/>
    <w:rsid w:val="00365A57"/>
    <w:rsid w:val="003660F2"/>
    <w:rsid w:val="00366CB0"/>
    <w:rsid w:val="003671FA"/>
    <w:rsid w:val="003712F4"/>
    <w:rsid w:val="0037141B"/>
    <w:rsid w:val="003726AF"/>
    <w:rsid w:val="00372A88"/>
    <w:rsid w:val="003731BB"/>
    <w:rsid w:val="00373304"/>
    <w:rsid w:val="003733A4"/>
    <w:rsid w:val="003733BE"/>
    <w:rsid w:val="00373F39"/>
    <w:rsid w:val="00374157"/>
    <w:rsid w:val="003744CA"/>
    <w:rsid w:val="00374D54"/>
    <w:rsid w:val="00375629"/>
    <w:rsid w:val="0037567D"/>
    <w:rsid w:val="0037680E"/>
    <w:rsid w:val="00376C8E"/>
    <w:rsid w:val="00377BD7"/>
    <w:rsid w:val="0038039A"/>
    <w:rsid w:val="0038046B"/>
    <w:rsid w:val="00382271"/>
    <w:rsid w:val="00382E0C"/>
    <w:rsid w:val="00383112"/>
    <w:rsid w:val="00384A65"/>
    <w:rsid w:val="00386E58"/>
    <w:rsid w:val="00387EA0"/>
    <w:rsid w:val="00390B2B"/>
    <w:rsid w:val="00391685"/>
    <w:rsid w:val="00391708"/>
    <w:rsid w:val="00391726"/>
    <w:rsid w:val="0039259F"/>
    <w:rsid w:val="00393658"/>
    <w:rsid w:val="003943B4"/>
    <w:rsid w:val="003951EA"/>
    <w:rsid w:val="0039524E"/>
    <w:rsid w:val="0039596F"/>
    <w:rsid w:val="00396EF2"/>
    <w:rsid w:val="00397688"/>
    <w:rsid w:val="003A15C9"/>
    <w:rsid w:val="003A1D20"/>
    <w:rsid w:val="003A2779"/>
    <w:rsid w:val="003A36E4"/>
    <w:rsid w:val="003A6303"/>
    <w:rsid w:val="003A6C19"/>
    <w:rsid w:val="003A74A2"/>
    <w:rsid w:val="003A76F8"/>
    <w:rsid w:val="003B0294"/>
    <w:rsid w:val="003B0361"/>
    <w:rsid w:val="003B1938"/>
    <w:rsid w:val="003B1D74"/>
    <w:rsid w:val="003B2095"/>
    <w:rsid w:val="003B23D1"/>
    <w:rsid w:val="003B2664"/>
    <w:rsid w:val="003B321A"/>
    <w:rsid w:val="003B32A2"/>
    <w:rsid w:val="003B5316"/>
    <w:rsid w:val="003B7137"/>
    <w:rsid w:val="003C0021"/>
    <w:rsid w:val="003C08BE"/>
    <w:rsid w:val="003C0FE3"/>
    <w:rsid w:val="003C19F0"/>
    <w:rsid w:val="003C1D40"/>
    <w:rsid w:val="003C2B08"/>
    <w:rsid w:val="003C2CFC"/>
    <w:rsid w:val="003C3246"/>
    <w:rsid w:val="003C353D"/>
    <w:rsid w:val="003C4ECF"/>
    <w:rsid w:val="003C67BD"/>
    <w:rsid w:val="003C7B7C"/>
    <w:rsid w:val="003D11A6"/>
    <w:rsid w:val="003D22AA"/>
    <w:rsid w:val="003D34BC"/>
    <w:rsid w:val="003D38F0"/>
    <w:rsid w:val="003D420E"/>
    <w:rsid w:val="003D4869"/>
    <w:rsid w:val="003D4D45"/>
    <w:rsid w:val="003D4DE9"/>
    <w:rsid w:val="003D5680"/>
    <w:rsid w:val="003D5822"/>
    <w:rsid w:val="003D5B49"/>
    <w:rsid w:val="003D6267"/>
    <w:rsid w:val="003D6553"/>
    <w:rsid w:val="003D655A"/>
    <w:rsid w:val="003D70B7"/>
    <w:rsid w:val="003D7974"/>
    <w:rsid w:val="003E1828"/>
    <w:rsid w:val="003E1B64"/>
    <w:rsid w:val="003E257A"/>
    <w:rsid w:val="003E3CD3"/>
    <w:rsid w:val="003E456A"/>
    <w:rsid w:val="003E47B2"/>
    <w:rsid w:val="003E52A9"/>
    <w:rsid w:val="003E7B3C"/>
    <w:rsid w:val="003E7F1C"/>
    <w:rsid w:val="003F0569"/>
    <w:rsid w:val="003F1333"/>
    <w:rsid w:val="003F1666"/>
    <w:rsid w:val="003F20C1"/>
    <w:rsid w:val="003F2338"/>
    <w:rsid w:val="003F248C"/>
    <w:rsid w:val="003F28BE"/>
    <w:rsid w:val="003F2BA1"/>
    <w:rsid w:val="003F3882"/>
    <w:rsid w:val="003F3CD7"/>
    <w:rsid w:val="003F3E3F"/>
    <w:rsid w:val="003F54BD"/>
    <w:rsid w:val="003F5555"/>
    <w:rsid w:val="003F6293"/>
    <w:rsid w:val="003F67C9"/>
    <w:rsid w:val="003F69EA"/>
    <w:rsid w:val="003F7659"/>
    <w:rsid w:val="0040055F"/>
    <w:rsid w:val="004005E0"/>
    <w:rsid w:val="00401055"/>
    <w:rsid w:val="0040140F"/>
    <w:rsid w:val="0040227D"/>
    <w:rsid w:val="00402A51"/>
    <w:rsid w:val="0040356E"/>
    <w:rsid w:val="004035D7"/>
    <w:rsid w:val="00403A6D"/>
    <w:rsid w:val="00403AC0"/>
    <w:rsid w:val="00404F76"/>
    <w:rsid w:val="00405C13"/>
    <w:rsid w:val="00406429"/>
    <w:rsid w:val="0040672A"/>
    <w:rsid w:val="00406C8D"/>
    <w:rsid w:val="00410D46"/>
    <w:rsid w:val="004111DA"/>
    <w:rsid w:val="004116F1"/>
    <w:rsid w:val="00411BCA"/>
    <w:rsid w:val="00412388"/>
    <w:rsid w:val="00412486"/>
    <w:rsid w:val="00412C5B"/>
    <w:rsid w:val="00412CA0"/>
    <w:rsid w:val="00413602"/>
    <w:rsid w:val="00413DDE"/>
    <w:rsid w:val="00414F6A"/>
    <w:rsid w:val="004165F7"/>
    <w:rsid w:val="00416B29"/>
    <w:rsid w:val="00417089"/>
    <w:rsid w:val="00417691"/>
    <w:rsid w:val="00417920"/>
    <w:rsid w:val="00417B80"/>
    <w:rsid w:val="004207C0"/>
    <w:rsid w:val="00420ED9"/>
    <w:rsid w:val="004217F8"/>
    <w:rsid w:val="00421C69"/>
    <w:rsid w:val="00422249"/>
    <w:rsid w:val="00422487"/>
    <w:rsid w:val="00422FE5"/>
    <w:rsid w:val="00423C94"/>
    <w:rsid w:val="0042475D"/>
    <w:rsid w:val="004249A8"/>
    <w:rsid w:val="00425B45"/>
    <w:rsid w:val="00425C9F"/>
    <w:rsid w:val="00426286"/>
    <w:rsid w:val="00426946"/>
    <w:rsid w:val="00432BC1"/>
    <w:rsid w:val="00432C4B"/>
    <w:rsid w:val="00432E68"/>
    <w:rsid w:val="004330EB"/>
    <w:rsid w:val="00433B40"/>
    <w:rsid w:val="00433CD5"/>
    <w:rsid w:val="00434518"/>
    <w:rsid w:val="0043565C"/>
    <w:rsid w:val="004362C0"/>
    <w:rsid w:val="004368CE"/>
    <w:rsid w:val="00436A43"/>
    <w:rsid w:val="00436F9A"/>
    <w:rsid w:val="004402CC"/>
    <w:rsid w:val="00440B69"/>
    <w:rsid w:val="004424A9"/>
    <w:rsid w:val="00442CE6"/>
    <w:rsid w:val="0044305F"/>
    <w:rsid w:val="00443176"/>
    <w:rsid w:val="00443229"/>
    <w:rsid w:val="0044420C"/>
    <w:rsid w:val="004442BC"/>
    <w:rsid w:val="00444782"/>
    <w:rsid w:val="004455B4"/>
    <w:rsid w:val="00445968"/>
    <w:rsid w:val="0044757A"/>
    <w:rsid w:val="00447820"/>
    <w:rsid w:val="00450053"/>
    <w:rsid w:val="004516D3"/>
    <w:rsid w:val="00451A0F"/>
    <w:rsid w:val="00452C79"/>
    <w:rsid w:val="00452FAE"/>
    <w:rsid w:val="004542BF"/>
    <w:rsid w:val="0045441E"/>
    <w:rsid w:val="00454460"/>
    <w:rsid w:val="00454845"/>
    <w:rsid w:val="00454AE6"/>
    <w:rsid w:val="00455604"/>
    <w:rsid w:val="00456490"/>
    <w:rsid w:val="00457148"/>
    <w:rsid w:val="00460AEA"/>
    <w:rsid w:val="00461923"/>
    <w:rsid w:val="00461AD5"/>
    <w:rsid w:val="00461B7E"/>
    <w:rsid w:val="00462688"/>
    <w:rsid w:val="00462D9B"/>
    <w:rsid w:val="004631BA"/>
    <w:rsid w:val="00463705"/>
    <w:rsid w:val="00464350"/>
    <w:rsid w:val="004643AC"/>
    <w:rsid w:val="00464ECB"/>
    <w:rsid w:val="00465964"/>
    <w:rsid w:val="004659E7"/>
    <w:rsid w:val="0046701B"/>
    <w:rsid w:val="0046703F"/>
    <w:rsid w:val="004678E5"/>
    <w:rsid w:val="00471E8A"/>
    <w:rsid w:val="00472999"/>
    <w:rsid w:val="00472B0F"/>
    <w:rsid w:val="0047318A"/>
    <w:rsid w:val="0047384C"/>
    <w:rsid w:val="00473AD0"/>
    <w:rsid w:val="00473D81"/>
    <w:rsid w:val="00474B51"/>
    <w:rsid w:val="00474DB5"/>
    <w:rsid w:val="004755C5"/>
    <w:rsid w:val="004779B5"/>
    <w:rsid w:val="004810B1"/>
    <w:rsid w:val="004818FF"/>
    <w:rsid w:val="004821A5"/>
    <w:rsid w:val="00482926"/>
    <w:rsid w:val="00483265"/>
    <w:rsid w:val="00485933"/>
    <w:rsid w:val="00485AEC"/>
    <w:rsid w:val="00486525"/>
    <w:rsid w:val="00486E74"/>
    <w:rsid w:val="004874E0"/>
    <w:rsid w:val="00487C38"/>
    <w:rsid w:val="00490DE9"/>
    <w:rsid w:val="0049128E"/>
    <w:rsid w:val="004918CE"/>
    <w:rsid w:val="00491B1C"/>
    <w:rsid w:val="00492FA8"/>
    <w:rsid w:val="00493BE3"/>
    <w:rsid w:val="00493DDD"/>
    <w:rsid w:val="0049418E"/>
    <w:rsid w:val="004961FF"/>
    <w:rsid w:val="004969F3"/>
    <w:rsid w:val="00496F9A"/>
    <w:rsid w:val="00497CAB"/>
    <w:rsid w:val="00497F9E"/>
    <w:rsid w:val="004A0209"/>
    <w:rsid w:val="004A13EF"/>
    <w:rsid w:val="004A2208"/>
    <w:rsid w:val="004A2F16"/>
    <w:rsid w:val="004A3484"/>
    <w:rsid w:val="004A4364"/>
    <w:rsid w:val="004A4470"/>
    <w:rsid w:val="004A4FA5"/>
    <w:rsid w:val="004A5262"/>
    <w:rsid w:val="004A57C6"/>
    <w:rsid w:val="004A617D"/>
    <w:rsid w:val="004A6E96"/>
    <w:rsid w:val="004A6F6B"/>
    <w:rsid w:val="004A71D4"/>
    <w:rsid w:val="004A73A8"/>
    <w:rsid w:val="004A7D52"/>
    <w:rsid w:val="004B027F"/>
    <w:rsid w:val="004B1FF4"/>
    <w:rsid w:val="004B20C0"/>
    <w:rsid w:val="004B2B1B"/>
    <w:rsid w:val="004B3278"/>
    <w:rsid w:val="004B44DE"/>
    <w:rsid w:val="004B552F"/>
    <w:rsid w:val="004B5FC1"/>
    <w:rsid w:val="004B745D"/>
    <w:rsid w:val="004B794D"/>
    <w:rsid w:val="004B7D41"/>
    <w:rsid w:val="004B7D48"/>
    <w:rsid w:val="004C0D26"/>
    <w:rsid w:val="004C18E7"/>
    <w:rsid w:val="004C39EE"/>
    <w:rsid w:val="004C3AFC"/>
    <w:rsid w:val="004C4143"/>
    <w:rsid w:val="004C4495"/>
    <w:rsid w:val="004C474D"/>
    <w:rsid w:val="004C501B"/>
    <w:rsid w:val="004C556C"/>
    <w:rsid w:val="004C6312"/>
    <w:rsid w:val="004C691A"/>
    <w:rsid w:val="004C6D1F"/>
    <w:rsid w:val="004C706F"/>
    <w:rsid w:val="004C738B"/>
    <w:rsid w:val="004C7AED"/>
    <w:rsid w:val="004C7E47"/>
    <w:rsid w:val="004D086C"/>
    <w:rsid w:val="004D0A34"/>
    <w:rsid w:val="004D12E2"/>
    <w:rsid w:val="004D283B"/>
    <w:rsid w:val="004D3016"/>
    <w:rsid w:val="004D316B"/>
    <w:rsid w:val="004D474C"/>
    <w:rsid w:val="004D4968"/>
    <w:rsid w:val="004D4BF4"/>
    <w:rsid w:val="004D538B"/>
    <w:rsid w:val="004D69AC"/>
    <w:rsid w:val="004D6B4C"/>
    <w:rsid w:val="004D7832"/>
    <w:rsid w:val="004D7ECD"/>
    <w:rsid w:val="004E04B1"/>
    <w:rsid w:val="004E051A"/>
    <w:rsid w:val="004E0B09"/>
    <w:rsid w:val="004E1E40"/>
    <w:rsid w:val="004E206E"/>
    <w:rsid w:val="004E2928"/>
    <w:rsid w:val="004E3C13"/>
    <w:rsid w:val="004E415F"/>
    <w:rsid w:val="004E46FB"/>
    <w:rsid w:val="004E4B62"/>
    <w:rsid w:val="004E5F56"/>
    <w:rsid w:val="004E612D"/>
    <w:rsid w:val="004E6F9A"/>
    <w:rsid w:val="004F00A1"/>
    <w:rsid w:val="004F018B"/>
    <w:rsid w:val="004F0688"/>
    <w:rsid w:val="004F0CD5"/>
    <w:rsid w:val="004F10D0"/>
    <w:rsid w:val="004F286A"/>
    <w:rsid w:val="004F356B"/>
    <w:rsid w:val="004F3A02"/>
    <w:rsid w:val="004F4ED6"/>
    <w:rsid w:val="004F4F5E"/>
    <w:rsid w:val="004F4FE6"/>
    <w:rsid w:val="004F5211"/>
    <w:rsid w:val="004F54E6"/>
    <w:rsid w:val="004F6988"/>
    <w:rsid w:val="004F7097"/>
    <w:rsid w:val="004F7A95"/>
    <w:rsid w:val="004F7DE2"/>
    <w:rsid w:val="00500D62"/>
    <w:rsid w:val="00501CBD"/>
    <w:rsid w:val="005024CC"/>
    <w:rsid w:val="00502D01"/>
    <w:rsid w:val="005041FE"/>
    <w:rsid w:val="00504932"/>
    <w:rsid w:val="00504F1F"/>
    <w:rsid w:val="005053B4"/>
    <w:rsid w:val="005056AF"/>
    <w:rsid w:val="00505B3A"/>
    <w:rsid w:val="005072A3"/>
    <w:rsid w:val="005074F1"/>
    <w:rsid w:val="00510514"/>
    <w:rsid w:val="00510E36"/>
    <w:rsid w:val="005112C2"/>
    <w:rsid w:val="00512FE6"/>
    <w:rsid w:val="00513306"/>
    <w:rsid w:val="00513E0C"/>
    <w:rsid w:val="00514510"/>
    <w:rsid w:val="00514809"/>
    <w:rsid w:val="00514E43"/>
    <w:rsid w:val="0051507C"/>
    <w:rsid w:val="005158D2"/>
    <w:rsid w:val="00515DB3"/>
    <w:rsid w:val="00515EDA"/>
    <w:rsid w:val="0051673C"/>
    <w:rsid w:val="00517499"/>
    <w:rsid w:val="005175CC"/>
    <w:rsid w:val="00517DA6"/>
    <w:rsid w:val="00520830"/>
    <w:rsid w:val="00520B02"/>
    <w:rsid w:val="00520D47"/>
    <w:rsid w:val="005211A9"/>
    <w:rsid w:val="005217B4"/>
    <w:rsid w:val="00521A81"/>
    <w:rsid w:val="00522414"/>
    <w:rsid w:val="0052268C"/>
    <w:rsid w:val="00522A39"/>
    <w:rsid w:val="00523D20"/>
    <w:rsid w:val="00524357"/>
    <w:rsid w:val="00525003"/>
    <w:rsid w:val="0052508B"/>
    <w:rsid w:val="005302BF"/>
    <w:rsid w:val="0053254C"/>
    <w:rsid w:val="00533CCB"/>
    <w:rsid w:val="00533E21"/>
    <w:rsid w:val="00534A0C"/>
    <w:rsid w:val="00534FE0"/>
    <w:rsid w:val="00535358"/>
    <w:rsid w:val="005369A1"/>
    <w:rsid w:val="005405AE"/>
    <w:rsid w:val="00540B99"/>
    <w:rsid w:val="00540BC2"/>
    <w:rsid w:val="005412F2"/>
    <w:rsid w:val="0054251C"/>
    <w:rsid w:val="0054367D"/>
    <w:rsid w:val="00544882"/>
    <w:rsid w:val="00544E66"/>
    <w:rsid w:val="00545B15"/>
    <w:rsid w:val="005462CD"/>
    <w:rsid w:val="00546B5A"/>
    <w:rsid w:val="00546FA1"/>
    <w:rsid w:val="00550500"/>
    <w:rsid w:val="00550CC8"/>
    <w:rsid w:val="00550DAB"/>
    <w:rsid w:val="0055102F"/>
    <w:rsid w:val="0055104C"/>
    <w:rsid w:val="00551367"/>
    <w:rsid w:val="00552364"/>
    <w:rsid w:val="005526D6"/>
    <w:rsid w:val="005540BD"/>
    <w:rsid w:val="00554DD6"/>
    <w:rsid w:val="0055662C"/>
    <w:rsid w:val="00557132"/>
    <w:rsid w:val="0055740F"/>
    <w:rsid w:val="00557876"/>
    <w:rsid w:val="005579D6"/>
    <w:rsid w:val="005603E6"/>
    <w:rsid w:val="0056096B"/>
    <w:rsid w:val="00560B1D"/>
    <w:rsid w:val="00560EA4"/>
    <w:rsid w:val="0056118C"/>
    <w:rsid w:val="00562978"/>
    <w:rsid w:val="005651B3"/>
    <w:rsid w:val="00565D0B"/>
    <w:rsid w:val="00565D46"/>
    <w:rsid w:val="00566E65"/>
    <w:rsid w:val="0056729C"/>
    <w:rsid w:val="00567AE1"/>
    <w:rsid w:val="00567CCE"/>
    <w:rsid w:val="005701FF"/>
    <w:rsid w:val="00571A80"/>
    <w:rsid w:val="00571FAB"/>
    <w:rsid w:val="0057282C"/>
    <w:rsid w:val="00572994"/>
    <w:rsid w:val="0057351D"/>
    <w:rsid w:val="00573522"/>
    <w:rsid w:val="00573AE3"/>
    <w:rsid w:val="00573DF8"/>
    <w:rsid w:val="0057485D"/>
    <w:rsid w:val="00574ACF"/>
    <w:rsid w:val="00574DC5"/>
    <w:rsid w:val="00574E5C"/>
    <w:rsid w:val="005752DC"/>
    <w:rsid w:val="005760E1"/>
    <w:rsid w:val="005761F4"/>
    <w:rsid w:val="005772BD"/>
    <w:rsid w:val="005776DC"/>
    <w:rsid w:val="0058021D"/>
    <w:rsid w:val="005812E5"/>
    <w:rsid w:val="00581578"/>
    <w:rsid w:val="00582A6C"/>
    <w:rsid w:val="00583007"/>
    <w:rsid w:val="00583D06"/>
    <w:rsid w:val="00583F16"/>
    <w:rsid w:val="0058408C"/>
    <w:rsid w:val="00584854"/>
    <w:rsid w:val="00585485"/>
    <w:rsid w:val="005856ED"/>
    <w:rsid w:val="00585A84"/>
    <w:rsid w:val="00585B65"/>
    <w:rsid w:val="00585DF4"/>
    <w:rsid w:val="0058660B"/>
    <w:rsid w:val="00586EC4"/>
    <w:rsid w:val="005908DC"/>
    <w:rsid w:val="00590B0F"/>
    <w:rsid w:val="0059120A"/>
    <w:rsid w:val="00593393"/>
    <w:rsid w:val="00593FF8"/>
    <w:rsid w:val="005943EC"/>
    <w:rsid w:val="00594957"/>
    <w:rsid w:val="00597422"/>
    <w:rsid w:val="00597CD3"/>
    <w:rsid w:val="005A06AD"/>
    <w:rsid w:val="005A1559"/>
    <w:rsid w:val="005A20CA"/>
    <w:rsid w:val="005A24B8"/>
    <w:rsid w:val="005A2587"/>
    <w:rsid w:val="005A2AD9"/>
    <w:rsid w:val="005A2CD4"/>
    <w:rsid w:val="005A4C1A"/>
    <w:rsid w:val="005A52DE"/>
    <w:rsid w:val="005A54A6"/>
    <w:rsid w:val="005A581F"/>
    <w:rsid w:val="005A7337"/>
    <w:rsid w:val="005B043B"/>
    <w:rsid w:val="005B05EB"/>
    <w:rsid w:val="005B08CF"/>
    <w:rsid w:val="005B0A15"/>
    <w:rsid w:val="005B0BEB"/>
    <w:rsid w:val="005B144E"/>
    <w:rsid w:val="005B2244"/>
    <w:rsid w:val="005B253E"/>
    <w:rsid w:val="005B267C"/>
    <w:rsid w:val="005B3BF9"/>
    <w:rsid w:val="005B3CF9"/>
    <w:rsid w:val="005B50AB"/>
    <w:rsid w:val="005B56E7"/>
    <w:rsid w:val="005B5DE4"/>
    <w:rsid w:val="005B6BB6"/>
    <w:rsid w:val="005B7108"/>
    <w:rsid w:val="005B751B"/>
    <w:rsid w:val="005B76B6"/>
    <w:rsid w:val="005B7CF2"/>
    <w:rsid w:val="005C01A0"/>
    <w:rsid w:val="005C0CDB"/>
    <w:rsid w:val="005C107A"/>
    <w:rsid w:val="005C1FD3"/>
    <w:rsid w:val="005C27C3"/>
    <w:rsid w:val="005C3034"/>
    <w:rsid w:val="005C3B91"/>
    <w:rsid w:val="005C4B63"/>
    <w:rsid w:val="005C55A0"/>
    <w:rsid w:val="005C5686"/>
    <w:rsid w:val="005C61DD"/>
    <w:rsid w:val="005C6EDB"/>
    <w:rsid w:val="005C7792"/>
    <w:rsid w:val="005C78E9"/>
    <w:rsid w:val="005C7E53"/>
    <w:rsid w:val="005D19E3"/>
    <w:rsid w:val="005D2463"/>
    <w:rsid w:val="005D384F"/>
    <w:rsid w:val="005D3DC8"/>
    <w:rsid w:val="005D4008"/>
    <w:rsid w:val="005D4BBA"/>
    <w:rsid w:val="005D6175"/>
    <w:rsid w:val="005D73AF"/>
    <w:rsid w:val="005D797B"/>
    <w:rsid w:val="005E0A95"/>
    <w:rsid w:val="005E0F72"/>
    <w:rsid w:val="005E0FEB"/>
    <w:rsid w:val="005E1715"/>
    <w:rsid w:val="005E1FFA"/>
    <w:rsid w:val="005E276B"/>
    <w:rsid w:val="005E2986"/>
    <w:rsid w:val="005E312A"/>
    <w:rsid w:val="005E32E9"/>
    <w:rsid w:val="005E346A"/>
    <w:rsid w:val="005E3A70"/>
    <w:rsid w:val="005E3D40"/>
    <w:rsid w:val="005E3E18"/>
    <w:rsid w:val="005E4E5D"/>
    <w:rsid w:val="005E4ECF"/>
    <w:rsid w:val="005E4FDB"/>
    <w:rsid w:val="005E56E4"/>
    <w:rsid w:val="005E582F"/>
    <w:rsid w:val="005E58A8"/>
    <w:rsid w:val="005E58BC"/>
    <w:rsid w:val="005E65E6"/>
    <w:rsid w:val="005E667F"/>
    <w:rsid w:val="005E6869"/>
    <w:rsid w:val="005E6E68"/>
    <w:rsid w:val="005E711E"/>
    <w:rsid w:val="005E764C"/>
    <w:rsid w:val="005F15AA"/>
    <w:rsid w:val="005F261C"/>
    <w:rsid w:val="005F292F"/>
    <w:rsid w:val="005F3388"/>
    <w:rsid w:val="005F3517"/>
    <w:rsid w:val="005F35C5"/>
    <w:rsid w:val="005F3976"/>
    <w:rsid w:val="005F3E0B"/>
    <w:rsid w:val="005F410A"/>
    <w:rsid w:val="005F55B7"/>
    <w:rsid w:val="005F5808"/>
    <w:rsid w:val="005F5AC3"/>
    <w:rsid w:val="005F60BB"/>
    <w:rsid w:val="005F64E6"/>
    <w:rsid w:val="005F65AC"/>
    <w:rsid w:val="0060034F"/>
    <w:rsid w:val="006007E7"/>
    <w:rsid w:val="00600963"/>
    <w:rsid w:val="00600A82"/>
    <w:rsid w:val="00601FB5"/>
    <w:rsid w:val="006023A2"/>
    <w:rsid w:val="0060258A"/>
    <w:rsid w:val="00602E14"/>
    <w:rsid w:val="00603005"/>
    <w:rsid w:val="00604012"/>
    <w:rsid w:val="00604829"/>
    <w:rsid w:val="00604C5F"/>
    <w:rsid w:val="006058CE"/>
    <w:rsid w:val="00605DE7"/>
    <w:rsid w:val="006066B6"/>
    <w:rsid w:val="00606C83"/>
    <w:rsid w:val="00607303"/>
    <w:rsid w:val="00610C70"/>
    <w:rsid w:val="00610FCD"/>
    <w:rsid w:val="006119C0"/>
    <w:rsid w:val="00611F98"/>
    <w:rsid w:val="0061235B"/>
    <w:rsid w:val="0061240F"/>
    <w:rsid w:val="00612D23"/>
    <w:rsid w:val="00613B83"/>
    <w:rsid w:val="00613D4B"/>
    <w:rsid w:val="006140E9"/>
    <w:rsid w:val="00614192"/>
    <w:rsid w:val="006145F0"/>
    <w:rsid w:val="006147D5"/>
    <w:rsid w:val="0061641B"/>
    <w:rsid w:val="0061650D"/>
    <w:rsid w:val="00621100"/>
    <w:rsid w:val="006220C2"/>
    <w:rsid w:val="00622A44"/>
    <w:rsid w:val="0062338B"/>
    <w:rsid w:val="006234BA"/>
    <w:rsid w:val="006241A4"/>
    <w:rsid w:val="00624E9A"/>
    <w:rsid w:val="00625FEF"/>
    <w:rsid w:val="006267BA"/>
    <w:rsid w:val="00626C8C"/>
    <w:rsid w:val="006272CE"/>
    <w:rsid w:val="00627E34"/>
    <w:rsid w:val="00630BD8"/>
    <w:rsid w:val="00630F3B"/>
    <w:rsid w:val="0063134B"/>
    <w:rsid w:val="00631AB9"/>
    <w:rsid w:val="0063315A"/>
    <w:rsid w:val="006338D6"/>
    <w:rsid w:val="00633D7F"/>
    <w:rsid w:val="006346E0"/>
    <w:rsid w:val="006361A7"/>
    <w:rsid w:val="006362C1"/>
    <w:rsid w:val="00636EC0"/>
    <w:rsid w:val="00636EF1"/>
    <w:rsid w:val="00636F59"/>
    <w:rsid w:val="006372C4"/>
    <w:rsid w:val="0063796D"/>
    <w:rsid w:val="006405E1"/>
    <w:rsid w:val="00640ABF"/>
    <w:rsid w:val="006422FF"/>
    <w:rsid w:val="006426A6"/>
    <w:rsid w:val="00642FF1"/>
    <w:rsid w:val="00643475"/>
    <w:rsid w:val="006437DD"/>
    <w:rsid w:val="00643864"/>
    <w:rsid w:val="006439ED"/>
    <w:rsid w:val="006440A7"/>
    <w:rsid w:val="00644D8D"/>
    <w:rsid w:val="006453AB"/>
    <w:rsid w:val="00645BE6"/>
    <w:rsid w:val="0064629E"/>
    <w:rsid w:val="006466CD"/>
    <w:rsid w:val="00646C81"/>
    <w:rsid w:val="00650982"/>
    <w:rsid w:val="006509D9"/>
    <w:rsid w:val="00650EAB"/>
    <w:rsid w:val="00651460"/>
    <w:rsid w:val="0065156A"/>
    <w:rsid w:val="00651597"/>
    <w:rsid w:val="00651723"/>
    <w:rsid w:val="0065184C"/>
    <w:rsid w:val="006518FE"/>
    <w:rsid w:val="006534DE"/>
    <w:rsid w:val="00653D57"/>
    <w:rsid w:val="00653F42"/>
    <w:rsid w:val="006541BE"/>
    <w:rsid w:val="0065477C"/>
    <w:rsid w:val="00654C9D"/>
    <w:rsid w:val="0065501A"/>
    <w:rsid w:val="00655149"/>
    <w:rsid w:val="00655535"/>
    <w:rsid w:val="006564D3"/>
    <w:rsid w:val="006576F1"/>
    <w:rsid w:val="00660C3A"/>
    <w:rsid w:val="00660C5F"/>
    <w:rsid w:val="006613CC"/>
    <w:rsid w:val="006616C3"/>
    <w:rsid w:val="00661849"/>
    <w:rsid w:val="00664B90"/>
    <w:rsid w:val="00665F54"/>
    <w:rsid w:val="006667CD"/>
    <w:rsid w:val="00666EFE"/>
    <w:rsid w:val="0066731D"/>
    <w:rsid w:val="00667932"/>
    <w:rsid w:val="00670B23"/>
    <w:rsid w:val="00671929"/>
    <w:rsid w:val="00671B0E"/>
    <w:rsid w:val="00671CC8"/>
    <w:rsid w:val="00672034"/>
    <w:rsid w:val="006723F6"/>
    <w:rsid w:val="00672E4C"/>
    <w:rsid w:val="00673170"/>
    <w:rsid w:val="00673C87"/>
    <w:rsid w:val="006765E9"/>
    <w:rsid w:val="00676A94"/>
    <w:rsid w:val="0067734B"/>
    <w:rsid w:val="006776E5"/>
    <w:rsid w:val="00680124"/>
    <w:rsid w:val="006813B5"/>
    <w:rsid w:val="00681F3C"/>
    <w:rsid w:val="00683170"/>
    <w:rsid w:val="00683561"/>
    <w:rsid w:val="006835EA"/>
    <w:rsid w:val="00683807"/>
    <w:rsid w:val="00684647"/>
    <w:rsid w:val="00684F50"/>
    <w:rsid w:val="00685E19"/>
    <w:rsid w:val="0068630A"/>
    <w:rsid w:val="006870DE"/>
    <w:rsid w:val="00687440"/>
    <w:rsid w:val="00690429"/>
    <w:rsid w:val="0069052A"/>
    <w:rsid w:val="00691712"/>
    <w:rsid w:val="006922FF"/>
    <w:rsid w:val="00692848"/>
    <w:rsid w:val="00693045"/>
    <w:rsid w:val="00693082"/>
    <w:rsid w:val="006947D9"/>
    <w:rsid w:val="00694846"/>
    <w:rsid w:val="00694BD4"/>
    <w:rsid w:val="00694F30"/>
    <w:rsid w:val="0069554E"/>
    <w:rsid w:val="00695663"/>
    <w:rsid w:val="006960A9"/>
    <w:rsid w:val="00696488"/>
    <w:rsid w:val="00696621"/>
    <w:rsid w:val="00696DE6"/>
    <w:rsid w:val="006A1067"/>
    <w:rsid w:val="006A10F8"/>
    <w:rsid w:val="006A2437"/>
    <w:rsid w:val="006A2F04"/>
    <w:rsid w:val="006A38DD"/>
    <w:rsid w:val="006A4E91"/>
    <w:rsid w:val="006A7016"/>
    <w:rsid w:val="006A728F"/>
    <w:rsid w:val="006A73C0"/>
    <w:rsid w:val="006A74D5"/>
    <w:rsid w:val="006A7833"/>
    <w:rsid w:val="006B0082"/>
    <w:rsid w:val="006B152B"/>
    <w:rsid w:val="006B1737"/>
    <w:rsid w:val="006B1E23"/>
    <w:rsid w:val="006B21C6"/>
    <w:rsid w:val="006B2C59"/>
    <w:rsid w:val="006B3D3C"/>
    <w:rsid w:val="006B4C53"/>
    <w:rsid w:val="006B5831"/>
    <w:rsid w:val="006B60AA"/>
    <w:rsid w:val="006B6528"/>
    <w:rsid w:val="006B7D1B"/>
    <w:rsid w:val="006B7DA8"/>
    <w:rsid w:val="006C0572"/>
    <w:rsid w:val="006C08DB"/>
    <w:rsid w:val="006C0A47"/>
    <w:rsid w:val="006C291D"/>
    <w:rsid w:val="006C2B02"/>
    <w:rsid w:val="006C2FCA"/>
    <w:rsid w:val="006C2FF3"/>
    <w:rsid w:val="006C3690"/>
    <w:rsid w:val="006C52BA"/>
    <w:rsid w:val="006C557F"/>
    <w:rsid w:val="006C5C82"/>
    <w:rsid w:val="006C6292"/>
    <w:rsid w:val="006C6D8B"/>
    <w:rsid w:val="006C7C9C"/>
    <w:rsid w:val="006C7E3F"/>
    <w:rsid w:val="006D0283"/>
    <w:rsid w:val="006D092D"/>
    <w:rsid w:val="006D094C"/>
    <w:rsid w:val="006D1434"/>
    <w:rsid w:val="006D16DD"/>
    <w:rsid w:val="006D16ED"/>
    <w:rsid w:val="006D2563"/>
    <w:rsid w:val="006D3199"/>
    <w:rsid w:val="006D40BF"/>
    <w:rsid w:val="006D548F"/>
    <w:rsid w:val="006D5AAA"/>
    <w:rsid w:val="006D6463"/>
    <w:rsid w:val="006D6F6D"/>
    <w:rsid w:val="006D7691"/>
    <w:rsid w:val="006D7737"/>
    <w:rsid w:val="006E0656"/>
    <w:rsid w:val="006E06B7"/>
    <w:rsid w:val="006E099B"/>
    <w:rsid w:val="006E0B99"/>
    <w:rsid w:val="006E0F9F"/>
    <w:rsid w:val="006E16C1"/>
    <w:rsid w:val="006E1CA2"/>
    <w:rsid w:val="006E2809"/>
    <w:rsid w:val="006E33C8"/>
    <w:rsid w:val="006E3ECE"/>
    <w:rsid w:val="006E4871"/>
    <w:rsid w:val="006E4C64"/>
    <w:rsid w:val="006E4D9B"/>
    <w:rsid w:val="006E4E14"/>
    <w:rsid w:val="006E53E1"/>
    <w:rsid w:val="006E6D60"/>
    <w:rsid w:val="006E6F8E"/>
    <w:rsid w:val="006E7AC0"/>
    <w:rsid w:val="006F0C3C"/>
    <w:rsid w:val="006F1365"/>
    <w:rsid w:val="006F17BA"/>
    <w:rsid w:val="006F2B5B"/>
    <w:rsid w:val="006F2B9A"/>
    <w:rsid w:val="006F2F8A"/>
    <w:rsid w:val="006F3575"/>
    <w:rsid w:val="006F3595"/>
    <w:rsid w:val="006F418A"/>
    <w:rsid w:val="006F4D81"/>
    <w:rsid w:val="006F5150"/>
    <w:rsid w:val="006F5D6F"/>
    <w:rsid w:val="006F6BC6"/>
    <w:rsid w:val="006F6CC9"/>
    <w:rsid w:val="006F6FAE"/>
    <w:rsid w:val="006F7935"/>
    <w:rsid w:val="007012F2"/>
    <w:rsid w:val="00701CF8"/>
    <w:rsid w:val="0070219C"/>
    <w:rsid w:val="007025DF"/>
    <w:rsid w:val="007033B5"/>
    <w:rsid w:val="007035BA"/>
    <w:rsid w:val="007042BD"/>
    <w:rsid w:val="0070456C"/>
    <w:rsid w:val="00704677"/>
    <w:rsid w:val="0070554C"/>
    <w:rsid w:val="0070595E"/>
    <w:rsid w:val="00706298"/>
    <w:rsid w:val="0071033B"/>
    <w:rsid w:val="0071085D"/>
    <w:rsid w:val="00711042"/>
    <w:rsid w:val="007115AA"/>
    <w:rsid w:val="0071190C"/>
    <w:rsid w:val="00711CDD"/>
    <w:rsid w:val="00711CF6"/>
    <w:rsid w:val="0071215F"/>
    <w:rsid w:val="007123AC"/>
    <w:rsid w:val="0071288A"/>
    <w:rsid w:val="007129A4"/>
    <w:rsid w:val="00712B22"/>
    <w:rsid w:val="00712C4E"/>
    <w:rsid w:val="007136A3"/>
    <w:rsid w:val="00713B1F"/>
    <w:rsid w:val="00714075"/>
    <w:rsid w:val="00715128"/>
    <w:rsid w:val="0071516C"/>
    <w:rsid w:val="00715E08"/>
    <w:rsid w:val="00716B72"/>
    <w:rsid w:val="00717909"/>
    <w:rsid w:val="00720294"/>
    <w:rsid w:val="0072056C"/>
    <w:rsid w:val="00720678"/>
    <w:rsid w:val="00720E6F"/>
    <w:rsid w:val="00721698"/>
    <w:rsid w:val="00721E51"/>
    <w:rsid w:val="007227CE"/>
    <w:rsid w:val="00722EEA"/>
    <w:rsid w:val="007232EA"/>
    <w:rsid w:val="0072434B"/>
    <w:rsid w:val="00724A89"/>
    <w:rsid w:val="007252FD"/>
    <w:rsid w:val="007269E7"/>
    <w:rsid w:val="00726BDB"/>
    <w:rsid w:val="00726CEA"/>
    <w:rsid w:val="00727AF0"/>
    <w:rsid w:val="0073003A"/>
    <w:rsid w:val="00730F50"/>
    <w:rsid w:val="00731613"/>
    <w:rsid w:val="007321EB"/>
    <w:rsid w:val="00733284"/>
    <w:rsid w:val="00733BFD"/>
    <w:rsid w:val="00733D5F"/>
    <w:rsid w:val="0073512C"/>
    <w:rsid w:val="00735903"/>
    <w:rsid w:val="0073666E"/>
    <w:rsid w:val="0073707D"/>
    <w:rsid w:val="00740542"/>
    <w:rsid w:val="00740EF2"/>
    <w:rsid w:val="007419B1"/>
    <w:rsid w:val="00741DFC"/>
    <w:rsid w:val="0074250A"/>
    <w:rsid w:val="00742D32"/>
    <w:rsid w:val="00743E44"/>
    <w:rsid w:val="00744046"/>
    <w:rsid w:val="00744A3C"/>
    <w:rsid w:val="00744FFF"/>
    <w:rsid w:val="00745CDC"/>
    <w:rsid w:val="00745EFF"/>
    <w:rsid w:val="0074656B"/>
    <w:rsid w:val="007468B9"/>
    <w:rsid w:val="00747EBE"/>
    <w:rsid w:val="00747F82"/>
    <w:rsid w:val="00750A6E"/>
    <w:rsid w:val="00750D20"/>
    <w:rsid w:val="007511F1"/>
    <w:rsid w:val="00752628"/>
    <w:rsid w:val="00752C16"/>
    <w:rsid w:val="0075316D"/>
    <w:rsid w:val="00753778"/>
    <w:rsid w:val="00753A59"/>
    <w:rsid w:val="00753C5C"/>
    <w:rsid w:val="007550B4"/>
    <w:rsid w:val="00755AF5"/>
    <w:rsid w:val="00757117"/>
    <w:rsid w:val="00757189"/>
    <w:rsid w:val="00757964"/>
    <w:rsid w:val="00757A0E"/>
    <w:rsid w:val="007607F3"/>
    <w:rsid w:val="00760850"/>
    <w:rsid w:val="00760BCC"/>
    <w:rsid w:val="007630E9"/>
    <w:rsid w:val="00765FDB"/>
    <w:rsid w:val="00767017"/>
    <w:rsid w:val="0076749A"/>
    <w:rsid w:val="007707AF"/>
    <w:rsid w:val="007713C3"/>
    <w:rsid w:val="0077140C"/>
    <w:rsid w:val="0077213E"/>
    <w:rsid w:val="007731C0"/>
    <w:rsid w:val="0077350E"/>
    <w:rsid w:val="00773D17"/>
    <w:rsid w:val="00773D5B"/>
    <w:rsid w:val="00773FB8"/>
    <w:rsid w:val="00774997"/>
    <w:rsid w:val="00774FBD"/>
    <w:rsid w:val="00775113"/>
    <w:rsid w:val="007767AF"/>
    <w:rsid w:val="00776834"/>
    <w:rsid w:val="00776847"/>
    <w:rsid w:val="00776A99"/>
    <w:rsid w:val="00777E82"/>
    <w:rsid w:val="00780954"/>
    <w:rsid w:val="00782207"/>
    <w:rsid w:val="0078256A"/>
    <w:rsid w:val="00782FF2"/>
    <w:rsid w:val="00783674"/>
    <w:rsid w:val="007848CA"/>
    <w:rsid w:val="00785612"/>
    <w:rsid w:val="00787261"/>
    <w:rsid w:val="007879DB"/>
    <w:rsid w:val="00787CBC"/>
    <w:rsid w:val="00790E34"/>
    <w:rsid w:val="007913C9"/>
    <w:rsid w:val="007919D0"/>
    <w:rsid w:val="00792C08"/>
    <w:rsid w:val="00793381"/>
    <w:rsid w:val="0079432B"/>
    <w:rsid w:val="00794973"/>
    <w:rsid w:val="007950DE"/>
    <w:rsid w:val="00795EEC"/>
    <w:rsid w:val="007963F6"/>
    <w:rsid w:val="00797376"/>
    <w:rsid w:val="007A05D2"/>
    <w:rsid w:val="007A2D6F"/>
    <w:rsid w:val="007A33DA"/>
    <w:rsid w:val="007A38C4"/>
    <w:rsid w:val="007A3ACF"/>
    <w:rsid w:val="007A3FEB"/>
    <w:rsid w:val="007A4318"/>
    <w:rsid w:val="007A47B1"/>
    <w:rsid w:val="007A47BE"/>
    <w:rsid w:val="007A48C0"/>
    <w:rsid w:val="007A512A"/>
    <w:rsid w:val="007A5178"/>
    <w:rsid w:val="007A5D69"/>
    <w:rsid w:val="007A664F"/>
    <w:rsid w:val="007A72D5"/>
    <w:rsid w:val="007A7365"/>
    <w:rsid w:val="007A79D4"/>
    <w:rsid w:val="007A7A7F"/>
    <w:rsid w:val="007B082E"/>
    <w:rsid w:val="007B1353"/>
    <w:rsid w:val="007B1954"/>
    <w:rsid w:val="007B1C9F"/>
    <w:rsid w:val="007B5057"/>
    <w:rsid w:val="007B6665"/>
    <w:rsid w:val="007B6A42"/>
    <w:rsid w:val="007B6C07"/>
    <w:rsid w:val="007B6FB2"/>
    <w:rsid w:val="007B71C5"/>
    <w:rsid w:val="007B72A1"/>
    <w:rsid w:val="007C1122"/>
    <w:rsid w:val="007C1B7D"/>
    <w:rsid w:val="007C1F09"/>
    <w:rsid w:val="007C219E"/>
    <w:rsid w:val="007C33EB"/>
    <w:rsid w:val="007C340D"/>
    <w:rsid w:val="007C3535"/>
    <w:rsid w:val="007C3CEE"/>
    <w:rsid w:val="007C497A"/>
    <w:rsid w:val="007C5FC4"/>
    <w:rsid w:val="007C6DE2"/>
    <w:rsid w:val="007C7325"/>
    <w:rsid w:val="007C745F"/>
    <w:rsid w:val="007C7C30"/>
    <w:rsid w:val="007C7CEF"/>
    <w:rsid w:val="007D05C1"/>
    <w:rsid w:val="007D1A5F"/>
    <w:rsid w:val="007D2374"/>
    <w:rsid w:val="007D2BB0"/>
    <w:rsid w:val="007D38E1"/>
    <w:rsid w:val="007D3FEB"/>
    <w:rsid w:val="007D5158"/>
    <w:rsid w:val="007D557B"/>
    <w:rsid w:val="007D57B1"/>
    <w:rsid w:val="007D5978"/>
    <w:rsid w:val="007D6309"/>
    <w:rsid w:val="007D7442"/>
    <w:rsid w:val="007E0283"/>
    <w:rsid w:val="007E03A6"/>
    <w:rsid w:val="007E0A41"/>
    <w:rsid w:val="007E0D3D"/>
    <w:rsid w:val="007E10B2"/>
    <w:rsid w:val="007E1557"/>
    <w:rsid w:val="007E2687"/>
    <w:rsid w:val="007E34B9"/>
    <w:rsid w:val="007E4311"/>
    <w:rsid w:val="007E4703"/>
    <w:rsid w:val="007E4889"/>
    <w:rsid w:val="007E4B8F"/>
    <w:rsid w:val="007E51E3"/>
    <w:rsid w:val="007E579B"/>
    <w:rsid w:val="007E58B2"/>
    <w:rsid w:val="007E597A"/>
    <w:rsid w:val="007E6023"/>
    <w:rsid w:val="007E65A2"/>
    <w:rsid w:val="007E6781"/>
    <w:rsid w:val="007E6C09"/>
    <w:rsid w:val="007E7AD8"/>
    <w:rsid w:val="007F0B66"/>
    <w:rsid w:val="007F0D96"/>
    <w:rsid w:val="007F13D4"/>
    <w:rsid w:val="007F15E3"/>
    <w:rsid w:val="007F15FF"/>
    <w:rsid w:val="007F267B"/>
    <w:rsid w:val="007F26A5"/>
    <w:rsid w:val="007F2B10"/>
    <w:rsid w:val="007F30B4"/>
    <w:rsid w:val="007F3948"/>
    <w:rsid w:val="007F3C5A"/>
    <w:rsid w:val="007F4368"/>
    <w:rsid w:val="007F4C04"/>
    <w:rsid w:val="007F4E11"/>
    <w:rsid w:val="007F50B2"/>
    <w:rsid w:val="007F5283"/>
    <w:rsid w:val="007F542F"/>
    <w:rsid w:val="007F5E6A"/>
    <w:rsid w:val="007F61C1"/>
    <w:rsid w:val="007F6B15"/>
    <w:rsid w:val="007F728B"/>
    <w:rsid w:val="007F72D9"/>
    <w:rsid w:val="0080065F"/>
    <w:rsid w:val="008012FB"/>
    <w:rsid w:val="008015A0"/>
    <w:rsid w:val="00801780"/>
    <w:rsid w:val="0080276A"/>
    <w:rsid w:val="00803307"/>
    <w:rsid w:val="008038BA"/>
    <w:rsid w:val="008039B6"/>
    <w:rsid w:val="00803BCF"/>
    <w:rsid w:val="0080452F"/>
    <w:rsid w:val="0080666B"/>
    <w:rsid w:val="00806701"/>
    <w:rsid w:val="008074EE"/>
    <w:rsid w:val="00807D08"/>
    <w:rsid w:val="00807D40"/>
    <w:rsid w:val="00810731"/>
    <w:rsid w:val="00810DE8"/>
    <w:rsid w:val="0081216D"/>
    <w:rsid w:val="008137A6"/>
    <w:rsid w:val="00813D78"/>
    <w:rsid w:val="00813E8F"/>
    <w:rsid w:val="00814502"/>
    <w:rsid w:val="008148FD"/>
    <w:rsid w:val="00814EA5"/>
    <w:rsid w:val="00814EC4"/>
    <w:rsid w:val="00815FB0"/>
    <w:rsid w:val="00816BDA"/>
    <w:rsid w:val="00816C18"/>
    <w:rsid w:val="0081797F"/>
    <w:rsid w:val="00817F06"/>
    <w:rsid w:val="00821058"/>
    <w:rsid w:val="00821153"/>
    <w:rsid w:val="008212A4"/>
    <w:rsid w:val="00821911"/>
    <w:rsid w:val="00821C28"/>
    <w:rsid w:val="00822082"/>
    <w:rsid w:val="00822E9B"/>
    <w:rsid w:val="00824014"/>
    <w:rsid w:val="008260D4"/>
    <w:rsid w:val="008265EF"/>
    <w:rsid w:val="00826A47"/>
    <w:rsid w:val="00830C57"/>
    <w:rsid w:val="008310E9"/>
    <w:rsid w:val="008314E1"/>
    <w:rsid w:val="00831EA4"/>
    <w:rsid w:val="00831F76"/>
    <w:rsid w:val="008323C1"/>
    <w:rsid w:val="00832A10"/>
    <w:rsid w:val="00832A16"/>
    <w:rsid w:val="00832BC2"/>
    <w:rsid w:val="008337CA"/>
    <w:rsid w:val="00835C24"/>
    <w:rsid w:val="0083638E"/>
    <w:rsid w:val="00836D2F"/>
    <w:rsid w:val="00836FDF"/>
    <w:rsid w:val="00837D25"/>
    <w:rsid w:val="00840B6C"/>
    <w:rsid w:val="00840CF8"/>
    <w:rsid w:val="00840FCB"/>
    <w:rsid w:val="0084102E"/>
    <w:rsid w:val="0084115D"/>
    <w:rsid w:val="0084133A"/>
    <w:rsid w:val="0084186B"/>
    <w:rsid w:val="008419F0"/>
    <w:rsid w:val="008424EB"/>
    <w:rsid w:val="008427B9"/>
    <w:rsid w:val="00842A2B"/>
    <w:rsid w:val="00843078"/>
    <w:rsid w:val="00844102"/>
    <w:rsid w:val="00844827"/>
    <w:rsid w:val="00845AE1"/>
    <w:rsid w:val="0084614A"/>
    <w:rsid w:val="00846EB5"/>
    <w:rsid w:val="00846FB6"/>
    <w:rsid w:val="00847EEE"/>
    <w:rsid w:val="00850CC7"/>
    <w:rsid w:val="00851711"/>
    <w:rsid w:val="00851C8A"/>
    <w:rsid w:val="00852613"/>
    <w:rsid w:val="00852B14"/>
    <w:rsid w:val="00852E67"/>
    <w:rsid w:val="00853F48"/>
    <w:rsid w:val="00854C46"/>
    <w:rsid w:val="0085618A"/>
    <w:rsid w:val="00856AB5"/>
    <w:rsid w:val="00857CC6"/>
    <w:rsid w:val="008608DF"/>
    <w:rsid w:val="00860A3D"/>
    <w:rsid w:val="00860B83"/>
    <w:rsid w:val="00861253"/>
    <w:rsid w:val="008616A5"/>
    <w:rsid w:val="008619E4"/>
    <w:rsid w:val="00861CC6"/>
    <w:rsid w:val="00861EF4"/>
    <w:rsid w:val="008625E6"/>
    <w:rsid w:val="008635EA"/>
    <w:rsid w:val="0086387D"/>
    <w:rsid w:val="00863E72"/>
    <w:rsid w:val="0086471A"/>
    <w:rsid w:val="008648B6"/>
    <w:rsid w:val="0086527E"/>
    <w:rsid w:val="00865377"/>
    <w:rsid w:val="00865417"/>
    <w:rsid w:val="00865A85"/>
    <w:rsid w:val="00866B63"/>
    <w:rsid w:val="00866E48"/>
    <w:rsid w:val="008673EE"/>
    <w:rsid w:val="0087008B"/>
    <w:rsid w:val="00870553"/>
    <w:rsid w:val="00870759"/>
    <w:rsid w:val="00870B54"/>
    <w:rsid w:val="00870CE5"/>
    <w:rsid w:val="00870E68"/>
    <w:rsid w:val="00870E7A"/>
    <w:rsid w:val="008713BA"/>
    <w:rsid w:val="008718B9"/>
    <w:rsid w:val="00872737"/>
    <w:rsid w:val="008731B2"/>
    <w:rsid w:val="0087347E"/>
    <w:rsid w:val="00873521"/>
    <w:rsid w:val="008736E8"/>
    <w:rsid w:val="0087544B"/>
    <w:rsid w:val="0087578A"/>
    <w:rsid w:val="008764ED"/>
    <w:rsid w:val="0087657A"/>
    <w:rsid w:val="00876825"/>
    <w:rsid w:val="00876BF3"/>
    <w:rsid w:val="0087794C"/>
    <w:rsid w:val="008779D2"/>
    <w:rsid w:val="00877B40"/>
    <w:rsid w:val="00880276"/>
    <w:rsid w:val="00880466"/>
    <w:rsid w:val="008807A4"/>
    <w:rsid w:val="00880995"/>
    <w:rsid w:val="00881650"/>
    <w:rsid w:val="008816F4"/>
    <w:rsid w:val="00883A9D"/>
    <w:rsid w:val="00883D34"/>
    <w:rsid w:val="008842A6"/>
    <w:rsid w:val="008842EF"/>
    <w:rsid w:val="008849D6"/>
    <w:rsid w:val="00885BA3"/>
    <w:rsid w:val="00886044"/>
    <w:rsid w:val="008860ED"/>
    <w:rsid w:val="008869F1"/>
    <w:rsid w:val="00886F4E"/>
    <w:rsid w:val="008901BE"/>
    <w:rsid w:val="00890212"/>
    <w:rsid w:val="008905CC"/>
    <w:rsid w:val="00890A89"/>
    <w:rsid w:val="00890C41"/>
    <w:rsid w:val="0089102A"/>
    <w:rsid w:val="008924D3"/>
    <w:rsid w:val="008924FB"/>
    <w:rsid w:val="00893A9B"/>
    <w:rsid w:val="00893E45"/>
    <w:rsid w:val="00894537"/>
    <w:rsid w:val="008973BD"/>
    <w:rsid w:val="0089787E"/>
    <w:rsid w:val="008978D1"/>
    <w:rsid w:val="00897F94"/>
    <w:rsid w:val="008A030B"/>
    <w:rsid w:val="008A08FC"/>
    <w:rsid w:val="008A0D01"/>
    <w:rsid w:val="008A14EB"/>
    <w:rsid w:val="008A2407"/>
    <w:rsid w:val="008A262D"/>
    <w:rsid w:val="008A2D1A"/>
    <w:rsid w:val="008A43DE"/>
    <w:rsid w:val="008A45CE"/>
    <w:rsid w:val="008A4A32"/>
    <w:rsid w:val="008A4BCF"/>
    <w:rsid w:val="008A4CE4"/>
    <w:rsid w:val="008A4E4B"/>
    <w:rsid w:val="008A506A"/>
    <w:rsid w:val="008A51D5"/>
    <w:rsid w:val="008A53BE"/>
    <w:rsid w:val="008A5740"/>
    <w:rsid w:val="008A57E1"/>
    <w:rsid w:val="008A6266"/>
    <w:rsid w:val="008A68E0"/>
    <w:rsid w:val="008A6BB8"/>
    <w:rsid w:val="008A7B99"/>
    <w:rsid w:val="008A7F1D"/>
    <w:rsid w:val="008B00A2"/>
    <w:rsid w:val="008B0113"/>
    <w:rsid w:val="008B071A"/>
    <w:rsid w:val="008B086C"/>
    <w:rsid w:val="008B0D27"/>
    <w:rsid w:val="008B15F3"/>
    <w:rsid w:val="008B1F4B"/>
    <w:rsid w:val="008B2739"/>
    <w:rsid w:val="008B2B79"/>
    <w:rsid w:val="008B2D00"/>
    <w:rsid w:val="008B3600"/>
    <w:rsid w:val="008B3B0F"/>
    <w:rsid w:val="008B3C14"/>
    <w:rsid w:val="008B4A7B"/>
    <w:rsid w:val="008B57D5"/>
    <w:rsid w:val="008B690E"/>
    <w:rsid w:val="008B6CCB"/>
    <w:rsid w:val="008B70E4"/>
    <w:rsid w:val="008B78F1"/>
    <w:rsid w:val="008B7B2D"/>
    <w:rsid w:val="008C07ED"/>
    <w:rsid w:val="008C185F"/>
    <w:rsid w:val="008C2A29"/>
    <w:rsid w:val="008C2BDF"/>
    <w:rsid w:val="008C2FA1"/>
    <w:rsid w:val="008C3BFA"/>
    <w:rsid w:val="008C3CCC"/>
    <w:rsid w:val="008C4A7D"/>
    <w:rsid w:val="008C5F76"/>
    <w:rsid w:val="008C6899"/>
    <w:rsid w:val="008C6F2C"/>
    <w:rsid w:val="008C765A"/>
    <w:rsid w:val="008C76F7"/>
    <w:rsid w:val="008D00EE"/>
    <w:rsid w:val="008D098A"/>
    <w:rsid w:val="008D09E3"/>
    <w:rsid w:val="008D138B"/>
    <w:rsid w:val="008D2C61"/>
    <w:rsid w:val="008D323A"/>
    <w:rsid w:val="008D38AF"/>
    <w:rsid w:val="008D3D9B"/>
    <w:rsid w:val="008D4EF1"/>
    <w:rsid w:val="008D56BA"/>
    <w:rsid w:val="008D5ADF"/>
    <w:rsid w:val="008D627B"/>
    <w:rsid w:val="008D6F4A"/>
    <w:rsid w:val="008E00F5"/>
    <w:rsid w:val="008E0172"/>
    <w:rsid w:val="008E07FE"/>
    <w:rsid w:val="008E0B1D"/>
    <w:rsid w:val="008E0E12"/>
    <w:rsid w:val="008E13FD"/>
    <w:rsid w:val="008E1CE5"/>
    <w:rsid w:val="008E2D16"/>
    <w:rsid w:val="008E3920"/>
    <w:rsid w:val="008E42D5"/>
    <w:rsid w:val="008E4A85"/>
    <w:rsid w:val="008E52B7"/>
    <w:rsid w:val="008E622B"/>
    <w:rsid w:val="008E6998"/>
    <w:rsid w:val="008E7042"/>
    <w:rsid w:val="008E716D"/>
    <w:rsid w:val="008E72BF"/>
    <w:rsid w:val="008F011D"/>
    <w:rsid w:val="008F0416"/>
    <w:rsid w:val="008F0A84"/>
    <w:rsid w:val="008F170D"/>
    <w:rsid w:val="008F35A2"/>
    <w:rsid w:val="008F35B4"/>
    <w:rsid w:val="008F42B6"/>
    <w:rsid w:val="008F4C29"/>
    <w:rsid w:val="008F527D"/>
    <w:rsid w:val="008F5532"/>
    <w:rsid w:val="008F579D"/>
    <w:rsid w:val="008F5946"/>
    <w:rsid w:val="008F5D36"/>
    <w:rsid w:val="008F6FE5"/>
    <w:rsid w:val="008F71F8"/>
    <w:rsid w:val="008F7241"/>
    <w:rsid w:val="008F72AF"/>
    <w:rsid w:val="008F739C"/>
    <w:rsid w:val="008F7413"/>
    <w:rsid w:val="008F7418"/>
    <w:rsid w:val="008F7BA8"/>
    <w:rsid w:val="008F7C5B"/>
    <w:rsid w:val="008F7CA4"/>
    <w:rsid w:val="008F7D84"/>
    <w:rsid w:val="0090004B"/>
    <w:rsid w:val="00900559"/>
    <w:rsid w:val="00900595"/>
    <w:rsid w:val="00900B9F"/>
    <w:rsid w:val="00900BB5"/>
    <w:rsid w:val="00900E47"/>
    <w:rsid w:val="009011E5"/>
    <w:rsid w:val="0090141D"/>
    <w:rsid w:val="00901F91"/>
    <w:rsid w:val="00902809"/>
    <w:rsid w:val="00902BD9"/>
    <w:rsid w:val="00903B1D"/>
    <w:rsid w:val="009046EE"/>
    <w:rsid w:val="0090497F"/>
    <w:rsid w:val="00904EA3"/>
    <w:rsid w:val="0090513C"/>
    <w:rsid w:val="00905D14"/>
    <w:rsid w:val="0090680E"/>
    <w:rsid w:val="00907603"/>
    <w:rsid w:val="00907773"/>
    <w:rsid w:val="00910507"/>
    <w:rsid w:val="009110ED"/>
    <w:rsid w:val="00913434"/>
    <w:rsid w:val="00913438"/>
    <w:rsid w:val="00914BF8"/>
    <w:rsid w:val="00915F62"/>
    <w:rsid w:val="0091611C"/>
    <w:rsid w:val="009166F3"/>
    <w:rsid w:val="00917DBC"/>
    <w:rsid w:val="0092011B"/>
    <w:rsid w:val="00920245"/>
    <w:rsid w:val="00920BC1"/>
    <w:rsid w:val="00920EE8"/>
    <w:rsid w:val="00921A87"/>
    <w:rsid w:val="00923703"/>
    <w:rsid w:val="009243F9"/>
    <w:rsid w:val="009250C0"/>
    <w:rsid w:val="0092636E"/>
    <w:rsid w:val="00926C34"/>
    <w:rsid w:val="009308CB"/>
    <w:rsid w:val="009314C9"/>
    <w:rsid w:val="009314E5"/>
    <w:rsid w:val="00931E08"/>
    <w:rsid w:val="00932297"/>
    <w:rsid w:val="0093244D"/>
    <w:rsid w:val="00932A82"/>
    <w:rsid w:val="00933C9F"/>
    <w:rsid w:val="00933D73"/>
    <w:rsid w:val="00934023"/>
    <w:rsid w:val="00934FC1"/>
    <w:rsid w:val="0093521D"/>
    <w:rsid w:val="009354AA"/>
    <w:rsid w:val="00935F91"/>
    <w:rsid w:val="0093682A"/>
    <w:rsid w:val="009371F5"/>
    <w:rsid w:val="00937A4C"/>
    <w:rsid w:val="00940AF4"/>
    <w:rsid w:val="00941459"/>
    <w:rsid w:val="009415D9"/>
    <w:rsid w:val="00942375"/>
    <w:rsid w:val="00942986"/>
    <w:rsid w:val="00942C91"/>
    <w:rsid w:val="009431B2"/>
    <w:rsid w:val="0094427F"/>
    <w:rsid w:val="009450D9"/>
    <w:rsid w:val="00945576"/>
    <w:rsid w:val="00946418"/>
    <w:rsid w:val="00946B24"/>
    <w:rsid w:val="00946D6F"/>
    <w:rsid w:val="009471FF"/>
    <w:rsid w:val="00947B64"/>
    <w:rsid w:val="00947F3A"/>
    <w:rsid w:val="00947F92"/>
    <w:rsid w:val="00950EDF"/>
    <w:rsid w:val="009512D5"/>
    <w:rsid w:val="0095134F"/>
    <w:rsid w:val="009515BC"/>
    <w:rsid w:val="00951EA0"/>
    <w:rsid w:val="00953CFC"/>
    <w:rsid w:val="009547C9"/>
    <w:rsid w:val="00954B34"/>
    <w:rsid w:val="00955DBA"/>
    <w:rsid w:val="00956665"/>
    <w:rsid w:val="00956730"/>
    <w:rsid w:val="009568C4"/>
    <w:rsid w:val="00956CE0"/>
    <w:rsid w:val="00957B67"/>
    <w:rsid w:val="00957C2E"/>
    <w:rsid w:val="00957C35"/>
    <w:rsid w:val="00957CAC"/>
    <w:rsid w:val="0096113D"/>
    <w:rsid w:val="00961651"/>
    <w:rsid w:val="00961C65"/>
    <w:rsid w:val="00961EA0"/>
    <w:rsid w:val="00962C6D"/>
    <w:rsid w:val="00962E3F"/>
    <w:rsid w:val="00962F36"/>
    <w:rsid w:val="00963FF1"/>
    <w:rsid w:val="009645E4"/>
    <w:rsid w:val="00965DD8"/>
    <w:rsid w:val="00966CBF"/>
    <w:rsid w:val="009672E2"/>
    <w:rsid w:val="009674C4"/>
    <w:rsid w:val="009711B5"/>
    <w:rsid w:val="009714D4"/>
    <w:rsid w:val="00972704"/>
    <w:rsid w:val="00972978"/>
    <w:rsid w:val="009744E1"/>
    <w:rsid w:val="009749E0"/>
    <w:rsid w:val="00974D21"/>
    <w:rsid w:val="009750AC"/>
    <w:rsid w:val="00976621"/>
    <w:rsid w:val="00976DEE"/>
    <w:rsid w:val="00976F6D"/>
    <w:rsid w:val="0097772E"/>
    <w:rsid w:val="00980D1C"/>
    <w:rsid w:val="00981096"/>
    <w:rsid w:val="0098110E"/>
    <w:rsid w:val="00981659"/>
    <w:rsid w:val="00981CD7"/>
    <w:rsid w:val="00981CE9"/>
    <w:rsid w:val="009822C4"/>
    <w:rsid w:val="009838A5"/>
    <w:rsid w:val="00983AE2"/>
    <w:rsid w:val="00984508"/>
    <w:rsid w:val="009859F8"/>
    <w:rsid w:val="009862F9"/>
    <w:rsid w:val="00987095"/>
    <w:rsid w:val="009871BC"/>
    <w:rsid w:val="009873BD"/>
    <w:rsid w:val="00990A8C"/>
    <w:rsid w:val="00991A07"/>
    <w:rsid w:val="00992F48"/>
    <w:rsid w:val="00993B2E"/>
    <w:rsid w:val="00993CCA"/>
    <w:rsid w:val="0099475E"/>
    <w:rsid w:val="0099487D"/>
    <w:rsid w:val="0099574D"/>
    <w:rsid w:val="00995A6D"/>
    <w:rsid w:val="00995B3F"/>
    <w:rsid w:val="009963FD"/>
    <w:rsid w:val="00996AFF"/>
    <w:rsid w:val="00996DC6"/>
    <w:rsid w:val="00996DF1"/>
    <w:rsid w:val="00996FBD"/>
    <w:rsid w:val="00997155"/>
    <w:rsid w:val="009A12E4"/>
    <w:rsid w:val="009A2C4B"/>
    <w:rsid w:val="009A3B4B"/>
    <w:rsid w:val="009A3EC9"/>
    <w:rsid w:val="009A42B4"/>
    <w:rsid w:val="009A5A60"/>
    <w:rsid w:val="009A5D18"/>
    <w:rsid w:val="009A69C1"/>
    <w:rsid w:val="009B1E94"/>
    <w:rsid w:val="009B2068"/>
    <w:rsid w:val="009B2D58"/>
    <w:rsid w:val="009B35C5"/>
    <w:rsid w:val="009B3A50"/>
    <w:rsid w:val="009B4294"/>
    <w:rsid w:val="009B539E"/>
    <w:rsid w:val="009B6C5B"/>
    <w:rsid w:val="009B6FBA"/>
    <w:rsid w:val="009C033B"/>
    <w:rsid w:val="009C0919"/>
    <w:rsid w:val="009C125B"/>
    <w:rsid w:val="009C1607"/>
    <w:rsid w:val="009C5E4C"/>
    <w:rsid w:val="009C6B63"/>
    <w:rsid w:val="009C6BC2"/>
    <w:rsid w:val="009C7864"/>
    <w:rsid w:val="009C7A1A"/>
    <w:rsid w:val="009D11D4"/>
    <w:rsid w:val="009D23BE"/>
    <w:rsid w:val="009D2425"/>
    <w:rsid w:val="009D2C01"/>
    <w:rsid w:val="009D2DF2"/>
    <w:rsid w:val="009D2EC4"/>
    <w:rsid w:val="009D2F88"/>
    <w:rsid w:val="009D3948"/>
    <w:rsid w:val="009D3991"/>
    <w:rsid w:val="009D3B4E"/>
    <w:rsid w:val="009D438E"/>
    <w:rsid w:val="009D4AB1"/>
    <w:rsid w:val="009D56A6"/>
    <w:rsid w:val="009D6C7E"/>
    <w:rsid w:val="009D76EF"/>
    <w:rsid w:val="009D7CA7"/>
    <w:rsid w:val="009D7D93"/>
    <w:rsid w:val="009D7F54"/>
    <w:rsid w:val="009E01AC"/>
    <w:rsid w:val="009E05EF"/>
    <w:rsid w:val="009E07F7"/>
    <w:rsid w:val="009E1D63"/>
    <w:rsid w:val="009E29C4"/>
    <w:rsid w:val="009E3651"/>
    <w:rsid w:val="009E3FD6"/>
    <w:rsid w:val="009E461F"/>
    <w:rsid w:val="009E499D"/>
    <w:rsid w:val="009E4BBC"/>
    <w:rsid w:val="009E5598"/>
    <w:rsid w:val="009E6213"/>
    <w:rsid w:val="009E62FF"/>
    <w:rsid w:val="009E651C"/>
    <w:rsid w:val="009E65EE"/>
    <w:rsid w:val="009E6D7B"/>
    <w:rsid w:val="009F11E0"/>
    <w:rsid w:val="009F1882"/>
    <w:rsid w:val="009F2CC0"/>
    <w:rsid w:val="009F301C"/>
    <w:rsid w:val="009F3345"/>
    <w:rsid w:val="009F35EA"/>
    <w:rsid w:val="009F3DD9"/>
    <w:rsid w:val="009F4D6B"/>
    <w:rsid w:val="009F5802"/>
    <w:rsid w:val="009F5F8F"/>
    <w:rsid w:val="00A000D8"/>
    <w:rsid w:val="00A001BC"/>
    <w:rsid w:val="00A00826"/>
    <w:rsid w:val="00A02F10"/>
    <w:rsid w:val="00A0378A"/>
    <w:rsid w:val="00A04826"/>
    <w:rsid w:val="00A05A8B"/>
    <w:rsid w:val="00A0690F"/>
    <w:rsid w:val="00A0695E"/>
    <w:rsid w:val="00A07C3C"/>
    <w:rsid w:val="00A07FE5"/>
    <w:rsid w:val="00A10018"/>
    <w:rsid w:val="00A10CA7"/>
    <w:rsid w:val="00A114CC"/>
    <w:rsid w:val="00A11C71"/>
    <w:rsid w:val="00A1201C"/>
    <w:rsid w:val="00A12C57"/>
    <w:rsid w:val="00A134ED"/>
    <w:rsid w:val="00A13752"/>
    <w:rsid w:val="00A140F0"/>
    <w:rsid w:val="00A142F5"/>
    <w:rsid w:val="00A14817"/>
    <w:rsid w:val="00A15A15"/>
    <w:rsid w:val="00A16048"/>
    <w:rsid w:val="00A16163"/>
    <w:rsid w:val="00A167A1"/>
    <w:rsid w:val="00A20597"/>
    <w:rsid w:val="00A20A4B"/>
    <w:rsid w:val="00A20B42"/>
    <w:rsid w:val="00A20DE7"/>
    <w:rsid w:val="00A20E05"/>
    <w:rsid w:val="00A20E5C"/>
    <w:rsid w:val="00A2106D"/>
    <w:rsid w:val="00A21EA8"/>
    <w:rsid w:val="00A22AD6"/>
    <w:rsid w:val="00A22F60"/>
    <w:rsid w:val="00A2358B"/>
    <w:rsid w:val="00A255B4"/>
    <w:rsid w:val="00A2592E"/>
    <w:rsid w:val="00A27B26"/>
    <w:rsid w:val="00A303C4"/>
    <w:rsid w:val="00A30808"/>
    <w:rsid w:val="00A3107F"/>
    <w:rsid w:val="00A311DA"/>
    <w:rsid w:val="00A32CCA"/>
    <w:rsid w:val="00A3319C"/>
    <w:rsid w:val="00A33708"/>
    <w:rsid w:val="00A33FD6"/>
    <w:rsid w:val="00A34B5F"/>
    <w:rsid w:val="00A35108"/>
    <w:rsid w:val="00A352B5"/>
    <w:rsid w:val="00A35D56"/>
    <w:rsid w:val="00A36D9C"/>
    <w:rsid w:val="00A373A6"/>
    <w:rsid w:val="00A37C1D"/>
    <w:rsid w:val="00A40652"/>
    <w:rsid w:val="00A410DF"/>
    <w:rsid w:val="00A41298"/>
    <w:rsid w:val="00A42180"/>
    <w:rsid w:val="00A42AC1"/>
    <w:rsid w:val="00A42EAA"/>
    <w:rsid w:val="00A4359B"/>
    <w:rsid w:val="00A43EC9"/>
    <w:rsid w:val="00A4481D"/>
    <w:rsid w:val="00A44C70"/>
    <w:rsid w:val="00A44E78"/>
    <w:rsid w:val="00A45718"/>
    <w:rsid w:val="00A45DBA"/>
    <w:rsid w:val="00A46257"/>
    <w:rsid w:val="00A4647C"/>
    <w:rsid w:val="00A464BE"/>
    <w:rsid w:val="00A4659A"/>
    <w:rsid w:val="00A46D9E"/>
    <w:rsid w:val="00A4705C"/>
    <w:rsid w:val="00A4753C"/>
    <w:rsid w:val="00A47CB6"/>
    <w:rsid w:val="00A47E29"/>
    <w:rsid w:val="00A50287"/>
    <w:rsid w:val="00A505A1"/>
    <w:rsid w:val="00A506F1"/>
    <w:rsid w:val="00A51143"/>
    <w:rsid w:val="00A512C3"/>
    <w:rsid w:val="00A512DE"/>
    <w:rsid w:val="00A518EF"/>
    <w:rsid w:val="00A519D2"/>
    <w:rsid w:val="00A524EE"/>
    <w:rsid w:val="00A52684"/>
    <w:rsid w:val="00A52AFF"/>
    <w:rsid w:val="00A52E34"/>
    <w:rsid w:val="00A5333D"/>
    <w:rsid w:val="00A53B88"/>
    <w:rsid w:val="00A5442A"/>
    <w:rsid w:val="00A54434"/>
    <w:rsid w:val="00A54545"/>
    <w:rsid w:val="00A57228"/>
    <w:rsid w:val="00A57541"/>
    <w:rsid w:val="00A6110F"/>
    <w:rsid w:val="00A615AE"/>
    <w:rsid w:val="00A618FB"/>
    <w:rsid w:val="00A62386"/>
    <w:rsid w:val="00A62B71"/>
    <w:rsid w:val="00A633BF"/>
    <w:rsid w:val="00A6398A"/>
    <w:rsid w:val="00A6497C"/>
    <w:rsid w:val="00A64C8A"/>
    <w:rsid w:val="00A64FF5"/>
    <w:rsid w:val="00A650EB"/>
    <w:rsid w:val="00A66018"/>
    <w:rsid w:val="00A66E65"/>
    <w:rsid w:val="00A66E7D"/>
    <w:rsid w:val="00A670BC"/>
    <w:rsid w:val="00A6785B"/>
    <w:rsid w:val="00A703DD"/>
    <w:rsid w:val="00A70BC1"/>
    <w:rsid w:val="00A70C0D"/>
    <w:rsid w:val="00A70CDE"/>
    <w:rsid w:val="00A723B6"/>
    <w:rsid w:val="00A729F9"/>
    <w:rsid w:val="00A7310E"/>
    <w:rsid w:val="00A74DAE"/>
    <w:rsid w:val="00A7518E"/>
    <w:rsid w:val="00A75422"/>
    <w:rsid w:val="00A7569B"/>
    <w:rsid w:val="00A764FA"/>
    <w:rsid w:val="00A76BC7"/>
    <w:rsid w:val="00A76DCF"/>
    <w:rsid w:val="00A8086D"/>
    <w:rsid w:val="00A80EA0"/>
    <w:rsid w:val="00A81877"/>
    <w:rsid w:val="00A81DDC"/>
    <w:rsid w:val="00A825AB"/>
    <w:rsid w:val="00A831BD"/>
    <w:rsid w:val="00A83668"/>
    <w:rsid w:val="00A83DC1"/>
    <w:rsid w:val="00A84070"/>
    <w:rsid w:val="00A8512A"/>
    <w:rsid w:val="00A86954"/>
    <w:rsid w:val="00A873F1"/>
    <w:rsid w:val="00A87570"/>
    <w:rsid w:val="00A879A2"/>
    <w:rsid w:val="00A87C29"/>
    <w:rsid w:val="00A90385"/>
    <w:rsid w:val="00A909DC"/>
    <w:rsid w:val="00A90FA2"/>
    <w:rsid w:val="00A91F9B"/>
    <w:rsid w:val="00A92A25"/>
    <w:rsid w:val="00A92A76"/>
    <w:rsid w:val="00A930C7"/>
    <w:rsid w:val="00A9327A"/>
    <w:rsid w:val="00A932CE"/>
    <w:rsid w:val="00A9540A"/>
    <w:rsid w:val="00A95428"/>
    <w:rsid w:val="00A95983"/>
    <w:rsid w:val="00A95D64"/>
    <w:rsid w:val="00A96E60"/>
    <w:rsid w:val="00A97760"/>
    <w:rsid w:val="00A97B00"/>
    <w:rsid w:val="00AA047D"/>
    <w:rsid w:val="00AA064D"/>
    <w:rsid w:val="00AA2135"/>
    <w:rsid w:val="00AA2699"/>
    <w:rsid w:val="00AA2A3B"/>
    <w:rsid w:val="00AA2F5D"/>
    <w:rsid w:val="00AA35E5"/>
    <w:rsid w:val="00AA3C25"/>
    <w:rsid w:val="00AA4064"/>
    <w:rsid w:val="00AA4CC9"/>
    <w:rsid w:val="00AA58AE"/>
    <w:rsid w:val="00AA5909"/>
    <w:rsid w:val="00AA6043"/>
    <w:rsid w:val="00AA63CB"/>
    <w:rsid w:val="00AA78EA"/>
    <w:rsid w:val="00AA7F29"/>
    <w:rsid w:val="00AB019A"/>
    <w:rsid w:val="00AB1033"/>
    <w:rsid w:val="00AB10BC"/>
    <w:rsid w:val="00AB1AE8"/>
    <w:rsid w:val="00AB1E31"/>
    <w:rsid w:val="00AB267D"/>
    <w:rsid w:val="00AB27A4"/>
    <w:rsid w:val="00AB2E0C"/>
    <w:rsid w:val="00AB4503"/>
    <w:rsid w:val="00AB4796"/>
    <w:rsid w:val="00AB4EAD"/>
    <w:rsid w:val="00AB5D48"/>
    <w:rsid w:val="00AB62ED"/>
    <w:rsid w:val="00AB6CF7"/>
    <w:rsid w:val="00AC02DD"/>
    <w:rsid w:val="00AC02EC"/>
    <w:rsid w:val="00AC07A5"/>
    <w:rsid w:val="00AC1317"/>
    <w:rsid w:val="00AC1F7A"/>
    <w:rsid w:val="00AC2442"/>
    <w:rsid w:val="00AC2497"/>
    <w:rsid w:val="00AC2955"/>
    <w:rsid w:val="00AC2C1D"/>
    <w:rsid w:val="00AC3345"/>
    <w:rsid w:val="00AC3734"/>
    <w:rsid w:val="00AC572D"/>
    <w:rsid w:val="00AC5B1B"/>
    <w:rsid w:val="00AC5F80"/>
    <w:rsid w:val="00AC6426"/>
    <w:rsid w:val="00AC7CD1"/>
    <w:rsid w:val="00AD043C"/>
    <w:rsid w:val="00AD081A"/>
    <w:rsid w:val="00AD202B"/>
    <w:rsid w:val="00AD2717"/>
    <w:rsid w:val="00AD284E"/>
    <w:rsid w:val="00AD3A60"/>
    <w:rsid w:val="00AD442E"/>
    <w:rsid w:val="00AD44F3"/>
    <w:rsid w:val="00AD57D9"/>
    <w:rsid w:val="00AD6C58"/>
    <w:rsid w:val="00AD6E02"/>
    <w:rsid w:val="00AD7720"/>
    <w:rsid w:val="00AD784C"/>
    <w:rsid w:val="00AE098A"/>
    <w:rsid w:val="00AE0A59"/>
    <w:rsid w:val="00AE0D3D"/>
    <w:rsid w:val="00AE1DF5"/>
    <w:rsid w:val="00AE1FD7"/>
    <w:rsid w:val="00AE2278"/>
    <w:rsid w:val="00AE3438"/>
    <w:rsid w:val="00AE34FD"/>
    <w:rsid w:val="00AE3A87"/>
    <w:rsid w:val="00AE42B7"/>
    <w:rsid w:val="00AE4675"/>
    <w:rsid w:val="00AE567E"/>
    <w:rsid w:val="00AE60F3"/>
    <w:rsid w:val="00AE68A4"/>
    <w:rsid w:val="00AE722E"/>
    <w:rsid w:val="00AE7691"/>
    <w:rsid w:val="00AE7930"/>
    <w:rsid w:val="00AF01D2"/>
    <w:rsid w:val="00AF0DDD"/>
    <w:rsid w:val="00AF13DB"/>
    <w:rsid w:val="00AF1A5F"/>
    <w:rsid w:val="00AF2674"/>
    <w:rsid w:val="00AF26BF"/>
    <w:rsid w:val="00AF2C08"/>
    <w:rsid w:val="00AF2F8D"/>
    <w:rsid w:val="00AF4E34"/>
    <w:rsid w:val="00AF5A13"/>
    <w:rsid w:val="00AF5BF7"/>
    <w:rsid w:val="00AF5C59"/>
    <w:rsid w:val="00AF672A"/>
    <w:rsid w:val="00AF7198"/>
    <w:rsid w:val="00AF735A"/>
    <w:rsid w:val="00AF74B4"/>
    <w:rsid w:val="00AF7A57"/>
    <w:rsid w:val="00AF7D8E"/>
    <w:rsid w:val="00AF7E26"/>
    <w:rsid w:val="00B0039F"/>
    <w:rsid w:val="00B0051C"/>
    <w:rsid w:val="00B01802"/>
    <w:rsid w:val="00B0188B"/>
    <w:rsid w:val="00B01AC6"/>
    <w:rsid w:val="00B01E03"/>
    <w:rsid w:val="00B025DA"/>
    <w:rsid w:val="00B02C7C"/>
    <w:rsid w:val="00B03192"/>
    <w:rsid w:val="00B0325D"/>
    <w:rsid w:val="00B038FE"/>
    <w:rsid w:val="00B03AA7"/>
    <w:rsid w:val="00B04673"/>
    <w:rsid w:val="00B0481A"/>
    <w:rsid w:val="00B04EEF"/>
    <w:rsid w:val="00B055DB"/>
    <w:rsid w:val="00B0627D"/>
    <w:rsid w:val="00B075AD"/>
    <w:rsid w:val="00B07963"/>
    <w:rsid w:val="00B10675"/>
    <w:rsid w:val="00B10EC5"/>
    <w:rsid w:val="00B11269"/>
    <w:rsid w:val="00B112BC"/>
    <w:rsid w:val="00B12601"/>
    <w:rsid w:val="00B12F0D"/>
    <w:rsid w:val="00B13837"/>
    <w:rsid w:val="00B14432"/>
    <w:rsid w:val="00B151EE"/>
    <w:rsid w:val="00B15ADA"/>
    <w:rsid w:val="00B15B9A"/>
    <w:rsid w:val="00B16203"/>
    <w:rsid w:val="00B169D7"/>
    <w:rsid w:val="00B16B54"/>
    <w:rsid w:val="00B1713B"/>
    <w:rsid w:val="00B1729B"/>
    <w:rsid w:val="00B2231D"/>
    <w:rsid w:val="00B230DB"/>
    <w:rsid w:val="00B25484"/>
    <w:rsid w:val="00B25656"/>
    <w:rsid w:val="00B27577"/>
    <w:rsid w:val="00B27642"/>
    <w:rsid w:val="00B2798B"/>
    <w:rsid w:val="00B27BED"/>
    <w:rsid w:val="00B302E9"/>
    <w:rsid w:val="00B30B2D"/>
    <w:rsid w:val="00B30BDE"/>
    <w:rsid w:val="00B30E17"/>
    <w:rsid w:val="00B315E2"/>
    <w:rsid w:val="00B32125"/>
    <w:rsid w:val="00B32BB2"/>
    <w:rsid w:val="00B332AE"/>
    <w:rsid w:val="00B33722"/>
    <w:rsid w:val="00B33D60"/>
    <w:rsid w:val="00B34AD8"/>
    <w:rsid w:val="00B34C91"/>
    <w:rsid w:val="00B357A9"/>
    <w:rsid w:val="00B35AF3"/>
    <w:rsid w:val="00B36371"/>
    <w:rsid w:val="00B365D4"/>
    <w:rsid w:val="00B36D5E"/>
    <w:rsid w:val="00B40115"/>
    <w:rsid w:val="00B40242"/>
    <w:rsid w:val="00B40476"/>
    <w:rsid w:val="00B40B6B"/>
    <w:rsid w:val="00B40BED"/>
    <w:rsid w:val="00B4242A"/>
    <w:rsid w:val="00B427B7"/>
    <w:rsid w:val="00B42E8E"/>
    <w:rsid w:val="00B43B0E"/>
    <w:rsid w:val="00B44557"/>
    <w:rsid w:val="00B44AC3"/>
    <w:rsid w:val="00B44ADE"/>
    <w:rsid w:val="00B45726"/>
    <w:rsid w:val="00B45EA9"/>
    <w:rsid w:val="00B46385"/>
    <w:rsid w:val="00B4653C"/>
    <w:rsid w:val="00B46EF2"/>
    <w:rsid w:val="00B47F49"/>
    <w:rsid w:val="00B50198"/>
    <w:rsid w:val="00B502B0"/>
    <w:rsid w:val="00B513D8"/>
    <w:rsid w:val="00B51766"/>
    <w:rsid w:val="00B51B8A"/>
    <w:rsid w:val="00B51FCD"/>
    <w:rsid w:val="00B52098"/>
    <w:rsid w:val="00B521C2"/>
    <w:rsid w:val="00B52C9B"/>
    <w:rsid w:val="00B52EC1"/>
    <w:rsid w:val="00B533FC"/>
    <w:rsid w:val="00B53955"/>
    <w:rsid w:val="00B53AD7"/>
    <w:rsid w:val="00B547DD"/>
    <w:rsid w:val="00B551B4"/>
    <w:rsid w:val="00B55241"/>
    <w:rsid w:val="00B55BB5"/>
    <w:rsid w:val="00B5653E"/>
    <w:rsid w:val="00B567DB"/>
    <w:rsid w:val="00B56FF6"/>
    <w:rsid w:val="00B57529"/>
    <w:rsid w:val="00B579E3"/>
    <w:rsid w:val="00B60D8A"/>
    <w:rsid w:val="00B60F14"/>
    <w:rsid w:val="00B612B3"/>
    <w:rsid w:val="00B615AC"/>
    <w:rsid w:val="00B6224D"/>
    <w:rsid w:val="00B62E26"/>
    <w:rsid w:val="00B62F20"/>
    <w:rsid w:val="00B62F46"/>
    <w:rsid w:val="00B633EF"/>
    <w:rsid w:val="00B63C8B"/>
    <w:rsid w:val="00B6419D"/>
    <w:rsid w:val="00B67559"/>
    <w:rsid w:val="00B713D7"/>
    <w:rsid w:val="00B745FB"/>
    <w:rsid w:val="00B746B9"/>
    <w:rsid w:val="00B74DF2"/>
    <w:rsid w:val="00B756EF"/>
    <w:rsid w:val="00B75CAD"/>
    <w:rsid w:val="00B76D88"/>
    <w:rsid w:val="00B76DCA"/>
    <w:rsid w:val="00B770E0"/>
    <w:rsid w:val="00B7776D"/>
    <w:rsid w:val="00B80596"/>
    <w:rsid w:val="00B81452"/>
    <w:rsid w:val="00B81AEA"/>
    <w:rsid w:val="00B81E07"/>
    <w:rsid w:val="00B822DA"/>
    <w:rsid w:val="00B82719"/>
    <w:rsid w:val="00B848EF"/>
    <w:rsid w:val="00B850E5"/>
    <w:rsid w:val="00B85BA0"/>
    <w:rsid w:val="00B862CB"/>
    <w:rsid w:val="00B86F8F"/>
    <w:rsid w:val="00B90949"/>
    <w:rsid w:val="00B91688"/>
    <w:rsid w:val="00B91E8D"/>
    <w:rsid w:val="00B92738"/>
    <w:rsid w:val="00B92A44"/>
    <w:rsid w:val="00B93092"/>
    <w:rsid w:val="00B93CC4"/>
    <w:rsid w:val="00B94A96"/>
    <w:rsid w:val="00B94E46"/>
    <w:rsid w:val="00B95BD8"/>
    <w:rsid w:val="00B9617E"/>
    <w:rsid w:val="00B96A31"/>
    <w:rsid w:val="00B96EC3"/>
    <w:rsid w:val="00B975C1"/>
    <w:rsid w:val="00B976B6"/>
    <w:rsid w:val="00BA0CB9"/>
    <w:rsid w:val="00BA1310"/>
    <w:rsid w:val="00BA32BC"/>
    <w:rsid w:val="00BA3868"/>
    <w:rsid w:val="00BA44CD"/>
    <w:rsid w:val="00BA45B8"/>
    <w:rsid w:val="00BA46E8"/>
    <w:rsid w:val="00BA4F62"/>
    <w:rsid w:val="00BA5B20"/>
    <w:rsid w:val="00BA5E7C"/>
    <w:rsid w:val="00BA5F6A"/>
    <w:rsid w:val="00BA63DB"/>
    <w:rsid w:val="00BA68B5"/>
    <w:rsid w:val="00BA6B9B"/>
    <w:rsid w:val="00BA6D28"/>
    <w:rsid w:val="00BA77B0"/>
    <w:rsid w:val="00BA78E8"/>
    <w:rsid w:val="00BA7D2F"/>
    <w:rsid w:val="00BB0010"/>
    <w:rsid w:val="00BB00BE"/>
    <w:rsid w:val="00BB087E"/>
    <w:rsid w:val="00BB1561"/>
    <w:rsid w:val="00BB1574"/>
    <w:rsid w:val="00BB1873"/>
    <w:rsid w:val="00BB1E7F"/>
    <w:rsid w:val="00BB23FF"/>
    <w:rsid w:val="00BB25C4"/>
    <w:rsid w:val="00BB2768"/>
    <w:rsid w:val="00BB288E"/>
    <w:rsid w:val="00BB2CA0"/>
    <w:rsid w:val="00BB327B"/>
    <w:rsid w:val="00BB5375"/>
    <w:rsid w:val="00BB71F6"/>
    <w:rsid w:val="00BB7970"/>
    <w:rsid w:val="00BB7AFA"/>
    <w:rsid w:val="00BC05B0"/>
    <w:rsid w:val="00BC0B52"/>
    <w:rsid w:val="00BC1349"/>
    <w:rsid w:val="00BC14A0"/>
    <w:rsid w:val="00BC2323"/>
    <w:rsid w:val="00BC2A27"/>
    <w:rsid w:val="00BC3B13"/>
    <w:rsid w:val="00BC3C75"/>
    <w:rsid w:val="00BC3CA3"/>
    <w:rsid w:val="00BC3CFF"/>
    <w:rsid w:val="00BC4FAB"/>
    <w:rsid w:val="00BC5A20"/>
    <w:rsid w:val="00BC6156"/>
    <w:rsid w:val="00BC6DC3"/>
    <w:rsid w:val="00BC7504"/>
    <w:rsid w:val="00BC7666"/>
    <w:rsid w:val="00BD0761"/>
    <w:rsid w:val="00BD0868"/>
    <w:rsid w:val="00BD0A4F"/>
    <w:rsid w:val="00BD0A95"/>
    <w:rsid w:val="00BD0BEB"/>
    <w:rsid w:val="00BD0CCF"/>
    <w:rsid w:val="00BD0FBF"/>
    <w:rsid w:val="00BD134D"/>
    <w:rsid w:val="00BD1485"/>
    <w:rsid w:val="00BD1B31"/>
    <w:rsid w:val="00BD2C70"/>
    <w:rsid w:val="00BD2E2C"/>
    <w:rsid w:val="00BD3507"/>
    <w:rsid w:val="00BD35D3"/>
    <w:rsid w:val="00BD3AA3"/>
    <w:rsid w:val="00BD3F44"/>
    <w:rsid w:val="00BD59EF"/>
    <w:rsid w:val="00BD6FEE"/>
    <w:rsid w:val="00BD7AC2"/>
    <w:rsid w:val="00BD7C11"/>
    <w:rsid w:val="00BD7D67"/>
    <w:rsid w:val="00BD7E54"/>
    <w:rsid w:val="00BE0036"/>
    <w:rsid w:val="00BE02F1"/>
    <w:rsid w:val="00BE0737"/>
    <w:rsid w:val="00BE10BD"/>
    <w:rsid w:val="00BE1810"/>
    <w:rsid w:val="00BE1B44"/>
    <w:rsid w:val="00BE214A"/>
    <w:rsid w:val="00BE3014"/>
    <w:rsid w:val="00BE385C"/>
    <w:rsid w:val="00BE3A2B"/>
    <w:rsid w:val="00BE3BBD"/>
    <w:rsid w:val="00BE4D78"/>
    <w:rsid w:val="00BE55FA"/>
    <w:rsid w:val="00BE5E3D"/>
    <w:rsid w:val="00BE6532"/>
    <w:rsid w:val="00BE6F8B"/>
    <w:rsid w:val="00BE7467"/>
    <w:rsid w:val="00BE76AF"/>
    <w:rsid w:val="00BE7E9E"/>
    <w:rsid w:val="00BF1218"/>
    <w:rsid w:val="00BF17D2"/>
    <w:rsid w:val="00BF1E9D"/>
    <w:rsid w:val="00BF208C"/>
    <w:rsid w:val="00BF2286"/>
    <w:rsid w:val="00BF246E"/>
    <w:rsid w:val="00BF2818"/>
    <w:rsid w:val="00BF29B0"/>
    <w:rsid w:val="00BF354C"/>
    <w:rsid w:val="00BF38A4"/>
    <w:rsid w:val="00BF38E1"/>
    <w:rsid w:val="00BF42BC"/>
    <w:rsid w:val="00BF44C0"/>
    <w:rsid w:val="00BF5131"/>
    <w:rsid w:val="00BF55A1"/>
    <w:rsid w:val="00BF5742"/>
    <w:rsid w:val="00BF60AB"/>
    <w:rsid w:val="00BF69C8"/>
    <w:rsid w:val="00BF7FC6"/>
    <w:rsid w:val="00C00543"/>
    <w:rsid w:val="00C00A31"/>
    <w:rsid w:val="00C00AFB"/>
    <w:rsid w:val="00C00FC5"/>
    <w:rsid w:val="00C02352"/>
    <w:rsid w:val="00C025D1"/>
    <w:rsid w:val="00C02DF5"/>
    <w:rsid w:val="00C03836"/>
    <w:rsid w:val="00C03977"/>
    <w:rsid w:val="00C03A34"/>
    <w:rsid w:val="00C043D5"/>
    <w:rsid w:val="00C050C1"/>
    <w:rsid w:val="00C055BD"/>
    <w:rsid w:val="00C0649D"/>
    <w:rsid w:val="00C06C0B"/>
    <w:rsid w:val="00C07027"/>
    <w:rsid w:val="00C074E2"/>
    <w:rsid w:val="00C07838"/>
    <w:rsid w:val="00C10075"/>
    <w:rsid w:val="00C108E6"/>
    <w:rsid w:val="00C10E17"/>
    <w:rsid w:val="00C10E65"/>
    <w:rsid w:val="00C119D8"/>
    <w:rsid w:val="00C11FC7"/>
    <w:rsid w:val="00C12043"/>
    <w:rsid w:val="00C123BB"/>
    <w:rsid w:val="00C12846"/>
    <w:rsid w:val="00C133E3"/>
    <w:rsid w:val="00C13438"/>
    <w:rsid w:val="00C14AC2"/>
    <w:rsid w:val="00C15135"/>
    <w:rsid w:val="00C1598A"/>
    <w:rsid w:val="00C1650A"/>
    <w:rsid w:val="00C16EB3"/>
    <w:rsid w:val="00C16EBD"/>
    <w:rsid w:val="00C17E31"/>
    <w:rsid w:val="00C20BD7"/>
    <w:rsid w:val="00C216FC"/>
    <w:rsid w:val="00C250A0"/>
    <w:rsid w:val="00C250DC"/>
    <w:rsid w:val="00C25B0B"/>
    <w:rsid w:val="00C2637D"/>
    <w:rsid w:val="00C264C6"/>
    <w:rsid w:val="00C26AFD"/>
    <w:rsid w:val="00C26F01"/>
    <w:rsid w:val="00C27351"/>
    <w:rsid w:val="00C2735E"/>
    <w:rsid w:val="00C276BD"/>
    <w:rsid w:val="00C27852"/>
    <w:rsid w:val="00C30435"/>
    <w:rsid w:val="00C310F0"/>
    <w:rsid w:val="00C31E3C"/>
    <w:rsid w:val="00C32CC1"/>
    <w:rsid w:val="00C343E8"/>
    <w:rsid w:val="00C3542B"/>
    <w:rsid w:val="00C35563"/>
    <w:rsid w:val="00C35C29"/>
    <w:rsid w:val="00C3651C"/>
    <w:rsid w:val="00C36DCD"/>
    <w:rsid w:val="00C36EE3"/>
    <w:rsid w:val="00C378A0"/>
    <w:rsid w:val="00C37D14"/>
    <w:rsid w:val="00C40242"/>
    <w:rsid w:val="00C404F2"/>
    <w:rsid w:val="00C4058F"/>
    <w:rsid w:val="00C40A27"/>
    <w:rsid w:val="00C40A79"/>
    <w:rsid w:val="00C40F0C"/>
    <w:rsid w:val="00C41EAE"/>
    <w:rsid w:val="00C41F32"/>
    <w:rsid w:val="00C4202A"/>
    <w:rsid w:val="00C42616"/>
    <w:rsid w:val="00C43965"/>
    <w:rsid w:val="00C43ABB"/>
    <w:rsid w:val="00C44824"/>
    <w:rsid w:val="00C46471"/>
    <w:rsid w:val="00C4661F"/>
    <w:rsid w:val="00C46921"/>
    <w:rsid w:val="00C478C4"/>
    <w:rsid w:val="00C50B0E"/>
    <w:rsid w:val="00C50EAB"/>
    <w:rsid w:val="00C50F50"/>
    <w:rsid w:val="00C50F68"/>
    <w:rsid w:val="00C51677"/>
    <w:rsid w:val="00C51713"/>
    <w:rsid w:val="00C518CB"/>
    <w:rsid w:val="00C51F77"/>
    <w:rsid w:val="00C52706"/>
    <w:rsid w:val="00C539AE"/>
    <w:rsid w:val="00C53D37"/>
    <w:rsid w:val="00C55334"/>
    <w:rsid w:val="00C55C5A"/>
    <w:rsid w:val="00C56CEE"/>
    <w:rsid w:val="00C56E39"/>
    <w:rsid w:val="00C570EF"/>
    <w:rsid w:val="00C5751F"/>
    <w:rsid w:val="00C57957"/>
    <w:rsid w:val="00C57959"/>
    <w:rsid w:val="00C613BA"/>
    <w:rsid w:val="00C61998"/>
    <w:rsid w:val="00C6220C"/>
    <w:rsid w:val="00C62DA9"/>
    <w:rsid w:val="00C64408"/>
    <w:rsid w:val="00C64945"/>
    <w:rsid w:val="00C6546E"/>
    <w:rsid w:val="00C658CE"/>
    <w:rsid w:val="00C65961"/>
    <w:rsid w:val="00C65FBF"/>
    <w:rsid w:val="00C66343"/>
    <w:rsid w:val="00C669C6"/>
    <w:rsid w:val="00C66C2C"/>
    <w:rsid w:val="00C67497"/>
    <w:rsid w:val="00C67EB2"/>
    <w:rsid w:val="00C71065"/>
    <w:rsid w:val="00C7172A"/>
    <w:rsid w:val="00C718A2"/>
    <w:rsid w:val="00C72999"/>
    <w:rsid w:val="00C74CE7"/>
    <w:rsid w:val="00C7563B"/>
    <w:rsid w:val="00C76AB7"/>
    <w:rsid w:val="00C76DB9"/>
    <w:rsid w:val="00C77A5A"/>
    <w:rsid w:val="00C80036"/>
    <w:rsid w:val="00C80109"/>
    <w:rsid w:val="00C8044F"/>
    <w:rsid w:val="00C809F6"/>
    <w:rsid w:val="00C80BAE"/>
    <w:rsid w:val="00C80CAC"/>
    <w:rsid w:val="00C810F9"/>
    <w:rsid w:val="00C81853"/>
    <w:rsid w:val="00C818D1"/>
    <w:rsid w:val="00C81AD4"/>
    <w:rsid w:val="00C81CBF"/>
    <w:rsid w:val="00C824C8"/>
    <w:rsid w:val="00C82838"/>
    <w:rsid w:val="00C82E31"/>
    <w:rsid w:val="00C82EB3"/>
    <w:rsid w:val="00C83A9A"/>
    <w:rsid w:val="00C85414"/>
    <w:rsid w:val="00C86409"/>
    <w:rsid w:val="00C86664"/>
    <w:rsid w:val="00C866C4"/>
    <w:rsid w:val="00C87105"/>
    <w:rsid w:val="00C87CB6"/>
    <w:rsid w:val="00C87E00"/>
    <w:rsid w:val="00C90429"/>
    <w:rsid w:val="00C90A89"/>
    <w:rsid w:val="00C90D92"/>
    <w:rsid w:val="00C91BD4"/>
    <w:rsid w:val="00C9200D"/>
    <w:rsid w:val="00C9263C"/>
    <w:rsid w:val="00C9299D"/>
    <w:rsid w:val="00C9335E"/>
    <w:rsid w:val="00C940A0"/>
    <w:rsid w:val="00C94A9A"/>
    <w:rsid w:val="00C94B80"/>
    <w:rsid w:val="00C95407"/>
    <w:rsid w:val="00C9567A"/>
    <w:rsid w:val="00C9775B"/>
    <w:rsid w:val="00C9795B"/>
    <w:rsid w:val="00C97B40"/>
    <w:rsid w:val="00C97FD5"/>
    <w:rsid w:val="00CA0444"/>
    <w:rsid w:val="00CA09B1"/>
    <w:rsid w:val="00CA12EF"/>
    <w:rsid w:val="00CA1734"/>
    <w:rsid w:val="00CA2760"/>
    <w:rsid w:val="00CA3405"/>
    <w:rsid w:val="00CA3F76"/>
    <w:rsid w:val="00CA40AC"/>
    <w:rsid w:val="00CA41EC"/>
    <w:rsid w:val="00CA5CC7"/>
    <w:rsid w:val="00CA6A6B"/>
    <w:rsid w:val="00CA778C"/>
    <w:rsid w:val="00CA7D0E"/>
    <w:rsid w:val="00CB0284"/>
    <w:rsid w:val="00CB3355"/>
    <w:rsid w:val="00CB38CE"/>
    <w:rsid w:val="00CB394A"/>
    <w:rsid w:val="00CB3AA6"/>
    <w:rsid w:val="00CB3B24"/>
    <w:rsid w:val="00CB49E2"/>
    <w:rsid w:val="00CB56A2"/>
    <w:rsid w:val="00CB5B58"/>
    <w:rsid w:val="00CB5BEE"/>
    <w:rsid w:val="00CB6FF2"/>
    <w:rsid w:val="00CB73DC"/>
    <w:rsid w:val="00CB79D0"/>
    <w:rsid w:val="00CC103D"/>
    <w:rsid w:val="00CC180B"/>
    <w:rsid w:val="00CC1C5C"/>
    <w:rsid w:val="00CC234C"/>
    <w:rsid w:val="00CC237D"/>
    <w:rsid w:val="00CC29F6"/>
    <w:rsid w:val="00CC2A8C"/>
    <w:rsid w:val="00CC2B42"/>
    <w:rsid w:val="00CC3260"/>
    <w:rsid w:val="00CC3433"/>
    <w:rsid w:val="00CC398C"/>
    <w:rsid w:val="00CC3AD2"/>
    <w:rsid w:val="00CC48EB"/>
    <w:rsid w:val="00CC51B1"/>
    <w:rsid w:val="00CC5337"/>
    <w:rsid w:val="00CC5592"/>
    <w:rsid w:val="00CC5EFB"/>
    <w:rsid w:val="00CC6065"/>
    <w:rsid w:val="00CC61B4"/>
    <w:rsid w:val="00CC7863"/>
    <w:rsid w:val="00CC7F31"/>
    <w:rsid w:val="00CD06D4"/>
    <w:rsid w:val="00CD073B"/>
    <w:rsid w:val="00CD081E"/>
    <w:rsid w:val="00CD0D68"/>
    <w:rsid w:val="00CD1418"/>
    <w:rsid w:val="00CD226B"/>
    <w:rsid w:val="00CD2FA7"/>
    <w:rsid w:val="00CD398D"/>
    <w:rsid w:val="00CD4EE0"/>
    <w:rsid w:val="00CD5A01"/>
    <w:rsid w:val="00CD5BB4"/>
    <w:rsid w:val="00CD5BDC"/>
    <w:rsid w:val="00CD617A"/>
    <w:rsid w:val="00CD64D6"/>
    <w:rsid w:val="00CD7042"/>
    <w:rsid w:val="00CE0502"/>
    <w:rsid w:val="00CE06BF"/>
    <w:rsid w:val="00CE1EEE"/>
    <w:rsid w:val="00CE23AC"/>
    <w:rsid w:val="00CE2D9D"/>
    <w:rsid w:val="00CE2E45"/>
    <w:rsid w:val="00CE3628"/>
    <w:rsid w:val="00CE3FBF"/>
    <w:rsid w:val="00CE5023"/>
    <w:rsid w:val="00CE5452"/>
    <w:rsid w:val="00CE55ED"/>
    <w:rsid w:val="00CE57D7"/>
    <w:rsid w:val="00CE5D40"/>
    <w:rsid w:val="00CE6494"/>
    <w:rsid w:val="00CE6C88"/>
    <w:rsid w:val="00CE7159"/>
    <w:rsid w:val="00CE71B4"/>
    <w:rsid w:val="00CE7538"/>
    <w:rsid w:val="00CE7C4D"/>
    <w:rsid w:val="00CF0415"/>
    <w:rsid w:val="00CF1191"/>
    <w:rsid w:val="00CF1FD3"/>
    <w:rsid w:val="00CF2786"/>
    <w:rsid w:val="00CF2BAA"/>
    <w:rsid w:val="00CF2F44"/>
    <w:rsid w:val="00CF495B"/>
    <w:rsid w:val="00CF5F74"/>
    <w:rsid w:val="00CF6148"/>
    <w:rsid w:val="00CF6858"/>
    <w:rsid w:val="00CF6E7F"/>
    <w:rsid w:val="00CF78E2"/>
    <w:rsid w:val="00CF7BF4"/>
    <w:rsid w:val="00D019CC"/>
    <w:rsid w:val="00D01AD0"/>
    <w:rsid w:val="00D02C21"/>
    <w:rsid w:val="00D02C22"/>
    <w:rsid w:val="00D02C9C"/>
    <w:rsid w:val="00D03A72"/>
    <w:rsid w:val="00D04A4E"/>
    <w:rsid w:val="00D04E8D"/>
    <w:rsid w:val="00D0533C"/>
    <w:rsid w:val="00D05C89"/>
    <w:rsid w:val="00D05CB5"/>
    <w:rsid w:val="00D05D90"/>
    <w:rsid w:val="00D06487"/>
    <w:rsid w:val="00D07E3C"/>
    <w:rsid w:val="00D10246"/>
    <w:rsid w:val="00D10269"/>
    <w:rsid w:val="00D10543"/>
    <w:rsid w:val="00D108D5"/>
    <w:rsid w:val="00D10AF5"/>
    <w:rsid w:val="00D10B07"/>
    <w:rsid w:val="00D10E58"/>
    <w:rsid w:val="00D11927"/>
    <w:rsid w:val="00D11BB5"/>
    <w:rsid w:val="00D11C0D"/>
    <w:rsid w:val="00D11E1D"/>
    <w:rsid w:val="00D124F4"/>
    <w:rsid w:val="00D12AE3"/>
    <w:rsid w:val="00D1390D"/>
    <w:rsid w:val="00D13D5E"/>
    <w:rsid w:val="00D14772"/>
    <w:rsid w:val="00D15002"/>
    <w:rsid w:val="00D1536F"/>
    <w:rsid w:val="00D15CFC"/>
    <w:rsid w:val="00D2001F"/>
    <w:rsid w:val="00D203FB"/>
    <w:rsid w:val="00D21879"/>
    <w:rsid w:val="00D218EA"/>
    <w:rsid w:val="00D21933"/>
    <w:rsid w:val="00D22B6B"/>
    <w:rsid w:val="00D23165"/>
    <w:rsid w:val="00D23B5D"/>
    <w:rsid w:val="00D23B69"/>
    <w:rsid w:val="00D24612"/>
    <w:rsid w:val="00D24BCA"/>
    <w:rsid w:val="00D24E68"/>
    <w:rsid w:val="00D24EF1"/>
    <w:rsid w:val="00D26422"/>
    <w:rsid w:val="00D26AF3"/>
    <w:rsid w:val="00D305AD"/>
    <w:rsid w:val="00D3111D"/>
    <w:rsid w:val="00D3118D"/>
    <w:rsid w:val="00D3168F"/>
    <w:rsid w:val="00D31A51"/>
    <w:rsid w:val="00D31D5C"/>
    <w:rsid w:val="00D32976"/>
    <w:rsid w:val="00D32AEE"/>
    <w:rsid w:val="00D33100"/>
    <w:rsid w:val="00D33606"/>
    <w:rsid w:val="00D339E7"/>
    <w:rsid w:val="00D3404D"/>
    <w:rsid w:val="00D34562"/>
    <w:rsid w:val="00D347A7"/>
    <w:rsid w:val="00D34C73"/>
    <w:rsid w:val="00D34F96"/>
    <w:rsid w:val="00D352EE"/>
    <w:rsid w:val="00D3575B"/>
    <w:rsid w:val="00D368ED"/>
    <w:rsid w:val="00D36924"/>
    <w:rsid w:val="00D36ED9"/>
    <w:rsid w:val="00D37288"/>
    <w:rsid w:val="00D377E9"/>
    <w:rsid w:val="00D37897"/>
    <w:rsid w:val="00D37A54"/>
    <w:rsid w:val="00D4146B"/>
    <w:rsid w:val="00D4166B"/>
    <w:rsid w:val="00D419E8"/>
    <w:rsid w:val="00D41C9A"/>
    <w:rsid w:val="00D41E69"/>
    <w:rsid w:val="00D41F78"/>
    <w:rsid w:val="00D42F2D"/>
    <w:rsid w:val="00D43730"/>
    <w:rsid w:val="00D43C48"/>
    <w:rsid w:val="00D43D10"/>
    <w:rsid w:val="00D43DDF"/>
    <w:rsid w:val="00D44813"/>
    <w:rsid w:val="00D460B5"/>
    <w:rsid w:val="00D46281"/>
    <w:rsid w:val="00D4643E"/>
    <w:rsid w:val="00D465CE"/>
    <w:rsid w:val="00D46617"/>
    <w:rsid w:val="00D47A29"/>
    <w:rsid w:val="00D47C41"/>
    <w:rsid w:val="00D50530"/>
    <w:rsid w:val="00D523DA"/>
    <w:rsid w:val="00D52748"/>
    <w:rsid w:val="00D52D58"/>
    <w:rsid w:val="00D52F05"/>
    <w:rsid w:val="00D5363A"/>
    <w:rsid w:val="00D53DA0"/>
    <w:rsid w:val="00D54C30"/>
    <w:rsid w:val="00D54E16"/>
    <w:rsid w:val="00D54E4A"/>
    <w:rsid w:val="00D54F5A"/>
    <w:rsid w:val="00D55ABB"/>
    <w:rsid w:val="00D55B59"/>
    <w:rsid w:val="00D5600F"/>
    <w:rsid w:val="00D562AC"/>
    <w:rsid w:val="00D56B44"/>
    <w:rsid w:val="00D57000"/>
    <w:rsid w:val="00D57066"/>
    <w:rsid w:val="00D579E1"/>
    <w:rsid w:val="00D60605"/>
    <w:rsid w:val="00D61B03"/>
    <w:rsid w:val="00D61DC4"/>
    <w:rsid w:val="00D62B2C"/>
    <w:rsid w:val="00D62C7E"/>
    <w:rsid w:val="00D62D7C"/>
    <w:rsid w:val="00D640DB"/>
    <w:rsid w:val="00D64728"/>
    <w:rsid w:val="00D64B9B"/>
    <w:rsid w:val="00D64FA1"/>
    <w:rsid w:val="00D65E1F"/>
    <w:rsid w:val="00D65FAE"/>
    <w:rsid w:val="00D66905"/>
    <w:rsid w:val="00D66937"/>
    <w:rsid w:val="00D66BC5"/>
    <w:rsid w:val="00D67541"/>
    <w:rsid w:val="00D707DC"/>
    <w:rsid w:val="00D70904"/>
    <w:rsid w:val="00D70B54"/>
    <w:rsid w:val="00D7129E"/>
    <w:rsid w:val="00D721D8"/>
    <w:rsid w:val="00D727F9"/>
    <w:rsid w:val="00D728FC"/>
    <w:rsid w:val="00D730DB"/>
    <w:rsid w:val="00D73942"/>
    <w:rsid w:val="00D7471A"/>
    <w:rsid w:val="00D755A0"/>
    <w:rsid w:val="00D75BF8"/>
    <w:rsid w:val="00D7609D"/>
    <w:rsid w:val="00D76588"/>
    <w:rsid w:val="00D76914"/>
    <w:rsid w:val="00D769B9"/>
    <w:rsid w:val="00D76A57"/>
    <w:rsid w:val="00D77101"/>
    <w:rsid w:val="00D77623"/>
    <w:rsid w:val="00D77B72"/>
    <w:rsid w:val="00D81FC0"/>
    <w:rsid w:val="00D8248A"/>
    <w:rsid w:val="00D8357F"/>
    <w:rsid w:val="00D83E47"/>
    <w:rsid w:val="00D8501D"/>
    <w:rsid w:val="00D86321"/>
    <w:rsid w:val="00D8654E"/>
    <w:rsid w:val="00D8680C"/>
    <w:rsid w:val="00D86DC7"/>
    <w:rsid w:val="00D903E0"/>
    <w:rsid w:val="00D9053F"/>
    <w:rsid w:val="00D906E0"/>
    <w:rsid w:val="00D90F1A"/>
    <w:rsid w:val="00D91753"/>
    <w:rsid w:val="00D91AF1"/>
    <w:rsid w:val="00D92AC0"/>
    <w:rsid w:val="00D92BC7"/>
    <w:rsid w:val="00D9325B"/>
    <w:rsid w:val="00D9335F"/>
    <w:rsid w:val="00D944EA"/>
    <w:rsid w:val="00D953D5"/>
    <w:rsid w:val="00D954FB"/>
    <w:rsid w:val="00D95554"/>
    <w:rsid w:val="00D955C2"/>
    <w:rsid w:val="00D95F6C"/>
    <w:rsid w:val="00D9675A"/>
    <w:rsid w:val="00D975EC"/>
    <w:rsid w:val="00D97803"/>
    <w:rsid w:val="00DA01ED"/>
    <w:rsid w:val="00DA0CF3"/>
    <w:rsid w:val="00DA19C7"/>
    <w:rsid w:val="00DA213E"/>
    <w:rsid w:val="00DA2D01"/>
    <w:rsid w:val="00DA485E"/>
    <w:rsid w:val="00DA5560"/>
    <w:rsid w:val="00DA5B11"/>
    <w:rsid w:val="00DA5EBF"/>
    <w:rsid w:val="00DA67B4"/>
    <w:rsid w:val="00DA6CD7"/>
    <w:rsid w:val="00DA7110"/>
    <w:rsid w:val="00DA762B"/>
    <w:rsid w:val="00DB09B5"/>
    <w:rsid w:val="00DB114A"/>
    <w:rsid w:val="00DB1343"/>
    <w:rsid w:val="00DB16F2"/>
    <w:rsid w:val="00DB183A"/>
    <w:rsid w:val="00DB192A"/>
    <w:rsid w:val="00DB26F8"/>
    <w:rsid w:val="00DB623D"/>
    <w:rsid w:val="00DB6327"/>
    <w:rsid w:val="00DB6541"/>
    <w:rsid w:val="00DB6A78"/>
    <w:rsid w:val="00DB6B09"/>
    <w:rsid w:val="00DC016B"/>
    <w:rsid w:val="00DC08D9"/>
    <w:rsid w:val="00DC0C84"/>
    <w:rsid w:val="00DC0E4E"/>
    <w:rsid w:val="00DC0F03"/>
    <w:rsid w:val="00DC2BCA"/>
    <w:rsid w:val="00DC34A9"/>
    <w:rsid w:val="00DC3D99"/>
    <w:rsid w:val="00DC45A4"/>
    <w:rsid w:val="00DC5993"/>
    <w:rsid w:val="00DC7527"/>
    <w:rsid w:val="00DD0450"/>
    <w:rsid w:val="00DD07DF"/>
    <w:rsid w:val="00DD1AAC"/>
    <w:rsid w:val="00DD1F55"/>
    <w:rsid w:val="00DD2D30"/>
    <w:rsid w:val="00DD2F5C"/>
    <w:rsid w:val="00DD45D3"/>
    <w:rsid w:val="00DD591C"/>
    <w:rsid w:val="00DD5A54"/>
    <w:rsid w:val="00DD5C08"/>
    <w:rsid w:val="00DD5D9D"/>
    <w:rsid w:val="00DD6915"/>
    <w:rsid w:val="00DD6AF1"/>
    <w:rsid w:val="00DD6B66"/>
    <w:rsid w:val="00DD6CA7"/>
    <w:rsid w:val="00DD6E04"/>
    <w:rsid w:val="00DD71E4"/>
    <w:rsid w:val="00DD78CB"/>
    <w:rsid w:val="00DD79BB"/>
    <w:rsid w:val="00DE0A07"/>
    <w:rsid w:val="00DE0FE4"/>
    <w:rsid w:val="00DE1378"/>
    <w:rsid w:val="00DE1EDE"/>
    <w:rsid w:val="00DE28E8"/>
    <w:rsid w:val="00DE2A9C"/>
    <w:rsid w:val="00DE30F4"/>
    <w:rsid w:val="00DE37D3"/>
    <w:rsid w:val="00DE3B94"/>
    <w:rsid w:val="00DE5CDC"/>
    <w:rsid w:val="00DE61A5"/>
    <w:rsid w:val="00DE7AF8"/>
    <w:rsid w:val="00DF08D1"/>
    <w:rsid w:val="00DF10EB"/>
    <w:rsid w:val="00DF2468"/>
    <w:rsid w:val="00DF2F4A"/>
    <w:rsid w:val="00DF32F4"/>
    <w:rsid w:val="00DF35BF"/>
    <w:rsid w:val="00DF3B44"/>
    <w:rsid w:val="00DF40E7"/>
    <w:rsid w:val="00DF4103"/>
    <w:rsid w:val="00DF5CA1"/>
    <w:rsid w:val="00DF6994"/>
    <w:rsid w:val="00E003AF"/>
    <w:rsid w:val="00E00BEC"/>
    <w:rsid w:val="00E00D7D"/>
    <w:rsid w:val="00E02C34"/>
    <w:rsid w:val="00E039C4"/>
    <w:rsid w:val="00E03B1C"/>
    <w:rsid w:val="00E03B8D"/>
    <w:rsid w:val="00E03D51"/>
    <w:rsid w:val="00E04FE1"/>
    <w:rsid w:val="00E05666"/>
    <w:rsid w:val="00E05940"/>
    <w:rsid w:val="00E07824"/>
    <w:rsid w:val="00E07BC7"/>
    <w:rsid w:val="00E10D6C"/>
    <w:rsid w:val="00E11CAC"/>
    <w:rsid w:val="00E1284F"/>
    <w:rsid w:val="00E12A8E"/>
    <w:rsid w:val="00E12B03"/>
    <w:rsid w:val="00E13A5A"/>
    <w:rsid w:val="00E140BC"/>
    <w:rsid w:val="00E15045"/>
    <w:rsid w:val="00E16669"/>
    <w:rsid w:val="00E16A0A"/>
    <w:rsid w:val="00E20975"/>
    <w:rsid w:val="00E22BED"/>
    <w:rsid w:val="00E22CA9"/>
    <w:rsid w:val="00E2341C"/>
    <w:rsid w:val="00E239E3"/>
    <w:rsid w:val="00E23AC3"/>
    <w:rsid w:val="00E23B94"/>
    <w:rsid w:val="00E244AD"/>
    <w:rsid w:val="00E248E5"/>
    <w:rsid w:val="00E26DEC"/>
    <w:rsid w:val="00E26F4D"/>
    <w:rsid w:val="00E27235"/>
    <w:rsid w:val="00E274E0"/>
    <w:rsid w:val="00E27D98"/>
    <w:rsid w:val="00E301D4"/>
    <w:rsid w:val="00E30DEB"/>
    <w:rsid w:val="00E3117F"/>
    <w:rsid w:val="00E319CE"/>
    <w:rsid w:val="00E320F5"/>
    <w:rsid w:val="00E32DAA"/>
    <w:rsid w:val="00E32E0D"/>
    <w:rsid w:val="00E344A9"/>
    <w:rsid w:val="00E348B1"/>
    <w:rsid w:val="00E351D4"/>
    <w:rsid w:val="00E36447"/>
    <w:rsid w:val="00E36A1F"/>
    <w:rsid w:val="00E36CE2"/>
    <w:rsid w:val="00E36F80"/>
    <w:rsid w:val="00E3720F"/>
    <w:rsid w:val="00E373C4"/>
    <w:rsid w:val="00E37BED"/>
    <w:rsid w:val="00E407CC"/>
    <w:rsid w:val="00E416D1"/>
    <w:rsid w:val="00E41D61"/>
    <w:rsid w:val="00E42368"/>
    <w:rsid w:val="00E42BCC"/>
    <w:rsid w:val="00E43045"/>
    <w:rsid w:val="00E44248"/>
    <w:rsid w:val="00E44A45"/>
    <w:rsid w:val="00E455E8"/>
    <w:rsid w:val="00E45C76"/>
    <w:rsid w:val="00E45EEF"/>
    <w:rsid w:val="00E46418"/>
    <w:rsid w:val="00E478E5"/>
    <w:rsid w:val="00E4794B"/>
    <w:rsid w:val="00E50451"/>
    <w:rsid w:val="00E504F1"/>
    <w:rsid w:val="00E50A08"/>
    <w:rsid w:val="00E51039"/>
    <w:rsid w:val="00E51CD9"/>
    <w:rsid w:val="00E521DE"/>
    <w:rsid w:val="00E5264A"/>
    <w:rsid w:val="00E526A6"/>
    <w:rsid w:val="00E536AD"/>
    <w:rsid w:val="00E53E9F"/>
    <w:rsid w:val="00E53F4E"/>
    <w:rsid w:val="00E54289"/>
    <w:rsid w:val="00E54513"/>
    <w:rsid w:val="00E548E6"/>
    <w:rsid w:val="00E555E3"/>
    <w:rsid w:val="00E55988"/>
    <w:rsid w:val="00E56181"/>
    <w:rsid w:val="00E56350"/>
    <w:rsid w:val="00E566A1"/>
    <w:rsid w:val="00E56749"/>
    <w:rsid w:val="00E56924"/>
    <w:rsid w:val="00E56BC5"/>
    <w:rsid w:val="00E56E04"/>
    <w:rsid w:val="00E56EBE"/>
    <w:rsid w:val="00E57305"/>
    <w:rsid w:val="00E57736"/>
    <w:rsid w:val="00E6042D"/>
    <w:rsid w:val="00E60811"/>
    <w:rsid w:val="00E61544"/>
    <w:rsid w:val="00E62956"/>
    <w:rsid w:val="00E63357"/>
    <w:rsid w:val="00E63B95"/>
    <w:rsid w:val="00E63F7E"/>
    <w:rsid w:val="00E64501"/>
    <w:rsid w:val="00E64EBC"/>
    <w:rsid w:val="00E65479"/>
    <w:rsid w:val="00E65727"/>
    <w:rsid w:val="00E65FEE"/>
    <w:rsid w:val="00E67C47"/>
    <w:rsid w:val="00E67EAD"/>
    <w:rsid w:val="00E705E3"/>
    <w:rsid w:val="00E7125F"/>
    <w:rsid w:val="00E712A4"/>
    <w:rsid w:val="00E71E04"/>
    <w:rsid w:val="00E72435"/>
    <w:rsid w:val="00E72A2B"/>
    <w:rsid w:val="00E73A08"/>
    <w:rsid w:val="00E73A63"/>
    <w:rsid w:val="00E73D69"/>
    <w:rsid w:val="00E73DF7"/>
    <w:rsid w:val="00E74CA5"/>
    <w:rsid w:val="00E75325"/>
    <w:rsid w:val="00E75B1E"/>
    <w:rsid w:val="00E76220"/>
    <w:rsid w:val="00E76FDC"/>
    <w:rsid w:val="00E773C3"/>
    <w:rsid w:val="00E77A6D"/>
    <w:rsid w:val="00E77D76"/>
    <w:rsid w:val="00E80557"/>
    <w:rsid w:val="00E824B5"/>
    <w:rsid w:val="00E82B21"/>
    <w:rsid w:val="00E83445"/>
    <w:rsid w:val="00E837BB"/>
    <w:rsid w:val="00E83AD9"/>
    <w:rsid w:val="00E8474B"/>
    <w:rsid w:val="00E86AF6"/>
    <w:rsid w:val="00E86D79"/>
    <w:rsid w:val="00E8769A"/>
    <w:rsid w:val="00E877C8"/>
    <w:rsid w:val="00E9009F"/>
    <w:rsid w:val="00E907D0"/>
    <w:rsid w:val="00E90922"/>
    <w:rsid w:val="00E90C6B"/>
    <w:rsid w:val="00E91732"/>
    <w:rsid w:val="00E91748"/>
    <w:rsid w:val="00E91929"/>
    <w:rsid w:val="00E92542"/>
    <w:rsid w:val="00E92B85"/>
    <w:rsid w:val="00E92F34"/>
    <w:rsid w:val="00E940D9"/>
    <w:rsid w:val="00E945F8"/>
    <w:rsid w:val="00E947DC"/>
    <w:rsid w:val="00E94E43"/>
    <w:rsid w:val="00E95927"/>
    <w:rsid w:val="00E96A64"/>
    <w:rsid w:val="00EA0990"/>
    <w:rsid w:val="00EA0C33"/>
    <w:rsid w:val="00EA1037"/>
    <w:rsid w:val="00EA2828"/>
    <w:rsid w:val="00EA2A8C"/>
    <w:rsid w:val="00EA30B4"/>
    <w:rsid w:val="00EA3BCA"/>
    <w:rsid w:val="00EA43BC"/>
    <w:rsid w:val="00EA4CBA"/>
    <w:rsid w:val="00EA4F45"/>
    <w:rsid w:val="00EA50D3"/>
    <w:rsid w:val="00EA75F9"/>
    <w:rsid w:val="00EA78CD"/>
    <w:rsid w:val="00EB0030"/>
    <w:rsid w:val="00EB018B"/>
    <w:rsid w:val="00EB08B3"/>
    <w:rsid w:val="00EB23DB"/>
    <w:rsid w:val="00EB2F7E"/>
    <w:rsid w:val="00EB37D2"/>
    <w:rsid w:val="00EB3C24"/>
    <w:rsid w:val="00EB4215"/>
    <w:rsid w:val="00EB559D"/>
    <w:rsid w:val="00EB63CD"/>
    <w:rsid w:val="00EB6B9F"/>
    <w:rsid w:val="00EC09B7"/>
    <w:rsid w:val="00EC0A88"/>
    <w:rsid w:val="00EC0C8C"/>
    <w:rsid w:val="00EC0F5A"/>
    <w:rsid w:val="00EC2651"/>
    <w:rsid w:val="00EC3685"/>
    <w:rsid w:val="00EC3812"/>
    <w:rsid w:val="00EC38AF"/>
    <w:rsid w:val="00EC3A3F"/>
    <w:rsid w:val="00EC4813"/>
    <w:rsid w:val="00EC4895"/>
    <w:rsid w:val="00EC49D1"/>
    <w:rsid w:val="00EC5C90"/>
    <w:rsid w:val="00EC6614"/>
    <w:rsid w:val="00EC70B6"/>
    <w:rsid w:val="00EC7D2F"/>
    <w:rsid w:val="00ED12BE"/>
    <w:rsid w:val="00ED26D6"/>
    <w:rsid w:val="00ED290A"/>
    <w:rsid w:val="00ED2BAE"/>
    <w:rsid w:val="00ED3343"/>
    <w:rsid w:val="00ED3DC2"/>
    <w:rsid w:val="00ED4013"/>
    <w:rsid w:val="00ED46FF"/>
    <w:rsid w:val="00ED5BF4"/>
    <w:rsid w:val="00ED5D02"/>
    <w:rsid w:val="00ED6810"/>
    <w:rsid w:val="00ED69EE"/>
    <w:rsid w:val="00ED6E66"/>
    <w:rsid w:val="00ED76A5"/>
    <w:rsid w:val="00ED76F3"/>
    <w:rsid w:val="00ED78A9"/>
    <w:rsid w:val="00EE0365"/>
    <w:rsid w:val="00EE1636"/>
    <w:rsid w:val="00EE20CC"/>
    <w:rsid w:val="00EE2EBB"/>
    <w:rsid w:val="00EE36C5"/>
    <w:rsid w:val="00EE50DE"/>
    <w:rsid w:val="00EE5ACB"/>
    <w:rsid w:val="00EE65BA"/>
    <w:rsid w:val="00EF0140"/>
    <w:rsid w:val="00EF018D"/>
    <w:rsid w:val="00EF02A4"/>
    <w:rsid w:val="00EF0606"/>
    <w:rsid w:val="00EF0780"/>
    <w:rsid w:val="00EF0E0C"/>
    <w:rsid w:val="00EF1BB0"/>
    <w:rsid w:val="00EF1EC7"/>
    <w:rsid w:val="00EF210B"/>
    <w:rsid w:val="00EF2479"/>
    <w:rsid w:val="00EF2A4E"/>
    <w:rsid w:val="00EF31DC"/>
    <w:rsid w:val="00EF3B49"/>
    <w:rsid w:val="00EF3B5E"/>
    <w:rsid w:val="00EF3C12"/>
    <w:rsid w:val="00EF5005"/>
    <w:rsid w:val="00EF5162"/>
    <w:rsid w:val="00EF538E"/>
    <w:rsid w:val="00EF59AC"/>
    <w:rsid w:val="00EF608C"/>
    <w:rsid w:val="00EF6426"/>
    <w:rsid w:val="00EF6963"/>
    <w:rsid w:val="00EF6C45"/>
    <w:rsid w:val="00F00761"/>
    <w:rsid w:val="00F00B0B"/>
    <w:rsid w:val="00F01646"/>
    <w:rsid w:val="00F01E66"/>
    <w:rsid w:val="00F01F9E"/>
    <w:rsid w:val="00F0230E"/>
    <w:rsid w:val="00F02BB9"/>
    <w:rsid w:val="00F02BC4"/>
    <w:rsid w:val="00F02D7E"/>
    <w:rsid w:val="00F030E8"/>
    <w:rsid w:val="00F042B6"/>
    <w:rsid w:val="00F04312"/>
    <w:rsid w:val="00F04382"/>
    <w:rsid w:val="00F05471"/>
    <w:rsid w:val="00F057A5"/>
    <w:rsid w:val="00F0584D"/>
    <w:rsid w:val="00F058DA"/>
    <w:rsid w:val="00F059E8"/>
    <w:rsid w:val="00F06180"/>
    <w:rsid w:val="00F0768C"/>
    <w:rsid w:val="00F10063"/>
    <w:rsid w:val="00F103E0"/>
    <w:rsid w:val="00F10ED2"/>
    <w:rsid w:val="00F11162"/>
    <w:rsid w:val="00F11421"/>
    <w:rsid w:val="00F1256D"/>
    <w:rsid w:val="00F13A4B"/>
    <w:rsid w:val="00F15866"/>
    <w:rsid w:val="00F158F7"/>
    <w:rsid w:val="00F15F64"/>
    <w:rsid w:val="00F1619C"/>
    <w:rsid w:val="00F2018F"/>
    <w:rsid w:val="00F203F3"/>
    <w:rsid w:val="00F20839"/>
    <w:rsid w:val="00F20A36"/>
    <w:rsid w:val="00F2127D"/>
    <w:rsid w:val="00F21B7B"/>
    <w:rsid w:val="00F21D42"/>
    <w:rsid w:val="00F21F4B"/>
    <w:rsid w:val="00F2336A"/>
    <w:rsid w:val="00F233A2"/>
    <w:rsid w:val="00F233B1"/>
    <w:rsid w:val="00F2349C"/>
    <w:rsid w:val="00F23965"/>
    <w:rsid w:val="00F242A2"/>
    <w:rsid w:val="00F24D0F"/>
    <w:rsid w:val="00F2647B"/>
    <w:rsid w:val="00F26E4C"/>
    <w:rsid w:val="00F26F99"/>
    <w:rsid w:val="00F2766C"/>
    <w:rsid w:val="00F30509"/>
    <w:rsid w:val="00F306AA"/>
    <w:rsid w:val="00F315FB"/>
    <w:rsid w:val="00F32690"/>
    <w:rsid w:val="00F32C1F"/>
    <w:rsid w:val="00F333AD"/>
    <w:rsid w:val="00F33C95"/>
    <w:rsid w:val="00F34A15"/>
    <w:rsid w:val="00F355C4"/>
    <w:rsid w:val="00F359D6"/>
    <w:rsid w:val="00F3605E"/>
    <w:rsid w:val="00F36F51"/>
    <w:rsid w:val="00F36FC3"/>
    <w:rsid w:val="00F3759F"/>
    <w:rsid w:val="00F4001C"/>
    <w:rsid w:val="00F405A9"/>
    <w:rsid w:val="00F40AC0"/>
    <w:rsid w:val="00F411CB"/>
    <w:rsid w:val="00F4208C"/>
    <w:rsid w:val="00F430DC"/>
    <w:rsid w:val="00F43702"/>
    <w:rsid w:val="00F4378D"/>
    <w:rsid w:val="00F43BC1"/>
    <w:rsid w:val="00F448B4"/>
    <w:rsid w:val="00F4498C"/>
    <w:rsid w:val="00F46586"/>
    <w:rsid w:val="00F467D9"/>
    <w:rsid w:val="00F47770"/>
    <w:rsid w:val="00F47A20"/>
    <w:rsid w:val="00F500FF"/>
    <w:rsid w:val="00F501D2"/>
    <w:rsid w:val="00F50722"/>
    <w:rsid w:val="00F50BED"/>
    <w:rsid w:val="00F51074"/>
    <w:rsid w:val="00F51686"/>
    <w:rsid w:val="00F51BB8"/>
    <w:rsid w:val="00F51BFA"/>
    <w:rsid w:val="00F51C35"/>
    <w:rsid w:val="00F51D0D"/>
    <w:rsid w:val="00F52AAA"/>
    <w:rsid w:val="00F53824"/>
    <w:rsid w:val="00F539EB"/>
    <w:rsid w:val="00F53E08"/>
    <w:rsid w:val="00F54413"/>
    <w:rsid w:val="00F550E7"/>
    <w:rsid w:val="00F55116"/>
    <w:rsid w:val="00F5579C"/>
    <w:rsid w:val="00F55952"/>
    <w:rsid w:val="00F55A25"/>
    <w:rsid w:val="00F579E1"/>
    <w:rsid w:val="00F60122"/>
    <w:rsid w:val="00F602A7"/>
    <w:rsid w:val="00F6106A"/>
    <w:rsid w:val="00F610FC"/>
    <w:rsid w:val="00F61656"/>
    <w:rsid w:val="00F619AD"/>
    <w:rsid w:val="00F61C16"/>
    <w:rsid w:val="00F64ED7"/>
    <w:rsid w:val="00F65219"/>
    <w:rsid w:val="00F659D2"/>
    <w:rsid w:val="00F65B91"/>
    <w:rsid w:val="00F66052"/>
    <w:rsid w:val="00F66EC7"/>
    <w:rsid w:val="00F70362"/>
    <w:rsid w:val="00F71225"/>
    <w:rsid w:val="00F71465"/>
    <w:rsid w:val="00F732B5"/>
    <w:rsid w:val="00F735B5"/>
    <w:rsid w:val="00F7371D"/>
    <w:rsid w:val="00F7397F"/>
    <w:rsid w:val="00F73C62"/>
    <w:rsid w:val="00F74D89"/>
    <w:rsid w:val="00F74EED"/>
    <w:rsid w:val="00F7528F"/>
    <w:rsid w:val="00F75459"/>
    <w:rsid w:val="00F7571D"/>
    <w:rsid w:val="00F75CE6"/>
    <w:rsid w:val="00F7688D"/>
    <w:rsid w:val="00F77318"/>
    <w:rsid w:val="00F77B7A"/>
    <w:rsid w:val="00F77C75"/>
    <w:rsid w:val="00F77CC0"/>
    <w:rsid w:val="00F77FDB"/>
    <w:rsid w:val="00F80189"/>
    <w:rsid w:val="00F80593"/>
    <w:rsid w:val="00F80AB9"/>
    <w:rsid w:val="00F80B8E"/>
    <w:rsid w:val="00F81283"/>
    <w:rsid w:val="00F81C50"/>
    <w:rsid w:val="00F8291B"/>
    <w:rsid w:val="00F83400"/>
    <w:rsid w:val="00F83670"/>
    <w:rsid w:val="00F83757"/>
    <w:rsid w:val="00F84C88"/>
    <w:rsid w:val="00F8523D"/>
    <w:rsid w:val="00F85643"/>
    <w:rsid w:val="00F85A44"/>
    <w:rsid w:val="00F86B18"/>
    <w:rsid w:val="00F86E3A"/>
    <w:rsid w:val="00F8721D"/>
    <w:rsid w:val="00F879B6"/>
    <w:rsid w:val="00F9077C"/>
    <w:rsid w:val="00F9145C"/>
    <w:rsid w:val="00F915AC"/>
    <w:rsid w:val="00F92556"/>
    <w:rsid w:val="00F92789"/>
    <w:rsid w:val="00F93298"/>
    <w:rsid w:val="00F93C5C"/>
    <w:rsid w:val="00F93EC1"/>
    <w:rsid w:val="00F9414B"/>
    <w:rsid w:val="00F94437"/>
    <w:rsid w:val="00F94F64"/>
    <w:rsid w:val="00F965B0"/>
    <w:rsid w:val="00F96C1A"/>
    <w:rsid w:val="00F974EA"/>
    <w:rsid w:val="00F97B3E"/>
    <w:rsid w:val="00FA04C6"/>
    <w:rsid w:val="00FA227F"/>
    <w:rsid w:val="00FA23FB"/>
    <w:rsid w:val="00FA328C"/>
    <w:rsid w:val="00FA3646"/>
    <w:rsid w:val="00FA3875"/>
    <w:rsid w:val="00FA3C04"/>
    <w:rsid w:val="00FA44DD"/>
    <w:rsid w:val="00FA453B"/>
    <w:rsid w:val="00FA5818"/>
    <w:rsid w:val="00FA5B44"/>
    <w:rsid w:val="00FA5E9E"/>
    <w:rsid w:val="00FA6A29"/>
    <w:rsid w:val="00FB0439"/>
    <w:rsid w:val="00FB07AD"/>
    <w:rsid w:val="00FB0F3F"/>
    <w:rsid w:val="00FB1E59"/>
    <w:rsid w:val="00FB2ABA"/>
    <w:rsid w:val="00FB2B27"/>
    <w:rsid w:val="00FB4D0B"/>
    <w:rsid w:val="00FB546E"/>
    <w:rsid w:val="00FB5F0C"/>
    <w:rsid w:val="00FB66DA"/>
    <w:rsid w:val="00FB7124"/>
    <w:rsid w:val="00FC01BD"/>
    <w:rsid w:val="00FC041B"/>
    <w:rsid w:val="00FC191E"/>
    <w:rsid w:val="00FC237C"/>
    <w:rsid w:val="00FC259F"/>
    <w:rsid w:val="00FC2863"/>
    <w:rsid w:val="00FC34FC"/>
    <w:rsid w:val="00FC46AF"/>
    <w:rsid w:val="00FC4BA8"/>
    <w:rsid w:val="00FC541D"/>
    <w:rsid w:val="00FC59FD"/>
    <w:rsid w:val="00FC5CB7"/>
    <w:rsid w:val="00FC713C"/>
    <w:rsid w:val="00FC7636"/>
    <w:rsid w:val="00FD1647"/>
    <w:rsid w:val="00FD2330"/>
    <w:rsid w:val="00FD2405"/>
    <w:rsid w:val="00FD2661"/>
    <w:rsid w:val="00FD2681"/>
    <w:rsid w:val="00FD2B69"/>
    <w:rsid w:val="00FD3730"/>
    <w:rsid w:val="00FD4A08"/>
    <w:rsid w:val="00FD59A4"/>
    <w:rsid w:val="00FD64A9"/>
    <w:rsid w:val="00FD74D3"/>
    <w:rsid w:val="00FD7EC8"/>
    <w:rsid w:val="00FE013E"/>
    <w:rsid w:val="00FE0DC3"/>
    <w:rsid w:val="00FE1151"/>
    <w:rsid w:val="00FE1AB8"/>
    <w:rsid w:val="00FE1E1E"/>
    <w:rsid w:val="00FE1FA1"/>
    <w:rsid w:val="00FE2501"/>
    <w:rsid w:val="00FE2582"/>
    <w:rsid w:val="00FE2936"/>
    <w:rsid w:val="00FE3038"/>
    <w:rsid w:val="00FE35D3"/>
    <w:rsid w:val="00FE430C"/>
    <w:rsid w:val="00FE47AA"/>
    <w:rsid w:val="00FE50F8"/>
    <w:rsid w:val="00FE63FA"/>
    <w:rsid w:val="00FE75BD"/>
    <w:rsid w:val="00FF0694"/>
    <w:rsid w:val="00FF0872"/>
    <w:rsid w:val="00FF0BD2"/>
    <w:rsid w:val="00FF16D7"/>
    <w:rsid w:val="00FF1C5E"/>
    <w:rsid w:val="00FF266A"/>
    <w:rsid w:val="00FF32F5"/>
    <w:rsid w:val="00FF37B6"/>
    <w:rsid w:val="00FF3AE5"/>
    <w:rsid w:val="00FF4051"/>
    <w:rsid w:val="00FF42B0"/>
    <w:rsid w:val="00FF49E8"/>
    <w:rsid w:val="00FF5354"/>
    <w:rsid w:val="00FF56C8"/>
    <w:rsid w:val="00FF5DA3"/>
    <w:rsid w:val="00FF638F"/>
    <w:rsid w:val="00FF6A3F"/>
    <w:rsid w:val="00FF6BA0"/>
    <w:rsid w:val="00FF6E7F"/>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6F31B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Narrow" w:eastAsiaTheme="minorHAnsi" w:hAnsi="Arial Narrow"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2F45E5"/>
    <w:pPr>
      <w:spacing w:after="120" w:line="276" w:lineRule="auto"/>
      <w:jc w:val="both"/>
    </w:pPr>
    <w:rPr>
      <w:rFonts w:ascii="Segoe UI" w:hAnsi="Segoe UI"/>
      <w:sz w:val="20"/>
    </w:rPr>
  </w:style>
  <w:style w:type="paragraph" w:styleId="Nadpis1">
    <w:name w:val="heading 1"/>
    <w:basedOn w:val="Normlny"/>
    <w:next w:val="Normlny"/>
    <w:link w:val="Nadpis1Char"/>
    <w:uiPriority w:val="9"/>
    <w:qFormat/>
    <w:rsid w:val="003E1828"/>
    <w:pPr>
      <w:keepNext/>
      <w:keepLines/>
      <w:pageBreakBefore/>
      <w:numPr>
        <w:numId w:val="8"/>
      </w:numPr>
      <w:spacing w:before="120"/>
      <w:outlineLvl w:val="0"/>
    </w:pPr>
    <w:rPr>
      <w:rFonts w:eastAsiaTheme="majorEastAsia" w:cstheme="majorBidi"/>
      <w:b/>
      <w:color w:val="314364"/>
      <w:position w:val="10"/>
      <w:sz w:val="32"/>
      <w:szCs w:val="32"/>
    </w:rPr>
  </w:style>
  <w:style w:type="paragraph" w:styleId="Nadpis2">
    <w:name w:val="heading 2"/>
    <w:basedOn w:val="Normlny"/>
    <w:next w:val="Normlny"/>
    <w:link w:val="Nadpis2Char"/>
    <w:uiPriority w:val="9"/>
    <w:unhideWhenUsed/>
    <w:qFormat/>
    <w:rsid w:val="00946B24"/>
    <w:pPr>
      <w:keepNext/>
      <w:keepLines/>
      <w:spacing w:before="120"/>
      <w:ind w:left="357"/>
      <w:outlineLvl w:val="1"/>
    </w:pPr>
    <w:rPr>
      <w:rFonts w:eastAsiaTheme="majorEastAsia" w:cstheme="majorBidi"/>
      <w:color w:val="314364"/>
      <w:sz w:val="28"/>
      <w:szCs w:val="26"/>
    </w:rPr>
  </w:style>
  <w:style w:type="paragraph" w:styleId="Nadpis3">
    <w:name w:val="heading 3"/>
    <w:basedOn w:val="Normlny"/>
    <w:next w:val="Normlny"/>
    <w:link w:val="Nadpis3Char"/>
    <w:uiPriority w:val="9"/>
    <w:unhideWhenUsed/>
    <w:qFormat/>
    <w:rsid w:val="00DC5993"/>
    <w:pPr>
      <w:keepNext/>
      <w:keepLines/>
      <w:spacing w:before="40"/>
      <w:ind w:left="680"/>
      <w:outlineLvl w:val="2"/>
    </w:pPr>
    <w:rPr>
      <w:rFonts w:eastAsiaTheme="majorEastAsia" w:cstheme="majorBidi"/>
      <w:color w:val="314364"/>
      <w:sz w:val="24"/>
      <w:szCs w:val="24"/>
    </w:rPr>
  </w:style>
  <w:style w:type="paragraph" w:styleId="Nadpis4">
    <w:name w:val="heading 4"/>
    <w:basedOn w:val="Normlny"/>
    <w:next w:val="Normlny"/>
    <w:link w:val="Nadpis4Char"/>
    <w:uiPriority w:val="9"/>
    <w:unhideWhenUsed/>
    <w:qFormat/>
    <w:rsid w:val="00164091"/>
    <w:pPr>
      <w:keepNext/>
      <w:keepLines/>
      <w:outlineLvl w:val="3"/>
    </w:pPr>
    <w:rPr>
      <w:rFonts w:eastAsiaTheme="majorEastAsia" w:cstheme="majorBidi"/>
      <w:color w:val="314364"/>
      <w:sz w:val="22"/>
      <w:szCs w:val="24"/>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3E1828"/>
    <w:rPr>
      <w:rFonts w:ascii="Segoe UI" w:eastAsiaTheme="majorEastAsia" w:hAnsi="Segoe UI" w:cstheme="majorBidi"/>
      <w:b/>
      <w:color w:val="314364"/>
      <w:position w:val="10"/>
      <w:sz w:val="32"/>
      <w:szCs w:val="32"/>
    </w:rPr>
  </w:style>
  <w:style w:type="character" w:customStyle="1" w:styleId="Nadpis2Char">
    <w:name w:val="Nadpis 2 Char"/>
    <w:basedOn w:val="Predvolenpsmoodseku"/>
    <w:link w:val="Nadpis2"/>
    <w:uiPriority w:val="9"/>
    <w:rsid w:val="00946B24"/>
    <w:rPr>
      <w:rFonts w:ascii="Segoe UI" w:eastAsiaTheme="majorEastAsia" w:hAnsi="Segoe UI" w:cstheme="majorBidi"/>
      <w:color w:val="314364"/>
      <w:sz w:val="28"/>
      <w:szCs w:val="26"/>
    </w:rPr>
  </w:style>
  <w:style w:type="paragraph" w:styleId="Hlavika">
    <w:name w:val="header"/>
    <w:basedOn w:val="Normlny"/>
    <w:link w:val="HlavikaChar"/>
    <w:uiPriority w:val="99"/>
    <w:unhideWhenUsed/>
    <w:rsid w:val="004F10D0"/>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F10D0"/>
  </w:style>
  <w:style w:type="paragraph" w:styleId="Pta">
    <w:name w:val="footer"/>
    <w:basedOn w:val="Normlny"/>
    <w:link w:val="PtaChar"/>
    <w:uiPriority w:val="99"/>
    <w:unhideWhenUsed/>
    <w:rsid w:val="004F10D0"/>
    <w:pPr>
      <w:tabs>
        <w:tab w:val="center" w:pos="4536"/>
        <w:tab w:val="right" w:pos="9072"/>
      </w:tabs>
      <w:spacing w:after="0" w:line="240" w:lineRule="auto"/>
    </w:pPr>
  </w:style>
  <w:style w:type="character" w:customStyle="1" w:styleId="PtaChar">
    <w:name w:val="Päta Char"/>
    <w:basedOn w:val="Predvolenpsmoodseku"/>
    <w:link w:val="Pta"/>
    <w:uiPriority w:val="99"/>
    <w:rsid w:val="004F10D0"/>
  </w:style>
  <w:style w:type="character" w:styleId="Zstupntext">
    <w:name w:val="Placeholder Text"/>
    <w:basedOn w:val="Predvolenpsmoodseku"/>
    <w:uiPriority w:val="99"/>
    <w:semiHidden/>
    <w:rsid w:val="00F539EB"/>
    <w:rPr>
      <w:color w:val="808080"/>
    </w:rPr>
  </w:style>
  <w:style w:type="paragraph" w:styleId="Nzov">
    <w:name w:val="Title"/>
    <w:basedOn w:val="Normlny"/>
    <w:next w:val="Normlny"/>
    <w:link w:val="NzovChar"/>
    <w:uiPriority w:val="10"/>
    <w:qFormat/>
    <w:rsid w:val="00FF5DA3"/>
    <w:pPr>
      <w:spacing w:before="240" w:after="240" w:line="240" w:lineRule="auto"/>
      <w:contextualSpacing/>
      <w:jc w:val="center"/>
    </w:pPr>
    <w:rPr>
      <w:rFonts w:eastAsiaTheme="majorEastAsia" w:cstheme="majorBidi"/>
      <w:b/>
      <w:smallCaps/>
      <w:color w:val="314364"/>
      <w:spacing w:val="-10"/>
      <w:kern w:val="28"/>
      <w:sz w:val="44"/>
      <w:szCs w:val="56"/>
    </w:rPr>
  </w:style>
  <w:style w:type="character" w:customStyle="1" w:styleId="NzovChar">
    <w:name w:val="Názov Char"/>
    <w:basedOn w:val="Predvolenpsmoodseku"/>
    <w:link w:val="Nzov"/>
    <w:uiPriority w:val="10"/>
    <w:rsid w:val="00FF5DA3"/>
    <w:rPr>
      <w:rFonts w:ascii="Segoe UI" w:eastAsiaTheme="majorEastAsia" w:hAnsi="Segoe UI" w:cstheme="majorBidi"/>
      <w:b/>
      <w:smallCaps/>
      <w:color w:val="314364"/>
      <w:spacing w:val="-10"/>
      <w:kern w:val="28"/>
      <w:sz w:val="44"/>
      <w:szCs w:val="56"/>
    </w:rPr>
  </w:style>
  <w:style w:type="paragraph" w:styleId="Podtitul">
    <w:name w:val="Subtitle"/>
    <w:basedOn w:val="Normlny"/>
    <w:next w:val="Normlny"/>
    <w:link w:val="PodtitulChar"/>
    <w:uiPriority w:val="11"/>
    <w:qFormat/>
    <w:rsid w:val="001778A6"/>
    <w:pPr>
      <w:numPr>
        <w:ilvl w:val="1"/>
      </w:numPr>
      <w:spacing w:before="240" w:after="240"/>
      <w:jc w:val="center"/>
    </w:pPr>
    <w:rPr>
      <w:rFonts w:eastAsiaTheme="minorEastAsia"/>
      <w:color w:val="314364"/>
      <w:spacing w:val="15"/>
      <w:sz w:val="28"/>
    </w:rPr>
  </w:style>
  <w:style w:type="character" w:customStyle="1" w:styleId="PodtitulChar">
    <w:name w:val="Podtitul Char"/>
    <w:basedOn w:val="Predvolenpsmoodseku"/>
    <w:link w:val="Podtitul"/>
    <w:uiPriority w:val="11"/>
    <w:rsid w:val="001778A6"/>
    <w:rPr>
      <w:rFonts w:ascii="Segoe UI" w:eastAsiaTheme="minorEastAsia" w:hAnsi="Segoe UI"/>
      <w:color w:val="314364"/>
      <w:spacing w:val="15"/>
      <w:sz w:val="28"/>
    </w:rPr>
  </w:style>
  <w:style w:type="paragraph" w:customStyle="1" w:styleId="Zhrnutie">
    <w:name w:val="Zhrnutie"/>
    <w:basedOn w:val="Normlny"/>
    <w:qFormat/>
    <w:rsid w:val="001778A6"/>
    <w:pPr>
      <w:spacing w:before="120"/>
      <w:jc w:val="left"/>
    </w:pPr>
    <w:rPr>
      <w:b/>
      <w:color w:val="314364"/>
      <w:sz w:val="32"/>
    </w:rPr>
  </w:style>
  <w:style w:type="paragraph" w:styleId="Odsekzoznamu">
    <w:name w:val="List Paragraph"/>
    <w:aliases w:val="body,Odsek zoznamu2,Odsek,Odsek zoznamu1,Dot pt,No Spacing1,List Paragraph Char Char Char,Indicator Text,Numbered Para 1,List Paragraph à moi,Odsek zoznamu4,LISTA,Listaszerű bekezdés2,Listaszerű bekezdés3,Listaszerű bekezdés1,Bullet 1,3"/>
    <w:basedOn w:val="Normlny"/>
    <w:link w:val="OdsekzoznamuChar"/>
    <w:uiPriority w:val="34"/>
    <w:qFormat/>
    <w:rsid w:val="0015153D"/>
    <w:pPr>
      <w:ind w:left="720"/>
      <w:contextualSpacing/>
    </w:pPr>
  </w:style>
  <w:style w:type="paragraph" w:customStyle="1" w:styleId="Poakovanie">
    <w:name w:val="Poďakovanie"/>
    <w:basedOn w:val="Normlny"/>
    <w:qFormat/>
    <w:rsid w:val="00BD3507"/>
    <w:pPr>
      <w:spacing w:before="120"/>
      <w:jc w:val="left"/>
    </w:pPr>
    <w:rPr>
      <w:color w:val="314364"/>
      <w:sz w:val="28"/>
    </w:rPr>
  </w:style>
  <w:style w:type="character" w:styleId="Hypertextovprepojenie">
    <w:name w:val="Hyperlink"/>
    <w:basedOn w:val="Predvolenpsmoodseku"/>
    <w:uiPriority w:val="99"/>
    <w:unhideWhenUsed/>
    <w:rsid w:val="00C824C8"/>
    <w:rPr>
      <w:rFonts w:ascii="Segoe UI" w:hAnsi="Segoe UI"/>
      <w:color w:val="314364" w:themeColor="hyperlink"/>
      <w:sz w:val="20"/>
      <w:u w:val="single"/>
    </w:rPr>
  </w:style>
  <w:style w:type="paragraph" w:styleId="Textpoznmkypodiarou">
    <w:name w:val="footnote text"/>
    <w:aliases w:val="Footnote Text Char2,Footnote Text Char1 Char,Footnote Text Char2 Char Char,Footnote Text Char1 Char Char Char,Footnote Text Char2 Char Char Char Char,Footnote Text Char Char1 Char Char Char Char,Footnote Text Char1,f,Plonk"/>
    <w:basedOn w:val="Normlny"/>
    <w:link w:val="TextpoznmkypodiarouChar"/>
    <w:uiPriority w:val="99"/>
    <w:qFormat/>
    <w:rsid w:val="00110271"/>
    <w:pPr>
      <w:spacing w:after="0" w:line="240" w:lineRule="auto"/>
    </w:pPr>
    <w:rPr>
      <w:sz w:val="16"/>
      <w:szCs w:val="20"/>
    </w:rPr>
  </w:style>
  <w:style w:type="character" w:customStyle="1" w:styleId="TextpoznmkypodiarouChar">
    <w:name w:val="Text poznámky pod čiarou Char"/>
    <w:aliases w:val="Footnote Text Char2 Char,Footnote Text Char1 Char Char,Footnote Text Char2 Char Char Char,Footnote Text Char1 Char Char Char Char,Footnote Text Char2 Char Char Char Char Char,Footnote Text Char1 Char1,f Char,Plonk Char"/>
    <w:basedOn w:val="Predvolenpsmoodseku"/>
    <w:link w:val="Textpoznmkypodiarou"/>
    <w:uiPriority w:val="99"/>
    <w:qFormat/>
    <w:rsid w:val="008148FD"/>
    <w:rPr>
      <w:rFonts w:ascii="Segoe UI" w:hAnsi="Segoe UI"/>
      <w:sz w:val="16"/>
      <w:szCs w:val="20"/>
    </w:rPr>
  </w:style>
  <w:style w:type="character" w:styleId="Odkaznapoznmkupodiarou">
    <w:name w:val="footnote reference"/>
    <w:aliases w:val="16 Point,Superscript 6 Point,Footnote Reference Number,Footnote Reference_LVL6,Footnote Reference_LVL61,Footnote Reference_LVL62,Footnote Reference_LVL63,Footnote Reference_LVL64,Footnote call,BVI fnr,SUPERS,Footnote symbol"/>
    <w:basedOn w:val="Predvolenpsmoodseku"/>
    <w:link w:val="Char2"/>
    <w:uiPriority w:val="99"/>
    <w:unhideWhenUsed/>
    <w:qFormat/>
    <w:rsid w:val="002407D6"/>
    <w:rPr>
      <w:vertAlign w:val="superscript"/>
    </w:rPr>
  </w:style>
  <w:style w:type="paragraph" w:customStyle="1" w:styleId="vodZverZhrnutie">
    <w:name w:val="Úvod/Záver/Zhrnutie"/>
    <w:basedOn w:val="Nadpis1"/>
    <w:next w:val="Textpoznmkypodiarou"/>
    <w:rsid w:val="00277C8B"/>
    <w:pPr>
      <w:numPr>
        <w:numId w:val="0"/>
      </w:numPr>
    </w:pPr>
  </w:style>
  <w:style w:type="paragraph" w:customStyle="1" w:styleId="Zdroj">
    <w:name w:val="Zdroj"/>
    <w:basedOn w:val="Normlny"/>
    <w:qFormat/>
    <w:rsid w:val="00730F50"/>
    <w:pPr>
      <w:spacing w:line="240" w:lineRule="auto"/>
      <w:jc w:val="left"/>
    </w:pPr>
    <w:rPr>
      <w:i/>
      <w:color w:val="314364" w:themeColor="text2"/>
      <w:sz w:val="16"/>
    </w:rPr>
  </w:style>
  <w:style w:type="paragraph" w:styleId="Popis">
    <w:name w:val="caption"/>
    <w:basedOn w:val="Normlny"/>
    <w:next w:val="Normlny"/>
    <w:uiPriority w:val="35"/>
    <w:unhideWhenUsed/>
    <w:qFormat/>
    <w:rsid w:val="002407D6"/>
    <w:pPr>
      <w:spacing w:after="0" w:line="240" w:lineRule="auto"/>
    </w:pPr>
    <w:rPr>
      <w:b/>
      <w:iCs/>
      <w:color w:val="314364" w:themeColor="text2"/>
      <w:szCs w:val="18"/>
    </w:rPr>
  </w:style>
  <w:style w:type="table" w:styleId="Mriekatabuky">
    <w:name w:val="Table Grid"/>
    <w:basedOn w:val="Normlnatabuka"/>
    <w:uiPriority w:val="59"/>
    <w:rsid w:val="00664B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riadkovania">
    <w:name w:val="No Spacing"/>
    <w:link w:val="BezriadkovaniaChar"/>
    <w:uiPriority w:val="1"/>
    <w:qFormat/>
    <w:rsid w:val="00664B90"/>
    <w:pPr>
      <w:spacing w:after="0" w:line="240" w:lineRule="auto"/>
    </w:pPr>
    <w:rPr>
      <w:rFonts w:asciiTheme="minorHAnsi" w:eastAsiaTheme="minorEastAsia" w:hAnsiTheme="minorHAnsi"/>
      <w:lang w:eastAsia="sk-SK"/>
    </w:rPr>
  </w:style>
  <w:style w:type="character" w:customStyle="1" w:styleId="BezriadkovaniaChar">
    <w:name w:val="Bez riadkovania Char"/>
    <w:basedOn w:val="Predvolenpsmoodseku"/>
    <w:link w:val="Bezriadkovania"/>
    <w:uiPriority w:val="1"/>
    <w:locked/>
    <w:rsid w:val="00664B90"/>
    <w:rPr>
      <w:rFonts w:asciiTheme="minorHAnsi" w:eastAsiaTheme="minorEastAsia" w:hAnsiTheme="minorHAnsi"/>
      <w:lang w:eastAsia="sk-SK"/>
    </w:rPr>
  </w:style>
  <w:style w:type="paragraph" w:customStyle="1" w:styleId="Pouitliteratra">
    <w:name w:val="Použitá literatúra"/>
    <w:basedOn w:val="Odsekzoznamu"/>
    <w:qFormat/>
    <w:rsid w:val="0070595E"/>
    <w:pPr>
      <w:numPr>
        <w:numId w:val="1"/>
      </w:numPr>
      <w:ind w:left="357" w:hanging="357"/>
    </w:pPr>
  </w:style>
  <w:style w:type="paragraph" w:styleId="Hlavikaobsahu">
    <w:name w:val="TOC Heading"/>
    <w:basedOn w:val="Nadpis1"/>
    <w:next w:val="Normlny"/>
    <w:uiPriority w:val="39"/>
    <w:unhideWhenUsed/>
    <w:qFormat/>
    <w:rsid w:val="00277C8B"/>
    <w:pPr>
      <w:numPr>
        <w:numId w:val="0"/>
      </w:numPr>
      <w:spacing w:before="240" w:after="0" w:line="259" w:lineRule="auto"/>
      <w:jc w:val="left"/>
      <w:outlineLvl w:val="9"/>
    </w:pPr>
    <w:rPr>
      <w:b w:val="0"/>
      <w:position w:val="0"/>
      <w:lang w:eastAsia="sk-SK"/>
    </w:rPr>
  </w:style>
  <w:style w:type="paragraph" w:styleId="Obsah1">
    <w:name w:val="toc 1"/>
    <w:basedOn w:val="Normlny"/>
    <w:next w:val="Normlny"/>
    <w:autoRedefine/>
    <w:uiPriority w:val="39"/>
    <w:unhideWhenUsed/>
    <w:rsid w:val="00A4647C"/>
    <w:pPr>
      <w:tabs>
        <w:tab w:val="left" w:pos="400"/>
        <w:tab w:val="right" w:leader="dot" w:pos="9060"/>
      </w:tabs>
      <w:spacing w:before="120"/>
      <w:jc w:val="left"/>
    </w:pPr>
    <w:rPr>
      <w:rFonts w:asciiTheme="minorHAnsi" w:hAnsiTheme="minorHAnsi"/>
      <w:b/>
      <w:bCs/>
      <w:caps/>
      <w:noProof/>
      <w:color w:val="314364" w:themeColor="text2"/>
      <w:szCs w:val="20"/>
    </w:rPr>
  </w:style>
  <w:style w:type="paragraph" w:styleId="Obsah2">
    <w:name w:val="toc 2"/>
    <w:basedOn w:val="Normlny"/>
    <w:next w:val="Normlny"/>
    <w:autoRedefine/>
    <w:uiPriority w:val="39"/>
    <w:unhideWhenUsed/>
    <w:rsid w:val="00004033"/>
    <w:pPr>
      <w:spacing w:after="0"/>
      <w:ind w:left="200"/>
      <w:jc w:val="left"/>
    </w:pPr>
    <w:rPr>
      <w:rFonts w:asciiTheme="minorHAnsi" w:hAnsiTheme="minorHAnsi"/>
      <w:smallCaps/>
      <w:szCs w:val="20"/>
    </w:rPr>
  </w:style>
  <w:style w:type="paragraph" w:styleId="Obsah3">
    <w:name w:val="toc 3"/>
    <w:basedOn w:val="Normlny"/>
    <w:next w:val="Normlny"/>
    <w:autoRedefine/>
    <w:uiPriority w:val="39"/>
    <w:unhideWhenUsed/>
    <w:rsid w:val="00004033"/>
    <w:pPr>
      <w:spacing w:after="0"/>
      <w:ind w:left="400"/>
      <w:jc w:val="left"/>
    </w:pPr>
    <w:rPr>
      <w:rFonts w:asciiTheme="minorHAnsi" w:hAnsiTheme="minorHAnsi"/>
      <w:i/>
      <w:iCs/>
      <w:szCs w:val="20"/>
    </w:rPr>
  </w:style>
  <w:style w:type="character" w:customStyle="1" w:styleId="Nadpis3Char">
    <w:name w:val="Nadpis 3 Char"/>
    <w:basedOn w:val="Predvolenpsmoodseku"/>
    <w:link w:val="Nadpis3"/>
    <w:uiPriority w:val="9"/>
    <w:rsid w:val="00DC5993"/>
    <w:rPr>
      <w:rFonts w:ascii="Segoe UI" w:eastAsiaTheme="majorEastAsia" w:hAnsi="Segoe UI" w:cstheme="majorBidi"/>
      <w:color w:val="314364"/>
      <w:sz w:val="24"/>
      <w:szCs w:val="24"/>
    </w:rPr>
  </w:style>
  <w:style w:type="paragraph" w:styleId="Textbubliny">
    <w:name w:val="Balloon Text"/>
    <w:basedOn w:val="Normlny"/>
    <w:link w:val="TextbublinyChar"/>
    <w:uiPriority w:val="99"/>
    <w:semiHidden/>
    <w:unhideWhenUsed/>
    <w:rsid w:val="00442CE6"/>
    <w:pPr>
      <w:spacing w:after="0" w:line="240" w:lineRule="auto"/>
    </w:pPr>
    <w:rPr>
      <w:rFonts w:cs="Segoe UI"/>
      <w:sz w:val="18"/>
      <w:szCs w:val="18"/>
    </w:rPr>
  </w:style>
  <w:style w:type="character" w:customStyle="1" w:styleId="TextbublinyChar">
    <w:name w:val="Text bubliny Char"/>
    <w:basedOn w:val="Predvolenpsmoodseku"/>
    <w:link w:val="Textbubliny"/>
    <w:uiPriority w:val="99"/>
    <w:semiHidden/>
    <w:rsid w:val="00442CE6"/>
    <w:rPr>
      <w:rFonts w:ascii="Segoe UI" w:hAnsi="Segoe UI" w:cs="Segoe UI"/>
      <w:sz w:val="18"/>
      <w:szCs w:val="18"/>
    </w:rPr>
  </w:style>
  <w:style w:type="character" w:styleId="Odkaznakomentr">
    <w:name w:val="annotation reference"/>
    <w:basedOn w:val="Predvolenpsmoodseku"/>
    <w:uiPriority w:val="99"/>
    <w:semiHidden/>
    <w:unhideWhenUsed/>
    <w:rsid w:val="003733BE"/>
    <w:rPr>
      <w:sz w:val="16"/>
      <w:szCs w:val="16"/>
    </w:rPr>
  </w:style>
  <w:style w:type="paragraph" w:styleId="Textkomentra">
    <w:name w:val="annotation text"/>
    <w:basedOn w:val="Normlny"/>
    <w:link w:val="TextkomentraChar"/>
    <w:uiPriority w:val="99"/>
    <w:unhideWhenUsed/>
    <w:rsid w:val="003733BE"/>
    <w:pPr>
      <w:spacing w:line="240" w:lineRule="auto"/>
    </w:pPr>
    <w:rPr>
      <w:szCs w:val="20"/>
    </w:rPr>
  </w:style>
  <w:style w:type="character" w:customStyle="1" w:styleId="TextkomentraChar">
    <w:name w:val="Text komentára Char"/>
    <w:basedOn w:val="Predvolenpsmoodseku"/>
    <w:link w:val="Textkomentra"/>
    <w:uiPriority w:val="99"/>
    <w:rsid w:val="003733BE"/>
    <w:rPr>
      <w:rFonts w:ascii="Segoe UI" w:hAnsi="Segoe UI"/>
      <w:sz w:val="20"/>
      <w:szCs w:val="20"/>
    </w:rPr>
  </w:style>
  <w:style w:type="paragraph" w:styleId="Predmetkomentra">
    <w:name w:val="annotation subject"/>
    <w:basedOn w:val="Textkomentra"/>
    <w:next w:val="Textkomentra"/>
    <w:link w:val="PredmetkomentraChar"/>
    <w:uiPriority w:val="99"/>
    <w:semiHidden/>
    <w:unhideWhenUsed/>
    <w:rsid w:val="002D4645"/>
    <w:rPr>
      <w:b/>
      <w:bCs/>
    </w:rPr>
  </w:style>
  <w:style w:type="character" w:customStyle="1" w:styleId="PredmetkomentraChar">
    <w:name w:val="Predmet komentára Char"/>
    <w:basedOn w:val="TextkomentraChar"/>
    <w:link w:val="Predmetkomentra"/>
    <w:uiPriority w:val="99"/>
    <w:semiHidden/>
    <w:rsid w:val="002D4645"/>
    <w:rPr>
      <w:rFonts w:ascii="Segoe UI" w:hAnsi="Segoe UI"/>
      <w:b/>
      <w:bCs/>
      <w:sz w:val="20"/>
      <w:szCs w:val="20"/>
    </w:rPr>
  </w:style>
  <w:style w:type="character" w:customStyle="1" w:styleId="In">
    <w:name w:val="Iné_"/>
    <w:basedOn w:val="Predvolenpsmoodseku"/>
    <w:link w:val="In0"/>
    <w:rsid w:val="0070456C"/>
    <w:rPr>
      <w:rFonts w:ascii="Times New Roman" w:eastAsia="Times New Roman" w:hAnsi="Times New Roman" w:cs="Times New Roman"/>
      <w:shd w:val="clear" w:color="auto" w:fill="FFFFFF"/>
    </w:rPr>
  </w:style>
  <w:style w:type="paragraph" w:customStyle="1" w:styleId="In0">
    <w:name w:val="Iné"/>
    <w:basedOn w:val="Normlny"/>
    <w:link w:val="In"/>
    <w:rsid w:val="0070456C"/>
    <w:pPr>
      <w:widowControl w:val="0"/>
      <w:shd w:val="clear" w:color="auto" w:fill="FFFFFF"/>
      <w:spacing w:after="260" w:line="240" w:lineRule="auto"/>
    </w:pPr>
    <w:rPr>
      <w:rFonts w:ascii="Times New Roman" w:eastAsia="Times New Roman" w:hAnsi="Times New Roman" w:cs="Times New Roman"/>
      <w:sz w:val="22"/>
    </w:rPr>
  </w:style>
  <w:style w:type="table" w:customStyle="1" w:styleId="Mriekatabuky1">
    <w:name w:val="Mriežka tabuľky1"/>
    <w:basedOn w:val="Normlnatabuka"/>
    <w:next w:val="Mriekatabuky"/>
    <w:uiPriority w:val="59"/>
    <w:rsid w:val="00422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2">
    <w:name w:val="Mriežka tabuľky2"/>
    <w:basedOn w:val="Normlnatabuka"/>
    <w:next w:val="Mriekatabuky"/>
    <w:uiPriority w:val="59"/>
    <w:rsid w:val="00422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3">
    <w:name w:val="Mriežka tabuľky3"/>
    <w:basedOn w:val="Normlnatabuka"/>
    <w:next w:val="Mriekatabuky"/>
    <w:uiPriority w:val="39"/>
    <w:rsid w:val="00422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4">
    <w:name w:val="Mriežka tabuľky4"/>
    <w:basedOn w:val="Normlnatabuka"/>
    <w:next w:val="Mriekatabuky"/>
    <w:uiPriority w:val="59"/>
    <w:rsid w:val="004222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kladntext">
    <w:name w:val="Základný text_"/>
    <w:basedOn w:val="Predvolenpsmoodseku"/>
    <w:link w:val="Zkladntext1"/>
    <w:rsid w:val="00422249"/>
    <w:rPr>
      <w:rFonts w:ascii="Times New Roman" w:eastAsia="Times New Roman" w:hAnsi="Times New Roman" w:cs="Times New Roman"/>
      <w:shd w:val="clear" w:color="auto" w:fill="FFFFFF"/>
    </w:rPr>
  </w:style>
  <w:style w:type="paragraph" w:customStyle="1" w:styleId="Zkladntext1">
    <w:name w:val="Základný text1"/>
    <w:basedOn w:val="Normlny"/>
    <w:link w:val="Zkladntext"/>
    <w:rsid w:val="00422249"/>
    <w:pPr>
      <w:widowControl w:val="0"/>
      <w:shd w:val="clear" w:color="auto" w:fill="FFFFFF"/>
      <w:spacing w:after="260" w:line="240" w:lineRule="auto"/>
    </w:pPr>
    <w:rPr>
      <w:rFonts w:ascii="Times New Roman" w:eastAsia="Times New Roman" w:hAnsi="Times New Roman" w:cs="Times New Roman"/>
      <w:sz w:val="22"/>
    </w:rPr>
  </w:style>
  <w:style w:type="character" w:customStyle="1" w:styleId="OdsekzoznamuChar">
    <w:name w:val="Odsek zoznamu Char"/>
    <w:aliases w:val="body Char,Odsek zoznamu2 Char,Odsek Char,Odsek zoznamu1 Char,Dot pt Char,No Spacing1 Char,List Paragraph Char Char Char Char,Indicator Text Char,Numbered Para 1 Char,List Paragraph à moi Char,Odsek zoznamu4 Char,LISTA Char,3 Char"/>
    <w:basedOn w:val="Predvolenpsmoodseku"/>
    <w:link w:val="Odsekzoznamu"/>
    <w:uiPriority w:val="34"/>
    <w:qFormat/>
    <w:locked/>
    <w:rsid w:val="00571A80"/>
    <w:rPr>
      <w:rFonts w:ascii="Segoe UI" w:hAnsi="Segoe UI"/>
      <w:sz w:val="20"/>
    </w:rPr>
  </w:style>
  <w:style w:type="paragraph" w:customStyle="1" w:styleId="2stlpce">
    <w:name w:val="2 stlpce"/>
    <w:basedOn w:val="Normlny"/>
    <w:link w:val="2stlpceChar"/>
    <w:qFormat/>
    <w:rsid w:val="00A33FD6"/>
    <w:pPr>
      <w:spacing w:line="240" w:lineRule="auto"/>
    </w:pPr>
    <w:rPr>
      <w:rFonts w:ascii="Calibri" w:hAnsi="Calibri"/>
      <w:sz w:val="22"/>
    </w:rPr>
  </w:style>
  <w:style w:type="character" w:customStyle="1" w:styleId="2stlpceChar">
    <w:name w:val="2 stlpce Char"/>
    <w:basedOn w:val="Predvolenpsmoodseku"/>
    <w:link w:val="2stlpce"/>
    <w:rsid w:val="00A33FD6"/>
    <w:rPr>
      <w:rFonts w:ascii="Calibri" w:hAnsi="Calibri"/>
    </w:rPr>
  </w:style>
  <w:style w:type="character" w:styleId="PouitHypertextovPrepojenie">
    <w:name w:val="FollowedHyperlink"/>
    <w:basedOn w:val="Predvolenpsmoodseku"/>
    <w:uiPriority w:val="99"/>
    <w:semiHidden/>
    <w:unhideWhenUsed/>
    <w:rsid w:val="00582A6C"/>
    <w:rPr>
      <w:color w:val="314364" w:themeColor="followedHyperlink"/>
      <w:u w:val="single"/>
    </w:rPr>
  </w:style>
  <w:style w:type="paragraph" w:customStyle="1" w:styleId="Default">
    <w:name w:val="Default"/>
    <w:rsid w:val="00DC0C84"/>
    <w:pPr>
      <w:autoSpaceDE w:val="0"/>
      <w:autoSpaceDN w:val="0"/>
      <w:adjustRightInd w:val="0"/>
      <w:spacing w:after="0" w:line="240" w:lineRule="auto"/>
    </w:pPr>
    <w:rPr>
      <w:rFonts w:ascii="Times New Roman" w:hAnsi="Times New Roman" w:cs="Times New Roman"/>
      <w:color w:val="000000"/>
      <w:sz w:val="24"/>
      <w:szCs w:val="24"/>
    </w:rPr>
  </w:style>
  <w:style w:type="paragraph" w:styleId="Obsah4">
    <w:name w:val="toc 4"/>
    <w:basedOn w:val="Normlny"/>
    <w:next w:val="Normlny"/>
    <w:autoRedefine/>
    <w:uiPriority w:val="39"/>
    <w:unhideWhenUsed/>
    <w:rsid w:val="00A4647C"/>
    <w:pPr>
      <w:spacing w:after="0"/>
      <w:ind w:left="600"/>
      <w:jc w:val="left"/>
    </w:pPr>
    <w:rPr>
      <w:rFonts w:asciiTheme="minorHAnsi" w:hAnsiTheme="minorHAnsi"/>
      <w:sz w:val="18"/>
      <w:szCs w:val="18"/>
    </w:rPr>
  </w:style>
  <w:style w:type="paragraph" w:styleId="Obsah5">
    <w:name w:val="toc 5"/>
    <w:basedOn w:val="Normlny"/>
    <w:next w:val="Normlny"/>
    <w:autoRedefine/>
    <w:uiPriority w:val="39"/>
    <w:unhideWhenUsed/>
    <w:rsid w:val="00A4647C"/>
    <w:pPr>
      <w:spacing w:after="0"/>
      <w:ind w:left="800"/>
      <w:jc w:val="left"/>
    </w:pPr>
    <w:rPr>
      <w:rFonts w:asciiTheme="minorHAnsi" w:hAnsiTheme="minorHAnsi"/>
      <w:sz w:val="18"/>
      <w:szCs w:val="18"/>
    </w:rPr>
  </w:style>
  <w:style w:type="paragraph" w:styleId="Obsah6">
    <w:name w:val="toc 6"/>
    <w:basedOn w:val="Normlny"/>
    <w:next w:val="Normlny"/>
    <w:autoRedefine/>
    <w:uiPriority w:val="39"/>
    <w:unhideWhenUsed/>
    <w:rsid w:val="00A4647C"/>
    <w:pPr>
      <w:spacing w:after="0"/>
      <w:ind w:left="1000"/>
      <w:jc w:val="left"/>
    </w:pPr>
    <w:rPr>
      <w:rFonts w:asciiTheme="minorHAnsi" w:hAnsiTheme="minorHAnsi"/>
      <w:sz w:val="18"/>
      <w:szCs w:val="18"/>
    </w:rPr>
  </w:style>
  <w:style w:type="paragraph" w:styleId="Obsah7">
    <w:name w:val="toc 7"/>
    <w:basedOn w:val="Normlny"/>
    <w:next w:val="Normlny"/>
    <w:autoRedefine/>
    <w:uiPriority w:val="39"/>
    <w:unhideWhenUsed/>
    <w:rsid w:val="00A4647C"/>
    <w:pPr>
      <w:spacing w:after="0"/>
      <w:ind w:left="1200"/>
      <w:jc w:val="left"/>
    </w:pPr>
    <w:rPr>
      <w:rFonts w:asciiTheme="minorHAnsi" w:hAnsiTheme="minorHAnsi"/>
      <w:sz w:val="18"/>
      <w:szCs w:val="18"/>
    </w:rPr>
  </w:style>
  <w:style w:type="paragraph" w:styleId="Obsah8">
    <w:name w:val="toc 8"/>
    <w:basedOn w:val="Normlny"/>
    <w:next w:val="Normlny"/>
    <w:autoRedefine/>
    <w:uiPriority w:val="39"/>
    <w:unhideWhenUsed/>
    <w:rsid w:val="00A4647C"/>
    <w:pPr>
      <w:spacing w:after="0"/>
      <w:ind w:left="1400"/>
      <w:jc w:val="left"/>
    </w:pPr>
    <w:rPr>
      <w:rFonts w:asciiTheme="minorHAnsi" w:hAnsiTheme="minorHAnsi"/>
      <w:sz w:val="18"/>
      <w:szCs w:val="18"/>
    </w:rPr>
  </w:style>
  <w:style w:type="paragraph" w:styleId="Obsah9">
    <w:name w:val="toc 9"/>
    <w:basedOn w:val="Normlny"/>
    <w:next w:val="Normlny"/>
    <w:autoRedefine/>
    <w:uiPriority w:val="39"/>
    <w:unhideWhenUsed/>
    <w:rsid w:val="00A4647C"/>
    <w:pPr>
      <w:spacing w:after="0"/>
      <w:ind w:left="1600"/>
      <w:jc w:val="left"/>
    </w:pPr>
    <w:rPr>
      <w:rFonts w:asciiTheme="minorHAnsi" w:hAnsiTheme="minorHAnsi"/>
      <w:sz w:val="18"/>
      <w:szCs w:val="18"/>
    </w:rPr>
  </w:style>
  <w:style w:type="table" w:customStyle="1" w:styleId="Mriekatabuky8">
    <w:name w:val="Mriežka tabuľky8"/>
    <w:basedOn w:val="Normlnatabuka"/>
    <w:next w:val="Mriekatabuky"/>
    <w:uiPriority w:val="39"/>
    <w:rsid w:val="001259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4Char">
    <w:name w:val="Nadpis 4 Char"/>
    <w:basedOn w:val="Predvolenpsmoodseku"/>
    <w:link w:val="Nadpis4"/>
    <w:uiPriority w:val="9"/>
    <w:rsid w:val="00164091"/>
    <w:rPr>
      <w:rFonts w:ascii="Segoe UI" w:eastAsiaTheme="majorEastAsia" w:hAnsi="Segoe UI" w:cstheme="majorBidi"/>
      <w:color w:val="314364"/>
      <w:szCs w:val="24"/>
    </w:rPr>
  </w:style>
  <w:style w:type="character" w:styleId="Vrazn">
    <w:name w:val="Strong"/>
    <w:basedOn w:val="Predvolenpsmoodseku"/>
    <w:uiPriority w:val="22"/>
    <w:qFormat/>
    <w:rsid w:val="0081797F"/>
    <w:rPr>
      <w:b/>
      <w:bCs/>
    </w:rPr>
  </w:style>
  <w:style w:type="paragraph" w:styleId="Zkladntext0">
    <w:name w:val="Body Text"/>
    <w:basedOn w:val="Normlny"/>
    <w:link w:val="ZkladntextChar"/>
    <w:semiHidden/>
    <w:rsid w:val="0081797F"/>
    <w:pPr>
      <w:spacing w:after="200"/>
      <w:jc w:val="left"/>
    </w:pPr>
    <w:rPr>
      <w:rFonts w:asciiTheme="minorHAnsi" w:hAnsiTheme="minorHAnsi"/>
      <w:sz w:val="22"/>
      <w:szCs w:val="20"/>
    </w:rPr>
  </w:style>
  <w:style w:type="character" w:customStyle="1" w:styleId="ZkladntextChar">
    <w:name w:val="Základný text Char"/>
    <w:basedOn w:val="Predvolenpsmoodseku"/>
    <w:link w:val="Zkladntext0"/>
    <w:semiHidden/>
    <w:rsid w:val="0081797F"/>
    <w:rPr>
      <w:rFonts w:asciiTheme="minorHAnsi" w:hAnsiTheme="minorHAnsi"/>
      <w:szCs w:val="20"/>
    </w:rPr>
  </w:style>
  <w:style w:type="paragraph" w:styleId="Normlnywebov">
    <w:name w:val="Normal (Web)"/>
    <w:basedOn w:val="Normlny"/>
    <w:uiPriority w:val="99"/>
    <w:unhideWhenUsed/>
    <w:rsid w:val="00870CE5"/>
    <w:pPr>
      <w:spacing w:before="100" w:beforeAutospacing="1" w:after="100" w:afterAutospacing="1" w:line="240" w:lineRule="auto"/>
      <w:jc w:val="left"/>
    </w:pPr>
    <w:rPr>
      <w:rFonts w:ascii="Times New Roman" w:eastAsiaTheme="minorEastAsia" w:hAnsi="Times New Roman" w:cs="Times New Roman"/>
      <w:sz w:val="24"/>
      <w:szCs w:val="24"/>
      <w:lang w:eastAsia="sk-SK"/>
    </w:rPr>
  </w:style>
  <w:style w:type="table" w:customStyle="1" w:styleId="Mriekatabuky5">
    <w:name w:val="Mriežka tabuľky5"/>
    <w:basedOn w:val="Normlnatabuka"/>
    <w:next w:val="Mriekatabuky"/>
    <w:uiPriority w:val="59"/>
    <w:rsid w:val="00E925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11">
    <w:name w:val="Mriežka tabuľky11"/>
    <w:basedOn w:val="Normlnatabuka"/>
    <w:next w:val="Mriekatabuky"/>
    <w:uiPriority w:val="59"/>
    <w:rsid w:val="00F65219"/>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kladntext3">
    <w:name w:val="Základný text (3)_"/>
    <w:basedOn w:val="Predvolenpsmoodseku"/>
    <w:link w:val="Zkladntext30"/>
    <w:rsid w:val="00F97B3E"/>
    <w:rPr>
      <w:rFonts w:ascii="Times New Roman" w:eastAsia="Times New Roman" w:hAnsi="Times New Roman" w:cs="Times New Roman"/>
      <w:sz w:val="20"/>
      <w:szCs w:val="20"/>
      <w:shd w:val="clear" w:color="auto" w:fill="FFFFFF"/>
    </w:rPr>
  </w:style>
  <w:style w:type="paragraph" w:customStyle="1" w:styleId="Zkladntext30">
    <w:name w:val="Základný text (3)"/>
    <w:basedOn w:val="Normlny"/>
    <w:link w:val="Zkladntext3"/>
    <w:rsid w:val="00F97B3E"/>
    <w:pPr>
      <w:widowControl w:val="0"/>
      <w:shd w:val="clear" w:color="auto" w:fill="FFFFFF"/>
      <w:spacing w:after="520" w:line="240" w:lineRule="auto"/>
      <w:ind w:left="1330"/>
      <w:jc w:val="left"/>
    </w:pPr>
    <w:rPr>
      <w:rFonts w:ascii="Times New Roman" w:eastAsia="Times New Roman" w:hAnsi="Times New Roman" w:cs="Times New Roman"/>
      <w:szCs w:val="20"/>
    </w:rPr>
  </w:style>
  <w:style w:type="table" w:customStyle="1" w:styleId="Mriekatabuky111">
    <w:name w:val="Mriežka tabuľky111"/>
    <w:basedOn w:val="Normlnatabuka"/>
    <w:next w:val="Mriekatabuky"/>
    <w:uiPriority w:val="39"/>
    <w:rsid w:val="00DC0F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112">
    <w:name w:val="Mriežka tabuľky112"/>
    <w:basedOn w:val="Normlnatabuka"/>
    <w:next w:val="Mriekatabuky"/>
    <w:uiPriority w:val="39"/>
    <w:rsid w:val="00FA36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6">
    <w:name w:val="Mriežka tabuľky6"/>
    <w:basedOn w:val="Normlnatabuka"/>
    <w:next w:val="Mriekatabuky"/>
    <w:uiPriority w:val="59"/>
    <w:rsid w:val="004E4B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2">
    <w:name w:val="Char2"/>
    <w:basedOn w:val="Normlny"/>
    <w:link w:val="Odkaznapoznmkupodiarou"/>
    <w:uiPriority w:val="99"/>
    <w:rsid w:val="001A7B7E"/>
    <w:pPr>
      <w:spacing w:after="0" w:line="240" w:lineRule="exact"/>
      <w:jc w:val="left"/>
    </w:pPr>
    <w:rPr>
      <w:rFonts w:ascii="Arial Narrow" w:hAnsi="Arial Narrow"/>
      <w:sz w:val="22"/>
      <w:vertAlign w:val="superscript"/>
    </w:rPr>
  </w:style>
  <w:style w:type="paragraph" w:styleId="Revzia">
    <w:name w:val="Revision"/>
    <w:hidden/>
    <w:uiPriority w:val="99"/>
    <w:semiHidden/>
    <w:rsid w:val="0074656B"/>
    <w:pPr>
      <w:spacing w:after="0" w:line="240" w:lineRule="auto"/>
    </w:pPr>
    <w:rPr>
      <w:rFonts w:ascii="Segoe UI" w:hAnsi="Segoe UI"/>
      <w:sz w:val="20"/>
    </w:rPr>
  </w:style>
  <w:style w:type="table" w:customStyle="1" w:styleId="Mriekatabuky7">
    <w:name w:val="Mriežka tabuľky7"/>
    <w:basedOn w:val="Normlnatabuka"/>
    <w:next w:val="Mriekatabuky"/>
    <w:uiPriority w:val="39"/>
    <w:rsid w:val="004224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61">
    <w:name w:val="Mriežka tabuľky61"/>
    <w:basedOn w:val="Normlnatabuka"/>
    <w:next w:val="Mriekatabuky"/>
    <w:uiPriority w:val="59"/>
    <w:rsid w:val="004224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9">
    <w:name w:val="Mriežka tabuľky9"/>
    <w:basedOn w:val="Normlnatabuka"/>
    <w:next w:val="Mriekatabuky"/>
    <w:uiPriority w:val="39"/>
    <w:rsid w:val="00810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textovprepojenie1">
    <w:name w:val="Hypertextové prepojenie1"/>
    <w:basedOn w:val="Predvolenpsmoodseku"/>
    <w:uiPriority w:val="99"/>
    <w:unhideWhenUsed/>
    <w:rsid w:val="000F0907"/>
    <w:rPr>
      <w:rFonts w:ascii="Segoe UI" w:hAnsi="Segoe UI"/>
      <w:color w:val="314364"/>
      <w:sz w:val="20"/>
      <w:u w:val="single"/>
    </w:rPr>
  </w:style>
  <w:style w:type="character" w:customStyle="1" w:styleId="fadeinm1hgl8">
    <w:name w:val="_fadein_m1hgl_8"/>
    <w:basedOn w:val="Predvolenpsmoodseku"/>
    <w:rsid w:val="009E01AC"/>
  </w:style>
  <w:style w:type="table" w:customStyle="1" w:styleId="Mriekatabuky10">
    <w:name w:val="Mriežka tabuľky10"/>
    <w:basedOn w:val="Normlnatabuka"/>
    <w:next w:val="Mriekatabuky"/>
    <w:uiPriority w:val="39"/>
    <w:rsid w:val="00CD4E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12">
    <w:name w:val="Mriežka tabuľky12"/>
    <w:basedOn w:val="Normlnatabuka"/>
    <w:next w:val="Mriekatabuky"/>
    <w:uiPriority w:val="39"/>
    <w:rsid w:val="00CD4E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062734">
      <w:bodyDiv w:val="1"/>
      <w:marLeft w:val="0"/>
      <w:marRight w:val="0"/>
      <w:marTop w:val="0"/>
      <w:marBottom w:val="0"/>
      <w:divBdr>
        <w:top w:val="none" w:sz="0" w:space="0" w:color="auto"/>
        <w:left w:val="none" w:sz="0" w:space="0" w:color="auto"/>
        <w:bottom w:val="none" w:sz="0" w:space="0" w:color="auto"/>
        <w:right w:val="none" w:sz="0" w:space="0" w:color="auto"/>
      </w:divBdr>
    </w:div>
    <w:div w:id="175383598">
      <w:bodyDiv w:val="1"/>
      <w:marLeft w:val="0"/>
      <w:marRight w:val="0"/>
      <w:marTop w:val="0"/>
      <w:marBottom w:val="0"/>
      <w:divBdr>
        <w:top w:val="none" w:sz="0" w:space="0" w:color="auto"/>
        <w:left w:val="none" w:sz="0" w:space="0" w:color="auto"/>
        <w:bottom w:val="none" w:sz="0" w:space="0" w:color="auto"/>
        <w:right w:val="none" w:sz="0" w:space="0" w:color="auto"/>
      </w:divBdr>
    </w:div>
    <w:div w:id="192227120">
      <w:bodyDiv w:val="1"/>
      <w:marLeft w:val="0"/>
      <w:marRight w:val="0"/>
      <w:marTop w:val="0"/>
      <w:marBottom w:val="0"/>
      <w:divBdr>
        <w:top w:val="none" w:sz="0" w:space="0" w:color="auto"/>
        <w:left w:val="none" w:sz="0" w:space="0" w:color="auto"/>
        <w:bottom w:val="none" w:sz="0" w:space="0" w:color="auto"/>
        <w:right w:val="none" w:sz="0" w:space="0" w:color="auto"/>
      </w:divBdr>
    </w:div>
    <w:div w:id="267277379">
      <w:bodyDiv w:val="1"/>
      <w:marLeft w:val="0"/>
      <w:marRight w:val="0"/>
      <w:marTop w:val="0"/>
      <w:marBottom w:val="0"/>
      <w:divBdr>
        <w:top w:val="none" w:sz="0" w:space="0" w:color="auto"/>
        <w:left w:val="none" w:sz="0" w:space="0" w:color="auto"/>
        <w:bottom w:val="none" w:sz="0" w:space="0" w:color="auto"/>
        <w:right w:val="none" w:sz="0" w:space="0" w:color="auto"/>
      </w:divBdr>
    </w:div>
    <w:div w:id="306593126">
      <w:bodyDiv w:val="1"/>
      <w:marLeft w:val="0"/>
      <w:marRight w:val="0"/>
      <w:marTop w:val="0"/>
      <w:marBottom w:val="0"/>
      <w:divBdr>
        <w:top w:val="none" w:sz="0" w:space="0" w:color="auto"/>
        <w:left w:val="none" w:sz="0" w:space="0" w:color="auto"/>
        <w:bottom w:val="none" w:sz="0" w:space="0" w:color="auto"/>
        <w:right w:val="none" w:sz="0" w:space="0" w:color="auto"/>
      </w:divBdr>
    </w:div>
    <w:div w:id="412892172">
      <w:bodyDiv w:val="1"/>
      <w:marLeft w:val="0"/>
      <w:marRight w:val="0"/>
      <w:marTop w:val="0"/>
      <w:marBottom w:val="0"/>
      <w:divBdr>
        <w:top w:val="none" w:sz="0" w:space="0" w:color="auto"/>
        <w:left w:val="none" w:sz="0" w:space="0" w:color="auto"/>
        <w:bottom w:val="none" w:sz="0" w:space="0" w:color="auto"/>
        <w:right w:val="none" w:sz="0" w:space="0" w:color="auto"/>
      </w:divBdr>
    </w:div>
    <w:div w:id="491220502">
      <w:bodyDiv w:val="1"/>
      <w:marLeft w:val="0"/>
      <w:marRight w:val="0"/>
      <w:marTop w:val="0"/>
      <w:marBottom w:val="0"/>
      <w:divBdr>
        <w:top w:val="none" w:sz="0" w:space="0" w:color="auto"/>
        <w:left w:val="none" w:sz="0" w:space="0" w:color="auto"/>
        <w:bottom w:val="none" w:sz="0" w:space="0" w:color="auto"/>
        <w:right w:val="none" w:sz="0" w:space="0" w:color="auto"/>
      </w:divBdr>
    </w:div>
    <w:div w:id="654648977">
      <w:bodyDiv w:val="1"/>
      <w:marLeft w:val="0"/>
      <w:marRight w:val="0"/>
      <w:marTop w:val="0"/>
      <w:marBottom w:val="0"/>
      <w:divBdr>
        <w:top w:val="none" w:sz="0" w:space="0" w:color="auto"/>
        <w:left w:val="none" w:sz="0" w:space="0" w:color="auto"/>
        <w:bottom w:val="none" w:sz="0" w:space="0" w:color="auto"/>
        <w:right w:val="none" w:sz="0" w:space="0" w:color="auto"/>
      </w:divBdr>
    </w:div>
    <w:div w:id="979767078">
      <w:bodyDiv w:val="1"/>
      <w:marLeft w:val="0"/>
      <w:marRight w:val="0"/>
      <w:marTop w:val="0"/>
      <w:marBottom w:val="0"/>
      <w:divBdr>
        <w:top w:val="none" w:sz="0" w:space="0" w:color="auto"/>
        <w:left w:val="none" w:sz="0" w:space="0" w:color="auto"/>
        <w:bottom w:val="none" w:sz="0" w:space="0" w:color="auto"/>
        <w:right w:val="none" w:sz="0" w:space="0" w:color="auto"/>
      </w:divBdr>
    </w:div>
    <w:div w:id="1202936218">
      <w:bodyDiv w:val="1"/>
      <w:marLeft w:val="0"/>
      <w:marRight w:val="0"/>
      <w:marTop w:val="0"/>
      <w:marBottom w:val="0"/>
      <w:divBdr>
        <w:top w:val="none" w:sz="0" w:space="0" w:color="auto"/>
        <w:left w:val="none" w:sz="0" w:space="0" w:color="auto"/>
        <w:bottom w:val="none" w:sz="0" w:space="0" w:color="auto"/>
        <w:right w:val="none" w:sz="0" w:space="0" w:color="auto"/>
      </w:divBdr>
    </w:div>
    <w:div w:id="1214806455">
      <w:bodyDiv w:val="1"/>
      <w:marLeft w:val="0"/>
      <w:marRight w:val="0"/>
      <w:marTop w:val="0"/>
      <w:marBottom w:val="0"/>
      <w:divBdr>
        <w:top w:val="none" w:sz="0" w:space="0" w:color="auto"/>
        <w:left w:val="none" w:sz="0" w:space="0" w:color="auto"/>
        <w:bottom w:val="none" w:sz="0" w:space="0" w:color="auto"/>
        <w:right w:val="none" w:sz="0" w:space="0" w:color="auto"/>
      </w:divBdr>
    </w:div>
    <w:div w:id="1350990188">
      <w:bodyDiv w:val="1"/>
      <w:marLeft w:val="0"/>
      <w:marRight w:val="0"/>
      <w:marTop w:val="0"/>
      <w:marBottom w:val="0"/>
      <w:divBdr>
        <w:top w:val="none" w:sz="0" w:space="0" w:color="auto"/>
        <w:left w:val="none" w:sz="0" w:space="0" w:color="auto"/>
        <w:bottom w:val="none" w:sz="0" w:space="0" w:color="auto"/>
        <w:right w:val="none" w:sz="0" w:space="0" w:color="auto"/>
      </w:divBdr>
    </w:div>
    <w:div w:id="1429696673">
      <w:bodyDiv w:val="1"/>
      <w:marLeft w:val="0"/>
      <w:marRight w:val="0"/>
      <w:marTop w:val="0"/>
      <w:marBottom w:val="0"/>
      <w:divBdr>
        <w:top w:val="none" w:sz="0" w:space="0" w:color="auto"/>
        <w:left w:val="none" w:sz="0" w:space="0" w:color="auto"/>
        <w:bottom w:val="none" w:sz="0" w:space="0" w:color="auto"/>
        <w:right w:val="none" w:sz="0" w:space="0" w:color="auto"/>
      </w:divBdr>
    </w:div>
    <w:div w:id="1626697887">
      <w:bodyDiv w:val="1"/>
      <w:marLeft w:val="0"/>
      <w:marRight w:val="0"/>
      <w:marTop w:val="0"/>
      <w:marBottom w:val="0"/>
      <w:divBdr>
        <w:top w:val="none" w:sz="0" w:space="0" w:color="auto"/>
        <w:left w:val="none" w:sz="0" w:space="0" w:color="auto"/>
        <w:bottom w:val="none" w:sz="0" w:space="0" w:color="auto"/>
        <w:right w:val="none" w:sz="0" w:space="0" w:color="auto"/>
      </w:divBdr>
    </w:div>
    <w:div w:id="1663041934">
      <w:bodyDiv w:val="1"/>
      <w:marLeft w:val="0"/>
      <w:marRight w:val="0"/>
      <w:marTop w:val="0"/>
      <w:marBottom w:val="0"/>
      <w:divBdr>
        <w:top w:val="none" w:sz="0" w:space="0" w:color="auto"/>
        <w:left w:val="none" w:sz="0" w:space="0" w:color="auto"/>
        <w:bottom w:val="none" w:sz="0" w:space="0" w:color="auto"/>
        <w:right w:val="none" w:sz="0" w:space="0" w:color="auto"/>
      </w:divBdr>
    </w:div>
    <w:div w:id="1737505282">
      <w:bodyDiv w:val="1"/>
      <w:marLeft w:val="0"/>
      <w:marRight w:val="0"/>
      <w:marTop w:val="0"/>
      <w:marBottom w:val="0"/>
      <w:divBdr>
        <w:top w:val="none" w:sz="0" w:space="0" w:color="auto"/>
        <w:left w:val="none" w:sz="0" w:space="0" w:color="auto"/>
        <w:bottom w:val="none" w:sz="0" w:space="0" w:color="auto"/>
        <w:right w:val="none" w:sz="0" w:space="0" w:color="auto"/>
      </w:divBdr>
    </w:div>
    <w:div w:id="1868904178">
      <w:bodyDiv w:val="1"/>
      <w:marLeft w:val="0"/>
      <w:marRight w:val="0"/>
      <w:marTop w:val="0"/>
      <w:marBottom w:val="0"/>
      <w:divBdr>
        <w:top w:val="none" w:sz="0" w:space="0" w:color="auto"/>
        <w:left w:val="none" w:sz="0" w:space="0" w:color="auto"/>
        <w:bottom w:val="none" w:sz="0" w:space="0" w:color="auto"/>
        <w:right w:val="none" w:sz="0" w:space="0" w:color="auto"/>
      </w:divBdr>
    </w:div>
    <w:div w:id="1987469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4.xml"/><Relationship Id="rId42" Type="http://schemas.openxmlformats.org/officeDocument/2006/relationships/chart" Target="charts/chart25.xml"/><Relationship Id="rId47" Type="http://schemas.openxmlformats.org/officeDocument/2006/relationships/chart" Target="charts/chart30.xml"/><Relationship Id="rId63" Type="http://schemas.openxmlformats.org/officeDocument/2006/relationships/chart" Target="charts/chart45.xml"/><Relationship Id="rId68" Type="http://schemas.openxmlformats.org/officeDocument/2006/relationships/chart" Target="charts/chart50.xml"/><Relationship Id="rId84" Type="http://schemas.openxmlformats.org/officeDocument/2006/relationships/header" Target="header7.xml"/><Relationship Id="rId89" Type="http://schemas.openxmlformats.org/officeDocument/2006/relationships/fontTable" Target="fontTable.xml"/><Relationship Id="rId16" Type="http://schemas.openxmlformats.org/officeDocument/2006/relationships/image" Target="media/image2.png"/><Relationship Id="rId11" Type="http://schemas.openxmlformats.org/officeDocument/2006/relationships/footer" Target="footer2.xml"/><Relationship Id="rId32" Type="http://schemas.openxmlformats.org/officeDocument/2006/relationships/chart" Target="charts/chart15.xml"/><Relationship Id="rId37" Type="http://schemas.openxmlformats.org/officeDocument/2006/relationships/chart" Target="charts/chart20.xml"/><Relationship Id="rId53" Type="http://schemas.openxmlformats.org/officeDocument/2006/relationships/chart" Target="charts/chart36.xml"/><Relationship Id="rId58" Type="http://schemas.openxmlformats.org/officeDocument/2006/relationships/chart" Target="charts/chart41.xml"/><Relationship Id="rId74" Type="http://schemas.openxmlformats.org/officeDocument/2006/relationships/hyperlink" Target="https://rokovania.gov.sk/RVL/Resolution/20025/1" TargetMode="External"/><Relationship Id="rId79" Type="http://schemas.openxmlformats.org/officeDocument/2006/relationships/chart" Target="charts/chart55.xml"/><Relationship Id="rId5" Type="http://schemas.openxmlformats.org/officeDocument/2006/relationships/webSettings" Target="webSettings.xml"/><Relationship Id="rId90" Type="http://schemas.openxmlformats.org/officeDocument/2006/relationships/glossaryDocument" Target="glossary/document.xml"/><Relationship Id="rId14" Type="http://schemas.openxmlformats.org/officeDocument/2006/relationships/header" Target="header4.xml"/><Relationship Id="rId22" Type="http://schemas.openxmlformats.org/officeDocument/2006/relationships/chart" Target="charts/chart5.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chart" Target="charts/chart18.xml"/><Relationship Id="rId43" Type="http://schemas.openxmlformats.org/officeDocument/2006/relationships/chart" Target="charts/chart26.xml"/><Relationship Id="rId48" Type="http://schemas.openxmlformats.org/officeDocument/2006/relationships/chart" Target="charts/chart31.xml"/><Relationship Id="rId56" Type="http://schemas.openxmlformats.org/officeDocument/2006/relationships/chart" Target="charts/chart39.xml"/><Relationship Id="rId64" Type="http://schemas.openxmlformats.org/officeDocument/2006/relationships/chart" Target="charts/chart46.xml"/><Relationship Id="rId69" Type="http://schemas.openxmlformats.org/officeDocument/2006/relationships/chart" Target="charts/chart51.xml"/><Relationship Id="rId77" Type="http://schemas.openxmlformats.org/officeDocument/2006/relationships/chart" Target="charts/chart53.xml"/><Relationship Id="rId8" Type="http://schemas.openxmlformats.org/officeDocument/2006/relationships/header" Target="header1.xml"/><Relationship Id="rId51" Type="http://schemas.openxmlformats.org/officeDocument/2006/relationships/chart" Target="charts/chart34.xml"/><Relationship Id="rId72" Type="http://schemas.openxmlformats.org/officeDocument/2006/relationships/hyperlink" Target="https://rokovania.gov.sk/RVL/Resolution/22179/1" TargetMode="External"/><Relationship Id="rId80" Type="http://schemas.openxmlformats.org/officeDocument/2006/relationships/image" Target="media/image4.png"/><Relationship Id="rId85" Type="http://schemas.openxmlformats.org/officeDocument/2006/relationships/footer" Target="footer6.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chart" Target="charts/chart8.xml"/><Relationship Id="rId33" Type="http://schemas.openxmlformats.org/officeDocument/2006/relationships/chart" Target="charts/chart16.xml"/><Relationship Id="rId38" Type="http://schemas.openxmlformats.org/officeDocument/2006/relationships/chart" Target="charts/chart21.xml"/><Relationship Id="rId46" Type="http://schemas.openxmlformats.org/officeDocument/2006/relationships/chart" Target="charts/chart29.xml"/><Relationship Id="rId59" Type="http://schemas.openxmlformats.org/officeDocument/2006/relationships/image" Target="media/image3.png"/><Relationship Id="rId67" Type="http://schemas.openxmlformats.org/officeDocument/2006/relationships/chart" Target="charts/chart49.xml"/><Relationship Id="rId20" Type="http://schemas.openxmlformats.org/officeDocument/2006/relationships/chart" Target="charts/chart3.xml"/><Relationship Id="rId41" Type="http://schemas.openxmlformats.org/officeDocument/2006/relationships/chart" Target="charts/chart24.xml"/><Relationship Id="rId54" Type="http://schemas.openxmlformats.org/officeDocument/2006/relationships/chart" Target="charts/chart37.xml"/><Relationship Id="rId62" Type="http://schemas.openxmlformats.org/officeDocument/2006/relationships/chart" Target="charts/chart44.xml"/><Relationship Id="rId70" Type="http://schemas.openxmlformats.org/officeDocument/2006/relationships/hyperlink" Target="https://rokovania.gov.sk/RVL/Resolution/17179/1" TargetMode="External"/><Relationship Id="rId75" Type="http://schemas.openxmlformats.org/officeDocument/2006/relationships/hyperlink" Target="https://rokovania.gov.sk/RVL/Resolution/22180/1" TargetMode="External"/><Relationship Id="rId83" Type="http://schemas.openxmlformats.org/officeDocument/2006/relationships/footer" Target="footer5.xml"/><Relationship Id="rId88" Type="http://schemas.openxmlformats.org/officeDocument/2006/relationships/footer" Target="footer7.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chart" Target="charts/chart6.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chart" Target="charts/chart32.xml"/><Relationship Id="rId57" Type="http://schemas.openxmlformats.org/officeDocument/2006/relationships/chart" Target="charts/chart40.xml"/><Relationship Id="rId10" Type="http://schemas.openxmlformats.org/officeDocument/2006/relationships/footer" Target="footer1.xml"/><Relationship Id="rId31" Type="http://schemas.openxmlformats.org/officeDocument/2006/relationships/chart" Target="charts/chart14.xml"/><Relationship Id="rId44" Type="http://schemas.openxmlformats.org/officeDocument/2006/relationships/chart" Target="charts/chart27.xml"/><Relationship Id="rId52" Type="http://schemas.openxmlformats.org/officeDocument/2006/relationships/chart" Target="charts/chart35.xml"/><Relationship Id="rId60" Type="http://schemas.openxmlformats.org/officeDocument/2006/relationships/chart" Target="charts/chart42.xml"/><Relationship Id="rId65" Type="http://schemas.openxmlformats.org/officeDocument/2006/relationships/chart" Target="charts/chart47.xml"/><Relationship Id="rId73" Type="http://schemas.openxmlformats.org/officeDocument/2006/relationships/hyperlink" Target="https://rokovania.gov.sk/RVL/Resolution/21892/1" TargetMode="External"/><Relationship Id="rId78" Type="http://schemas.openxmlformats.org/officeDocument/2006/relationships/chart" Target="charts/chart54.xml"/><Relationship Id="rId81" Type="http://schemas.openxmlformats.org/officeDocument/2006/relationships/hyperlink" Target="https://www.nku.gov.sk/documents/33855/1318343/Syst%25C3%25A9m%2Bprogramov%25C3%25A9ho%2Brozpo%25C4%258Dtovania%2Bv%2B%25C3%25BAzemnej%2Bsamospr%25C3%25A1ve.pdf" TargetMode="External"/><Relationship Id="rId86" Type="http://schemas.openxmlformats.org/officeDocument/2006/relationships/hyperlink" Target="https://mumap.nku.gov.sk"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chart" Target="charts/chart1.xml"/><Relationship Id="rId39" Type="http://schemas.openxmlformats.org/officeDocument/2006/relationships/chart" Target="charts/chart22.xml"/><Relationship Id="rId34" Type="http://schemas.openxmlformats.org/officeDocument/2006/relationships/chart" Target="charts/chart17.xml"/><Relationship Id="rId50" Type="http://schemas.openxmlformats.org/officeDocument/2006/relationships/chart" Target="charts/chart33.xml"/><Relationship Id="rId55" Type="http://schemas.openxmlformats.org/officeDocument/2006/relationships/chart" Target="charts/chart38.xml"/><Relationship Id="rId76" Type="http://schemas.openxmlformats.org/officeDocument/2006/relationships/chart" Target="charts/chart52.xml"/><Relationship Id="rId7" Type="http://schemas.openxmlformats.org/officeDocument/2006/relationships/endnotes" Target="endnotes.xml"/><Relationship Id="rId71" Type="http://schemas.openxmlformats.org/officeDocument/2006/relationships/hyperlink" Target="https://rokovania.gov.sk/RVL/Resolution/20226/1" TargetMode="External"/><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chart" Target="charts/chart7.xml"/><Relationship Id="rId40" Type="http://schemas.openxmlformats.org/officeDocument/2006/relationships/chart" Target="charts/chart23.xml"/><Relationship Id="rId45" Type="http://schemas.openxmlformats.org/officeDocument/2006/relationships/chart" Target="charts/chart28.xml"/><Relationship Id="rId66" Type="http://schemas.openxmlformats.org/officeDocument/2006/relationships/chart" Target="charts/chart48.xml"/><Relationship Id="rId87" Type="http://schemas.openxmlformats.org/officeDocument/2006/relationships/header" Target="header8.xml"/><Relationship Id="rId61" Type="http://schemas.openxmlformats.org/officeDocument/2006/relationships/chart" Target="charts/chart43.xml"/><Relationship Id="rId82" Type="http://schemas.openxmlformats.org/officeDocument/2006/relationships/header" Target="header6.xml"/><Relationship Id="rId19" Type="http://schemas.openxmlformats.org/officeDocument/2006/relationships/chart" Target="charts/chart2.xml"/></Relationships>
</file>

<file path=word/_rels/footnotes.xml.rels><?xml version="1.0" encoding="UTF-8" standalone="yes"?>
<Relationships xmlns="http://schemas.openxmlformats.org/package/2006/relationships"><Relationship Id="rId8" Type="http://schemas.openxmlformats.org/officeDocument/2006/relationships/hyperlink" Target="https://www.slov-lex.sk/ezbierky/pravne-predpisy/SK/ZZ/2024/55/20240320" TargetMode="External"/><Relationship Id="rId13" Type="http://schemas.openxmlformats.org/officeDocument/2006/relationships/hyperlink" Target="https://crz.gov.sk/2171273-sk/centralny-register-zmluv/?art_zs2=debitum&amp;page=2" TargetMode="External"/><Relationship Id="rId18" Type="http://schemas.openxmlformats.org/officeDocument/2006/relationships/hyperlink" Target="https://www.mhsr.sk/uploads/files/mzqpuXFj.pdf?csrt=13642412599266920394" TargetMode="External"/><Relationship Id="rId26" Type="http://schemas.openxmlformats.org/officeDocument/2006/relationships/hyperlink" Target="https://www.minzp.sk/files/iep/analyza-odkanalizovania-slovenska_iep_20250115_opravena_mapa_export.pdf" TargetMode="External"/><Relationship Id="rId3" Type="http://schemas.openxmlformats.org/officeDocument/2006/relationships/hyperlink" Target="https://www.nku.gov.sk/documents/d/nku/strednodobe-riadenie-statneho-dlhu-a-likvidity-pdf" TargetMode="External"/><Relationship Id="rId21" Type="http://schemas.openxmlformats.org/officeDocument/2006/relationships/hyperlink" Target="https://www.nku.gov.sk/documents/33855/34219/Stanovisko%20NK%C3%9A%20SR%20k%20n%C3%A1vrhu%20%C5%A0Z%C3%9A%20za%202023.pdf/ef5c1604-d6c5-9492-e3d6-aa164f8be24e" TargetMode="External"/><Relationship Id="rId7" Type="http://schemas.openxmlformats.org/officeDocument/2006/relationships/hyperlink" Target="https://www.nku.gov.sk/sk/web/nku/publikovanie-zoznamu-aktulnych-kontrol?p_p_id=kisdataPortlet&amp;p_p_lifecycle=0&amp;p_p_state=normal&amp;p_p_mode=view&amp;p_r_p_mvcRenderCommandName=detail&amp;_kisdataPortlet_backURL=%2fvysledky-kontrol%3fp_r_p_mvcRenderCommandName%3d%2f&amp;_kisdataPortlet_entryId=97150" TargetMode="External"/><Relationship Id="rId12" Type="http://schemas.openxmlformats.org/officeDocument/2006/relationships/hyperlink" Target="https://www.udzs-sk.sk/wp-content/uploads/2025/01/Hodnotenie-financovania-nemocnic-podla-vsetkych-dostupnych-zdrojov-_20253101.pdf" TargetMode="External"/><Relationship Id="rId17" Type="http://schemas.openxmlformats.org/officeDocument/2006/relationships/hyperlink" Target="https://www.economy.gov.sk/energetika/vyplatene-energodotacie-a-kompenzacie?csrt=12920221451010457083" TargetMode="External"/><Relationship Id="rId25" Type="http://schemas.openxmlformats.org/officeDocument/2006/relationships/hyperlink" Target="https://www.nku.gov.sk/documents/d/nku/darovanie-hnutelneho-majetku-vojenskej-povahy-ukrajine-pdf" TargetMode="External"/><Relationship Id="rId2" Type="http://schemas.openxmlformats.org/officeDocument/2006/relationships/hyperlink" Target="https://economy-finance.ec.europa.eu/publications/debt-sustainability-monitor-2024_en" TargetMode="External"/><Relationship Id="rId16" Type="http://schemas.openxmlformats.org/officeDocument/2006/relationships/hyperlink" Target="https://www.nku.gov.sk/documents/d/nku/uhradove_mechanizmy_vo_vybranej_zdravotnej_starostlivosti_poskytovanej_na_zaklade_verejneho_zdravotneho_poistenia" TargetMode="External"/><Relationship Id="rId20" Type="http://schemas.openxmlformats.org/officeDocument/2006/relationships/hyperlink" Target="https://www.mhsr.sk/uploads/files/jj7G7sbZ.pdf?csrt=13642412599266920394" TargetMode="External"/><Relationship Id="rId29" Type="http://schemas.openxmlformats.org/officeDocument/2006/relationships/hyperlink" Target="https://www.oecd.org/content/dam/oecd/en/publications/reports/2024/04/oecd-environmental-performance-reviews-slovak-republic-2024_2b00e0e8/108238e8-en.pdf" TargetMode="External"/><Relationship Id="rId1" Type="http://schemas.openxmlformats.org/officeDocument/2006/relationships/hyperlink" Target="https://www.rrz.sk/sprava-o-dlhodobej-udrzatelnosti-verejnych-financii-za-rok-2024-april-2025/" TargetMode="External"/><Relationship Id="rId6" Type="http://schemas.openxmlformats.org/officeDocument/2006/relationships/hyperlink" Target="https://ec.europa.eu/economy_finance/recovery-and-resilience-scoreboard/milestones_and_targets.html?lang=en" TargetMode="External"/><Relationship Id="rId11" Type="http://schemas.openxmlformats.org/officeDocument/2006/relationships/hyperlink" Target="https://www.mfsr.sk/files/archiv/29/Aktualizacia-revizie_zdravotnictvo_final.pdf" TargetMode="External"/><Relationship Id="rId24" Type="http://schemas.openxmlformats.org/officeDocument/2006/relationships/hyperlink" Target="https://stipendia.portalvs.sk/public_files/1a38816062b2aeb76d3ec4cacc874bd4.pdf" TargetMode="External"/><Relationship Id="rId5" Type="http://schemas.openxmlformats.org/officeDocument/2006/relationships/hyperlink" Target="https://www.nku.gov.sk/documents/d/nku/miestne-akcne-skupiny-pdf" TargetMode="External"/><Relationship Id="rId15" Type="http://schemas.openxmlformats.org/officeDocument/2006/relationships/hyperlink" Target="https://www.nku.gov.sk/documents/d/nku/zavazky-zdravotnickych-zariadeni-pdf" TargetMode="External"/><Relationship Id="rId23" Type="http://schemas.openxmlformats.org/officeDocument/2006/relationships/hyperlink" Target="https://www.nku.gov.sk/documents/33855/34219/Stanovisko%20NK%C3%9A%20SR%20k%20n%C3%A1vrhu%20%C5%A0Z%C3%9A%20za%202023.pdf/ef5c1604-d6c5-9492-e3d6-aa164f8be24e" TargetMode="External"/><Relationship Id="rId28" Type="http://schemas.openxmlformats.org/officeDocument/2006/relationships/hyperlink" Target="https://www.nku.gov.sk/documents/33855/189570/96864-0-145.pdf/6c587fee-d131-3a12-03de-543a684637d4?t=1698020918494" TargetMode="External"/><Relationship Id="rId10" Type="http://schemas.openxmlformats.org/officeDocument/2006/relationships/hyperlink" Target="https://www.udzs-sk.sk/wp-content/uploads/2024/12/TS_Zdravotnu-poistovnu-od-roku-2025-zmeni-viac-ako-114-tisic-poistencov.pdf?ver=1733763036" TargetMode="External"/><Relationship Id="rId19" Type="http://schemas.openxmlformats.org/officeDocument/2006/relationships/hyperlink" Target="https://www.mhsr.sk/uploads/files/bxDLQSH9.pdf?csrt=13642412599266920394" TargetMode="External"/><Relationship Id="rId4" Type="http://schemas.openxmlformats.org/officeDocument/2006/relationships/hyperlink" Target="https://nbs.sk/dokument/c1c17e7b-10f8-43b1-8372-d4a2df4712c8/stiahnut?force=false" TargetMode="External"/><Relationship Id="rId9" Type="http://schemas.openxmlformats.org/officeDocument/2006/relationships/hyperlink" Target="https://www.mfsr.sk/files/sk/financie/hodnota-za-peniaze/revizie-vydavkov/revizia_nemocnice.pdf" TargetMode="External"/><Relationship Id="rId14" Type="http://schemas.openxmlformats.org/officeDocument/2006/relationships/hyperlink" Target="https://www.slov-lex.sk/sudne-rozhodnutia/sudny-dvor-eu/2de332fd-b75f-4ce6-8408-ef2d7334fb93" TargetMode="External"/><Relationship Id="rId22" Type="http://schemas.openxmlformats.org/officeDocument/2006/relationships/hyperlink" Target="https://www.nku.gov.sk/documents/33855/34219/Stanovisko%20NK%C3%9A%20k%20n%C3%A1vrhu%20%C5%A0Z%C3%9A%20za%20rok%202022.pdf/20ea0880-fa45-4f71-925f-9048cb6e8d29" TargetMode="External"/><Relationship Id="rId27" Type="http://schemas.openxmlformats.org/officeDocument/2006/relationships/hyperlink" Target="https://www.nku.gov.sk/documents/d/nku/sprava_vodarn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NULL" TargetMode="External"/></Relationships>
</file>

<file path=word/charts/_rels/chart11.xml.rels><?xml version="1.0" encoding="UTF-8" standalone="yes"?>
<Relationships xmlns="http://schemas.openxmlformats.org/package/2006/relationships"><Relationship Id="rId3" Type="http://schemas.openxmlformats.org/officeDocument/2006/relationships/package" Target="../embeddings/H_rok_programu_Microsoft_Excel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1" Type="http://schemas.openxmlformats.org/officeDocument/2006/relationships/package" Target="../embeddings/H_rok_programu_Microsoft_Excel4.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H_rok_programu_Microsoft_Excel5.xlsx"/><Relationship Id="rId1" Type="http://schemas.openxmlformats.org/officeDocument/2006/relationships/themeOverride" Target="../theme/themeOverride7.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H_rok_programu_Microsoft_Excel6.xlsx"/></Relationships>
</file>

<file path=word/charts/_rels/chart1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H_rok_programu_Microsoft_Excel7.xlsx"/></Relationships>
</file>

<file path=word/charts/_rels/chart18.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1.xml"/></Relationships>
</file>

<file path=word/charts/_rels/chart1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NULL"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NULL"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H_rok_programu_Microsoft_Excel8.xlsx"/></Relationships>
</file>

<file path=word/charts/_rels/chart2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H_rok_programu_Microsoft_Excel9.xlsx"/></Relationships>
</file>

<file path=word/charts/_rels/chart2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2.xml"/><Relationship Id="rId1" Type="http://schemas.microsoft.com/office/2011/relationships/chartStyle" Target="style22.xml"/></Relationships>
</file>

<file path=word/charts/_rels/chart2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3.xml"/><Relationship Id="rId1" Type="http://schemas.microsoft.com/office/2011/relationships/chartStyle" Target="style23.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NULL" TargetMode="Externa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NULL" TargetMode="External"/></Relationships>
</file>

<file path=word/charts/_rels/chart2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6.xml"/><Relationship Id="rId1" Type="http://schemas.microsoft.com/office/2011/relationships/chartStyle" Target="style26.xml"/></Relationships>
</file>

<file path=word/charts/_rels/chart2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7.xml"/><Relationship Id="rId1" Type="http://schemas.microsoft.com/office/2011/relationships/chartStyle" Target="style27.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NULL" TargetMode="Externa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NULL"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H_rok_programu_Microsoft_Excel10.xlsx"/></Relationships>
</file>

<file path=word/charts/_rels/chart32.xml.rels><?xml version="1.0" encoding="UTF-8" standalone="yes"?>
<Relationships xmlns="http://schemas.openxmlformats.org/package/2006/relationships"><Relationship Id="rId3" Type="http://schemas.openxmlformats.org/officeDocument/2006/relationships/package" Target="../embeddings/H_rok_programu_Microsoft_Excel11.xlsx"/><Relationship Id="rId2" Type="http://schemas.microsoft.com/office/2011/relationships/chartColorStyle" Target="colors30.xml"/><Relationship Id="rId1" Type="http://schemas.microsoft.com/office/2011/relationships/chartStyle" Target="style30.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H_rok_programu_Microsoft_Excel12.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H_rok_programu_Microsoft_Excel13.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H_rok_programu_Microsoft_Excel14.xlsx"/></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H_rok_programu_Microsoft_Excel15.xlsx"/></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H_rok_programu_Microsoft_Excel16.xlsx"/></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H_rok_programu_Microsoft_Excel17.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package" Target="../embeddings/H_rok_programu_Microsoft_Excel18.xlsx"/></Relationships>
</file>

<file path=word/charts/_rels/chart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package" Target="../embeddings/H_rok_programu_Microsoft_Excel19.xlsx"/></Relationships>
</file>

<file path=word/charts/_rels/chart4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39.xml"/><Relationship Id="rId1" Type="http://schemas.microsoft.com/office/2011/relationships/chartStyle" Target="style39.xml"/></Relationships>
</file>

<file path=word/charts/_rels/chart4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NULL" TargetMode="External"/></Relationships>
</file>

<file path=word/charts/_rels/chart50.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NULL" TargetMode="External"/></Relationships>
</file>

<file path=word/charts/_rels/chart5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NULL" TargetMode="External"/></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52.xml"/><Relationship Id="rId1" Type="http://schemas.microsoft.com/office/2011/relationships/chartStyle" Target="style52.xml"/><Relationship Id="rId4" Type="http://schemas.openxmlformats.org/officeDocument/2006/relationships/oleObject" Target="NULL" TargetMode="External"/></Relationships>
</file>

<file path=word/charts/_rels/chart55.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NULL"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NULL" TargetMode="External"/></Relationships>
</file>

<file path=word/charts/_rels/chart7.xml.rels><?xml version="1.0" encoding="UTF-8" standalone="yes"?>
<Relationships xmlns="http://schemas.openxmlformats.org/package/2006/relationships"><Relationship Id="rId3" Type="http://schemas.openxmlformats.org/officeDocument/2006/relationships/package" Target="../embeddings/H_rok_programu_Microsoft_Excel.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H_rok_programu_Microsoft_Excel1.xlsx"/></Relationships>
</file>

<file path=word/charts/_rels/chart9.xml.rels><?xml version="1.0" encoding="UTF-8" standalone="yes"?>
<Relationships xmlns="http://schemas.openxmlformats.org/package/2006/relationships"><Relationship Id="rId3" Type="http://schemas.openxmlformats.org/officeDocument/2006/relationships/package" Target="../embeddings/H_rok_programu_Microsoft_Excel2.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'Graf 1'!$C$2</c:f>
              <c:strCache>
                <c:ptCount val="1"/>
                <c:pt idx="0">
                  <c:v>RVS 2024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1'!$B$3:$B$8</c:f>
              <c:strCache>
                <c:ptCount val="6"/>
                <c:pt idx="0">
                  <c:v>HDP, s.c. (YoY zmena)</c:v>
                </c:pt>
                <c:pt idx="1">
                  <c:v>Súkromná spotreba, s.c.</c:v>
                </c:pt>
                <c:pt idx="2">
                  <c:v>Fixné investície, s.c.</c:v>
                </c:pt>
                <c:pt idx="3">
                  <c:v>Export tovarov a služieb, s.c.</c:v>
                </c:pt>
                <c:pt idx="4">
                  <c:v>Import tovarov a služieb, s.c.</c:v>
                </c:pt>
                <c:pt idx="5">
                  <c:v>Index spotrebiteľských cien (CPI)</c:v>
                </c:pt>
              </c:strCache>
            </c:strRef>
          </c:cat>
          <c:val>
            <c:numRef>
              <c:f>'Graf 1'!$C$3:$C$8</c:f>
              <c:numCache>
                <c:formatCode>0.0</c:formatCode>
                <c:ptCount val="6"/>
                <c:pt idx="0">
                  <c:v>2.7</c:v>
                </c:pt>
                <c:pt idx="1">
                  <c:v>3.3</c:v>
                </c:pt>
                <c:pt idx="2">
                  <c:v>5.0999999999999996</c:v>
                </c:pt>
                <c:pt idx="3">
                  <c:v>4</c:v>
                </c:pt>
                <c:pt idx="4">
                  <c:v>7.4</c:v>
                </c:pt>
                <c:pt idx="5">
                  <c:v>3.2</c:v>
                </c:pt>
              </c:numCache>
            </c:numRef>
          </c:val>
          <c:extLst>
            <c:ext xmlns:c16="http://schemas.microsoft.com/office/drawing/2014/chart" uri="{C3380CC4-5D6E-409C-BE32-E72D297353CC}">
              <c16:uniqueId val="{00000000-C474-460E-B28E-23438ECE5752}"/>
            </c:ext>
          </c:extLst>
        </c:ser>
        <c:ser>
          <c:idx val="1"/>
          <c:order val="1"/>
          <c:tx>
            <c:strRef>
              <c:f>'Graf 1'!$D$2</c:f>
              <c:strCache>
                <c:ptCount val="1"/>
                <c:pt idx="0">
                  <c:v>Skutočnosť</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1'!$B$3:$B$8</c:f>
              <c:strCache>
                <c:ptCount val="6"/>
                <c:pt idx="0">
                  <c:v>HDP, s.c. (YoY zmena)</c:v>
                </c:pt>
                <c:pt idx="1">
                  <c:v>Súkromná spotreba, s.c.</c:v>
                </c:pt>
                <c:pt idx="2">
                  <c:v>Fixné investície, s.c.</c:v>
                </c:pt>
                <c:pt idx="3">
                  <c:v>Export tovarov a služieb, s.c.</c:v>
                </c:pt>
                <c:pt idx="4">
                  <c:v>Import tovarov a služieb, s.c.</c:v>
                </c:pt>
                <c:pt idx="5">
                  <c:v>Index spotrebiteľských cien (CPI)</c:v>
                </c:pt>
              </c:strCache>
            </c:strRef>
          </c:cat>
          <c:val>
            <c:numRef>
              <c:f>'Graf 1'!$D$3:$D$8</c:f>
              <c:numCache>
                <c:formatCode>0.0</c:formatCode>
                <c:ptCount val="6"/>
                <c:pt idx="0">
                  <c:v>2.1</c:v>
                </c:pt>
                <c:pt idx="1">
                  <c:v>2.6</c:v>
                </c:pt>
                <c:pt idx="2">
                  <c:v>-0.3</c:v>
                </c:pt>
                <c:pt idx="3">
                  <c:v>1.1000000000000001</c:v>
                </c:pt>
                <c:pt idx="4">
                  <c:v>3.1</c:v>
                </c:pt>
                <c:pt idx="5">
                  <c:v>2.8</c:v>
                </c:pt>
              </c:numCache>
            </c:numRef>
          </c:val>
          <c:extLst>
            <c:ext xmlns:c16="http://schemas.microsoft.com/office/drawing/2014/chart" uri="{C3380CC4-5D6E-409C-BE32-E72D297353CC}">
              <c16:uniqueId val="{00000001-C474-460E-B28E-23438ECE5752}"/>
            </c:ext>
          </c:extLst>
        </c:ser>
        <c:dLbls>
          <c:showLegendKey val="0"/>
          <c:showVal val="0"/>
          <c:showCatName val="0"/>
          <c:showSerName val="0"/>
          <c:showPercent val="0"/>
          <c:showBubbleSize val="0"/>
        </c:dLbls>
        <c:gapWidth val="100"/>
        <c:axId val="93986047"/>
        <c:axId val="93968991"/>
      </c:barChart>
      <c:catAx>
        <c:axId val="93986047"/>
        <c:scaling>
          <c:orientation val="maxMin"/>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tx2"/>
                  </a:gs>
                </a:gsLst>
                <a:lin ang="10800000" scaled="0"/>
              </a:gradFill>
              <a:round/>
            </a:ln>
            <a:effectLst/>
          </c:spPr>
        </c:majorGridlines>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93968991"/>
        <c:crosses val="autoZero"/>
        <c:auto val="1"/>
        <c:lblAlgn val="ctr"/>
        <c:lblOffset val="100"/>
        <c:noMultiLvlLbl val="0"/>
      </c:catAx>
      <c:valAx>
        <c:axId val="93968991"/>
        <c:scaling>
          <c:orientation val="minMax"/>
        </c:scaling>
        <c:delete val="0"/>
        <c:axPos val="t"/>
        <c:numFmt formatCode="0.0" sourceLinked="1"/>
        <c:majorTickMark val="none"/>
        <c:minorTickMark val="none"/>
        <c:tickLblPos val="high"/>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93986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'Graf DLH_4'!$B$4</c:f>
              <c:strCache>
                <c:ptCount val="1"/>
                <c:pt idx="0">
                  <c:v>Výdavky spojené so správou štátneho dlhu</c:v>
                </c:pt>
              </c:strCache>
            </c:strRef>
          </c:tx>
          <c:spPr>
            <a:solidFill>
              <a:srgbClr val="4472C4">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 DLH_4'!$G$2:$Q$2</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DLH_4'!$G$4:$Q$4</c:f>
              <c:numCache>
                <c:formatCode>#,##0</c:formatCode>
                <c:ptCount val="11"/>
                <c:pt idx="0">
                  <c:v>1281</c:v>
                </c:pt>
                <c:pt idx="1">
                  <c:v>1160</c:v>
                </c:pt>
                <c:pt idx="2">
                  <c:v>1175</c:v>
                </c:pt>
                <c:pt idx="3">
                  <c:v>1167</c:v>
                </c:pt>
                <c:pt idx="4">
                  <c:v>1135</c:v>
                </c:pt>
                <c:pt idx="5">
                  <c:v>1037.1780000000001</c:v>
                </c:pt>
                <c:pt idx="6">
                  <c:v>796.97299999999996</c:v>
                </c:pt>
                <c:pt idx="7">
                  <c:v>657</c:v>
                </c:pt>
                <c:pt idx="8">
                  <c:v>1059</c:v>
                </c:pt>
                <c:pt idx="9">
                  <c:v>1073</c:v>
                </c:pt>
                <c:pt idx="10">
                  <c:v>1189</c:v>
                </c:pt>
              </c:numCache>
            </c:numRef>
          </c:val>
          <c:extLst xmlns:c15="http://schemas.microsoft.com/office/drawing/2012/chart">
            <c:ext xmlns:c16="http://schemas.microsoft.com/office/drawing/2014/chart" uri="{C3380CC4-5D6E-409C-BE32-E72D297353CC}">
              <c16:uniqueId val="{00000000-333E-45A1-993E-34F5FFBD2BB6}"/>
            </c:ext>
          </c:extLst>
        </c:ser>
        <c:dLbls>
          <c:showLegendKey val="0"/>
          <c:showVal val="0"/>
          <c:showCatName val="0"/>
          <c:showSerName val="0"/>
          <c:showPercent val="0"/>
          <c:showBubbleSize val="0"/>
        </c:dLbls>
        <c:gapWidth val="100"/>
        <c:axId val="1821113199"/>
        <c:axId val="1821115279"/>
        <c:extLst/>
      </c:barChart>
      <c:catAx>
        <c:axId val="182111319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21115279"/>
        <c:crosses val="autoZero"/>
        <c:auto val="1"/>
        <c:lblAlgn val="ctr"/>
        <c:lblOffset val="100"/>
        <c:noMultiLvlLbl val="0"/>
      </c:catAx>
      <c:valAx>
        <c:axId val="1821115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21113199"/>
        <c:crosses val="autoZero"/>
        <c:crossBetween val="between"/>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tx>
            <c:strRef>
              <c:f>'Graf RO 24'!$B$2</c:f>
              <c:strCache>
                <c:ptCount val="1"/>
                <c:pt idx="0">
                  <c:v>Počet RO </c:v>
                </c:pt>
              </c:strCache>
            </c:strRef>
          </c:tx>
          <c:spPr>
            <a:solidFill>
              <a:schemeClr val="accent1"/>
            </a:solidFill>
            <a:ln>
              <a:noFill/>
            </a:ln>
            <a:effectLst/>
          </c:spPr>
          <c:invertIfNegative val="0"/>
          <c:cat>
            <c:numRef>
              <c:f>'Graf RO 24'!$E$1:$O$1</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RO 24'!$E$2:$O$2</c:f>
              <c:numCache>
                <c:formatCode>#,##0</c:formatCode>
                <c:ptCount val="11"/>
                <c:pt idx="0">
                  <c:v>2447</c:v>
                </c:pt>
                <c:pt idx="1">
                  <c:v>3442</c:v>
                </c:pt>
                <c:pt idx="2">
                  <c:v>2024</c:v>
                </c:pt>
                <c:pt idx="3">
                  <c:v>1787</c:v>
                </c:pt>
                <c:pt idx="4">
                  <c:v>2754</c:v>
                </c:pt>
                <c:pt idx="5">
                  <c:v>3022</c:v>
                </c:pt>
                <c:pt idx="6">
                  <c:v>3410</c:v>
                </c:pt>
                <c:pt idx="7">
                  <c:v>3764</c:v>
                </c:pt>
                <c:pt idx="8">
                  <c:v>3934</c:v>
                </c:pt>
                <c:pt idx="9">
                  <c:v>3844</c:v>
                </c:pt>
                <c:pt idx="10">
                  <c:v>1979</c:v>
                </c:pt>
              </c:numCache>
            </c:numRef>
          </c:val>
          <c:extLst>
            <c:ext xmlns:c16="http://schemas.microsoft.com/office/drawing/2014/chart" uri="{C3380CC4-5D6E-409C-BE32-E72D297353CC}">
              <c16:uniqueId val="{00000000-04B8-479F-911B-F02D381AD30A}"/>
            </c:ext>
          </c:extLst>
        </c:ser>
        <c:dLbls>
          <c:showLegendKey val="0"/>
          <c:showVal val="0"/>
          <c:showCatName val="0"/>
          <c:showSerName val="0"/>
          <c:showPercent val="0"/>
          <c:showBubbleSize val="0"/>
        </c:dLbls>
        <c:gapWidth val="100"/>
        <c:axId val="432185839"/>
        <c:axId val="432178767"/>
      </c:barChart>
      <c:lineChart>
        <c:grouping val="standard"/>
        <c:varyColors val="0"/>
        <c:ser>
          <c:idx val="3"/>
          <c:order val="1"/>
          <c:tx>
            <c:strRef>
              <c:f>'Graf RO 24'!$B$3</c:f>
              <c:strCache>
                <c:ptCount val="1"/>
                <c:pt idx="0">
                  <c:v>Objem RO v mld. eur (pravá os)</c:v>
                </c:pt>
              </c:strCache>
            </c:strRef>
          </c:tx>
          <c:spPr>
            <a:ln w="28575" cap="rnd">
              <a:solidFill>
                <a:schemeClr val="accent6"/>
              </a:solidFill>
              <a:round/>
            </a:ln>
            <a:effectLst/>
          </c:spPr>
          <c:marker>
            <c:symbol val="none"/>
          </c:marker>
          <c:cat>
            <c:numRef>
              <c:f>'Graf RO 24'!$E$1:$O$1</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RO 24'!$E$3:$O$3</c:f>
              <c:numCache>
                <c:formatCode>#\ ##0.0</c:formatCode>
                <c:ptCount val="11"/>
                <c:pt idx="0">
                  <c:v>3.1236507827599977</c:v>
                </c:pt>
                <c:pt idx="1">
                  <c:v>5.8100780799500003</c:v>
                </c:pt>
                <c:pt idx="2">
                  <c:v>4.776142596679998</c:v>
                </c:pt>
                <c:pt idx="3">
                  <c:v>4.6602879192700009</c:v>
                </c:pt>
                <c:pt idx="4">
                  <c:v>6.7967870365299978</c:v>
                </c:pt>
                <c:pt idx="5">
                  <c:v>6.6905988115600001</c:v>
                </c:pt>
                <c:pt idx="6">
                  <c:v>10.432553236</c:v>
                </c:pt>
                <c:pt idx="7">
                  <c:v>10.589733525</c:v>
                </c:pt>
                <c:pt idx="8">
                  <c:v>10.629990027</c:v>
                </c:pt>
                <c:pt idx="9">
                  <c:v>14.220498244</c:v>
                </c:pt>
                <c:pt idx="10">
                  <c:v>11.793710423</c:v>
                </c:pt>
              </c:numCache>
            </c:numRef>
          </c:val>
          <c:smooth val="0"/>
          <c:extLst>
            <c:ext xmlns:c16="http://schemas.microsoft.com/office/drawing/2014/chart" uri="{C3380CC4-5D6E-409C-BE32-E72D297353CC}">
              <c16:uniqueId val="{00000001-04B8-479F-911B-F02D381AD30A}"/>
            </c:ext>
          </c:extLst>
        </c:ser>
        <c:dLbls>
          <c:showLegendKey val="0"/>
          <c:showVal val="0"/>
          <c:showCatName val="0"/>
          <c:showSerName val="0"/>
          <c:showPercent val="0"/>
          <c:showBubbleSize val="0"/>
        </c:dLbls>
        <c:marker val="1"/>
        <c:smooth val="0"/>
        <c:axId val="525384719"/>
        <c:axId val="525384303"/>
      </c:lineChart>
      <c:catAx>
        <c:axId val="4321858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432178767"/>
        <c:crosses val="autoZero"/>
        <c:auto val="1"/>
        <c:lblAlgn val="ctr"/>
        <c:lblOffset val="100"/>
        <c:noMultiLvlLbl val="0"/>
      </c:catAx>
      <c:valAx>
        <c:axId val="432178767"/>
        <c:scaling>
          <c:orientation val="minMax"/>
          <c:max val="4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432185839"/>
        <c:crosses val="autoZero"/>
        <c:crossBetween val="between"/>
      </c:valAx>
      <c:valAx>
        <c:axId val="525384303"/>
        <c:scaling>
          <c:orientation val="minMax"/>
        </c:scaling>
        <c:delete val="0"/>
        <c:axPos val="r"/>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25384719"/>
        <c:crosses val="max"/>
        <c:crossBetween val="between"/>
      </c:valAx>
      <c:catAx>
        <c:axId val="525384719"/>
        <c:scaling>
          <c:orientation val="minMax"/>
        </c:scaling>
        <c:delete val="1"/>
        <c:axPos val="b"/>
        <c:numFmt formatCode="General" sourceLinked="1"/>
        <c:majorTickMark val="none"/>
        <c:minorTickMark val="none"/>
        <c:tickLblPos val="nextTo"/>
        <c:crossAx val="52538430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 12'!$B$4</c:f>
              <c:strCache>
                <c:ptCount val="1"/>
                <c:pt idx="0">
                  <c:v>Rozpočet</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 12'!$B$3:$J$3</c:f>
              <c:numCache>
                <c:formatCode>General</c:formatCode>
                <c:ptCount val="9"/>
                <c:pt idx="1">
                  <c:v>2020</c:v>
                </c:pt>
                <c:pt idx="2">
                  <c:v>2021</c:v>
                </c:pt>
                <c:pt idx="3">
                  <c:v>2022</c:v>
                </c:pt>
                <c:pt idx="4">
                  <c:v>2023</c:v>
                </c:pt>
                <c:pt idx="5">
                  <c:v>2024</c:v>
                </c:pt>
                <c:pt idx="6">
                  <c:v>2025</c:v>
                </c:pt>
                <c:pt idx="7">
                  <c:v>2026</c:v>
                </c:pt>
                <c:pt idx="8">
                  <c:v>2027</c:v>
                </c:pt>
              </c:numCache>
            </c:numRef>
          </c:cat>
          <c:val>
            <c:numRef>
              <c:f>'graf 12'!$C$4:$J$4</c:f>
              <c:numCache>
                <c:formatCode>General</c:formatCode>
                <c:ptCount val="8"/>
                <c:pt idx="0">
                  <c:v>260</c:v>
                </c:pt>
                <c:pt idx="1">
                  <c:v>330</c:v>
                </c:pt>
                <c:pt idx="2">
                  <c:v>417</c:v>
                </c:pt>
                <c:pt idx="3">
                  <c:v>470</c:v>
                </c:pt>
                <c:pt idx="4">
                  <c:v>587</c:v>
                </c:pt>
                <c:pt idx="5">
                  <c:v>550</c:v>
                </c:pt>
                <c:pt idx="6">
                  <c:v>518</c:v>
                </c:pt>
                <c:pt idx="7">
                  <c:v>529</c:v>
                </c:pt>
              </c:numCache>
            </c:numRef>
          </c:val>
          <c:extLst>
            <c:ext xmlns:c16="http://schemas.microsoft.com/office/drawing/2014/chart" uri="{C3380CC4-5D6E-409C-BE32-E72D297353CC}">
              <c16:uniqueId val="{00000000-E339-4138-8E49-F5DA7DEBFEBC}"/>
            </c:ext>
          </c:extLst>
        </c:ser>
        <c:ser>
          <c:idx val="1"/>
          <c:order val="1"/>
          <c:tx>
            <c:strRef>
              <c:f>'graf 12'!$B$5</c:f>
              <c:strCache>
                <c:ptCount val="1"/>
                <c:pt idx="0">
                  <c:v>Skutočnosť</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 12'!$B$3:$J$3</c:f>
              <c:numCache>
                <c:formatCode>General</c:formatCode>
                <c:ptCount val="9"/>
                <c:pt idx="1">
                  <c:v>2020</c:v>
                </c:pt>
                <c:pt idx="2">
                  <c:v>2021</c:v>
                </c:pt>
                <c:pt idx="3">
                  <c:v>2022</c:v>
                </c:pt>
                <c:pt idx="4">
                  <c:v>2023</c:v>
                </c:pt>
                <c:pt idx="5">
                  <c:v>2024</c:v>
                </c:pt>
                <c:pt idx="6">
                  <c:v>2025</c:v>
                </c:pt>
                <c:pt idx="7">
                  <c:v>2026</c:v>
                </c:pt>
                <c:pt idx="8">
                  <c:v>2027</c:v>
                </c:pt>
              </c:numCache>
            </c:numRef>
          </c:cat>
          <c:val>
            <c:numRef>
              <c:f>'graf 12'!$C$5:$J$5</c:f>
              <c:numCache>
                <c:formatCode>General</c:formatCode>
                <c:ptCount val="8"/>
                <c:pt idx="0">
                  <c:v>436</c:v>
                </c:pt>
                <c:pt idx="1">
                  <c:v>380</c:v>
                </c:pt>
                <c:pt idx="2">
                  <c:v>528</c:v>
                </c:pt>
                <c:pt idx="3">
                  <c:v>535</c:v>
                </c:pt>
                <c:pt idx="4">
                  <c:v>622</c:v>
                </c:pt>
              </c:numCache>
            </c:numRef>
          </c:val>
          <c:extLst>
            <c:ext xmlns:c16="http://schemas.microsoft.com/office/drawing/2014/chart" uri="{C3380CC4-5D6E-409C-BE32-E72D297353CC}">
              <c16:uniqueId val="{00000001-E339-4138-8E49-F5DA7DEBFEBC}"/>
            </c:ext>
          </c:extLst>
        </c:ser>
        <c:dLbls>
          <c:dLblPos val="outEnd"/>
          <c:showLegendKey val="0"/>
          <c:showVal val="1"/>
          <c:showCatName val="0"/>
          <c:showSerName val="0"/>
          <c:showPercent val="0"/>
          <c:showBubbleSize val="0"/>
        </c:dLbls>
        <c:gapWidth val="100"/>
        <c:axId val="582754112"/>
        <c:axId val="582742048"/>
      </c:barChart>
      <c:catAx>
        <c:axId val="58275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82742048"/>
        <c:crosses val="autoZero"/>
        <c:auto val="1"/>
        <c:lblAlgn val="ctr"/>
        <c:lblOffset val="100"/>
        <c:noMultiLvlLbl val="0"/>
      </c:catAx>
      <c:valAx>
        <c:axId val="582742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82754112"/>
        <c:crosses val="autoZero"/>
        <c:crossBetween val="between"/>
        <c:majorUnit val="20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406649168853894E-2"/>
          <c:y val="0.16376503857068631"/>
          <c:w val="0.46658372703412071"/>
          <c:h val="0.66612524481394142"/>
        </c:manualLayout>
      </c:layout>
      <c:pieChart>
        <c:varyColors val="1"/>
        <c:ser>
          <c:idx val="0"/>
          <c:order val="0"/>
          <c:tx>
            <c:strRef>
              <c:f>'príjmy štruktúra graf'!$M$55</c:f>
              <c:strCache>
                <c:ptCount val="1"/>
                <c:pt idx="0">
                  <c:v>%</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58D-4570-8695-F07A02E15C5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58D-4570-8695-F07A02E15C5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58D-4570-8695-F07A02E15C5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58D-4570-8695-F07A02E15C5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58D-4570-8695-F07A02E15C5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358D-4570-8695-F07A02E15C5E}"/>
              </c:ext>
            </c:extLst>
          </c:dPt>
          <c:dLbls>
            <c:dLbl>
              <c:idx val="0"/>
              <c:spPr>
                <a:noFill/>
                <a:ln w="25400">
                  <a:noFill/>
                </a:ln>
              </c:spPr>
              <c:txPr>
                <a:bodyPr rot="0" vert="horz"/>
                <a:lstStyle/>
                <a:p>
                  <a:pPr>
                    <a:defRPr b="1">
                      <a:solidFill>
                        <a:schemeClr val="bg1"/>
                      </a:solidFill>
                    </a:defRPr>
                  </a:pPr>
                  <a:endParaRPr lang="sk-SK"/>
                </a:p>
              </c:txPr>
              <c:dLblPos val="bestFit"/>
              <c:showLegendKey val="0"/>
              <c:showVal val="1"/>
              <c:showCatName val="0"/>
              <c:showSerName val="0"/>
              <c:showPercent val="0"/>
              <c:showBubbleSize val="0"/>
              <c:extLst>
                <c:ext xmlns:c16="http://schemas.microsoft.com/office/drawing/2014/chart" uri="{C3380CC4-5D6E-409C-BE32-E72D297353CC}">
                  <c16:uniqueId val="{00000001-358D-4570-8695-F07A02E15C5E}"/>
                </c:ext>
              </c:extLst>
            </c:dLbl>
            <c:spPr>
              <a:noFill/>
              <a:ln w="25400">
                <a:noFill/>
              </a:ln>
            </c:spPr>
            <c:txPr>
              <a:bodyPr rot="0" vert="horz"/>
              <a:lstStyle/>
              <a:p>
                <a:pPr>
                  <a:defRPr b="1"/>
                </a:pPr>
                <a:endParaRPr lang="sk-SK"/>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'príjmy štruktúra graf'!$B$56:$B$61</c:f>
              <c:strCache>
                <c:ptCount val="6"/>
                <c:pt idx="0">
                  <c:v>Zamestnanci</c:v>
                </c:pt>
                <c:pt idx="1">
                  <c:v>Zamestnávatelia</c:v>
                </c:pt>
                <c:pt idx="2">
                  <c:v>SZČO</c:v>
                </c:pt>
                <c:pt idx="3">
                  <c:v>Dlžné poistné a sankcie</c:v>
                </c:pt>
                <c:pt idx="4">
                  <c:v>Štát</c:v>
                </c:pt>
                <c:pt idx="5">
                  <c:v>Ďalšie príjmy</c:v>
                </c:pt>
              </c:strCache>
            </c:strRef>
          </c:cat>
          <c:val>
            <c:numRef>
              <c:f>'príjmy štruktúra graf'!$M$56:$M$61</c:f>
              <c:numCache>
                <c:formatCode>0.0%</c:formatCode>
                <c:ptCount val="6"/>
                <c:pt idx="0">
                  <c:v>0.25367035559838541</c:v>
                </c:pt>
                <c:pt idx="1">
                  <c:v>0.62588265150397993</c:v>
                </c:pt>
                <c:pt idx="2">
                  <c:v>4.279337981364436E-2</c:v>
                </c:pt>
                <c:pt idx="3">
                  <c:v>3.8108768043128613E-2</c:v>
                </c:pt>
                <c:pt idx="4">
                  <c:v>3.7372296317126956E-2</c:v>
                </c:pt>
                <c:pt idx="5">
                  <c:v>2.172548723734795E-3</c:v>
                </c:pt>
              </c:numCache>
            </c:numRef>
          </c:val>
          <c:extLst>
            <c:ext xmlns:c16="http://schemas.microsoft.com/office/drawing/2014/chart" uri="{C3380CC4-5D6E-409C-BE32-E72D297353CC}">
              <c16:uniqueId val="{0000000C-358D-4570-8695-F07A02E15C5E}"/>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3895258092738407"/>
          <c:y val="3.9731803829089897E-2"/>
          <c:w val="0.43438075240594926"/>
          <c:h val="0.92542217914385083"/>
        </c:manualLayout>
      </c:layout>
      <c:overlay val="0"/>
      <c:spPr>
        <a:noFill/>
        <a:ln w="25400">
          <a:noFill/>
        </a:ln>
      </c:spPr>
      <c:txPr>
        <a:bodyPr rot="0" vert="horz"/>
        <a:lstStyle/>
        <a:p>
          <a:pPr>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587817147856519"/>
          <c:y val="7.407407407407407E-2"/>
          <c:w val="0.84578849518810151"/>
          <c:h val="0.84304753572470104"/>
        </c:manualLayout>
      </c:layout>
      <c:barChart>
        <c:barDir val="col"/>
        <c:grouping val="clustered"/>
        <c:varyColors val="0"/>
        <c:ser>
          <c:idx val="2"/>
          <c:order val="0"/>
          <c:tx>
            <c:strRef>
              <c:f>'príjmy z poistného od EAO'!$B$4</c:f>
              <c:strCache>
                <c:ptCount val="1"/>
                <c:pt idx="0">
                  <c:v>Príjmy z poistného od EAO</c:v>
                </c:pt>
              </c:strCache>
            </c:strRef>
          </c:tx>
          <c:invertIfNegative val="0"/>
          <c:dLbls>
            <c:spPr>
              <a:noFill/>
              <a:ln>
                <a:noFill/>
              </a:ln>
              <a:effectLst/>
            </c:spPr>
            <c:txPr>
              <a:bodyPr wrap="square" lIns="38100" tIns="19050" rIns="38100" bIns="19050" anchor="ctr">
                <a:spAutoFit/>
              </a:bodyPr>
              <a:lstStyle/>
              <a:p>
                <a:pPr>
                  <a:defRPr b="1"/>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'príjmy z poistného od EAO'!$C$3:$E$3</c:f>
              <c:strCache>
                <c:ptCount val="3"/>
                <c:pt idx="0">
                  <c:v>2023 S</c:v>
                </c:pt>
                <c:pt idx="1">
                  <c:v>2024 R</c:v>
                </c:pt>
                <c:pt idx="2">
                  <c:v>2024 S</c:v>
                </c:pt>
              </c:strCache>
            </c:strRef>
          </c:cat>
          <c:val>
            <c:numRef>
              <c:f>'príjmy z poistného od EAO'!$C$4:$E$4</c:f>
              <c:numCache>
                <c:formatCode>#\ ##0.0</c:formatCode>
                <c:ptCount val="3"/>
                <c:pt idx="0">
                  <c:v>9890.9150000000009</c:v>
                </c:pt>
                <c:pt idx="1">
                  <c:v>11034.746999999999</c:v>
                </c:pt>
                <c:pt idx="2">
                  <c:v>10776.808999999999</c:v>
                </c:pt>
              </c:numCache>
            </c:numRef>
          </c:val>
          <c:extLst>
            <c:ext xmlns:c16="http://schemas.microsoft.com/office/drawing/2014/chart" uri="{C3380CC4-5D6E-409C-BE32-E72D297353CC}">
              <c16:uniqueId val="{00000000-A6FF-4E68-9425-7ED30B988186}"/>
            </c:ext>
          </c:extLst>
        </c:ser>
        <c:dLbls>
          <c:dLblPos val="outEnd"/>
          <c:showLegendKey val="0"/>
          <c:showVal val="1"/>
          <c:showCatName val="0"/>
          <c:showSerName val="0"/>
          <c:showPercent val="0"/>
          <c:showBubbleSize val="0"/>
        </c:dLbls>
        <c:gapWidth val="100"/>
        <c:axId val="1636011024"/>
        <c:axId val="1"/>
      </c:barChart>
      <c:catAx>
        <c:axId val="16360110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
        <c:crosses val="autoZero"/>
        <c:auto val="1"/>
        <c:lblAlgn val="ctr"/>
        <c:lblOffset val="100"/>
        <c:noMultiLvlLbl val="0"/>
      </c:catAx>
      <c:valAx>
        <c:axId val="1"/>
        <c:scaling>
          <c:orientation val="minMax"/>
          <c:max val="12000"/>
          <c:min val="85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36011024"/>
        <c:crosses val="autoZero"/>
        <c:crossBetween val="between"/>
      </c:valAx>
      <c:spPr>
        <a:noFill/>
        <a:ln w="25400">
          <a:noFill/>
        </a:ln>
      </c:spPr>
    </c:plotArea>
    <c:plotVisOnly val="1"/>
    <c:dispBlanksAs val="zero"/>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166722117481798E-2"/>
          <c:y val="7.9710144927536225E-2"/>
          <c:w val="0.89401168163838673"/>
          <c:h val="0.73299440830765716"/>
        </c:manualLayout>
      </c:layout>
      <c:lineChart>
        <c:grouping val="standard"/>
        <c:varyColors val="0"/>
        <c:ser>
          <c:idx val="0"/>
          <c:order val="0"/>
          <c:tx>
            <c:strRef>
              <c:f>'transfer zo šr'!$B$33</c:f>
              <c:strCache>
                <c:ptCount val="1"/>
                <c:pt idx="0">
                  <c:v>Transfer zo ŠR</c:v>
                </c:pt>
              </c:strCache>
            </c:strRef>
          </c:tx>
          <c:spPr>
            <a:ln w="25400" cap="rnd">
              <a:solidFill>
                <a:schemeClr val="accent1"/>
              </a:solidFill>
              <a:round/>
            </a:ln>
            <a:effectLst/>
          </c:spPr>
          <c:marker>
            <c:symbol val="circle"/>
            <c:size val="5"/>
            <c:spPr>
              <a:solidFill>
                <a:schemeClr val="accent1"/>
              </a:solidFill>
              <a:ln w="12700">
                <a:solidFill>
                  <a:schemeClr val="bg1"/>
                </a:solidFill>
              </a:ln>
              <a:effectLst/>
            </c:spPr>
          </c:marker>
          <c:dLbls>
            <c:dLbl>
              <c:idx val="7"/>
              <c:layout>
                <c:manualLayout>
                  <c:x val="-4.4178803177307324E-2"/>
                  <c:y val="-0.1106432348130396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DD4-443C-87B4-C76A3F8B56B6}"/>
                </c:ext>
              </c:extLst>
            </c:dLbl>
            <c:dLbl>
              <c:idx val="8"/>
              <c:layout>
                <c:manualLayout>
                  <c:x val="-6.4313984168865593E-2"/>
                  <c:y val="-8.04499980980638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DD4-443C-87B4-C76A3F8B56B6}"/>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'transfer zo šr'!$E$32:$N$32</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'transfer zo šr'!$E$33:$N$33</c:f>
              <c:numCache>
                <c:formatCode>#\ ##0.0</c:formatCode>
                <c:ptCount val="10"/>
                <c:pt idx="0">
                  <c:v>452.983</c:v>
                </c:pt>
                <c:pt idx="1">
                  <c:v>365.32400000000001</c:v>
                </c:pt>
                <c:pt idx="2">
                  <c:v>415.32499999999999</c:v>
                </c:pt>
                <c:pt idx="3">
                  <c:v>106.413</c:v>
                </c:pt>
                <c:pt idx="4">
                  <c:v>0</c:v>
                </c:pt>
                <c:pt idx="5">
                  <c:v>969.86500000000001</c:v>
                </c:pt>
                <c:pt idx="6">
                  <c:v>840</c:v>
                </c:pt>
                <c:pt idx="7">
                  <c:v>103.488</c:v>
                </c:pt>
                <c:pt idx="8">
                  <c:v>1160</c:v>
                </c:pt>
                <c:pt idx="9">
                  <c:v>2720</c:v>
                </c:pt>
              </c:numCache>
            </c:numRef>
          </c:val>
          <c:smooth val="0"/>
          <c:extLst>
            <c:ext xmlns:c16="http://schemas.microsoft.com/office/drawing/2014/chart" uri="{C3380CC4-5D6E-409C-BE32-E72D297353CC}">
              <c16:uniqueId val="{00000002-ADD4-443C-87B4-C76A3F8B56B6}"/>
            </c:ext>
          </c:extLst>
        </c:ser>
        <c:dLbls>
          <c:dLblPos val="t"/>
          <c:showLegendKey val="0"/>
          <c:showVal val="1"/>
          <c:showCatName val="0"/>
          <c:showSerName val="0"/>
          <c:showPercent val="0"/>
          <c:showBubbleSize val="0"/>
        </c:dLbls>
        <c:marker val="1"/>
        <c:smooth val="0"/>
        <c:axId val="1252035695"/>
        <c:axId val="1252032367"/>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'Zdravotne odvody (2)'!$B$26</c:f>
              <c:strCache>
                <c:ptCount val="1"/>
                <c:pt idx="0">
                  <c:v>Zaplatené ročné poistné za poistencov štátu (v mil. €) (ľavá os)</c:v>
                </c:pt>
              </c:strCache>
            </c:strRef>
          </c:tx>
          <c:spPr>
            <a:solidFill>
              <a:schemeClr val="bg2"/>
            </a:solidFill>
            <a:ln>
              <a:noFill/>
            </a:ln>
            <a:effectLst/>
          </c:spPr>
          <c:invertIfNegative val="0"/>
          <c:cat>
            <c:numRef>
              <c:f>'Zdravotne odvody (2)'!$C$24:$N$24</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'Zdravotne odvody (2)'!$C$26:$N$26</c:f>
              <c:numCache>
                <c:formatCode>General</c:formatCode>
                <c:ptCount val="12"/>
                <c:pt idx="0">
                  <c:v>1276.8</c:v>
                </c:pt>
                <c:pt idx="1">
                  <c:v>1211.5</c:v>
                </c:pt>
                <c:pt idx="2">
                  <c:v>1348.9</c:v>
                </c:pt>
                <c:pt idx="3">
                  <c:v>1392.1</c:v>
                </c:pt>
                <c:pt idx="4">
                  <c:v>1299.3</c:v>
                </c:pt>
                <c:pt idx="5">
                  <c:v>1189</c:v>
                </c:pt>
                <c:pt idx="6" formatCode="0">
                  <c:v>1202.8</c:v>
                </c:pt>
                <c:pt idx="7" formatCode="0">
                  <c:v>1167.03</c:v>
                </c:pt>
                <c:pt idx="8" formatCode="0">
                  <c:v>1292.0999999999999</c:v>
                </c:pt>
                <c:pt idx="9" formatCode="0">
                  <c:v>1289</c:v>
                </c:pt>
                <c:pt idx="10" formatCode="0.0">
                  <c:v>2081.277</c:v>
                </c:pt>
                <c:pt idx="11" formatCode="#,##0.00">
                  <c:v>2112.5</c:v>
                </c:pt>
              </c:numCache>
            </c:numRef>
          </c:val>
          <c:extLst>
            <c:ext xmlns:c16="http://schemas.microsoft.com/office/drawing/2014/chart" uri="{C3380CC4-5D6E-409C-BE32-E72D297353CC}">
              <c16:uniqueId val="{00000000-27DA-4B75-AB2F-DB7A1155B8D8}"/>
            </c:ext>
          </c:extLst>
        </c:ser>
        <c:ser>
          <c:idx val="3"/>
          <c:order val="3"/>
          <c:tx>
            <c:strRef>
              <c:f>'Zdravotne odvody (2)'!$B$28</c:f>
              <c:strCache>
                <c:ptCount val="1"/>
                <c:pt idx="0">
                  <c:v>Zaplatené ročné poistné EAO (v mil. €) (ľavá os)</c:v>
                </c:pt>
              </c:strCache>
            </c:strRef>
          </c:tx>
          <c:spPr>
            <a:solidFill>
              <a:schemeClr val="tx2"/>
            </a:solidFill>
            <a:ln>
              <a:noFill/>
            </a:ln>
            <a:effectLst/>
          </c:spPr>
          <c:invertIfNegative val="0"/>
          <c:cat>
            <c:numRef>
              <c:f>'Zdravotne odvody (2)'!$C$24:$N$24</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'Zdravotne odvody (2)'!$C$28:$N$28</c:f>
              <c:numCache>
                <c:formatCode>General</c:formatCode>
                <c:ptCount val="12"/>
                <c:pt idx="0">
                  <c:v>2572.9699999999998</c:v>
                </c:pt>
                <c:pt idx="1">
                  <c:v>2769.95</c:v>
                </c:pt>
                <c:pt idx="2">
                  <c:v>2880.08</c:v>
                </c:pt>
                <c:pt idx="3">
                  <c:v>2952.66</c:v>
                </c:pt>
                <c:pt idx="4">
                  <c:v>3292.16</c:v>
                </c:pt>
                <c:pt idx="5">
                  <c:v>3629.92</c:v>
                </c:pt>
                <c:pt idx="6">
                  <c:v>3978.64</c:v>
                </c:pt>
                <c:pt idx="7">
                  <c:v>4024.78</c:v>
                </c:pt>
                <c:pt idx="8">
                  <c:v>4334.7</c:v>
                </c:pt>
                <c:pt idx="9">
                  <c:v>4688.7</c:v>
                </c:pt>
                <c:pt idx="10" formatCode="0.0">
                  <c:v>5163.2020000000002</c:v>
                </c:pt>
                <c:pt idx="11">
                  <c:v>5851.8</c:v>
                </c:pt>
              </c:numCache>
            </c:numRef>
          </c:val>
          <c:extLst>
            <c:ext xmlns:c16="http://schemas.microsoft.com/office/drawing/2014/chart" uri="{C3380CC4-5D6E-409C-BE32-E72D297353CC}">
              <c16:uniqueId val="{00000001-27DA-4B75-AB2F-DB7A1155B8D8}"/>
            </c:ext>
          </c:extLst>
        </c:ser>
        <c:dLbls>
          <c:showLegendKey val="0"/>
          <c:showVal val="0"/>
          <c:showCatName val="0"/>
          <c:showSerName val="0"/>
          <c:showPercent val="0"/>
          <c:showBubbleSize val="0"/>
        </c:dLbls>
        <c:gapWidth val="100"/>
        <c:axId val="1127412415"/>
        <c:axId val="1127413663"/>
      </c:barChart>
      <c:lineChart>
        <c:grouping val="standard"/>
        <c:varyColors val="0"/>
        <c:ser>
          <c:idx val="0"/>
          <c:order val="0"/>
          <c:tx>
            <c:strRef>
              <c:f>'Zdravotne odvody (2)'!$B$25</c:f>
              <c:strCache>
                <c:ptCount val="1"/>
                <c:pt idx="0">
                  <c:v>Priemerné poistné za poist. štátu (v €) (pravá os)</c:v>
                </c:pt>
              </c:strCache>
            </c:strRef>
          </c:tx>
          <c:spPr>
            <a:ln w="25400" cap="rnd">
              <a:solidFill>
                <a:schemeClr val="accent5"/>
              </a:solidFill>
              <a:prstDash val="dash"/>
              <a:round/>
            </a:ln>
            <a:effectLst/>
          </c:spPr>
          <c:marker>
            <c:symbol val="none"/>
          </c:marker>
          <c:cat>
            <c:numRef>
              <c:f>'Zdravotne odvody (2)'!$C$24:$N$24</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'Zdravotne odvody (2)'!$C$25:$N$25</c:f>
              <c:numCache>
                <c:formatCode>0.0</c:formatCode>
                <c:ptCount val="12"/>
                <c:pt idx="0">
                  <c:v>33.4</c:v>
                </c:pt>
                <c:pt idx="1">
                  <c:v>32.200000000000003</c:v>
                </c:pt>
                <c:pt idx="2">
                  <c:v>36.5</c:v>
                </c:pt>
                <c:pt idx="3">
                  <c:v>37.840000000000003</c:v>
                </c:pt>
                <c:pt idx="4">
                  <c:v>36.159999999999997</c:v>
                </c:pt>
                <c:pt idx="5">
                  <c:v>33.840000000000003</c:v>
                </c:pt>
                <c:pt idx="6">
                  <c:v>34.340000000000003</c:v>
                </c:pt>
                <c:pt idx="7">
                  <c:v>32.42</c:v>
                </c:pt>
                <c:pt idx="8">
                  <c:v>36.74</c:v>
                </c:pt>
                <c:pt idx="9">
                  <c:v>37</c:v>
                </c:pt>
                <c:pt idx="10">
                  <c:v>60</c:v>
                </c:pt>
                <c:pt idx="11" formatCode="General">
                  <c:v>61</c:v>
                </c:pt>
              </c:numCache>
            </c:numRef>
          </c:val>
          <c:smooth val="0"/>
          <c:extLst>
            <c:ext xmlns:c16="http://schemas.microsoft.com/office/drawing/2014/chart" uri="{C3380CC4-5D6E-409C-BE32-E72D297353CC}">
              <c16:uniqueId val="{00000002-27DA-4B75-AB2F-DB7A1155B8D8}"/>
            </c:ext>
          </c:extLst>
        </c:ser>
        <c:ser>
          <c:idx val="2"/>
          <c:order val="2"/>
          <c:tx>
            <c:strRef>
              <c:f>'Zdravotne odvody (2)'!$B$27</c:f>
              <c:strCache>
                <c:ptCount val="1"/>
                <c:pt idx="0">
                  <c:v>Priemerné poistné EAO (v €) (pravá os)</c:v>
                </c:pt>
              </c:strCache>
            </c:strRef>
          </c:tx>
          <c:spPr>
            <a:ln w="25400" cap="rnd">
              <a:solidFill>
                <a:schemeClr val="accent6"/>
              </a:solidFill>
              <a:prstDash val="dash"/>
              <a:round/>
            </a:ln>
            <a:effectLst/>
          </c:spPr>
          <c:marker>
            <c:symbol val="none"/>
          </c:marker>
          <c:cat>
            <c:numRef>
              <c:f>'Zdravotne odvody (2)'!$C$24:$N$24</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'Zdravotne odvody (2)'!$C$27:$N$27</c:f>
              <c:numCache>
                <c:formatCode>0.0</c:formatCode>
                <c:ptCount val="12"/>
                <c:pt idx="0">
                  <c:v>99.44</c:v>
                </c:pt>
                <c:pt idx="1">
                  <c:v>104.31</c:v>
                </c:pt>
                <c:pt idx="2">
                  <c:v>112.98</c:v>
                </c:pt>
                <c:pt idx="3">
                  <c:v>116.81</c:v>
                </c:pt>
                <c:pt idx="4">
                  <c:v>120.25</c:v>
                </c:pt>
                <c:pt idx="5">
                  <c:v>131.36000000000001</c:v>
                </c:pt>
                <c:pt idx="6">
                  <c:v>143.32</c:v>
                </c:pt>
                <c:pt idx="7">
                  <c:v>151.38</c:v>
                </c:pt>
                <c:pt idx="8">
                  <c:v>161.44999999999999</c:v>
                </c:pt>
                <c:pt idx="9">
                  <c:v>172</c:v>
                </c:pt>
                <c:pt idx="10" formatCode="General">
                  <c:v>188</c:v>
                </c:pt>
                <c:pt idx="11" formatCode="General">
                  <c:v>215</c:v>
                </c:pt>
              </c:numCache>
            </c:numRef>
          </c:val>
          <c:smooth val="0"/>
          <c:extLst>
            <c:ext xmlns:c16="http://schemas.microsoft.com/office/drawing/2014/chart" uri="{C3380CC4-5D6E-409C-BE32-E72D297353CC}">
              <c16:uniqueId val="{00000003-27DA-4B75-AB2F-DB7A1155B8D8}"/>
            </c:ext>
          </c:extLst>
        </c:ser>
        <c:dLbls>
          <c:showLegendKey val="0"/>
          <c:showVal val="0"/>
          <c:showCatName val="0"/>
          <c:showSerName val="0"/>
          <c:showPercent val="0"/>
          <c:showBubbleSize val="0"/>
        </c:dLbls>
        <c:marker val="1"/>
        <c:smooth val="0"/>
        <c:axId val="1127414495"/>
        <c:axId val="1127417407"/>
      </c:lineChart>
      <c:catAx>
        <c:axId val="11274124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127413663"/>
        <c:crosses val="autoZero"/>
        <c:auto val="1"/>
        <c:lblAlgn val="ctr"/>
        <c:lblOffset val="100"/>
        <c:noMultiLvlLbl val="0"/>
      </c:catAx>
      <c:valAx>
        <c:axId val="1127413663"/>
        <c:scaling>
          <c:orientation val="minMax"/>
          <c:max val="6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127412415"/>
        <c:crosses val="autoZero"/>
        <c:crossBetween val="between"/>
        <c:majorUnit val="1000"/>
      </c:valAx>
      <c:valAx>
        <c:axId val="1127417407"/>
        <c:scaling>
          <c:orientation val="minMax"/>
          <c:max val="300"/>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127414495"/>
        <c:crosses val="max"/>
        <c:crossBetween val="between"/>
        <c:majorUnit val="50"/>
      </c:valAx>
      <c:catAx>
        <c:axId val="1127414495"/>
        <c:scaling>
          <c:orientation val="minMax"/>
        </c:scaling>
        <c:delete val="1"/>
        <c:axPos val="b"/>
        <c:numFmt formatCode="General" sourceLinked="1"/>
        <c:majorTickMark val="out"/>
        <c:minorTickMark val="none"/>
        <c:tickLblPos val="nextTo"/>
        <c:crossAx val="1127417407"/>
        <c:crosses val="autoZero"/>
        <c:auto val="1"/>
        <c:lblAlgn val="ctr"/>
        <c:lblOffset val="100"/>
        <c:noMultiLvlLbl val="0"/>
      </c:catAx>
      <c:spPr>
        <a:noFill/>
        <a:ln>
          <a:noFill/>
        </a:ln>
        <a:effectLst/>
      </c:spPr>
    </c:plotArea>
    <c:legend>
      <c:legendPos val="b"/>
      <c:layout>
        <c:manualLayout>
          <c:xMode val="edge"/>
          <c:yMode val="edge"/>
          <c:x val="7.5366679343972898E-2"/>
          <c:y val="5.312389250836036E-2"/>
          <c:w val="0.62085674909365429"/>
          <c:h val="0.27915297918076981"/>
        </c:manualLayout>
      </c:layout>
      <c:overlay val="1"/>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'finančná pozícia SR_EK'!$B$2</c:f>
              <c:strCache>
                <c:ptCount val="1"/>
                <c:pt idx="0">
                  <c:v>Celkové príjmy</c:v>
                </c:pt>
              </c:strCache>
            </c:strRef>
          </c:tx>
          <c:spPr>
            <a:solidFill>
              <a:schemeClr val="bg2"/>
            </a:solidFill>
            <a:ln>
              <a:noFill/>
            </a:ln>
            <a:effectLst/>
          </c:spPr>
          <c:invertIfNegative val="0"/>
          <c:cat>
            <c:numRef>
              <c:f>'finančná pozícia SR_EK'!$A$3:$A$23</c:f>
              <c:numCache>
                <c:formatCode>General</c:formatCode>
                <c:ptCount val="21"/>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pt idx="20">
                  <c:v>2024</c:v>
                </c:pt>
              </c:numCache>
            </c:numRef>
          </c:cat>
          <c:val>
            <c:numRef>
              <c:f>'finančná pozícia SR_EK'!$B$3:$B$23</c:f>
              <c:numCache>
                <c:formatCode>#\ ##0.0</c:formatCode>
                <c:ptCount val="21"/>
                <c:pt idx="0">
                  <c:v>303.99</c:v>
                </c:pt>
                <c:pt idx="1">
                  <c:v>704.99300000000005</c:v>
                </c:pt>
                <c:pt idx="2">
                  <c:v>893.62300000000005</c:v>
                </c:pt>
                <c:pt idx="3">
                  <c:v>910.83799999999997</c:v>
                </c:pt>
                <c:pt idx="4">
                  <c:v>893.49699999999996</c:v>
                </c:pt>
                <c:pt idx="5">
                  <c:v>1119.6590000000001</c:v>
                </c:pt>
                <c:pt idx="6">
                  <c:v>1672.4829999999999</c:v>
                </c:pt>
                <c:pt idx="7">
                  <c:v>2041.0930000000001</c:v>
                </c:pt>
                <c:pt idx="8">
                  <c:v>2137.8490000000002</c:v>
                </c:pt>
                <c:pt idx="9">
                  <c:v>2185.3580000000002</c:v>
                </c:pt>
                <c:pt idx="10">
                  <c:v>1265.0909999999999</c:v>
                </c:pt>
                <c:pt idx="11">
                  <c:v>4288.8729999999996</c:v>
                </c:pt>
                <c:pt idx="12">
                  <c:v>1947.481</c:v>
                </c:pt>
                <c:pt idx="13">
                  <c:v>1425.5719999999999</c:v>
                </c:pt>
                <c:pt idx="14">
                  <c:v>2169.732</c:v>
                </c:pt>
                <c:pt idx="15">
                  <c:v>2126.9430000000002</c:v>
                </c:pt>
                <c:pt idx="16">
                  <c:v>2551.36</c:v>
                </c:pt>
                <c:pt idx="17">
                  <c:v>2273.9899999999998</c:v>
                </c:pt>
                <c:pt idx="18">
                  <c:v>2187.7020000000002</c:v>
                </c:pt>
                <c:pt idx="19">
                  <c:v>4509.2740000000003</c:v>
                </c:pt>
                <c:pt idx="20">
                  <c:v>4132.6909999999998</c:v>
                </c:pt>
              </c:numCache>
            </c:numRef>
          </c:val>
          <c:extLst>
            <c:ext xmlns:c16="http://schemas.microsoft.com/office/drawing/2014/chart" uri="{C3380CC4-5D6E-409C-BE32-E72D297353CC}">
              <c16:uniqueId val="{00000000-08CF-4AD0-A5EE-E9C49D72001A}"/>
            </c:ext>
          </c:extLst>
        </c:ser>
        <c:ser>
          <c:idx val="1"/>
          <c:order val="1"/>
          <c:tx>
            <c:strRef>
              <c:f>'finančná pozícia SR_EK'!$C$2</c:f>
              <c:strCache>
                <c:ptCount val="1"/>
                <c:pt idx="0">
                  <c:v>Celkové odvody a príspevky</c:v>
                </c:pt>
              </c:strCache>
            </c:strRef>
          </c:tx>
          <c:spPr>
            <a:solidFill>
              <a:schemeClr val="tx2"/>
            </a:solidFill>
            <a:ln>
              <a:noFill/>
            </a:ln>
            <a:effectLst/>
          </c:spPr>
          <c:invertIfNegative val="0"/>
          <c:cat>
            <c:numRef>
              <c:f>'finančná pozícia SR_EK'!$A$3:$A$23</c:f>
              <c:numCache>
                <c:formatCode>General</c:formatCode>
                <c:ptCount val="21"/>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pt idx="20">
                  <c:v>2024</c:v>
                </c:pt>
              </c:numCache>
            </c:numRef>
          </c:cat>
          <c:val>
            <c:numRef>
              <c:f>'finančná pozícia SR_EK'!$C$3:$C$23</c:f>
              <c:numCache>
                <c:formatCode>#\ ##0.0</c:formatCode>
                <c:ptCount val="21"/>
                <c:pt idx="0">
                  <c:v>-290.68900000000002</c:v>
                </c:pt>
                <c:pt idx="1">
                  <c:v>-485.61399999999998</c:v>
                </c:pt>
                <c:pt idx="2">
                  <c:v>-526.32600000000002</c:v>
                </c:pt>
                <c:pt idx="3">
                  <c:v>-589.79999999999995</c:v>
                </c:pt>
                <c:pt idx="4">
                  <c:v>-643.37400000000002</c:v>
                </c:pt>
                <c:pt idx="5">
                  <c:v>-695.726</c:v>
                </c:pt>
                <c:pt idx="6">
                  <c:v>-627.529</c:v>
                </c:pt>
                <c:pt idx="7">
                  <c:v>-704.65599999999995</c:v>
                </c:pt>
                <c:pt idx="8">
                  <c:v>-722.83100000000002</c:v>
                </c:pt>
                <c:pt idx="9">
                  <c:v>-825.09799999999996</c:v>
                </c:pt>
                <c:pt idx="10">
                  <c:v>-785.36599999999999</c:v>
                </c:pt>
                <c:pt idx="11">
                  <c:v>-695.50800000000004</c:v>
                </c:pt>
                <c:pt idx="12">
                  <c:v>-739.90300000000002</c:v>
                </c:pt>
                <c:pt idx="13">
                  <c:v>-738.04499999999996</c:v>
                </c:pt>
                <c:pt idx="14">
                  <c:v>-841.32100000000003</c:v>
                </c:pt>
                <c:pt idx="15">
                  <c:v>-851.73299999999995</c:v>
                </c:pt>
                <c:pt idx="16">
                  <c:v>-974.12599999999998</c:v>
                </c:pt>
                <c:pt idx="17">
                  <c:v>-1354.6469999999999</c:v>
                </c:pt>
                <c:pt idx="18">
                  <c:v>-1070.2080000000001</c:v>
                </c:pt>
                <c:pt idx="19">
                  <c:v>-1064.837</c:v>
                </c:pt>
                <c:pt idx="20">
                  <c:v>-941.69500000000005</c:v>
                </c:pt>
              </c:numCache>
            </c:numRef>
          </c:val>
          <c:extLst>
            <c:ext xmlns:c16="http://schemas.microsoft.com/office/drawing/2014/chart" uri="{C3380CC4-5D6E-409C-BE32-E72D297353CC}">
              <c16:uniqueId val="{00000001-08CF-4AD0-A5EE-E9C49D72001A}"/>
            </c:ext>
          </c:extLst>
        </c:ser>
        <c:dLbls>
          <c:showLegendKey val="0"/>
          <c:showVal val="0"/>
          <c:showCatName val="0"/>
          <c:showSerName val="0"/>
          <c:showPercent val="0"/>
          <c:showBubbleSize val="0"/>
        </c:dLbls>
        <c:gapWidth val="100"/>
        <c:overlap val="100"/>
        <c:axId val="510028639"/>
        <c:axId val="510029055"/>
      </c:barChart>
      <c:lineChart>
        <c:grouping val="standard"/>
        <c:varyColors val="0"/>
        <c:ser>
          <c:idx val="2"/>
          <c:order val="2"/>
          <c:tx>
            <c:strRef>
              <c:f>'finančná pozícia SR_EK'!$D$2</c:f>
              <c:strCache>
                <c:ptCount val="1"/>
                <c:pt idx="0">
                  <c:v>Čistá finančná pozícia</c:v>
                </c:pt>
              </c:strCache>
            </c:strRef>
          </c:tx>
          <c:spPr>
            <a:ln w="28575" cap="rnd">
              <a:solidFill>
                <a:schemeClr val="accent6"/>
              </a:solidFill>
              <a:round/>
            </a:ln>
            <a:effectLst/>
          </c:spPr>
          <c:marker>
            <c:symbol val="none"/>
          </c:marker>
          <c:cat>
            <c:numRef>
              <c:f>'finančná pozícia SR_EK'!$A$3:$A$22</c:f>
              <c:numCache>
                <c:formatCode>General</c:formatCod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numCache>
            </c:numRef>
          </c:cat>
          <c:val>
            <c:numRef>
              <c:f>'finančná pozícia SR_EK'!$D$3:$D$23</c:f>
              <c:numCache>
                <c:formatCode>#\ ##0.0</c:formatCode>
                <c:ptCount val="21"/>
                <c:pt idx="0">
                  <c:v>13.301</c:v>
                </c:pt>
                <c:pt idx="1">
                  <c:v>219.37899999999999</c:v>
                </c:pt>
                <c:pt idx="2">
                  <c:v>367.29700000000003</c:v>
                </c:pt>
                <c:pt idx="3">
                  <c:v>321.03800000000001</c:v>
                </c:pt>
                <c:pt idx="4">
                  <c:v>250.12299999999999</c:v>
                </c:pt>
                <c:pt idx="5">
                  <c:v>423.93299999999999</c:v>
                </c:pt>
                <c:pt idx="6">
                  <c:v>1044.954</c:v>
                </c:pt>
                <c:pt idx="7">
                  <c:v>1336.4369999999999</c:v>
                </c:pt>
                <c:pt idx="8">
                  <c:v>1415.018</c:v>
                </c:pt>
                <c:pt idx="9">
                  <c:v>1360.26</c:v>
                </c:pt>
                <c:pt idx="10">
                  <c:v>479.72500000000002</c:v>
                </c:pt>
                <c:pt idx="11">
                  <c:v>3593.3649999999998</c:v>
                </c:pt>
                <c:pt idx="12">
                  <c:v>1207.578</c:v>
                </c:pt>
                <c:pt idx="13">
                  <c:v>687.52700000000004</c:v>
                </c:pt>
                <c:pt idx="14">
                  <c:v>1328.4110000000001</c:v>
                </c:pt>
                <c:pt idx="15">
                  <c:v>1275.21</c:v>
                </c:pt>
                <c:pt idx="16">
                  <c:v>1577.2339999999999</c:v>
                </c:pt>
                <c:pt idx="17">
                  <c:v>919.34299999999996</c:v>
                </c:pt>
                <c:pt idx="18">
                  <c:v>1117.4939999999999</c:v>
                </c:pt>
                <c:pt idx="19">
                  <c:v>3444.4369999999999</c:v>
                </c:pt>
                <c:pt idx="20">
                  <c:v>3190.9960000000001</c:v>
                </c:pt>
              </c:numCache>
            </c:numRef>
          </c:val>
          <c:smooth val="0"/>
          <c:extLst>
            <c:ext xmlns:c16="http://schemas.microsoft.com/office/drawing/2014/chart" uri="{C3380CC4-5D6E-409C-BE32-E72D297353CC}">
              <c16:uniqueId val="{00000002-08CF-4AD0-A5EE-E9C49D72001A}"/>
            </c:ext>
          </c:extLst>
        </c:ser>
        <c:dLbls>
          <c:showLegendKey val="0"/>
          <c:showVal val="0"/>
          <c:showCatName val="0"/>
          <c:showSerName val="0"/>
          <c:showPercent val="0"/>
          <c:showBubbleSize val="0"/>
        </c:dLbls>
        <c:marker val="1"/>
        <c:smooth val="0"/>
        <c:axId val="510028639"/>
        <c:axId val="510029055"/>
      </c:lineChart>
      <c:catAx>
        <c:axId val="510028639"/>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10029055"/>
        <c:crosses val="autoZero"/>
        <c:auto val="1"/>
        <c:lblAlgn val="l"/>
        <c:lblOffset val="20"/>
        <c:noMultiLvlLbl val="0"/>
      </c:catAx>
      <c:valAx>
        <c:axId val="51002905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100286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40"/>
          <c:order val="0"/>
          <c:tx>
            <c:strRef>
              <c:f>'vyvoj cerpania'!$A$58</c:f>
              <c:strCache>
                <c:ptCount val="1"/>
                <c:pt idx="0">
                  <c:v>PO 2004 - 2006 (ŠF)</c:v>
                </c:pt>
              </c:strCache>
            </c:strRef>
          </c:tx>
          <c:spPr>
            <a:ln w="25400" cap="rnd">
              <a:solidFill>
                <a:schemeClr val="accent5">
                  <a:lumMod val="70000"/>
                  <a:lumOff val="30000"/>
                </a:schemeClr>
              </a:solidFill>
              <a:round/>
            </a:ln>
            <a:effectLst/>
          </c:spPr>
          <c:marker>
            <c:symbol val="circle"/>
            <c:size val="5"/>
            <c:spPr>
              <a:solidFill>
                <a:schemeClr val="accent5">
                  <a:lumMod val="70000"/>
                  <a:lumOff val="30000"/>
                </a:schemeClr>
              </a:solidFill>
              <a:ln w="9525">
                <a:solidFill>
                  <a:schemeClr val="bg1"/>
                </a:solidFill>
              </a:ln>
              <a:effectLst/>
            </c:spPr>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cerpania'!$B$58:$G$58</c:f>
              <c:numCache>
                <c:formatCode>0.0%</c:formatCode>
                <c:ptCount val="6"/>
                <c:pt idx="0">
                  <c:v>2.3763846528813697E-3</c:v>
                </c:pt>
                <c:pt idx="1">
                  <c:v>9.9627061234504127E-2</c:v>
                </c:pt>
                <c:pt idx="2">
                  <c:v>0.22344532482630972</c:v>
                </c:pt>
                <c:pt idx="3">
                  <c:v>0.2640058424032391</c:v>
                </c:pt>
                <c:pt idx="4">
                  <c:v>0.26248962007869764</c:v>
                </c:pt>
                <c:pt idx="5">
                  <c:v>0.14805576680436791</c:v>
                </c:pt>
              </c:numCache>
            </c:numRef>
          </c:val>
          <c:smooth val="0"/>
          <c:extLst>
            <c:ext xmlns:c16="http://schemas.microsoft.com/office/drawing/2014/chart" uri="{C3380CC4-5D6E-409C-BE32-E72D297353CC}">
              <c16:uniqueId val="{00000000-2C58-4AF5-8C32-9416D388A9D1}"/>
            </c:ext>
          </c:extLst>
        </c:ser>
        <c:ser>
          <c:idx val="22"/>
          <c:order val="1"/>
          <c:tx>
            <c:strRef>
              <c:f>'vyvoj cerpania'!$A$40</c:f>
              <c:strCache>
                <c:ptCount val="1"/>
                <c:pt idx="0">
                  <c:v>PO 2007 - 2013 </c:v>
                </c:pt>
              </c:strCache>
            </c:strRef>
          </c:tx>
          <c:spPr>
            <a:ln w="28575" cap="rnd">
              <a:solidFill>
                <a:schemeClr val="accent5">
                  <a:lumMod val="80000"/>
                </a:schemeClr>
              </a:solidFill>
              <a:round/>
            </a:ln>
            <a:effectLst/>
          </c:spPr>
          <c:marker>
            <c:symbol val="circle"/>
            <c:size val="5"/>
            <c:spPr>
              <a:solidFill>
                <a:schemeClr val="accent5">
                  <a:lumMod val="80000"/>
                </a:schemeClr>
              </a:solidFill>
              <a:ln w="9525">
                <a:solidFill>
                  <a:schemeClr val="bg1"/>
                </a:solidFill>
              </a:ln>
              <a:effectLst/>
            </c:spPr>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cerpania'!$B$40:$K$40</c:f>
              <c:numCache>
                <c:formatCode>0.0%</c:formatCode>
                <c:ptCount val="10"/>
                <c:pt idx="0">
                  <c:v>0</c:v>
                </c:pt>
                <c:pt idx="1">
                  <c:v>2.4635857551087935E-3</c:v>
                </c:pt>
                <c:pt idx="2">
                  <c:v>4.3637446345685504E-2</c:v>
                </c:pt>
                <c:pt idx="3">
                  <c:v>9.2123349533168669E-2</c:v>
                </c:pt>
                <c:pt idx="4">
                  <c:v>0.11955730995967274</c:v>
                </c:pt>
                <c:pt idx="5">
                  <c:v>0.13073233283658356</c:v>
                </c:pt>
                <c:pt idx="6">
                  <c:v>0.13546851832492049</c:v>
                </c:pt>
                <c:pt idx="7">
                  <c:v>0.1258539473205037</c:v>
                </c:pt>
                <c:pt idx="8">
                  <c:v>0.26754242159252783</c:v>
                </c:pt>
                <c:pt idx="9">
                  <c:v>8.2621088331828546E-2</c:v>
                </c:pt>
              </c:numCache>
            </c:numRef>
          </c:val>
          <c:smooth val="0"/>
          <c:extLst>
            <c:ext xmlns:c16="http://schemas.microsoft.com/office/drawing/2014/chart" uri="{C3380CC4-5D6E-409C-BE32-E72D297353CC}">
              <c16:uniqueId val="{00000001-2C58-4AF5-8C32-9416D388A9D1}"/>
            </c:ext>
          </c:extLst>
        </c:ser>
        <c:ser>
          <c:idx val="0"/>
          <c:order val="2"/>
          <c:tx>
            <c:strRef>
              <c:f>'vyvoj cerpania'!$A$18</c:f>
              <c:strCache>
                <c:ptCount val="1"/>
                <c:pt idx="0">
                  <c:v>PO 2014 - 2020 </c:v>
                </c:pt>
              </c:strCache>
            </c:strRef>
          </c:tx>
          <c:spPr>
            <a:ln w="28575" cap="rnd">
              <a:solidFill>
                <a:schemeClr val="accent1"/>
              </a:solidFill>
              <a:round/>
            </a:ln>
            <a:effectLst/>
          </c:spPr>
          <c:marker>
            <c:symbol val="circle"/>
            <c:size val="5"/>
            <c:spPr>
              <a:solidFill>
                <a:schemeClr val="accent1"/>
              </a:solidFill>
              <a:ln w="9525">
                <a:solidFill>
                  <a:schemeClr val="bg1"/>
                </a:solidFill>
              </a:ln>
              <a:effectLst/>
            </c:spPr>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cerpania'!$B$18:$L$18</c:f>
              <c:numCache>
                <c:formatCode>0.0%</c:formatCode>
                <c:ptCount val="11"/>
                <c:pt idx="0">
                  <c:v>0</c:v>
                </c:pt>
                <c:pt idx="1">
                  <c:v>0</c:v>
                </c:pt>
                <c:pt idx="2">
                  <c:v>3.57347030061127E-2</c:v>
                </c:pt>
                <c:pt idx="3">
                  <c:v>5.1393724325054312E-2</c:v>
                </c:pt>
                <c:pt idx="4">
                  <c:v>8.9997630534624479E-2</c:v>
                </c:pt>
                <c:pt idx="5">
                  <c:v>7.5583264453249532E-2</c:v>
                </c:pt>
                <c:pt idx="6">
                  <c:v>9.8369251981495862E-2</c:v>
                </c:pt>
                <c:pt idx="7">
                  <c:v>0.10750172338241701</c:v>
                </c:pt>
                <c:pt idx="8">
                  <c:v>0.15815496389597258</c:v>
                </c:pt>
                <c:pt idx="9">
                  <c:v>0.22504521208986394</c:v>
                </c:pt>
                <c:pt idx="10">
                  <c:v>0.15821952633120959</c:v>
                </c:pt>
              </c:numCache>
            </c:numRef>
          </c:val>
          <c:smooth val="0"/>
          <c:extLst>
            <c:ext xmlns:c16="http://schemas.microsoft.com/office/drawing/2014/chart" uri="{C3380CC4-5D6E-409C-BE32-E72D297353CC}">
              <c16:uniqueId val="{00000002-2C58-4AF5-8C32-9416D388A9D1}"/>
            </c:ext>
          </c:extLst>
        </c:ser>
        <c:ser>
          <c:idx val="1"/>
          <c:order val="3"/>
          <c:tx>
            <c:strRef>
              <c:f>'vyvoj cerpania'!$A$19</c:f>
              <c:strCache>
                <c:ptCount val="1"/>
              </c:strCache>
            </c:strRef>
          </c:tx>
          <c:spPr>
            <a:ln w="28575" cap="rnd">
              <a:solidFill>
                <a:schemeClr val="accent2"/>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cerpania'!$B$19:$L$19</c:f>
            </c:numRef>
          </c:val>
          <c:smooth val="0"/>
          <c:extLst>
            <c:ext xmlns:c16="http://schemas.microsoft.com/office/drawing/2014/chart" uri="{C3380CC4-5D6E-409C-BE32-E72D297353CC}">
              <c16:uniqueId val="{00000003-2C58-4AF5-8C32-9416D388A9D1}"/>
            </c:ext>
          </c:extLst>
        </c:ser>
        <c:ser>
          <c:idx val="2"/>
          <c:order val="4"/>
          <c:tx>
            <c:strRef>
              <c:f>'vyvoj cerpania'!$A$20</c:f>
              <c:strCache>
                <c:ptCount val="1"/>
              </c:strCache>
            </c:strRef>
          </c:tx>
          <c:spPr>
            <a:ln w="28575" cap="rnd">
              <a:solidFill>
                <a:schemeClr val="accent3"/>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cerpania'!$B$20:$L$20</c:f>
            </c:numRef>
          </c:val>
          <c:smooth val="0"/>
          <c:extLst>
            <c:ext xmlns:c16="http://schemas.microsoft.com/office/drawing/2014/chart" uri="{C3380CC4-5D6E-409C-BE32-E72D297353CC}">
              <c16:uniqueId val="{00000004-2C58-4AF5-8C32-9416D388A9D1}"/>
            </c:ext>
          </c:extLst>
        </c:ser>
        <c:ser>
          <c:idx val="3"/>
          <c:order val="5"/>
          <c:tx>
            <c:strRef>
              <c:f>'vyvoj cerpania'!$A$21</c:f>
              <c:strCache>
                <c:ptCount val="1"/>
                <c:pt idx="0">
                  <c:v>Príloha č. 1c_ii: Čerpanie finančných prostriedkov v rámci programového obdobia 2007 - 2013</c:v>
                </c:pt>
              </c:strCache>
            </c:strRef>
          </c:tx>
          <c:spPr>
            <a:ln w="28575" cap="rnd">
              <a:solidFill>
                <a:schemeClr val="accent4"/>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cerpania'!$B$21:$L$21</c:f>
            </c:numRef>
          </c:val>
          <c:smooth val="0"/>
          <c:extLst>
            <c:ext xmlns:c16="http://schemas.microsoft.com/office/drawing/2014/chart" uri="{C3380CC4-5D6E-409C-BE32-E72D297353CC}">
              <c16:uniqueId val="{00000005-2C58-4AF5-8C32-9416D388A9D1}"/>
            </c:ext>
          </c:extLst>
        </c:ser>
        <c:ser>
          <c:idx val="4"/>
          <c:order val="6"/>
          <c:tx>
            <c:strRef>
              <c:f>'vyvoj cerpania'!$A$22</c:f>
              <c:strCache>
                <c:ptCount val="1"/>
                <c:pt idx="0">
                  <c:v>Program</c:v>
                </c:pt>
              </c:strCache>
            </c:strRef>
          </c:tx>
          <c:spPr>
            <a:ln w="28575" cap="rnd">
              <a:solidFill>
                <a:schemeClr val="accent5"/>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cerpania'!$B$22:$L$22</c:f>
            </c:numRef>
          </c:val>
          <c:smooth val="0"/>
          <c:extLst>
            <c:ext xmlns:c16="http://schemas.microsoft.com/office/drawing/2014/chart" uri="{C3380CC4-5D6E-409C-BE32-E72D297353CC}">
              <c16:uniqueId val="{00000006-2C58-4AF5-8C32-9416D388A9D1}"/>
            </c:ext>
          </c:extLst>
        </c:ser>
        <c:ser>
          <c:idx val="5"/>
          <c:order val="7"/>
          <c:tx>
            <c:strRef>
              <c:f>'vyvoj cerpania'!$A$23</c:f>
              <c:strCache>
                <c:ptCount val="1"/>
              </c:strCache>
            </c:strRef>
          </c:tx>
          <c:spPr>
            <a:ln w="28575" cap="rnd">
              <a:solidFill>
                <a:schemeClr val="accent6"/>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cerpania'!$B$23:$L$23</c:f>
            </c:numRef>
          </c:val>
          <c:smooth val="0"/>
          <c:extLst>
            <c:ext xmlns:c16="http://schemas.microsoft.com/office/drawing/2014/chart" uri="{C3380CC4-5D6E-409C-BE32-E72D297353CC}">
              <c16:uniqueId val="{00000007-2C58-4AF5-8C32-9416D388A9D1}"/>
            </c:ext>
          </c:extLst>
        </c:ser>
        <c:ser>
          <c:idx val="6"/>
          <c:order val="8"/>
          <c:tx>
            <c:strRef>
              <c:f>'vyvoj cerpania'!$A$24</c:f>
              <c:strCache>
                <c:ptCount val="1"/>
              </c:strCache>
            </c:strRef>
          </c:tx>
          <c:spPr>
            <a:ln w="28575" cap="rnd">
              <a:solidFill>
                <a:schemeClr val="accent1">
                  <a:lumMod val="6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cerpania'!$B$24:$L$24</c:f>
            </c:numRef>
          </c:val>
          <c:smooth val="0"/>
          <c:extLst>
            <c:ext xmlns:c16="http://schemas.microsoft.com/office/drawing/2014/chart" uri="{C3380CC4-5D6E-409C-BE32-E72D297353CC}">
              <c16:uniqueId val="{00000008-2C58-4AF5-8C32-9416D388A9D1}"/>
            </c:ext>
          </c:extLst>
        </c:ser>
        <c:ser>
          <c:idx val="7"/>
          <c:order val="9"/>
          <c:tx>
            <c:strRef>
              <c:f>'vyvoj cerpania'!$A$25</c:f>
              <c:strCache>
                <c:ptCount val="1"/>
                <c:pt idx="0">
                  <c:v>OP Vzdelávanie</c:v>
                </c:pt>
              </c:strCache>
            </c:strRef>
          </c:tx>
          <c:spPr>
            <a:ln w="28575" cap="rnd">
              <a:solidFill>
                <a:schemeClr val="accent2">
                  <a:lumMod val="6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cerpania'!$B$25:$L$25</c:f>
            </c:numRef>
          </c:val>
          <c:smooth val="0"/>
          <c:extLst>
            <c:ext xmlns:c16="http://schemas.microsoft.com/office/drawing/2014/chart" uri="{C3380CC4-5D6E-409C-BE32-E72D297353CC}">
              <c16:uniqueId val="{00000009-2C58-4AF5-8C32-9416D388A9D1}"/>
            </c:ext>
          </c:extLst>
        </c:ser>
        <c:ser>
          <c:idx val="8"/>
          <c:order val="10"/>
          <c:tx>
            <c:strRef>
              <c:f>'vyvoj cerpania'!$A$26</c:f>
              <c:strCache>
                <c:ptCount val="1"/>
                <c:pt idx="0">
                  <c:v>OP Zamestn. a sociálna inklúzia</c:v>
                </c:pt>
              </c:strCache>
            </c:strRef>
          </c:tx>
          <c:spPr>
            <a:ln w="28575" cap="rnd">
              <a:solidFill>
                <a:schemeClr val="accent3">
                  <a:lumMod val="6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cerpania'!$B$26:$L$26</c:f>
            </c:numRef>
          </c:val>
          <c:smooth val="0"/>
          <c:extLst>
            <c:ext xmlns:c16="http://schemas.microsoft.com/office/drawing/2014/chart" uri="{C3380CC4-5D6E-409C-BE32-E72D297353CC}">
              <c16:uniqueId val="{0000000A-2C58-4AF5-8C32-9416D388A9D1}"/>
            </c:ext>
          </c:extLst>
        </c:ser>
        <c:ser>
          <c:idx val="9"/>
          <c:order val="11"/>
          <c:tx>
            <c:strRef>
              <c:f>'vyvoj cerpania'!$A$27</c:f>
              <c:strCache>
                <c:ptCount val="1"/>
                <c:pt idx="0">
                  <c:v>OP Informatizácia spoločnosti</c:v>
                </c:pt>
              </c:strCache>
            </c:strRef>
          </c:tx>
          <c:spPr>
            <a:ln w="28575" cap="rnd">
              <a:solidFill>
                <a:schemeClr val="accent4">
                  <a:lumMod val="6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cerpania'!$B$27:$L$27</c:f>
            </c:numRef>
          </c:val>
          <c:smooth val="0"/>
          <c:extLst>
            <c:ext xmlns:c16="http://schemas.microsoft.com/office/drawing/2014/chart" uri="{C3380CC4-5D6E-409C-BE32-E72D297353CC}">
              <c16:uniqueId val="{0000000B-2C58-4AF5-8C32-9416D388A9D1}"/>
            </c:ext>
          </c:extLst>
        </c:ser>
        <c:ser>
          <c:idx val="10"/>
          <c:order val="12"/>
          <c:tx>
            <c:strRef>
              <c:f>'vyvoj cerpania'!$A$28</c:f>
              <c:strCache>
                <c:ptCount val="1"/>
                <c:pt idx="0">
                  <c:v>OP Životné prostredie (ERDF + KF)</c:v>
                </c:pt>
              </c:strCache>
            </c:strRef>
          </c:tx>
          <c:spPr>
            <a:ln w="28575" cap="rnd">
              <a:solidFill>
                <a:schemeClr val="accent5">
                  <a:lumMod val="6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cerpania'!$B$28:$L$28</c:f>
            </c:numRef>
          </c:val>
          <c:smooth val="0"/>
          <c:extLst>
            <c:ext xmlns:c16="http://schemas.microsoft.com/office/drawing/2014/chart" uri="{C3380CC4-5D6E-409C-BE32-E72D297353CC}">
              <c16:uniqueId val="{0000000C-2C58-4AF5-8C32-9416D388A9D1}"/>
            </c:ext>
          </c:extLst>
        </c:ser>
        <c:ser>
          <c:idx val="11"/>
          <c:order val="13"/>
          <c:tx>
            <c:strRef>
              <c:f>'vyvoj cerpania'!$A$29</c:f>
              <c:strCache>
                <c:ptCount val="1"/>
                <c:pt idx="0">
                  <c:v>Regionálny OP</c:v>
                </c:pt>
              </c:strCache>
            </c:strRef>
          </c:tx>
          <c:spPr>
            <a:ln w="28575" cap="rnd">
              <a:solidFill>
                <a:schemeClr val="accent6">
                  <a:lumMod val="6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cerpania'!$B$29:$L$29</c:f>
            </c:numRef>
          </c:val>
          <c:smooth val="0"/>
          <c:extLst>
            <c:ext xmlns:c16="http://schemas.microsoft.com/office/drawing/2014/chart" uri="{C3380CC4-5D6E-409C-BE32-E72D297353CC}">
              <c16:uniqueId val="{0000000D-2C58-4AF5-8C32-9416D388A9D1}"/>
            </c:ext>
          </c:extLst>
        </c:ser>
        <c:ser>
          <c:idx val="12"/>
          <c:order val="14"/>
          <c:tx>
            <c:strRef>
              <c:f>'vyvoj cerpania'!$A$30</c:f>
              <c:strCache>
                <c:ptCount val="1"/>
                <c:pt idx="0">
                  <c:v>OP Doprava (ERDF + KF)</c:v>
                </c:pt>
              </c:strCache>
            </c:strRef>
          </c:tx>
          <c:spPr>
            <a:ln w="28575" cap="rnd">
              <a:solidFill>
                <a:schemeClr val="accent1">
                  <a:lumMod val="80000"/>
                  <a:lumOff val="2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cerpania'!$B$30:$L$30</c:f>
            </c:numRef>
          </c:val>
          <c:smooth val="0"/>
          <c:extLst>
            <c:ext xmlns:c16="http://schemas.microsoft.com/office/drawing/2014/chart" uri="{C3380CC4-5D6E-409C-BE32-E72D297353CC}">
              <c16:uniqueId val="{0000000E-2C58-4AF5-8C32-9416D388A9D1}"/>
            </c:ext>
          </c:extLst>
        </c:ser>
        <c:ser>
          <c:idx val="13"/>
          <c:order val="15"/>
          <c:tx>
            <c:strRef>
              <c:f>'vyvoj cerpania'!$A$31</c:f>
              <c:strCache>
                <c:ptCount val="1"/>
                <c:pt idx="0">
                  <c:v>OP Zdravotníctvo</c:v>
                </c:pt>
              </c:strCache>
            </c:strRef>
          </c:tx>
          <c:spPr>
            <a:ln w="28575" cap="rnd">
              <a:solidFill>
                <a:schemeClr val="accent2">
                  <a:lumMod val="80000"/>
                  <a:lumOff val="2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cerpania'!$B$31:$L$31</c:f>
            </c:numRef>
          </c:val>
          <c:smooth val="0"/>
          <c:extLst>
            <c:ext xmlns:c16="http://schemas.microsoft.com/office/drawing/2014/chart" uri="{C3380CC4-5D6E-409C-BE32-E72D297353CC}">
              <c16:uniqueId val="{0000000F-2C58-4AF5-8C32-9416D388A9D1}"/>
            </c:ext>
          </c:extLst>
        </c:ser>
        <c:ser>
          <c:idx val="14"/>
          <c:order val="16"/>
          <c:tx>
            <c:strRef>
              <c:f>'vyvoj cerpania'!$A$32</c:f>
              <c:strCache>
                <c:ptCount val="1"/>
                <c:pt idx="0">
                  <c:v>OP Konkurenc. a hosp. rast</c:v>
                </c:pt>
              </c:strCache>
            </c:strRef>
          </c:tx>
          <c:spPr>
            <a:ln w="28575" cap="rnd">
              <a:solidFill>
                <a:schemeClr val="accent3">
                  <a:lumMod val="80000"/>
                  <a:lumOff val="2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cerpania'!$B$32:$L$32</c:f>
            </c:numRef>
          </c:val>
          <c:smooth val="0"/>
          <c:extLst>
            <c:ext xmlns:c16="http://schemas.microsoft.com/office/drawing/2014/chart" uri="{C3380CC4-5D6E-409C-BE32-E72D297353CC}">
              <c16:uniqueId val="{00000010-2C58-4AF5-8C32-9416D388A9D1}"/>
            </c:ext>
          </c:extLst>
        </c:ser>
        <c:ser>
          <c:idx val="15"/>
          <c:order val="17"/>
          <c:tx>
            <c:strRef>
              <c:f>'vyvoj cerpania'!$A$33</c:f>
              <c:strCache>
                <c:ptCount val="1"/>
                <c:pt idx="0">
                  <c:v>OP Technická pomoc</c:v>
                </c:pt>
              </c:strCache>
            </c:strRef>
          </c:tx>
          <c:spPr>
            <a:ln w="28575" cap="rnd">
              <a:solidFill>
                <a:schemeClr val="accent4">
                  <a:lumMod val="80000"/>
                  <a:lumOff val="2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cerpania'!$B$33:$L$33</c:f>
            </c:numRef>
          </c:val>
          <c:smooth val="0"/>
          <c:extLst>
            <c:ext xmlns:c16="http://schemas.microsoft.com/office/drawing/2014/chart" uri="{C3380CC4-5D6E-409C-BE32-E72D297353CC}">
              <c16:uniqueId val="{00000011-2C58-4AF5-8C32-9416D388A9D1}"/>
            </c:ext>
          </c:extLst>
        </c:ser>
        <c:ser>
          <c:idx val="16"/>
          <c:order val="18"/>
          <c:tx>
            <c:strRef>
              <c:f>'vyvoj cerpania'!$A$34</c:f>
              <c:strCache>
                <c:ptCount val="1"/>
                <c:pt idx="0">
                  <c:v>OP Bratislavský kraj</c:v>
                </c:pt>
              </c:strCache>
            </c:strRef>
          </c:tx>
          <c:spPr>
            <a:ln w="28575" cap="rnd">
              <a:solidFill>
                <a:schemeClr val="accent5">
                  <a:lumMod val="80000"/>
                  <a:lumOff val="2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cerpania'!$B$34:$L$34</c:f>
            </c:numRef>
          </c:val>
          <c:smooth val="0"/>
          <c:extLst>
            <c:ext xmlns:c16="http://schemas.microsoft.com/office/drawing/2014/chart" uri="{C3380CC4-5D6E-409C-BE32-E72D297353CC}">
              <c16:uniqueId val="{00000012-2C58-4AF5-8C32-9416D388A9D1}"/>
            </c:ext>
          </c:extLst>
        </c:ser>
        <c:ser>
          <c:idx val="17"/>
          <c:order val="19"/>
          <c:tx>
            <c:strRef>
              <c:f>'vyvoj cerpania'!$A$35</c:f>
              <c:strCache>
                <c:ptCount val="1"/>
                <c:pt idx="0">
                  <c:v>OP Výskum a vývoj</c:v>
                </c:pt>
              </c:strCache>
            </c:strRef>
          </c:tx>
          <c:spPr>
            <a:ln w="28575" cap="rnd">
              <a:solidFill>
                <a:schemeClr val="accent6">
                  <a:lumMod val="80000"/>
                  <a:lumOff val="2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cerpania'!$B$35:$L$35</c:f>
            </c:numRef>
          </c:val>
          <c:smooth val="0"/>
          <c:extLst>
            <c:ext xmlns:c16="http://schemas.microsoft.com/office/drawing/2014/chart" uri="{C3380CC4-5D6E-409C-BE32-E72D297353CC}">
              <c16:uniqueId val="{00000013-2C58-4AF5-8C32-9416D388A9D1}"/>
            </c:ext>
          </c:extLst>
        </c:ser>
        <c:ser>
          <c:idx val="18"/>
          <c:order val="20"/>
          <c:tx>
            <c:strRef>
              <c:f>'vyvoj cerpania'!$A$36</c:f>
              <c:strCache>
                <c:ptCount val="1"/>
                <c:pt idx="0">
                  <c:v>OP Cezhraničná spolupráca SR-ČR</c:v>
                </c:pt>
              </c:strCache>
            </c:strRef>
          </c:tx>
          <c:spPr>
            <a:ln w="28575" cap="rnd">
              <a:solidFill>
                <a:schemeClr val="accent1">
                  <a:lumMod val="8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cerpania'!$B$36:$L$36</c:f>
            </c:numRef>
          </c:val>
          <c:smooth val="0"/>
          <c:extLst>
            <c:ext xmlns:c16="http://schemas.microsoft.com/office/drawing/2014/chart" uri="{C3380CC4-5D6E-409C-BE32-E72D297353CC}">
              <c16:uniqueId val="{00000014-2C58-4AF5-8C32-9416D388A9D1}"/>
            </c:ext>
          </c:extLst>
        </c:ser>
        <c:ser>
          <c:idx val="19"/>
          <c:order val="21"/>
          <c:tx>
            <c:strRef>
              <c:f>'vyvoj cerpania'!$A$37</c:f>
              <c:strCache>
                <c:ptCount val="1"/>
                <c:pt idx="0">
                  <c:v>OP Interact II</c:v>
                </c:pt>
              </c:strCache>
            </c:strRef>
          </c:tx>
          <c:spPr>
            <a:ln w="28575" cap="rnd">
              <a:solidFill>
                <a:schemeClr val="accent2">
                  <a:lumMod val="8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cerpania'!$B$37:$L$37</c:f>
            </c:numRef>
          </c:val>
          <c:smooth val="0"/>
          <c:extLst>
            <c:ext xmlns:c16="http://schemas.microsoft.com/office/drawing/2014/chart" uri="{C3380CC4-5D6E-409C-BE32-E72D297353CC}">
              <c16:uniqueId val="{00000015-2C58-4AF5-8C32-9416D388A9D1}"/>
            </c:ext>
          </c:extLst>
        </c:ser>
        <c:ser>
          <c:idx val="20"/>
          <c:order val="22"/>
          <c:tx>
            <c:strRef>
              <c:f>'vyvoj cerpania'!$A$38</c:f>
              <c:strCache>
                <c:ptCount val="1"/>
                <c:pt idx="0">
                  <c:v>OP Rybné hospodárstvo</c:v>
                </c:pt>
              </c:strCache>
            </c:strRef>
          </c:tx>
          <c:spPr>
            <a:ln w="28575" cap="rnd">
              <a:solidFill>
                <a:schemeClr val="accent3">
                  <a:lumMod val="8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cerpania'!$B$38:$L$38</c:f>
            </c:numRef>
          </c:val>
          <c:smooth val="0"/>
          <c:extLst>
            <c:ext xmlns:c16="http://schemas.microsoft.com/office/drawing/2014/chart" uri="{C3380CC4-5D6E-409C-BE32-E72D297353CC}">
              <c16:uniqueId val="{00000016-2C58-4AF5-8C32-9416D388A9D1}"/>
            </c:ext>
          </c:extLst>
        </c:ser>
        <c:ser>
          <c:idx val="21"/>
          <c:order val="23"/>
          <c:tx>
            <c:strRef>
              <c:f>'vyvoj cerpania'!$A$39</c:f>
              <c:strCache>
                <c:ptCount val="1"/>
                <c:pt idx="0">
                  <c:v>PO 2007 - 2013 </c:v>
                </c:pt>
              </c:strCache>
            </c:strRef>
          </c:tx>
          <c:spPr>
            <a:ln w="28575" cap="rnd">
              <a:solidFill>
                <a:schemeClr val="accent4">
                  <a:lumMod val="8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cerpania'!$B$39:$L$39</c:f>
            </c:numRef>
          </c:val>
          <c:smooth val="0"/>
          <c:extLst>
            <c:ext xmlns:c16="http://schemas.microsoft.com/office/drawing/2014/chart" uri="{C3380CC4-5D6E-409C-BE32-E72D297353CC}">
              <c16:uniqueId val="{00000017-2C58-4AF5-8C32-9416D388A9D1}"/>
            </c:ext>
          </c:extLst>
        </c:ser>
        <c:ser>
          <c:idx val="23"/>
          <c:order val="24"/>
          <c:tx>
            <c:strRef>
              <c:f>'vyvoj cerpania'!$A$41</c:f>
              <c:strCache>
                <c:ptCount val="1"/>
              </c:strCache>
            </c:strRef>
          </c:tx>
          <c:spPr>
            <a:ln w="28575" cap="rnd">
              <a:solidFill>
                <a:schemeClr val="accent6">
                  <a:lumMod val="8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cerpania'!$B$41:$L$41</c:f>
            </c:numRef>
          </c:val>
          <c:smooth val="0"/>
          <c:extLst>
            <c:ext xmlns:c16="http://schemas.microsoft.com/office/drawing/2014/chart" uri="{C3380CC4-5D6E-409C-BE32-E72D297353CC}">
              <c16:uniqueId val="{00000018-2C58-4AF5-8C32-9416D388A9D1}"/>
            </c:ext>
          </c:extLst>
        </c:ser>
        <c:ser>
          <c:idx val="24"/>
          <c:order val="25"/>
          <c:tx>
            <c:strRef>
              <c:f>'vyvoj cerpania'!$A$42</c:f>
              <c:strCache>
                <c:ptCount val="1"/>
                <c:pt idx="0">
                  <c:v>Príloha č. 1c_i: Čerpanie ŠF v rámci programového obdobia 2004 - 2006</c:v>
                </c:pt>
              </c:strCache>
            </c:strRef>
          </c:tx>
          <c:spPr>
            <a:ln w="28575" cap="rnd">
              <a:solidFill>
                <a:schemeClr val="accent1">
                  <a:lumMod val="60000"/>
                  <a:lumOff val="4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cerpania'!$B$42:$L$42</c:f>
            </c:numRef>
          </c:val>
          <c:smooth val="0"/>
          <c:extLst>
            <c:ext xmlns:c16="http://schemas.microsoft.com/office/drawing/2014/chart" uri="{C3380CC4-5D6E-409C-BE32-E72D297353CC}">
              <c16:uniqueId val="{00000019-2C58-4AF5-8C32-9416D388A9D1}"/>
            </c:ext>
          </c:extLst>
        </c:ser>
        <c:ser>
          <c:idx val="25"/>
          <c:order val="26"/>
          <c:tx>
            <c:strRef>
              <c:f>'vyvoj cerpania'!$A$43</c:f>
              <c:strCache>
                <c:ptCount val="1"/>
                <c:pt idx="0">
                  <c:v>Program</c:v>
                </c:pt>
              </c:strCache>
            </c:strRef>
          </c:tx>
          <c:spPr>
            <a:ln w="28575" cap="rnd">
              <a:solidFill>
                <a:schemeClr val="accent2">
                  <a:lumMod val="60000"/>
                  <a:lumOff val="4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cerpania'!$B$43:$L$43</c:f>
            </c:numRef>
          </c:val>
          <c:smooth val="0"/>
          <c:extLst>
            <c:ext xmlns:c16="http://schemas.microsoft.com/office/drawing/2014/chart" uri="{C3380CC4-5D6E-409C-BE32-E72D297353CC}">
              <c16:uniqueId val="{0000001A-2C58-4AF5-8C32-9416D388A9D1}"/>
            </c:ext>
          </c:extLst>
        </c:ser>
        <c:ser>
          <c:idx val="26"/>
          <c:order val="27"/>
          <c:tx>
            <c:strRef>
              <c:f>'vyvoj cerpania'!$A$44</c:f>
              <c:strCache>
                <c:ptCount val="1"/>
              </c:strCache>
            </c:strRef>
          </c:tx>
          <c:spPr>
            <a:ln w="28575" cap="rnd">
              <a:solidFill>
                <a:schemeClr val="accent3">
                  <a:lumMod val="60000"/>
                  <a:lumOff val="4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cerpania'!$B$44:$L$44</c:f>
            </c:numRef>
          </c:val>
          <c:smooth val="0"/>
          <c:extLst>
            <c:ext xmlns:c16="http://schemas.microsoft.com/office/drawing/2014/chart" uri="{C3380CC4-5D6E-409C-BE32-E72D297353CC}">
              <c16:uniqueId val="{0000001B-2C58-4AF5-8C32-9416D388A9D1}"/>
            </c:ext>
          </c:extLst>
        </c:ser>
        <c:ser>
          <c:idx val="27"/>
          <c:order val="28"/>
          <c:tx>
            <c:strRef>
              <c:f>'vyvoj cerpania'!$A$45</c:f>
              <c:strCache>
                <c:ptCount val="1"/>
              </c:strCache>
            </c:strRef>
          </c:tx>
          <c:spPr>
            <a:ln w="28575" cap="rnd">
              <a:solidFill>
                <a:schemeClr val="accent4">
                  <a:lumMod val="60000"/>
                  <a:lumOff val="4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cerpania'!$B$45:$L$45</c:f>
            </c:numRef>
          </c:val>
          <c:smooth val="0"/>
          <c:extLst>
            <c:ext xmlns:c16="http://schemas.microsoft.com/office/drawing/2014/chart" uri="{C3380CC4-5D6E-409C-BE32-E72D297353CC}">
              <c16:uniqueId val="{0000001C-2C58-4AF5-8C32-9416D388A9D1}"/>
            </c:ext>
          </c:extLst>
        </c:ser>
        <c:ser>
          <c:idx val="28"/>
          <c:order val="29"/>
          <c:tx>
            <c:strRef>
              <c:f>'vyvoj cerpania'!$A$46</c:f>
              <c:strCache>
                <c:ptCount val="1"/>
                <c:pt idx="0">
                  <c:v>SOP Priemysel a služby </c:v>
                </c:pt>
              </c:strCache>
            </c:strRef>
          </c:tx>
          <c:spPr>
            <a:ln w="28575" cap="rnd">
              <a:solidFill>
                <a:schemeClr val="accent5">
                  <a:lumMod val="60000"/>
                  <a:lumOff val="4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cerpania'!$B$46:$L$46</c:f>
            </c:numRef>
          </c:val>
          <c:smooth val="0"/>
          <c:extLst>
            <c:ext xmlns:c16="http://schemas.microsoft.com/office/drawing/2014/chart" uri="{C3380CC4-5D6E-409C-BE32-E72D297353CC}">
              <c16:uniqueId val="{0000001D-2C58-4AF5-8C32-9416D388A9D1}"/>
            </c:ext>
          </c:extLst>
        </c:ser>
        <c:ser>
          <c:idx val="29"/>
          <c:order val="30"/>
          <c:tx>
            <c:strRef>
              <c:f>'vyvoj cerpania'!$A$47</c:f>
              <c:strCache>
                <c:ptCount val="1"/>
                <c:pt idx="0">
                  <c:v>SOP Ľudské zdroje </c:v>
                </c:pt>
              </c:strCache>
            </c:strRef>
          </c:tx>
          <c:spPr>
            <a:ln w="28575" cap="rnd">
              <a:solidFill>
                <a:schemeClr val="accent6">
                  <a:lumMod val="60000"/>
                  <a:lumOff val="4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cerpania'!$B$47:$L$47</c:f>
            </c:numRef>
          </c:val>
          <c:smooth val="0"/>
          <c:extLst>
            <c:ext xmlns:c16="http://schemas.microsoft.com/office/drawing/2014/chart" uri="{C3380CC4-5D6E-409C-BE32-E72D297353CC}">
              <c16:uniqueId val="{0000001E-2C58-4AF5-8C32-9416D388A9D1}"/>
            </c:ext>
          </c:extLst>
        </c:ser>
        <c:ser>
          <c:idx val="30"/>
          <c:order val="31"/>
          <c:tx>
            <c:strRef>
              <c:f>'vyvoj cerpania'!$A$48</c:f>
              <c:strCache>
                <c:ptCount val="1"/>
                <c:pt idx="0">
                  <c:v>SOP Poľnoh. a rozvoj vidieka </c:v>
                </c:pt>
              </c:strCache>
            </c:strRef>
          </c:tx>
          <c:spPr>
            <a:ln w="28575" cap="rnd">
              <a:solidFill>
                <a:schemeClr val="accent1">
                  <a:lumMod val="5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cerpania'!$B$48:$L$48</c:f>
            </c:numRef>
          </c:val>
          <c:smooth val="0"/>
          <c:extLst>
            <c:ext xmlns:c16="http://schemas.microsoft.com/office/drawing/2014/chart" uri="{C3380CC4-5D6E-409C-BE32-E72D297353CC}">
              <c16:uniqueId val="{0000001F-2C58-4AF5-8C32-9416D388A9D1}"/>
            </c:ext>
          </c:extLst>
        </c:ser>
        <c:ser>
          <c:idx val="31"/>
          <c:order val="32"/>
          <c:tx>
            <c:strRef>
              <c:f>'vyvoj cerpania'!$A$49</c:f>
              <c:strCache>
                <c:ptCount val="1"/>
                <c:pt idx="0">
                  <c:v>OP Základná infraštruktúra </c:v>
                </c:pt>
              </c:strCache>
            </c:strRef>
          </c:tx>
          <c:spPr>
            <a:ln w="28575" cap="rnd">
              <a:solidFill>
                <a:schemeClr val="accent2">
                  <a:lumMod val="5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cerpania'!$B$49:$L$49</c:f>
            </c:numRef>
          </c:val>
          <c:smooth val="0"/>
          <c:extLst>
            <c:ext xmlns:c16="http://schemas.microsoft.com/office/drawing/2014/chart" uri="{C3380CC4-5D6E-409C-BE32-E72D297353CC}">
              <c16:uniqueId val="{00000020-2C58-4AF5-8C32-9416D388A9D1}"/>
            </c:ext>
          </c:extLst>
        </c:ser>
        <c:ser>
          <c:idx val="32"/>
          <c:order val="33"/>
          <c:tx>
            <c:strRef>
              <c:f>'vyvoj cerpania'!$A$50</c:f>
              <c:strCache>
                <c:ptCount val="1"/>
                <c:pt idx="0">
                  <c:v>SPD Bratislava Cieľ 2</c:v>
                </c:pt>
              </c:strCache>
            </c:strRef>
          </c:tx>
          <c:spPr>
            <a:ln w="28575" cap="rnd">
              <a:solidFill>
                <a:schemeClr val="accent3">
                  <a:lumMod val="5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cerpania'!$B$50:$L$50</c:f>
            </c:numRef>
          </c:val>
          <c:smooth val="0"/>
          <c:extLst>
            <c:ext xmlns:c16="http://schemas.microsoft.com/office/drawing/2014/chart" uri="{C3380CC4-5D6E-409C-BE32-E72D297353CC}">
              <c16:uniqueId val="{00000021-2C58-4AF5-8C32-9416D388A9D1}"/>
            </c:ext>
          </c:extLst>
        </c:ser>
        <c:ser>
          <c:idx val="33"/>
          <c:order val="34"/>
          <c:tx>
            <c:strRef>
              <c:f>'vyvoj cerpania'!$A$51</c:f>
              <c:strCache>
                <c:ptCount val="1"/>
                <c:pt idx="0">
                  <c:v>SPD Bratislava Cieľ  3</c:v>
                </c:pt>
              </c:strCache>
            </c:strRef>
          </c:tx>
          <c:spPr>
            <a:ln w="28575" cap="rnd">
              <a:solidFill>
                <a:schemeClr val="accent4">
                  <a:lumMod val="5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cerpania'!$B$51:$L$51</c:f>
            </c:numRef>
          </c:val>
          <c:smooth val="0"/>
          <c:extLst>
            <c:ext xmlns:c16="http://schemas.microsoft.com/office/drawing/2014/chart" uri="{C3380CC4-5D6E-409C-BE32-E72D297353CC}">
              <c16:uniqueId val="{00000022-2C58-4AF5-8C32-9416D388A9D1}"/>
            </c:ext>
          </c:extLst>
        </c:ser>
        <c:ser>
          <c:idx val="34"/>
          <c:order val="35"/>
          <c:tx>
            <c:strRef>
              <c:f>'vyvoj cerpania'!$A$52</c:f>
              <c:strCache>
                <c:ptCount val="1"/>
                <c:pt idx="0">
                  <c:v>CIP INTERREG IIIA RA-SR</c:v>
                </c:pt>
              </c:strCache>
            </c:strRef>
          </c:tx>
          <c:spPr>
            <a:ln w="28575" cap="rnd">
              <a:solidFill>
                <a:schemeClr val="accent5">
                  <a:lumMod val="5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cerpania'!$B$52:$L$52</c:f>
            </c:numRef>
          </c:val>
          <c:smooth val="0"/>
          <c:extLst>
            <c:ext xmlns:c16="http://schemas.microsoft.com/office/drawing/2014/chart" uri="{C3380CC4-5D6E-409C-BE32-E72D297353CC}">
              <c16:uniqueId val="{00000023-2C58-4AF5-8C32-9416D388A9D1}"/>
            </c:ext>
          </c:extLst>
        </c:ser>
        <c:ser>
          <c:idx val="35"/>
          <c:order val="36"/>
          <c:tx>
            <c:strRef>
              <c:f>'vyvoj cerpania'!$A$53</c:f>
              <c:strCache>
                <c:ptCount val="1"/>
                <c:pt idx="0">
                  <c:v>CIP INTERREG IIIA PL-SR</c:v>
                </c:pt>
              </c:strCache>
            </c:strRef>
          </c:tx>
          <c:spPr>
            <a:ln w="28575" cap="rnd">
              <a:solidFill>
                <a:schemeClr val="accent6">
                  <a:lumMod val="5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cerpania'!$B$53:$L$53</c:f>
            </c:numRef>
          </c:val>
          <c:smooth val="0"/>
          <c:extLst>
            <c:ext xmlns:c16="http://schemas.microsoft.com/office/drawing/2014/chart" uri="{C3380CC4-5D6E-409C-BE32-E72D297353CC}">
              <c16:uniqueId val="{00000024-2C58-4AF5-8C32-9416D388A9D1}"/>
            </c:ext>
          </c:extLst>
        </c:ser>
        <c:ser>
          <c:idx val="36"/>
          <c:order val="37"/>
          <c:tx>
            <c:strRef>
              <c:f>'vyvoj cerpania'!$A$54</c:f>
              <c:strCache>
                <c:ptCount val="1"/>
                <c:pt idx="0">
                  <c:v>CIP INTERREG IIIA SR-ČR</c:v>
                </c:pt>
              </c:strCache>
            </c:strRef>
          </c:tx>
          <c:spPr>
            <a:ln w="28575" cap="rnd">
              <a:solidFill>
                <a:schemeClr val="accent1">
                  <a:lumMod val="70000"/>
                  <a:lumOff val="3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cerpania'!$B$54:$L$54</c:f>
            </c:numRef>
          </c:val>
          <c:smooth val="0"/>
          <c:extLst>
            <c:ext xmlns:c16="http://schemas.microsoft.com/office/drawing/2014/chart" uri="{C3380CC4-5D6E-409C-BE32-E72D297353CC}">
              <c16:uniqueId val="{00000025-2C58-4AF5-8C32-9416D388A9D1}"/>
            </c:ext>
          </c:extLst>
        </c:ser>
        <c:ser>
          <c:idx val="37"/>
          <c:order val="38"/>
          <c:tx>
            <c:strRef>
              <c:f>'vyvoj cerpania'!$A$55</c:f>
              <c:strCache>
                <c:ptCount val="1"/>
                <c:pt idx="0">
                  <c:v>CIP INTERREG IIIA H-SR-Ukr</c:v>
                </c:pt>
              </c:strCache>
            </c:strRef>
          </c:tx>
          <c:spPr>
            <a:ln w="28575" cap="rnd">
              <a:solidFill>
                <a:schemeClr val="accent2">
                  <a:lumMod val="70000"/>
                  <a:lumOff val="3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cerpania'!$B$55:$L$55</c:f>
            </c:numRef>
          </c:val>
          <c:smooth val="0"/>
          <c:extLst>
            <c:ext xmlns:c16="http://schemas.microsoft.com/office/drawing/2014/chart" uri="{C3380CC4-5D6E-409C-BE32-E72D297353CC}">
              <c16:uniqueId val="{00000026-2C58-4AF5-8C32-9416D388A9D1}"/>
            </c:ext>
          </c:extLst>
        </c:ser>
        <c:ser>
          <c:idx val="38"/>
          <c:order val="39"/>
          <c:tx>
            <c:strRef>
              <c:f>'vyvoj cerpania'!$A$56</c:f>
              <c:strCache>
                <c:ptCount val="1"/>
                <c:pt idx="0">
                  <c:v>CIP EQUAL</c:v>
                </c:pt>
              </c:strCache>
            </c:strRef>
          </c:tx>
          <c:spPr>
            <a:ln w="28575" cap="rnd">
              <a:solidFill>
                <a:schemeClr val="accent3">
                  <a:lumMod val="70000"/>
                  <a:lumOff val="3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cerpania'!$B$56:$L$56</c:f>
            </c:numRef>
          </c:val>
          <c:smooth val="0"/>
          <c:extLst>
            <c:ext xmlns:c16="http://schemas.microsoft.com/office/drawing/2014/chart" uri="{C3380CC4-5D6E-409C-BE32-E72D297353CC}">
              <c16:uniqueId val="{00000027-2C58-4AF5-8C32-9416D388A9D1}"/>
            </c:ext>
          </c:extLst>
        </c:ser>
        <c:ser>
          <c:idx val="39"/>
          <c:order val="40"/>
          <c:tx>
            <c:strRef>
              <c:f>'vyvoj cerpania'!$A$57</c:f>
              <c:strCache>
                <c:ptCount val="1"/>
                <c:pt idx="0">
                  <c:v>PO 2004 - 2006 </c:v>
                </c:pt>
              </c:strCache>
            </c:strRef>
          </c:tx>
          <c:spPr>
            <a:ln w="28575" cap="rnd">
              <a:solidFill>
                <a:schemeClr val="accent4">
                  <a:lumMod val="70000"/>
                  <a:lumOff val="30000"/>
                </a:schemeClr>
              </a:solidFill>
              <a:round/>
            </a:ln>
            <a:effectLst/>
          </c:spPr>
          <c:marker>
            <c:symbol val="none"/>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cerpania'!$B$57:$L$57</c:f>
            </c:numRef>
          </c:val>
          <c:smooth val="0"/>
          <c:extLst>
            <c:ext xmlns:c16="http://schemas.microsoft.com/office/drawing/2014/chart" uri="{C3380CC4-5D6E-409C-BE32-E72D297353CC}">
              <c16:uniqueId val="{00000028-2C58-4AF5-8C32-9416D388A9D1}"/>
            </c:ext>
          </c:extLst>
        </c:ser>
        <c:ser>
          <c:idx val="41"/>
          <c:order val="41"/>
          <c:tx>
            <c:strRef>
              <c:f>'vyvoj cerpania'!$A$59</c:f>
              <c:strCache>
                <c:ptCount val="1"/>
                <c:pt idx="0">
                  <c:v>PO 2021 - 2027</c:v>
                </c:pt>
              </c:strCache>
            </c:strRef>
          </c:tx>
          <c:spPr>
            <a:ln w="28575" cap="rnd">
              <a:solidFill>
                <a:schemeClr val="accent6">
                  <a:lumMod val="70000"/>
                  <a:lumOff val="30000"/>
                </a:schemeClr>
              </a:solidFill>
              <a:round/>
            </a:ln>
            <a:effectLst/>
          </c:spPr>
          <c:marker>
            <c:symbol val="circle"/>
            <c:size val="5"/>
            <c:spPr>
              <a:solidFill>
                <a:schemeClr val="accent6">
                  <a:lumMod val="70000"/>
                  <a:lumOff val="30000"/>
                </a:schemeClr>
              </a:solidFill>
              <a:ln w="9525">
                <a:solidFill>
                  <a:schemeClr val="bg1"/>
                </a:solidFill>
              </a:ln>
              <a:effectLst/>
            </c:spPr>
          </c:marker>
          <c:cat>
            <c:strRef>
              <c:f>'vyvoj cerpania'!$B$17:$L$17</c:f>
              <c:strCache>
                <c:ptCount val="11"/>
                <c:pt idx="0">
                  <c:v>1. rok</c:v>
                </c:pt>
                <c:pt idx="1">
                  <c:v>2. rok</c:v>
                </c:pt>
                <c:pt idx="2">
                  <c:v>3. rok</c:v>
                </c:pt>
                <c:pt idx="3">
                  <c:v>4. rok</c:v>
                </c:pt>
                <c:pt idx="4">
                  <c:v>5. rok</c:v>
                </c:pt>
                <c:pt idx="5">
                  <c:v>6. rok</c:v>
                </c:pt>
                <c:pt idx="6">
                  <c:v>7. rok</c:v>
                </c:pt>
                <c:pt idx="7">
                  <c:v>8. rok</c:v>
                </c:pt>
                <c:pt idx="8">
                  <c:v>9. rok</c:v>
                </c:pt>
                <c:pt idx="9">
                  <c:v>10. rok</c:v>
                </c:pt>
                <c:pt idx="10">
                  <c:v>11. rok</c:v>
                </c:pt>
              </c:strCache>
            </c:strRef>
          </c:cat>
          <c:val>
            <c:numRef>
              <c:f>'vyvoj cerpania'!$B$59:$E$59</c:f>
              <c:numCache>
                <c:formatCode>0.0%</c:formatCode>
                <c:ptCount val="4"/>
                <c:pt idx="0">
                  <c:v>0</c:v>
                </c:pt>
                <c:pt idx="1">
                  <c:v>0</c:v>
                </c:pt>
                <c:pt idx="2">
                  <c:v>0</c:v>
                </c:pt>
                <c:pt idx="3">
                  <c:v>3.0491014865168701E-2</c:v>
                </c:pt>
              </c:numCache>
            </c:numRef>
          </c:val>
          <c:smooth val="0"/>
          <c:extLst>
            <c:ext xmlns:c16="http://schemas.microsoft.com/office/drawing/2014/chart" uri="{C3380CC4-5D6E-409C-BE32-E72D297353CC}">
              <c16:uniqueId val="{00000029-2C58-4AF5-8C32-9416D388A9D1}"/>
            </c:ext>
          </c:extLst>
        </c:ser>
        <c:dLbls>
          <c:showLegendKey val="0"/>
          <c:showVal val="0"/>
          <c:showCatName val="0"/>
          <c:showSerName val="0"/>
          <c:showPercent val="0"/>
          <c:showBubbleSize val="0"/>
        </c:dLbls>
        <c:marker val="1"/>
        <c:smooth val="0"/>
        <c:axId val="2037514880"/>
        <c:axId val="2037519040"/>
      </c:lineChart>
      <c:catAx>
        <c:axId val="2037514880"/>
        <c:scaling>
          <c:orientation val="minMax"/>
        </c:scaling>
        <c:delete val="0"/>
        <c:axPos val="b"/>
        <c:numFmt formatCode="General" sourceLinked="1"/>
        <c:majorTickMark val="none"/>
        <c:minorTickMark val="cross"/>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37519040"/>
        <c:crosses val="autoZero"/>
        <c:auto val="1"/>
        <c:lblAlgn val="ctr"/>
        <c:lblOffset val="100"/>
        <c:noMultiLvlLbl val="0"/>
      </c:catAx>
      <c:valAx>
        <c:axId val="203751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37514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'EÚ makro'!$B$3</c:f>
              <c:strCache>
                <c:ptCount val="1"/>
                <c:pt idx="0">
                  <c:v>Slovensko</c:v>
                </c:pt>
              </c:strCache>
            </c:strRef>
          </c:tx>
          <c:spPr>
            <a:ln w="28575" cap="rnd">
              <a:solidFill>
                <a:schemeClr val="accent1"/>
              </a:solidFill>
              <a:round/>
            </a:ln>
            <a:effectLst/>
          </c:spPr>
          <c:marker>
            <c:symbol val="circle"/>
            <c:size val="5"/>
            <c:spPr>
              <a:solidFill>
                <a:schemeClr val="accent1"/>
              </a:solidFill>
              <a:ln w="9525">
                <a:solidFill>
                  <a:schemeClr val="bg1"/>
                </a:solidFill>
              </a:ln>
              <a:effectLst/>
            </c:spPr>
          </c:marker>
          <c:cat>
            <c:strRef>
              <c:f>'EÚ makro'!$C$2:$V$2</c:f>
              <c:strCach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strCache>
            </c:strRef>
          </c:cat>
          <c:val>
            <c:numRef>
              <c:f>'EÚ makro'!$C$3:$V$3</c:f>
              <c:numCache>
                <c:formatCode>General</c:formatCode>
                <c:ptCount val="20"/>
                <c:pt idx="0">
                  <c:v>58</c:v>
                </c:pt>
                <c:pt idx="1">
                  <c:v>62</c:v>
                </c:pt>
                <c:pt idx="2">
                  <c:v>65</c:v>
                </c:pt>
                <c:pt idx="3">
                  <c:v>68</c:v>
                </c:pt>
                <c:pt idx="4">
                  <c:v>72</c:v>
                </c:pt>
                <c:pt idx="5">
                  <c:v>72</c:v>
                </c:pt>
                <c:pt idx="6">
                  <c:v>76</c:v>
                </c:pt>
                <c:pt idx="7">
                  <c:v>76</c:v>
                </c:pt>
                <c:pt idx="8">
                  <c:v>77</c:v>
                </c:pt>
                <c:pt idx="9">
                  <c:v>78</c:v>
                </c:pt>
                <c:pt idx="10">
                  <c:v>78</c:v>
                </c:pt>
                <c:pt idx="11">
                  <c:v>78</c:v>
                </c:pt>
                <c:pt idx="12">
                  <c:v>73</c:v>
                </c:pt>
                <c:pt idx="13">
                  <c:v>71</c:v>
                </c:pt>
                <c:pt idx="14">
                  <c:v>70</c:v>
                </c:pt>
                <c:pt idx="15">
                  <c:v>70</c:v>
                </c:pt>
                <c:pt idx="16">
                  <c:v>74</c:v>
                </c:pt>
                <c:pt idx="17">
                  <c:v>74</c:v>
                </c:pt>
                <c:pt idx="18">
                  <c:v>71</c:v>
                </c:pt>
                <c:pt idx="19">
                  <c:v>74</c:v>
                </c:pt>
              </c:numCache>
            </c:numRef>
          </c:val>
          <c:smooth val="0"/>
          <c:extLst>
            <c:ext xmlns:c16="http://schemas.microsoft.com/office/drawing/2014/chart" uri="{C3380CC4-5D6E-409C-BE32-E72D297353CC}">
              <c16:uniqueId val="{00000000-8F56-4EFB-8377-31670D0DAA6B}"/>
            </c:ext>
          </c:extLst>
        </c:ser>
        <c:ser>
          <c:idx val="1"/>
          <c:order val="1"/>
          <c:tx>
            <c:strRef>
              <c:f>'EÚ makro'!$B$4</c:f>
              <c:strCache>
                <c:ptCount val="1"/>
                <c:pt idx="0">
                  <c:v>EÚ10 – 2004</c:v>
                </c:pt>
              </c:strCache>
            </c:strRef>
          </c:tx>
          <c:spPr>
            <a:ln w="28575" cap="rnd">
              <a:solidFill>
                <a:schemeClr val="accent2"/>
              </a:solidFill>
              <a:round/>
            </a:ln>
            <a:effectLst/>
          </c:spPr>
          <c:marker>
            <c:symbol val="circle"/>
            <c:size val="5"/>
            <c:spPr>
              <a:solidFill>
                <a:schemeClr val="accent2"/>
              </a:solidFill>
              <a:ln w="9525">
                <a:solidFill>
                  <a:schemeClr val="bg1"/>
                </a:solidFill>
              </a:ln>
              <a:effectLst/>
            </c:spPr>
          </c:marker>
          <c:cat>
            <c:strRef>
              <c:f>'EÚ makro'!$C$2:$V$2</c:f>
              <c:strCache>
                <c:ptCount val="20"/>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pt idx="16">
                  <c:v>2020</c:v>
                </c:pt>
                <c:pt idx="17">
                  <c:v>2021</c:v>
                </c:pt>
                <c:pt idx="18">
                  <c:v>2022</c:v>
                </c:pt>
                <c:pt idx="19">
                  <c:v>2023</c:v>
                </c:pt>
              </c:strCache>
            </c:strRef>
          </c:cat>
          <c:val>
            <c:numRef>
              <c:f>'EÚ makro'!$C$4:$V$4</c:f>
              <c:numCache>
                <c:formatCode>0</c:formatCode>
                <c:ptCount val="20"/>
                <c:pt idx="0">
                  <c:v>67.599999999999994</c:v>
                </c:pt>
                <c:pt idx="1">
                  <c:v>70</c:v>
                </c:pt>
                <c:pt idx="2">
                  <c:v>70.599999999999994</c:v>
                </c:pt>
                <c:pt idx="3">
                  <c:v>72.900000000000006</c:v>
                </c:pt>
                <c:pt idx="4">
                  <c:v>74.7</c:v>
                </c:pt>
                <c:pt idx="5">
                  <c:v>73.2</c:v>
                </c:pt>
                <c:pt idx="6">
                  <c:v>74.3</c:v>
                </c:pt>
                <c:pt idx="7">
                  <c:v>75</c:v>
                </c:pt>
                <c:pt idx="8">
                  <c:v>76</c:v>
                </c:pt>
                <c:pt idx="9">
                  <c:v>76.8</c:v>
                </c:pt>
                <c:pt idx="10">
                  <c:v>77.599999999999994</c:v>
                </c:pt>
                <c:pt idx="11">
                  <c:v>78.7</c:v>
                </c:pt>
                <c:pt idx="12">
                  <c:v>79</c:v>
                </c:pt>
                <c:pt idx="13">
                  <c:v>80.7</c:v>
                </c:pt>
                <c:pt idx="14">
                  <c:v>82.2</c:v>
                </c:pt>
                <c:pt idx="15">
                  <c:v>83.1</c:v>
                </c:pt>
                <c:pt idx="16">
                  <c:v>84.9</c:v>
                </c:pt>
                <c:pt idx="17">
                  <c:v>85.5</c:v>
                </c:pt>
                <c:pt idx="18">
                  <c:v>84.8</c:v>
                </c:pt>
                <c:pt idx="19">
                  <c:v>85.1</c:v>
                </c:pt>
              </c:numCache>
            </c:numRef>
          </c:val>
          <c:smooth val="0"/>
          <c:extLst>
            <c:ext xmlns:c16="http://schemas.microsoft.com/office/drawing/2014/chart" uri="{C3380CC4-5D6E-409C-BE32-E72D297353CC}">
              <c16:uniqueId val="{00000001-8F56-4EFB-8377-31670D0DAA6B}"/>
            </c:ext>
          </c:extLst>
        </c:ser>
        <c:dLbls>
          <c:showLegendKey val="0"/>
          <c:showVal val="0"/>
          <c:showCatName val="0"/>
          <c:showSerName val="0"/>
          <c:showPercent val="0"/>
          <c:showBubbleSize val="0"/>
        </c:dLbls>
        <c:marker val="1"/>
        <c:smooth val="0"/>
        <c:axId val="1670285007"/>
        <c:axId val="1670306639"/>
      </c:lineChart>
      <c:catAx>
        <c:axId val="16702850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70306639"/>
        <c:crosses val="autoZero"/>
        <c:auto val="1"/>
        <c:lblAlgn val="ctr"/>
        <c:lblOffset val="100"/>
        <c:noMultiLvlLbl val="0"/>
      </c:catAx>
      <c:valAx>
        <c:axId val="1670306639"/>
        <c:scaling>
          <c:orientation val="minMax"/>
          <c:min val="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702850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253556448698433E-2"/>
          <c:y val="5.0505050505050504E-2"/>
          <c:w val="0.89829396325459321"/>
          <c:h val="0.84434466352862914"/>
        </c:manualLayout>
      </c:layout>
      <c:barChart>
        <c:barDir val="col"/>
        <c:grouping val="clustered"/>
        <c:varyColors val="0"/>
        <c:ser>
          <c:idx val="0"/>
          <c:order val="0"/>
          <c:tx>
            <c:strRef>
              <c:f>'Graf 2'!$C$2</c:f>
              <c:strCache>
                <c:ptCount val="1"/>
                <c:pt idx="0">
                  <c:v>2024</c:v>
                </c:pt>
              </c:strCache>
            </c:strRef>
          </c:tx>
          <c:spPr>
            <a:solidFill>
              <a:srgbClr val="9CB9EC"/>
            </a:solidFill>
            <a:ln>
              <a:noFill/>
            </a:ln>
            <a:effectLst/>
          </c:spPr>
          <c:invertIfNegative val="0"/>
          <c:dPt>
            <c:idx val="9"/>
            <c:invertIfNegative val="0"/>
            <c:bubble3D val="0"/>
            <c:spPr>
              <a:solidFill>
                <a:srgbClr val="F55647"/>
              </a:solidFill>
              <a:ln>
                <a:noFill/>
              </a:ln>
              <a:effectLst/>
            </c:spPr>
            <c:extLst>
              <c:ext xmlns:c16="http://schemas.microsoft.com/office/drawing/2014/chart" uri="{C3380CC4-5D6E-409C-BE32-E72D297353CC}">
                <c16:uniqueId val="{00000001-C23A-4C48-80F2-408C673E4323}"/>
              </c:ext>
            </c:extLst>
          </c:dPt>
          <c:dLbls>
            <c:dLbl>
              <c:idx val="9"/>
              <c:layout>
                <c:manualLayout>
                  <c:x val="0"/>
                  <c:y val="-5.38116591928251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3A-4C48-80F2-408C673E432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F55647"/>
                      </a:solidFill>
                      <a:round/>
                    </a:ln>
                    <a:effectLst/>
                  </c:spPr>
                </c15:leaderLines>
              </c:ext>
            </c:extLst>
          </c:dLbls>
          <c:cat>
            <c:strRef>
              <c:f>'Graf 2'!$B$3:$B$29</c:f>
              <c:strCache>
                <c:ptCount val="27"/>
                <c:pt idx="0">
                  <c:v>Malta</c:v>
                </c:pt>
                <c:pt idx="1">
                  <c:v>Chorvátsko</c:v>
                </c:pt>
                <c:pt idx="2">
                  <c:v>Dánsko</c:v>
                </c:pt>
                <c:pt idx="3">
                  <c:v>Cyprus</c:v>
                </c:pt>
                <c:pt idx="4">
                  <c:v>Španielsko</c:v>
                </c:pt>
                <c:pt idx="5">
                  <c:v>Poľsko</c:v>
                </c:pt>
                <c:pt idx="6">
                  <c:v>Bulharsko</c:v>
                </c:pt>
                <c:pt idx="7">
                  <c:v>Litva</c:v>
                </c:pt>
                <c:pt idx="8">
                  <c:v>Grécko</c:v>
                </c:pt>
                <c:pt idx="9">
                  <c:v>Slovensko</c:v>
                </c:pt>
                <c:pt idx="10">
                  <c:v>Portugalsko</c:v>
                </c:pt>
                <c:pt idx="11">
                  <c:v>Slovinsko</c:v>
                </c:pt>
                <c:pt idx="12">
                  <c:v>Írsko</c:v>
                </c:pt>
                <c:pt idx="13">
                  <c:v>Francúzsko</c:v>
                </c:pt>
                <c:pt idx="14">
                  <c:v>Česko</c:v>
                </c:pt>
                <c:pt idx="15">
                  <c:v>Luxembursko</c:v>
                </c:pt>
                <c:pt idx="16">
                  <c:v>Belgicko</c:v>
                </c:pt>
                <c:pt idx="17">
                  <c:v>Holandsko</c:v>
                </c:pt>
                <c:pt idx="18">
                  <c:v>Švédsko</c:v>
                </c:pt>
                <c:pt idx="19">
                  <c:v>Rumunsko</c:v>
                </c:pt>
                <c:pt idx="20">
                  <c:v>Taliansko</c:v>
                </c:pt>
                <c:pt idx="21">
                  <c:v>Maďarsko</c:v>
                </c:pt>
                <c:pt idx="22">
                  <c:v>Fínsko</c:v>
                </c:pt>
                <c:pt idx="23">
                  <c:v>Nemecko</c:v>
                </c:pt>
                <c:pt idx="24">
                  <c:v>Estónsko</c:v>
                </c:pt>
                <c:pt idx="25">
                  <c:v>Lotyšsko</c:v>
                </c:pt>
                <c:pt idx="26">
                  <c:v>Rakúsko</c:v>
                </c:pt>
              </c:strCache>
            </c:strRef>
          </c:cat>
          <c:val>
            <c:numRef>
              <c:f>'Graf 2'!$C$3:$C$29</c:f>
              <c:numCache>
                <c:formatCode>_-* #\ ##0.0_-;\-* #\ ##0.0_-;_-* "-"??_-;_-@_-</c:formatCode>
                <c:ptCount val="27"/>
                <c:pt idx="0">
                  <c:v>6</c:v>
                </c:pt>
                <c:pt idx="1">
                  <c:v>3.9</c:v>
                </c:pt>
                <c:pt idx="2">
                  <c:v>3.7</c:v>
                </c:pt>
                <c:pt idx="3">
                  <c:v>3.4</c:v>
                </c:pt>
                <c:pt idx="4">
                  <c:v>3.2</c:v>
                </c:pt>
                <c:pt idx="5">
                  <c:v>2.9</c:v>
                </c:pt>
                <c:pt idx="6">
                  <c:v>2.8</c:v>
                </c:pt>
                <c:pt idx="7">
                  <c:v>2.8</c:v>
                </c:pt>
                <c:pt idx="8">
                  <c:v>2.2999999999999998</c:v>
                </c:pt>
                <c:pt idx="9">
                  <c:v>2.1</c:v>
                </c:pt>
                <c:pt idx="10">
                  <c:v>1.9</c:v>
                </c:pt>
                <c:pt idx="11">
                  <c:v>1.6</c:v>
                </c:pt>
                <c:pt idx="12">
                  <c:v>1.2</c:v>
                </c:pt>
                <c:pt idx="13">
                  <c:v>1.2</c:v>
                </c:pt>
                <c:pt idx="14">
                  <c:v>1.1203148306832889</c:v>
                </c:pt>
                <c:pt idx="15">
                  <c:v>1.0314071617317566</c:v>
                </c:pt>
                <c:pt idx="16">
                  <c:v>1.0183248886207252</c:v>
                </c:pt>
                <c:pt idx="17">
                  <c:v>0.97972590327330966</c:v>
                </c:pt>
                <c:pt idx="18">
                  <c:v>0.97437066979135789</c:v>
                </c:pt>
                <c:pt idx="19">
                  <c:v>0.8</c:v>
                </c:pt>
                <c:pt idx="20">
                  <c:v>0.7</c:v>
                </c:pt>
                <c:pt idx="21">
                  <c:v>0.5</c:v>
                </c:pt>
                <c:pt idx="22">
                  <c:v>-0.1</c:v>
                </c:pt>
                <c:pt idx="23">
                  <c:v>-0.2</c:v>
                </c:pt>
                <c:pt idx="24">
                  <c:v>-0.3</c:v>
                </c:pt>
                <c:pt idx="25">
                  <c:v>-0.4</c:v>
                </c:pt>
                <c:pt idx="26">
                  <c:v>-1.2</c:v>
                </c:pt>
              </c:numCache>
            </c:numRef>
          </c:val>
          <c:extLst>
            <c:ext xmlns:c16="http://schemas.microsoft.com/office/drawing/2014/chart" uri="{C3380CC4-5D6E-409C-BE32-E72D297353CC}">
              <c16:uniqueId val="{00000002-C23A-4C48-80F2-408C673E4323}"/>
            </c:ext>
          </c:extLst>
        </c:ser>
        <c:dLbls>
          <c:showLegendKey val="0"/>
          <c:showVal val="0"/>
          <c:showCatName val="0"/>
          <c:showSerName val="0"/>
          <c:showPercent val="0"/>
          <c:showBubbleSize val="0"/>
        </c:dLbls>
        <c:gapWidth val="100"/>
        <c:axId val="611564432"/>
        <c:axId val="611571920"/>
      </c:barChart>
      <c:lineChart>
        <c:grouping val="standard"/>
        <c:varyColors val="0"/>
        <c:ser>
          <c:idx val="1"/>
          <c:order val="1"/>
          <c:tx>
            <c:strRef>
              <c:f>'Graf 2'!$F$2</c:f>
              <c:strCache>
                <c:ptCount val="1"/>
                <c:pt idx="0">
                  <c:v>Priemer EÚ</c:v>
                </c:pt>
              </c:strCache>
            </c:strRef>
          </c:tx>
          <c:spPr>
            <a:ln w="22225" cap="rnd">
              <a:solidFill>
                <a:srgbClr val="314364"/>
              </a:solidFill>
              <a:prstDash val="sysDash"/>
              <a:round/>
            </a:ln>
            <a:effectLst/>
          </c:spPr>
          <c:marker>
            <c:symbol val="none"/>
          </c:marker>
          <c:dLbls>
            <c:dLbl>
              <c:idx val="18"/>
              <c:layout>
                <c:manualLayout>
                  <c:x val="0.11009205573670784"/>
                  <c:y val="-0.13346798017960759"/>
                </c:manualLayout>
              </c:layout>
              <c:tx>
                <c:rich>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fld id="{173BBCD7-D311-42AC-9E93-AD8607BEA25D}" type="SERIESNAME">
                      <a:rPr lang="en-US" b="1"/>
                      <a:pPr>
                        <a:defRPr b="1"/>
                      </a:pPr>
                      <a:t>[NÁZOV RADU]</a:t>
                    </a:fld>
                    <a:r>
                      <a:rPr lang="en-US" b="1" baseline="0"/>
                      <a:t> –</a:t>
                    </a:r>
                    <a:fld id="{28A4A195-DACD-46DE-B83A-59B269FFEFD6}" type="VALUE">
                      <a:rPr lang="en-US" b="1" baseline="0"/>
                      <a:pPr>
                        <a:defRPr b="1"/>
                      </a:pPr>
                      <a:t>[HODNOTA]</a:t>
                    </a:fld>
                    <a:endParaRPr lang="en-US" b="1" baseline="0"/>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23A-4C48-80F2-408C673E432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314364"/>
                      </a:solidFill>
                      <a:round/>
                    </a:ln>
                    <a:effectLst/>
                  </c:spPr>
                </c15:leaderLines>
              </c:ext>
            </c:extLst>
          </c:dLbls>
          <c:cat>
            <c:strRef>
              <c:f>'Graf 2'!$B$3:$B$29</c:f>
              <c:strCache>
                <c:ptCount val="27"/>
                <c:pt idx="0">
                  <c:v>Malta</c:v>
                </c:pt>
                <c:pt idx="1">
                  <c:v>Chorvátsko</c:v>
                </c:pt>
                <c:pt idx="2">
                  <c:v>Dánsko</c:v>
                </c:pt>
                <c:pt idx="3">
                  <c:v>Cyprus</c:v>
                </c:pt>
                <c:pt idx="4">
                  <c:v>Španielsko</c:v>
                </c:pt>
                <c:pt idx="5">
                  <c:v>Poľsko</c:v>
                </c:pt>
                <c:pt idx="6">
                  <c:v>Bulharsko</c:v>
                </c:pt>
                <c:pt idx="7">
                  <c:v>Litva</c:v>
                </c:pt>
                <c:pt idx="8">
                  <c:v>Grécko</c:v>
                </c:pt>
                <c:pt idx="9">
                  <c:v>Slovensko</c:v>
                </c:pt>
                <c:pt idx="10">
                  <c:v>Portugalsko</c:v>
                </c:pt>
                <c:pt idx="11">
                  <c:v>Slovinsko</c:v>
                </c:pt>
                <c:pt idx="12">
                  <c:v>Írsko</c:v>
                </c:pt>
                <c:pt idx="13">
                  <c:v>Francúzsko</c:v>
                </c:pt>
                <c:pt idx="14">
                  <c:v>Česko</c:v>
                </c:pt>
                <c:pt idx="15">
                  <c:v>Luxembursko</c:v>
                </c:pt>
                <c:pt idx="16">
                  <c:v>Belgicko</c:v>
                </c:pt>
                <c:pt idx="17">
                  <c:v>Holandsko</c:v>
                </c:pt>
                <c:pt idx="18">
                  <c:v>Švédsko</c:v>
                </c:pt>
                <c:pt idx="19">
                  <c:v>Rumunsko</c:v>
                </c:pt>
                <c:pt idx="20">
                  <c:v>Taliansko</c:v>
                </c:pt>
                <c:pt idx="21">
                  <c:v>Maďarsko</c:v>
                </c:pt>
                <c:pt idx="22">
                  <c:v>Fínsko</c:v>
                </c:pt>
                <c:pt idx="23">
                  <c:v>Nemecko</c:v>
                </c:pt>
                <c:pt idx="24">
                  <c:v>Estónsko</c:v>
                </c:pt>
                <c:pt idx="25">
                  <c:v>Lotyšsko</c:v>
                </c:pt>
                <c:pt idx="26">
                  <c:v>Rakúsko</c:v>
                </c:pt>
              </c:strCache>
            </c:strRef>
          </c:cat>
          <c:val>
            <c:numRef>
              <c:f>'Graf 2'!$F$3:$F$29</c:f>
              <c:numCache>
                <c:formatCode>_-* #\ ##0.0_-;\-* #\ ##0.0_-;_-* "-"??_-;_-@_-</c:formatCode>
                <c:ptCount val="27"/>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numCache>
            </c:numRef>
          </c:val>
          <c:smooth val="0"/>
          <c:extLst>
            <c:ext xmlns:c16="http://schemas.microsoft.com/office/drawing/2014/chart" uri="{C3380CC4-5D6E-409C-BE32-E72D297353CC}">
              <c16:uniqueId val="{00000004-C23A-4C48-80F2-408C673E4323}"/>
            </c:ext>
          </c:extLst>
        </c:ser>
        <c:dLbls>
          <c:showLegendKey val="0"/>
          <c:showVal val="0"/>
          <c:showCatName val="0"/>
          <c:showSerName val="0"/>
          <c:showPercent val="0"/>
          <c:showBubbleSize val="0"/>
        </c:dLbls>
        <c:marker val="1"/>
        <c:smooth val="0"/>
        <c:axId val="611564432"/>
        <c:axId val="611571920"/>
      </c:lineChart>
      <c:catAx>
        <c:axId val="6115644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71920"/>
        <c:crosses val="autoZero"/>
        <c:auto val="1"/>
        <c:lblAlgn val="ctr"/>
        <c:lblOffset val="100"/>
        <c:noMultiLvlLbl val="0"/>
      </c:catAx>
      <c:valAx>
        <c:axId val="611571920"/>
        <c:scaling>
          <c:orientation val="minMax"/>
          <c:max val="6"/>
        </c:scaling>
        <c:delete val="0"/>
        <c:axPos val="l"/>
        <c:majorGridlines>
          <c:spPr>
            <a:ln w="9525" cap="flat" cmpd="sng" algn="ctr">
              <a:solidFill>
                <a:schemeClr val="tx1">
                  <a:lumMod val="15000"/>
                  <a:lumOff val="85000"/>
                </a:schemeClr>
              </a:solidFill>
              <a:round/>
            </a:ln>
            <a:effectLst/>
          </c:spPr>
        </c:majorGridlines>
        <c:numFmt formatCode="_-* #\ ##0.0_-;\-* #\ ##0.0_-;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64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250440917107582E-2"/>
          <c:y val="5.4862842892768077E-2"/>
          <c:w val="0.90901328306183948"/>
          <c:h val="0.70484559275451397"/>
        </c:manualLayout>
      </c:layout>
      <c:barChart>
        <c:barDir val="col"/>
        <c:grouping val="clustered"/>
        <c:varyColors val="0"/>
        <c:ser>
          <c:idx val="0"/>
          <c:order val="0"/>
          <c:tx>
            <c:strRef>
              <c:f>'EU04 graf'!$B$28</c:f>
              <c:strCache>
                <c:ptCount val="1"/>
                <c:pt idx="0">
                  <c:v>2004</c:v>
                </c:pt>
              </c:strCache>
            </c:strRef>
          </c:tx>
          <c:spPr>
            <a:solidFill>
              <a:srgbClr val="9CB9EC"/>
            </a:solidFill>
            <a:ln>
              <a:noFill/>
            </a:ln>
            <a:effectLst/>
          </c:spPr>
          <c:invertIfNegative val="0"/>
          <c:cat>
            <c:strRef>
              <c:f>'EU04 graf'!$A$29:$A$38</c:f>
              <c:strCache>
                <c:ptCount val="10"/>
                <c:pt idx="0">
                  <c:v>MT</c:v>
                </c:pt>
                <c:pt idx="1">
                  <c:v>CY</c:v>
                </c:pt>
                <c:pt idx="2">
                  <c:v>SI</c:v>
                </c:pt>
                <c:pt idx="3">
                  <c:v>CZ</c:v>
                </c:pt>
                <c:pt idx="4">
                  <c:v>LT</c:v>
                </c:pt>
                <c:pt idx="5">
                  <c:v>ET</c:v>
                </c:pt>
                <c:pt idx="6">
                  <c:v>HU</c:v>
                </c:pt>
                <c:pt idx="7">
                  <c:v>PL</c:v>
                </c:pt>
                <c:pt idx="8">
                  <c:v>SK</c:v>
                </c:pt>
                <c:pt idx="9">
                  <c:v>LV</c:v>
                </c:pt>
              </c:strCache>
            </c:strRef>
          </c:cat>
          <c:val>
            <c:numRef>
              <c:f>'EU04 graf'!$B$29:$B$38</c:f>
              <c:numCache>
                <c:formatCode>General</c:formatCode>
                <c:ptCount val="10"/>
                <c:pt idx="0">
                  <c:v>83</c:v>
                </c:pt>
                <c:pt idx="1">
                  <c:v>100</c:v>
                </c:pt>
                <c:pt idx="2">
                  <c:v>87</c:v>
                </c:pt>
                <c:pt idx="3">
                  <c:v>81</c:v>
                </c:pt>
                <c:pt idx="4">
                  <c:v>51</c:v>
                </c:pt>
                <c:pt idx="5">
                  <c:v>56</c:v>
                </c:pt>
                <c:pt idx="6">
                  <c:v>63</c:v>
                </c:pt>
                <c:pt idx="7">
                  <c:v>52</c:v>
                </c:pt>
                <c:pt idx="8">
                  <c:v>58</c:v>
                </c:pt>
                <c:pt idx="9">
                  <c:v>45</c:v>
                </c:pt>
              </c:numCache>
            </c:numRef>
          </c:val>
          <c:extLst>
            <c:ext xmlns:c16="http://schemas.microsoft.com/office/drawing/2014/chart" uri="{C3380CC4-5D6E-409C-BE32-E72D297353CC}">
              <c16:uniqueId val="{00000000-C870-4D37-9C9E-E6D2D7774F34}"/>
            </c:ext>
          </c:extLst>
        </c:ser>
        <c:ser>
          <c:idx val="1"/>
          <c:order val="1"/>
          <c:tx>
            <c:strRef>
              <c:f>'EU04 graf'!$C$28</c:f>
              <c:strCache>
                <c:ptCount val="1"/>
                <c:pt idx="0">
                  <c:v>2023</c:v>
                </c:pt>
              </c:strCache>
            </c:strRef>
          </c:tx>
          <c:spPr>
            <a:solidFill>
              <a:schemeClr val="tx2"/>
            </a:solidFill>
            <a:ln>
              <a:noFill/>
            </a:ln>
            <a:effectLst/>
          </c:spPr>
          <c:invertIfNegative val="0"/>
          <c:cat>
            <c:strRef>
              <c:f>'EU04 graf'!$A$29:$A$38</c:f>
              <c:strCache>
                <c:ptCount val="10"/>
                <c:pt idx="0">
                  <c:v>MT</c:v>
                </c:pt>
                <c:pt idx="1">
                  <c:v>CY</c:v>
                </c:pt>
                <c:pt idx="2">
                  <c:v>SI</c:v>
                </c:pt>
                <c:pt idx="3">
                  <c:v>CZ</c:v>
                </c:pt>
                <c:pt idx="4">
                  <c:v>LT</c:v>
                </c:pt>
                <c:pt idx="5">
                  <c:v>ET</c:v>
                </c:pt>
                <c:pt idx="6">
                  <c:v>HU</c:v>
                </c:pt>
                <c:pt idx="7">
                  <c:v>PL</c:v>
                </c:pt>
                <c:pt idx="8">
                  <c:v>SK</c:v>
                </c:pt>
                <c:pt idx="9">
                  <c:v>LV</c:v>
                </c:pt>
              </c:strCache>
            </c:strRef>
          </c:cat>
          <c:val>
            <c:numRef>
              <c:f>'EU04 graf'!$C$29:$C$38</c:f>
              <c:numCache>
                <c:formatCode>General</c:formatCode>
                <c:ptCount val="10"/>
                <c:pt idx="0">
                  <c:v>107</c:v>
                </c:pt>
                <c:pt idx="1">
                  <c:v>97</c:v>
                </c:pt>
                <c:pt idx="2">
                  <c:v>92</c:v>
                </c:pt>
                <c:pt idx="3">
                  <c:v>90</c:v>
                </c:pt>
                <c:pt idx="4">
                  <c:v>87</c:v>
                </c:pt>
                <c:pt idx="5">
                  <c:v>80</c:v>
                </c:pt>
                <c:pt idx="6">
                  <c:v>77</c:v>
                </c:pt>
                <c:pt idx="7">
                  <c:v>77</c:v>
                </c:pt>
                <c:pt idx="8">
                  <c:v>74</c:v>
                </c:pt>
                <c:pt idx="9">
                  <c:v>70</c:v>
                </c:pt>
              </c:numCache>
            </c:numRef>
          </c:val>
          <c:extLst>
            <c:ext xmlns:c16="http://schemas.microsoft.com/office/drawing/2014/chart" uri="{C3380CC4-5D6E-409C-BE32-E72D297353CC}">
              <c16:uniqueId val="{00000001-C870-4D37-9C9E-E6D2D7774F34}"/>
            </c:ext>
          </c:extLst>
        </c:ser>
        <c:dLbls>
          <c:showLegendKey val="0"/>
          <c:showVal val="0"/>
          <c:showCatName val="0"/>
          <c:showSerName val="0"/>
          <c:showPercent val="0"/>
          <c:showBubbleSize val="0"/>
        </c:dLbls>
        <c:gapWidth val="100"/>
        <c:axId val="1892354128"/>
        <c:axId val="1892354544"/>
      </c:barChart>
      <c:scatterChart>
        <c:scatterStyle val="lineMarker"/>
        <c:varyColors val="0"/>
        <c:ser>
          <c:idx val="2"/>
          <c:order val="2"/>
          <c:tx>
            <c:strRef>
              <c:f>'EU04 graf'!$D$28</c:f>
              <c:strCache>
                <c:ptCount val="1"/>
                <c:pt idx="0">
                  <c:v>2004 Hlavné mesto (NUTS3)</c:v>
                </c:pt>
              </c:strCache>
            </c:strRef>
          </c:tx>
          <c:spPr>
            <a:ln w="25400" cap="rnd">
              <a:noFill/>
              <a:round/>
            </a:ln>
            <a:effectLst/>
          </c:spPr>
          <c:marker>
            <c:symbol val="triangle"/>
            <c:size val="5"/>
            <c:spPr>
              <a:solidFill>
                <a:srgbClr val="F55647"/>
              </a:solidFill>
              <a:ln w="19050">
                <a:solidFill>
                  <a:srgbClr val="F55647"/>
                </a:solidFill>
              </a:ln>
              <a:effectLst/>
            </c:spPr>
          </c:marker>
          <c:xVal>
            <c:strRef>
              <c:f>'EU04 graf'!$A$29:$A$38</c:f>
              <c:strCache>
                <c:ptCount val="10"/>
                <c:pt idx="0">
                  <c:v>MT</c:v>
                </c:pt>
                <c:pt idx="1">
                  <c:v>CY</c:v>
                </c:pt>
                <c:pt idx="2">
                  <c:v>SI</c:v>
                </c:pt>
                <c:pt idx="3">
                  <c:v>CZ</c:v>
                </c:pt>
                <c:pt idx="4">
                  <c:v>LT</c:v>
                </c:pt>
                <c:pt idx="5">
                  <c:v>ET</c:v>
                </c:pt>
                <c:pt idx="6">
                  <c:v>HU</c:v>
                </c:pt>
                <c:pt idx="7">
                  <c:v>PL</c:v>
                </c:pt>
                <c:pt idx="8">
                  <c:v>SK</c:v>
                </c:pt>
                <c:pt idx="9">
                  <c:v>LV</c:v>
                </c:pt>
              </c:strCache>
            </c:strRef>
          </c:xVal>
          <c:yVal>
            <c:numRef>
              <c:f>'EU04 graf'!$D$29:$D$38</c:f>
              <c:numCache>
                <c:formatCode>General</c:formatCode>
                <c:ptCount val="10"/>
                <c:pt idx="0">
                  <c:v>86</c:v>
                </c:pt>
                <c:pt idx="1">
                  <c:v>100</c:v>
                </c:pt>
                <c:pt idx="2">
                  <c:v>127</c:v>
                </c:pt>
                <c:pt idx="3">
                  <c:v>175</c:v>
                </c:pt>
                <c:pt idx="4">
                  <c:v>74</c:v>
                </c:pt>
                <c:pt idx="5">
                  <c:v>85</c:v>
                </c:pt>
                <c:pt idx="6">
                  <c:v>129</c:v>
                </c:pt>
                <c:pt idx="7">
                  <c:v>144</c:v>
                </c:pt>
                <c:pt idx="8">
                  <c:v>135</c:v>
                </c:pt>
                <c:pt idx="9">
                  <c:v>70</c:v>
                </c:pt>
              </c:numCache>
            </c:numRef>
          </c:yVal>
          <c:smooth val="0"/>
          <c:extLst>
            <c:ext xmlns:c16="http://schemas.microsoft.com/office/drawing/2014/chart" uri="{C3380CC4-5D6E-409C-BE32-E72D297353CC}">
              <c16:uniqueId val="{00000002-C870-4D37-9C9E-E6D2D7774F34}"/>
            </c:ext>
          </c:extLst>
        </c:ser>
        <c:ser>
          <c:idx val="3"/>
          <c:order val="3"/>
          <c:tx>
            <c:strRef>
              <c:f>'EU04 graf'!$E$28</c:f>
              <c:strCache>
                <c:ptCount val="1"/>
                <c:pt idx="0">
                  <c:v>2023 Hlavné mesto (NUTS3)</c:v>
                </c:pt>
              </c:strCache>
            </c:strRef>
          </c:tx>
          <c:spPr>
            <a:ln w="25400" cap="rnd">
              <a:noFill/>
              <a:round/>
            </a:ln>
            <a:effectLst/>
          </c:spPr>
          <c:marker>
            <c:symbol val="triangle"/>
            <c:size val="5"/>
            <c:spPr>
              <a:solidFill>
                <a:srgbClr val="B7706D"/>
              </a:solidFill>
              <a:ln w="19050">
                <a:solidFill>
                  <a:srgbClr val="B7706D"/>
                </a:solidFill>
              </a:ln>
              <a:effectLst/>
            </c:spPr>
          </c:marker>
          <c:xVal>
            <c:strRef>
              <c:f>'EU04 graf'!$A$29:$A$38</c:f>
              <c:strCache>
                <c:ptCount val="10"/>
                <c:pt idx="0">
                  <c:v>MT</c:v>
                </c:pt>
                <c:pt idx="1">
                  <c:v>CY</c:v>
                </c:pt>
                <c:pt idx="2">
                  <c:v>SI</c:v>
                </c:pt>
                <c:pt idx="3">
                  <c:v>CZ</c:v>
                </c:pt>
                <c:pt idx="4">
                  <c:v>LT</c:v>
                </c:pt>
                <c:pt idx="5">
                  <c:v>ET</c:v>
                </c:pt>
                <c:pt idx="6">
                  <c:v>HU</c:v>
                </c:pt>
                <c:pt idx="7">
                  <c:v>PL</c:v>
                </c:pt>
                <c:pt idx="8">
                  <c:v>SK</c:v>
                </c:pt>
                <c:pt idx="9">
                  <c:v>LV</c:v>
                </c:pt>
              </c:strCache>
            </c:strRef>
          </c:xVal>
          <c:yVal>
            <c:numRef>
              <c:f>'EU04 graf'!$E$29:$E$38</c:f>
              <c:numCache>
                <c:formatCode>General</c:formatCode>
                <c:ptCount val="10"/>
                <c:pt idx="0">
                  <c:v>111</c:v>
                </c:pt>
                <c:pt idx="1">
                  <c:v>97</c:v>
                </c:pt>
                <c:pt idx="2">
                  <c:v>136</c:v>
                </c:pt>
                <c:pt idx="3">
                  <c:v>193</c:v>
                </c:pt>
                <c:pt idx="4">
                  <c:v>132</c:v>
                </c:pt>
                <c:pt idx="5">
                  <c:v>105</c:v>
                </c:pt>
                <c:pt idx="6">
                  <c:v>168</c:v>
                </c:pt>
                <c:pt idx="7">
                  <c:v>208</c:v>
                </c:pt>
                <c:pt idx="8">
                  <c:v>148</c:v>
                </c:pt>
                <c:pt idx="9">
                  <c:v>100</c:v>
                </c:pt>
              </c:numCache>
            </c:numRef>
          </c:yVal>
          <c:smooth val="0"/>
          <c:extLst>
            <c:ext xmlns:c16="http://schemas.microsoft.com/office/drawing/2014/chart" uri="{C3380CC4-5D6E-409C-BE32-E72D297353CC}">
              <c16:uniqueId val="{00000003-C870-4D37-9C9E-E6D2D7774F34}"/>
            </c:ext>
          </c:extLst>
        </c:ser>
        <c:dLbls>
          <c:showLegendKey val="0"/>
          <c:showVal val="0"/>
          <c:showCatName val="0"/>
          <c:showSerName val="0"/>
          <c:showPercent val="0"/>
          <c:showBubbleSize val="0"/>
        </c:dLbls>
        <c:axId val="1892351632"/>
        <c:axId val="1892361200"/>
      </c:scatterChart>
      <c:catAx>
        <c:axId val="189235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92354544"/>
        <c:crosses val="autoZero"/>
        <c:auto val="1"/>
        <c:lblAlgn val="ctr"/>
        <c:lblOffset val="100"/>
        <c:noMultiLvlLbl val="0"/>
      </c:catAx>
      <c:valAx>
        <c:axId val="1892354544"/>
        <c:scaling>
          <c:orientation val="minMax"/>
          <c:max val="80000"/>
        </c:scaling>
        <c:delete val="1"/>
        <c:axPos val="l"/>
        <c:numFmt formatCode="General" sourceLinked="1"/>
        <c:majorTickMark val="none"/>
        <c:minorTickMark val="none"/>
        <c:tickLblPos val="nextTo"/>
        <c:crossAx val="1892354128"/>
        <c:crosses val="autoZero"/>
        <c:crossBetween val="between"/>
        <c:majorUnit val="10000"/>
      </c:valAx>
      <c:valAx>
        <c:axId val="1892361200"/>
        <c:scaling>
          <c:orientation val="minMax"/>
          <c:max val="210"/>
          <c:min val="0"/>
        </c:scaling>
        <c:delete val="0"/>
        <c:axPos val="r"/>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low"/>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92351632"/>
        <c:crosses val="max"/>
        <c:crossBetween val="midCat"/>
      </c:valAx>
      <c:valAx>
        <c:axId val="1892351632"/>
        <c:scaling>
          <c:orientation val="minMax"/>
        </c:scaling>
        <c:delete val="1"/>
        <c:axPos val="t"/>
        <c:majorTickMark val="out"/>
        <c:minorTickMark val="none"/>
        <c:tickLblPos val="nextTo"/>
        <c:crossAx val="1892361200"/>
        <c:crosses val="max"/>
        <c:crossBetween val="midCat"/>
      </c:valAx>
      <c:spPr>
        <a:noFill/>
        <a:ln>
          <a:noFill/>
        </a:ln>
        <a:effectLst/>
      </c:spPr>
    </c:plotArea>
    <c:legend>
      <c:legendPos val="b"/>
      <c:layout>
        <c:manualLayout>
          <c:xMode val="edge"/>
          <c:yMode val="edge"/>
          <c:x val="1.5543022399977784E-2"/>
          <c:y val="0.9109713904215837"/>
          <c:w val="0.97552771181380105"/>
          <c:h val="8.902860957841617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'Graf_POO vyplatene prijimatelom'!$H$5</c:f>
              <c:strCache>
                <c:ptCount val="1"/>
                <c:pt idx="0">
                  <c:v>Vyplatené POO</c:v>
                </c:pt>
              </c:strCache>
            </c:strRef>
          </c:tx>
          <c:spPr>
            <a:solidFill>
              <a:schemeClr val="accent1"/>
            </a:solidFill>
            <a:ln>
              <a:noFill/>
            </a:ln>
            <a:effectLst/>
          </c:spPr>
          <c:invertIfNegative val="0"/>
          <c:dLbls>
            <c:dLbl>
              <c:idx val="0"/>
              <c:layout>
                <c:manualLayout>
                  <c:x val="-3.6651887556111741E-3"/>
                  <c:y val="-4.7252514797152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4E9-47D1-B3AC-E5C67F447787}"/>
                </c:ext>
              </c:extLst>
            </c:dLbl>
            <c:dLbl>
              <c:idx val="1"/>
              <c:layout>
                <c:manualLayout>
                  <c:x val="-9.5742267029705396E-4"/>
                  <c:y val="-7.170611889476256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4E9-47D1-B3AC-E5C67F447787}"/>
                </c:ext>
              </c:extLst>
            </c:dLbl>
            <c:dLbl>
              <c:idx val="2"/>
              <c:layout>
                <c:manualLayout>
                  <c:x val="0"/>
                  <c:y val="-6.9307742782152225E-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4E9-47D1-B3AC-E5C67F447787}"/>
                </c:ext>
              </c:extLst>
            </c:dLbl>
            <c:dLbl>
              <c:idx val="4"/>
              <c:layout>
                <c:manualLayout>
                  <c:x val="0"/>
                  <c:y val="4.888451443569553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4E9-47D1-B3AC-E5C67F447787}"/>
                </c:ext>
              </c:extLst>
            </c:dLbl>
            <c:dLbl>
              <c:idx val="5"/>
              <c:layout>
                <c:manualLayout>
                  <c:x val="-1.9470404984425103E-3"/>
                  <c:y val="-5.3980341659171493E-3"/>
                </c:manualLayout>
              </c:layout>
              <c:spPr>
                <a:solidFill>
                  <a:srgbClr val="1F497D">
                    <a:lumMod val="50000"/>
                    <a:alpha val="71000"/>
                  </a:srgbClr>
                </a:solid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4E9-47D1-B3AC-E5C67F447787}"/>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'Graf_POO vyplatene prijimatelom'!$G$6:$G$12</c:f>
              <c:strCache>
                <c:ptCount val="6"/>
                <c:pt idx="0">
                  <c:v>Zelená ekonomika</c:v>
                </c:pt>
                <c:pt idx="1">
                  <c:v>Vzdelávanie</c:v>
                </c:pt>
                <c:pt idx="2">
                  <c:v>Veda, výskum a inovácie</c:v>
                </c:pt>
                <c:pt idx="3">
                  <c:v>Zdravie</c:v>
                </c:pt>
                <c:pt idx="4">
                  <c:v>Efektívna VS a digitalizácia</c:v>
                </c:pt>
                <c:pt idx="5">
                  <c:v>REPower EU</c:v>
                </c:pt>
              </c:strCache>
            </c:strRef>
          </c:cat>
          <c:val>
            <c:numRef>
              <c:f>'Graf_POO vyplatene prijimatelom'!$H$6:$H$11</c:f>
              <c:numCache>
                <c:formatCode>#\ ##0.0</c:formatCode>
                <c:ptCount val="6"/>
                <c:pt idx="0">
                  <c:v>189.49338434000001</c:v>
                </c:pt>
                <c:pt idx="1">
                  <c:v>121.79907730000001</c:v>
                </c:pt>
                <c:pt idx="2">
                  <c:v>41.322571939999996</c:v>
                </c:pt>
                <c:pt idx="3">
                  <c:v>348.73876631999997</c:v>
                </c:pt>
                <c:pt idx="4">
                  <c:v>76.22956151999999</c:v>
                </c:pt>
                <c:pt idx="5">
                  <c:v>8.0145439300000003</c:v>
                </c:pt>
              </c:numCache>
            </c:numRef>
          </c:val>
          <c:extLst>
            <c:ext xmlns:c16="http://schemas.microsoft.com/office/drawing/2014/chart" uri="{C3380CC4-5D6E-409C-BE32-E72D297353CC}">
              <c16:uniqueId val="{00000005-34E9-47D1-B3AC-E5C67F447787}"/>
            </c:ext>
          </c:extLst>
        </c:ser>
        <c:ser>
          <c:idx val="1"/>
          <c:order val="1"/>
          <c:tx>
            <c:strRef>
              <c:f>'Graf_POO vyplatene prijimatelom'!$I$5</c:f>
              <c:strCache>
                <c:ptCount val="1"/>
                <c:pt idx="0">
                  <c:v>Vyplatené DPH</c:v>
                </c:pt>
              </c:strCache>
            </c:strRef>
          </c:tx>
          <c:spPr>
            <a:solidFill>
              <a:srgbClr val="1F497D">
                <a:lumMod val="20000"/>
                <a:lumOff val="80000"/>
              </a:srgbClr>
            </a:solidFill>
            <a:ln>
              <a:solidFill>
                <a:srgbClr val="1F497D">
                  <a:lumMod val="20000"/>
                  <a:lumOff val="80000"/>
                </a:srgbClr>
              </a:solidFill>
            </a:ln>
            <a:effectLst/>
          </c:spPr>
          <c:invertIfNegative val="0"/>
          <c:dLbls>
            <c:dLbl>
              <c:idx val="0"/>
              <c:layout>
                <c:manualLayout>
                  <c:x val="2.2675736961451248E-3"/>
                  <c:y val="-5.3593389165576981E-2"/>
                </c:manualLayout>
              </c:layout>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lumMod val="75000"/>
                        </a:schemeClr>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4E9-47D1-B3AC-E5C67F447787}"/>
                </c:ext>
              </c:extLst>
            </c:dLbl>
            <c:dLbl>
              <c:idx val="1"/>
              <c:layout>
                <c:manualLayout>
                  <c:x val="2.2676629707000912E-3"/>
                  <c:y val="-8.4805653710247425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tx2">
                          <a:lumMod val="75000"/>
                        </a:schemeClr>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extLst>
                <c:ext xmlns:c15="http://schemas.microsoft.com/office/drawing/2012/chart" uri="{CE6537A1-D6FC-4f65-9D91-7224C49458BB}">
                  <c15:layout>
                    <c:manualLayout>
                      <c:w val="4.9818594104308382E-2"/>
                      <c:h val="8.9364235830945146E-2"/>
                    </c:manualLayout>
                  </c15:layout>
                </c:ext>
                <c:ext xmlns:c16="http://schemas.microsoft.com/office/drawing/2014/chart" uri="{C3380CC4-5D6E-409C-BE32-E72D297353CC}">
                  <c16:uniqueId val="{00000007-34E9-47D1-B3AC-E5C67F447787}"/>
                </c:ext>
              </c:extLst>
            </c:dLbl>
            <c:dLbl>
              <c:idx val="2"/>
              <c:layout>
                <c:manualLayout>
                  <c:x val="-2.2675736961451248E-3"/>
                  <c:y val="-6.77276647839515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4E9-47D1-B3AC-E5C67F447787}"/>
                </c:ext>
              </c:extLst>
            </c:dLbl>
            <c:dLbl>
              <c:idx val="4"/>
              <c:layout>
                <c:manualLayout>
                  <c:x val="4.5351473922901663E-3"/>
                  <c:y val="-4.94699646643110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4E9-47D1-B3AC-E5C67F447787}"/>
                </c:ext>
              </c:extLst>
            </c:dLbl>
            <c:dLbl>
              <c:idx val="5"/>
              <c:delete val="1"/>
              <c:extLst>
                <c:ext xmlns:c15="http://schemas.microsoft.com/office/drawing/2012/chart" uri="{CE6537A1-D6FC-4f65-9D91-7224C49458BB}"/>
                <c:ext xmlns:c16="http://schemas.microsoft.com/office/drawing/2014/chart" uri="{C3380CC4-5D6E-409C-BE32-E72D297353CC}">
                  <c16:uniqueId val="{0000000A-34E9-47D1-B3AC-E5C67F44778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lumMod val="75000"/>
                      </a:schemeClr>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'Graf_POO vyplatene prijimatelom'!$G$6:$G$12</c:f>
              <c:strCache>
                <c:ptCount val="6"/>
                <c:pt idx="0">
                  <c:v>Zelená ekonomika</c:v>
                </c:pt>
                <c:pt idx="1">
                  <c:v>Vzdelávanie</c:v>
                </c:pt>
                <c:pt idx="2">
                  <c:v>Veda, výskum a inovácie</c:v>
                </c:pt>
                <c:pt idx="3">
                  <c:v>Zdravie</c:v>
                </c:pt>
                <c:pt idx="4">
                  <c:v>Efektívna VS a digitalizácia</c:v>
                </c:pt>
                <c:pt idx="5">
                  <c:v>REPower EU</c:v>
                </c:pt>
              </c:strCache>
            </c:strRef>
          </c:cat>
          <c:val>
            <c:numRef>
              <c:f>'Graf_POO vyplatene prijimatelom'!$I$6:$I$11</c:f>
              <c:numCache>
                <c:formatCode>#\ ##0.0</c:formatCode>
                <c:ptCount val="6"/>
                <c:pt idx="0">
                  <c:v>2.0454532200000002</c:v>
                </c:pt>
                <c:pt idx="1">
                  <c:v>18.830008769999999</c:v>
                </c:pt>
                <c:pt idx="2">
                  <c:v>2.1549241400000003</c:v>
                </c:pt>
                <c:pt idx="3">
                  <c:v>74.060504729999991</c:v>
                </c:pt>
                <c:pt idx="4">
                  <c:v>13.93018348</c:v>
                </c:pt>
                <c:pt idx="5">
                  <c:v>0</c:v>
                </c:pt>
              </c:numCache>
            </c:numRef>
          </c:val>
          <c:extLst>
            <c:ext xmlns:c16="http://schemas.microsoft.com/office/drawing/2014/chart" uri="{C3380CC4-5D6E-409C-BE32-E72D297353CC}">
              <c16:uniqueId val="{0000000B-34E9-47D1-B3AC-E5C67F447787}"/>
            </c:ext>
          </c:extLst>
        </c:ser>
        <c:dLbls>
          <c:showLegendKey val="0"/>
          <c:showVal val="0"/>
          <c:showCatName val="0"/>
          <c:showSerName val="0"/>
          <c:showPercent val="0"/>
          <c:showBubbleSize val="0"/>
        </c:dLbls>
        <c:gapWidth val="70"/>
        <c:overlap val="100"/>
        <c:axId val="2001356319"/>
        <c:axId val="2001364223"/>
        <c:extLst>
          <c:ext xmlns:c15="http://schemas.microsoft.com/office/drawing/2012/chart" uri="{02D57815-91ED-43cb-92C2-25804820EDAC}">
            <c15:filteredBarSeries>
              <c15:ser>
                <c:idx val="2"/>
                <c:order val="2"/>
                <c:tx>
                  <c:strRef>
                    <c:extLst>
                      <c:ext uri="{02D57815-91ED-43cb-92C2-25804820EDAC}">
                        <c15:formulaRef>
                          <c15:sqref>'Graf_POO vyplatene prijimatelom'!#REF!</c15:sqref>
                        </c15:formulaRef>
                      </c:ext>
                    </c:extLst>
                    <c:strCache>
                      <c:ptCount val="1"/>
                      <c:pt idx="0">
                        <c:v>#REF!</c:v>
                      </c:pt>
                    </c:strCache>
                  </c:strRef>
                </c:tx>
                <c:spPr>
                  <a:solidFill>
                    <a:srgbClr val="F79646">
                      <a:lumMod val="75000"/>
                    </a:srgbClr>
                  </a:solidFill>
                  <a:ln>
                    <a:solidFill>
                      <a:srgbClr val="C00000"/>
                    </a:solidFill>
                    <a:prstDash val="solid"/>
                  </a:ln>
                  <a:effectLst/>
                </c:spPr>
                <c:invertIfNegative val="0"/>
                <c:dLbls>
                  <c:dLbl>
                    <c:idx val="0"/>
                    <c:delete val="1"/>
                    <c:extLst>
                      <c:ext uri="{CE6537A1-D6FC-4f65-9D91-7224C49458BB}"/>
                      <c:ext xmlns:c16="http://schemas.microsoft.com/office/drawing/2014/chart" uri="{C3380CC4-5D6E-409C-BE32-E72D297353CC}">
                        <c16:uniqueId val="{0000000C-34E9-47D1-B3AC-E5C67F447787}"/>
                      </c:ext>
                    </c:extLst>
                  </c:dLbl>
                  <c:dLbl>
                    <c:idx val="1"/>
                    <c:delete val="1"/>
                    <c:extLst>
                      <c:ext uri="{CE6537A1-D6FC-4f65-9D91-7224C49458BB}"/>
                      <c:ext xmlns:c16="http://schemas.microsoft.com/office/drawing/2014/chart" uri="{C3380CC4-5D6E-409C-BE32-E72D297353CC}">
                        <c16:uniqueId val="{0000000D-34E9-47D1-B3AC-E5C67F447787}"/>
                      </c:ext>
                    </c:extLst>
                  </c:dLbl>
                  <c:dLbl>
                    <c:idx val="2"/>
                    <c:layout>
                      <c:manualLayout>
                        <c:x val="5.7859209257473482E-2"/>
                        <c:y val="-2.1533161068044791E-3"/>
                      </c:manualLayout>
                    </c:layout>
                    <c:showLegendKey val="0"/>
                    <c:showVal val="1"/>
                    <c:showCatName val="0"/>
                    <c:showSerName val="0"/>
                    <c:showPercent val="0"/>
                    <c:showBubbleSize val="0"/>
                    <c:extLst>
                      <c:ext uri="{CE6537A1-D6FC-4f65-9D91-7224C49458BB}"/>
                      <c:ext xmlns:c16="http://schemas.microsoft.com/office/drawing/2014/chart" uri="{C3380CC4-5D6E-409C-BE32-E72D297353CC}">
                        <c16:uniqueId val="{0000000E-34E9-47D1-B3AC-E5C67F447787}"/>
                      </c:ext>
                    </c:extLst>
                  </c:dLbl>
                  <c:dLbl>
                    <c:idx val="4"/>
                    <c:layout>
                      <c:manualLayout>
                        <c:x val="5.1430408228865201E-2"/>
                        <c:y val="-1.0766410981572883E-2"/>
                      </c:manualLayout>
                    </c:layout>
                    <c:showLegendKey val="0"/>
                    <c:showVal val="1"/>
                    <c:showCatName val="0"/>
                    <c:showSerName val="0"/>
                    <c:showPercent val="0"/>
                    <c:showBubbleSize val="0"/>
                    <c:extLst>
                      <c:ext uri="{CE6537A1-D6FC-4f65-9D91-7224C49458BB}"/>
                      <c:ext xmlns:c16="http://schemas.microsoft.com/office/drawing/2014/chart" uri="{C3380CC4-5D6E-409C-BE32-E72D297353CC}">
                        <c16:uniqueId val="{0000000F-34E9-47D1-B3AC-E5C67F447787}"/>
                      </c:ext>
                    </c:extLst>
                  </c:dLbl>
                  <c:dLbl>
                    <c:idx val="5"/>
                    <c:layout>
                      <c:manualLayout>
                        <c:x val="1.2158800082039576E-3"/>
                        <c:y val="-2.8748359580042944E-4"/>
                      </c:manualLayout>
                    </c:layout>
                    <c:showLegendKey val="0"/>
                    <c:showVal val="1"/>
                    <c:showCatName val="0"/>
                    <c:showSerName val="0"/>
                    <c:showPercent val="0"/>
                    <c:showBubbleSize val="0"/>
                    <c:extLst>
                      <c:ext uri="{CE6537A1-D6FC-4f65-9D91-7224C49458BB}"/>
                      <c:ext xmlns:c16="http://schemas.microsoft.com/office/drawing/2014/chart" uri="{C3380CC4-5D6E-409C-BE32-E72D297353CC}">
                        <c16:uniqueId val="{00000010-34E9-47D1-B3AC-E5C67F447787}"/>
                      </c:ext>
                    </c:extLst>
                  </c:dLbl>
                  <c:spPr>
                    <a:noFill/>
                    <a:ln>
                      <a:solidFill>
                        <a:srgbClr val="C00000">
                          <a:alpha val="64000"/>
                        </a:srgbClr>
                      </a:solid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600000"/>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uri="{CE6537A1-D6FC-4f65-9D91-7224C49458BB}">
                      <c15:showLeaderLines val="0"/>
                    </c:ext>
                  </c:extLst>
                </c:dLbls>
                <c:cat>
                  <c:strRef>
                    <c:extLst>
                      <c:ext uri="{02D57815-91ED-43cb-92C2-25804820EDAC}">
                        <c15:formulaRef>
                          <c15:sqref>'Graf_POO vyplatene prijimatelom'!$G$6:$G$12</c15:sqref>
                        </c15:formulaRef>
                      </c:ext>
                    </c:extLst>
                    <c:strCache>
                      <c:ptCount val="6"/>
                      <c:pt idx="0">
                        <c:v>Zelená ekonomika</c:v>
                      </c:pt>
                      <c:pt idx="1">
                        <c:v>Vzdelávanie</c:v>
                      </c:pt>
                      <c:pt idx="2">
                        <c:v>Veda, výskum a inovácie</c:v>
                      </c:pt>
                      <c:pt idx="3">
                        <c:v>Zdravie</c:v>
                      </c:pt>
                      <c:pt idx="4">
                        <c:v>Efektívna VS a digitalizácia</c:v>
                      </c:pt>
                      <c:pt idx="5">
                        <c:v>REPower EU</c:v>
                      </c:pt>
                    </c:strCache>
                  </c:strRef>
                </c:cat>
                <c:val>
                  <c:numRef>
                    <c:extLst>
                      <c:ext uri="{02D57815-91ED-43cb-92C2-25804820EDAC}">
                        <c15:formulaRef>
                          <c15:sqref>'Graf_POO vyplatene prijimatelom'!#REF!</c15:sqref>
                        </c15:formulaRef>
                      </c:ext>
                    </c:extLst>
                    <c:numCache>
                      <c:formatCode>General</c:formatCode>
                      <c:ptCount val="1"/>
                      <c:pt idx="0">
                        <c:v>1</c:v>
                      </c:pt>
                    </c:numCache>
                  </c:numRef>
                </c:val>
                <c:extLst>
                  <c:ext xmlns:c16="http://schemas.microsoft.com/office/drawing/2014/chart" uri="{C3380CC4-5D6E-409C-BE32-E72D297353CC}">
                    <c16:uniqueId val="{00000011-34E9-47D1-B3AC-E5C67F447787}"/>
                  </c:ext>
                </c:extLst>
              </c15:ser>
            </c15:filteredBarSeries>
          </c:ext>
        </c:extLst>
      </c:barChart>
      <c:catAx>
        <c:axId val="2001356319"/>
        <c:scaling>
          <c:orientation val="minMax"/>
        </c:scaling>
        <c:delete val="0"/>
        <c:axPos val="b"/>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tx2"/>
                  </a:gs>
                </a:gsLst>
                <a:lin ang="5400000" scaled="1"/>
              </a:gra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'top level sprac'!$B$23</c:f>
              <c:strCache>
                <c:ptCount val="1"/>
                <c:pt idx="0">
                  <c:v>rozpočet</c:v>
                </c:pt>
              </c:strCache>
            </c:strRef>
          </c:tx>
          <c:spPr>
            <a:solidFill>
              <a:schemeClr val="accent1"/>
            </a:solidFill>
            <a:ln>
              <a:noFill/>
            </a:ln>
            <a:effectLst/>
          </c:spPr>
          <c:invertIfNegative val="0"/>
          <c:cat>
            <c:strRef>
              <c:f>'top level sprac'!$A$24:$A$26</c:f>
              <c:strCache>
                <c:ptCount val="3"/>
                <c:pt idx="0">
                  <c:v>Zdravotná starostlivosť</c:v>
                </c:pt>
                <c:pt idx="1">
                  <c:v>Tvorba a implementácia politík</c:v>
                </c:pt>
                <c:pt idx="2">
                  <c:v>Prevencia a ochrana zdravia</c:v>
                </c:pt>
              </c:strCache>
            </c:strRef>
          </c:cat>
          <c:val>
            <c:numRef>
              <c:f>'top level sprac'!$B$24:$B$26</c:f>
              <c:numCache>
                <c:formatCode>#\ ##0.0</c:formatCode>
                <c:ptCount val="3"/>
                <c:pt idx="0">
                  <c:v>2483.9464800000001</c:v>
                </c:pt>
                <c:pt idx="1">
                  <c:v>75.560194999999993</c:v>
                </c:pt>
                <c:pt idx="2">
                  <c:v>84.963008000000002</c:v>
                </c:pt>
              </c:numCache>
            </c:numRef>
          </c:val>
          <c:extLst>
            <c:ext xmlns:c16="http://schemas.microsoft.com/office/drawing/2014/chart" uri="{C3380CC4-5D6E-409C-BE32-E72D297353CC}">
              <c16:uniqueId val="{00000000-3307-4AED-AC14-1CD2F1A00E8B}"/>
            </c:ext>
          </c:extLst>
        </c:ser>
        <c:ser>
          <c:idx val="1"/>
          <c:order val="1"/>
          <c:tx>
            <c:strRef>
              <c:f>'top level sprac'!$C$23</c:f>
              <c:strCache>
                <c:ptCount val="1"/>
                <c:pt idx="0">
                  <c:v>skutočnosť</c:v>
                </c:pt>
              </c:strCache>
            </c:strRef>
          </c:tx>
          <c:spPr>
            <a:solidFill>
              <a:schemeClr val="accent2"/>
            </a:solidFill>
            <a:ln>
              <a:noFill/>
            </a:ln>
            <a:effectLst/>
          </c:spPr>
          <c:invertIfNegative val="0"/>
          <c:cat>
            <c:strRef>
              <c:f>'top level sprac'!$A$24:$A$26</c:f>
              <c:strCache>
                <c:ptCount val="3"/>
                <c:pt idx="0">
                  <c:v>Zdravotná starostlivosť</c:v>
                </c:pt>
                <c:pt idx="1">
                  <c:v>Tvorba a implementácia politík</c:v>
                </c:pt>
                <c:pt idx="2">
                  <c:v>Prevencia a ochrana zdravia</c:v>
                </c:pt>
              </c:strCache>
            </c:strRef>
          </c:cat>
          <c:val>
            <c:numRef>
              <c:f>'top level sprac'!$C$24:$C$26</c:f>
              <c:numCache>
                <c:formatCode>#\ ##0.0</c:formatCode>
                <c:ptCount val="3"/>
                <c:pt idx="0">
                  <c:v>2523.48331753</c:v>
                </c:pt>
                <c:pt idx="1">
                  <c:v>103.05097671999999</c:v>
                </c:pt>
                <c:pt idx="2">
                  <c:v>86.160426020000003</c:v>
                </c:pt>
              </c:numCache>
            </c:numRef>
          </c:val>
          <c:extLst>
            <c:ext xmlns:c16="http://schemas.microsoft.com/office/drawing/2014/chart" uri="{C3380CC4-5D6E-409C-BE32-E72D297353CC}">
              <c16:uniqueId val="{00000001-3307-4AED-AC14-1CD2F1A00E8B}"/>
            </c:ext>
          </c:extLst>
        </c:ser>
        <c:dLbls>
          <c:showLegendKey val="0"/>
          <c:showVal val="0"/>
          <c:showCatName val="0"/>
          <c:showSerName val="0"/>
          <c:showPercent val="0"/>
          <c:showBubbleSize val="0"/>
        </c:dLbls>
        <c:gapWidth val="100"/>
        <c:axId val="1695076719"/>
        <c:axId val="1695080463"/>
      </c:barChart>
      <c:lineChart>
        <c:grouping val="standard"/>
        <c:varyColors val="0"/>
        <c:ser>
          <c:idx val="2"/>
          <c:order val="2"/>
          <c:tx>
            <c:strRef>
              <c:f>'top level sprac'!$D$23</c:f>
              <c:strCache>
                <c:ptCount val="1"/>
                <c:pt idx="0">
                  <c:v>% čerpania (pravá os)</c:v>
                </c:pt>
              </c:strCache>
            </c:strRef>
          </c:tx>
          <c:spPr>
            <a:ln w="28575" cap="rnd">
              <a:noFill/>
              <a:round/>
            </a:ln>
            <a:effectLst/>
          </c:spPr>
          <c:marker>
            <c:symbol val="diamond"/>
            <c:size val="5"/>
            <c:spPr>
              <a:solidFill>
                <a:schemeClr val="accent6"/>
              </a:solidFill>
              <a:ln w="9525">
                <a:solidFill>
                  <a:schemeClr val="accent6"/>
                </a:solidFill>
              </a:ln>
              <a:effectLst/>
            </c:spPr>
          </c:marker>
          <c:dLbls>
            <c:dLbl>
              <c:idx val="0"/>
              <c:layout>
                <c:manualLayout>
                  <c:x val="-4.6728320033821318E-2"/>
                  <c:y val="-0.157533660444879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307-4AED-AC14-1CD2F1A00E8B}"/>
                </c:ext>
              </c:extLst>
            </c:dLbl>
            <c:spPr>
              <a:noFill/>
              <a:ln>
                <a:noFill/>
              </a:ln>
              <a:effectLst/>
            </c:spPr>
            <c:txPr>
              <a:bodyPr rot="0" spcFirstLastPara="1" vertOverflow="ellipsis" vert="horz" wrap="square" anchor="ctr" anchorCtr="1"/>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'top level sprac'!$A$24:$A$26</c:f>
              <c:strCache>
                <c:ptCount val="3"/>
                <c:pt idx="0">
                  <c:v>Zdravotná starostlivosť</c:v>
                </c:pt>
                <c:pt idx="1">
                  <c:v>Tvorba a implementácia politík</c:v>
                </c:pt>
                <c:pt idx="2">
                  <c:v>Prevencia a ochrana zdravia</c:v>
                </c:pt>
              </c:strCache>
            </c:strRef>
          </c:cat>
          <c:val>
            <c:numRef>
              <c:f>'top level sprac'!$D$24:$D$26</c:f>
              <c:numCache>
                <c:formatCode>#\ ##0.0</c:formatCode>
                <c:ptCount val="3"/>
                <c:pt idx="0">
                  <c:v>101.59169442048525</c:v>
                </c:pt>
                <c:pt idx="1">
                  <c:v>136.38262410519189</c:v>
                </c:pt>
                <c:pt idx="2">
                  <c:v>101.40934042730692</c:v>
                </c:pt>
              </c:numCache>
            </c:numRef>
          </c:val>
          <c:smooth val="0"/>
          <c:extLst>
            <c:ext xmlns:c16="http://schemas.microsoft.com/office/drawing/2014/chart" uri="{C3380CC4-5D6E-409C-BE32-E72D297353CC}">
              <c16:uniqueId val="{00000003-3307-4AED-AC14-1CD2F1A00E8B}"/>
            </c:ext>
          </c:extLst>
        </c:ser>
        <c:dLbls>
          <c:showLegendKey val="0"/>
          <c:showVal val="0"/>
          <c:showCatName val="0"/>
          <c:showSerName val="0"/>
          <c:showPercent val="0"/>
          <c:showBubbleSize val="0"/>
        </c:dLbls>
        <c:marker val="1"/>
        <c:smooth val="0"/>
        <c:axId val="1690790447"/>
        <c:axId val="1690792527"/>
      </c:lineChart>
      <c:catAx>
        <c:axId val="1695076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95080463"/>
        <c:crosses val="autoZero"/>
        <c:auto val="1"/>
        <c:lblAlgn val="ctr"/>
        <c:lblOffset val="100"/>
        <c:noMultiLvlLbl val="0"/>
      </c:catAx>
      <c:valAx>
        <c:axId val="169508046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95076719"/>
        <c:crosses val="autoZero"/>
        <c:crossBetween val="between"/>
      </c:valAx>
      <c:valAx>
        <c:axId val="1690792527"/>
        <c:scaling>
          <c:orientation val="minMax"/>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90790447"/>
        <c:crosses val="max"/>
        <c:crossBetween val="between"/>
      </c:valAx>
      <c:catAx>
        <c:axId val="1690790447"/>
        <c:scaling>
          <c:orientation val="minMax"/>
        </c:scaling>
        <c:delete val="1"/>
        <c:axPos val="b"/>
        <c:numFmt formatCode="General" sourceLinked="1"/>
        <c:majorTickMark val="out"/>
        <c:minorTickMark val="none"/>
        <c:tickLblPos val="nextTo"/>
        <c:crossAx val="169079252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'vnímané zdravie sprac'!$D$52</c:f>
              <c:strCache>
                <c:ptCount val="1"/>
                <c:pt idx="0">
                  <c:v>2024</c:v>
                </c:pt>
              </c:strCache>
            </c:strRef>
          </c:tx>
          <c:spPr>
            <a:solidFill>
              <a:schemeClr val="accent2"/>
            </a:solidFill>
            <a:ln>
              <a:noFill/>
            </a:ln>
            <a:effectLst/>
          </c:spPr>
          <c:invertIfNegative val="0"/>
          <c:dPt>
            <c:idx val="13"/>
            <c:invertIfNegative val="0"/>
            <c:bubble3D val="0"/>
            <c:spPr>
              <a:solidFill>
                <a:srgbClr val="F55647"/>
              </a:solidFill>
              <a:ln>
                <a:noFill/>
              </a:ln>
              <a:effectLst/>
            </c:spPr>
            <c:extLst>
              <c:ext xmlns:c16="http://schemas.microsoft.com/office/drawing/2014/chart" uri="{C3380CC4-5D6E-409C-BE32-E72D297353CC}">
                <c16:uniqueId val="{00000001-8068-4F17-8A36-FAD8DF137049}"/>
              </c:ext>
            </c:extLst>
          </c:dPt>
          <c:dLbls>
            <c:dLbl>
              <c:idx val="1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68-4F17-8A36-FAD8DF137049}"/>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'vnímané zdravie sprac'!$B$53:$B$79</c:f>
              <c:strCache>
                <c:ptCount val="27"/>
                <c:pt idx="0">
                  <c:v>Írsko</c:v>
                </c:pt>
                <c:pt idx="1">
                  <c:v>Malta</c:v>
                </c:pt>
                <c:pt idx="2">
                  <c:v>Grécko</c:v>
                </c:pt>
                <c:pt idx="3">
                  <c:v>Taliansko</c:v>
                </c:pt>
                <c:pt idx="4">
                  <c:v>Rumunsko</c:v>
                </c:pt>
                <c:pt idx="5">
                  <c:v>Cyprus</c:v>
                </c:pt>
                <c:pt idx="6">
                  <c:v>Belgicko</c:v>
                </c:pt>
                <c:pt idx="7">
                  <c:v>Luxembursko</c:v>
                </c:pt>
                <c:pt idx="8">
                  <c:v>Španielsko</c:v>
                </c:pt>
                <c:pt idx="9">
                  <c:v>Holandsko</c:v>
                </c:pt>
                <c:pt idx="10">
                  <c:v>Dánsko</c:v>
                </c:pt>
                <c:pt idx="11">
                  <c:v>Rakúsko</c:v>
                </c:pt>
                <c:pt idx="12">
                  <c:v>Chorvátsko</c:v>
                </c:pt>
                <c:pt idx="13">
                  <c:v>Slovensko</c:v>
                </c:pt>
                <c:pt idx="14">
                  <c:v>Švédsko</c:v>
                </c:pt>
                <c:pt idx="15">
                  <c:v>Fínsko</c:v>
                </c:pt>
                <c:pt idx="16">
                  <c:v>Česká republika</c:v>
                </c:pt>
                <c:pt idx="17">
                  <c:v>Francúzsko</c:v>
                </c:pt>
                <c:pt idx="18">
                  <c:v>Slovinsko</c:v>
                </c:pt>
                <c:pt idx="19">
                  <c:v>Bulharsko</c:v>
                </c:pt>
                <c:pt idx="20">
                  <c:v>Nemecko</c:v>
                </c:pt>
                <c:pt idx="21">
                  <c:v>Maďarsko</c:v>
                </c:pt>
                <c:pt idx="22">
                  <c:v>Poľsko</c:v>
                </c:pt>
                <c:pt idx="23">
                  <c:v>Estónsko</c:v>
                </c:pt>
                <c:pt idx="24">
                  <c:v>Portugalsko</c:v>
                </c:pt>
                <c:pt idx="25">
                  <c:v>Lotyšsko</c:v>
                </c:pt>
                <c:pt idx="26">
                  <c:v>Litva</c:v>
                </c:pt>
              </c:strCache>
            </c:strRef>
          </c:cat>
          <c:val>
            <c:numRef>
              <c:f>'vnímané zdravie sprac'!$D$53:$D$79</c:f>
              <c:numCache>
                <c:formatCode>0.0</c:formatCode>
                <c:ptCount val="27"/>
                <c:pt idx="0">
                  <c:v>79.900000000000006</c:v>
                </c:pt>
                <c:pt idx="1">
                  <c:v>79.2</c:v>
                </c:pt>
                <c:pt idx="2">
                  <c:v>78.3</c:v>
                </c:pt>
                <c:pt idx="3">
                  <c:v>75.5</c:v>
                </c:pt>
                <c:pt idx="4">
                  <c:v>75.5</c:v>
                </c:pt>
                <c:pt idx="5">
                  <c:v>75.2</c:v>
                </c:pt>
                <c:pt idx="6">
                  <c:v>74.5</c:v>
                </c:pt>
                <c:pt idx="7">
                  <c:v>73.099999999999994</c:v>
                </c:pt>
                <c:pt idx="8">
                  <c:v>70.2</c:v>
                </c:pt>
                <c:pt idx="9">
                  <c:v>69.8</c:v>
                </c:pt>
                <c:pt idx="10">
                  <c:v>68.2</c:v>
                </c:pt>
                <c:pt idx="11">
                  <c:v>67.7</c:v>
                </c:pt>
                <c:pt idx="12">
                  <c:v>67.2</c:v>
                </c:pt>
                <c:pt idx="13">
                  <c:v>66.8</c:v>
                </c:pt>
                <c:pt idx="14">
                  <c:v>66.599999999999994</c:v>
                </c:pt>
                <c:pt idx="15">
                  <c:v>66.5</c:v>
                </c:pt>
                <c:pt idx="16">
                  <c:v>66.400000000000006</c:v>
                </c:pt>
                <c:pt idx="17">
                  <c:v>66.3</c:v>
                </c:pt>
                <c:pt idx="18">
                  <c:v>66.2</c:v>
                </c:pt>
                <c:pt idx="19">
                  <c:v>65.7</c:v>
                </c:pt>
                <c:pt idx="20">
                  <c:v>64.7</c:v>
                </c:pt>
                <c:pt idx="21">
                  <c:v>64.400000000000006</c:v>
                </c:pt>
                <c:pt idx="22">
                  <c:v>64.3</c:v>
                </c:pt>
                <c:pt idx="23">
                  <c:v>57.7</c:v>
                </c:pt>
                <c:pt idx="24">
                  <c:v>53.6</c:v>
                </c:pt>
                <c:pt idx="25">
                  <c:v>49.1</c:v>
                </c:pt>
                <c:pt idx="26">
                  <c:v>48.9</c:v>
                </c:pt>
              </c:numCache>
            </c:numRef>
          </c:val>
          <c:extLst>
            <c:ext xmlns:c16="http://schemas.microsoft.com/office/drawing/2014/chart" uri="{C3380CC4-5D6E-409C-BE32-E72D297353CC}">
              <c16:uniqueId val="{00000002-8068-4F17-8A36-FAD8DF137049}"/>
            </c:ext>
          </c:extLst>
        </c:ser>
        <c:dLbls>
          <c:showLegendKey val="0"/>
          <c:showVal val="0"/>
          <c:showCatName val="0"/>
          <c:showSerName val="0"/>
          <c:showPercent val="0"/>
          <c:showBubbleSize val="0"/>
        </c:dLbls>
        <c:gapWidth val="75"/>
        <c:overlap val="-25"/>
        <c:axId val="1597731967"/>
        <c:axId val="1597735295"/>
      </c:barChart>
      <c:lineChart>
        <c:grouping val="standard"/>
        <c:varyColors val="0"/>
        <c:ser>
          <c:idx val="2"/>
          <c:order val="2"/>
          <c:tx>
            <c:strRef>
              <c:f>'vnímané zdravie sprac'!$E$52</c:f>
              <c:strCache>
                <c:ptCount val="1"/>
                <c:pt idx="0">
                  <c:v>priemer krajín EÚ27</c:v>
                </c:pt>
              </c:strCache>
            </c:strRef>
          </c:tx>
          <c:spPr>
            <a:ln w="28575" cap="rnd">
              <a:solidFill>
                <a:schemeClr val="accent3"/>
              </a:solidFill>
              <a:round/>
            </a:ln>
            <a:effectLst/>
          </c:spPr>
          <c:marker>
            <c:symbol val="none"/>
          </c:marker>
          <c:cat>
            <c:strRef>
              <c:f>'vnímané zdravie sprac'!$B$53:$B$79</c:f>
              <c:strCache>
                <c:ptCount val="27"/>
                <c:pt idx="0">
                  <c:v>Írsko</c:v>
                </c:pt>
                <c:pt idx="1">
                  <c:v>Malta</c:v>
                </c:pt>
                <c:pt idx="2">
                  <c:v>Grécko</c:v>
                </c:pt>
                <c:pt idx="3">
                  <c:v>Taliansko</c:v>
                </c:pt>
                <c:pt idx="4">
                  <c:v>Rumunsko</c:v>
                </c:pt>
                <c:pt idx="5">
                  <c:v>Cyprus</c:v>
                </c:pt>
                <c:pt idx="6">
                  <c:v>Belgicko</c:v>
                </c:pt>
                <c:pt idx="7">
                  <c:v>Luxembursko</c:v>
                </c:pt>
                <c:pt idx="8">
                  <c:v>Španielsko</c:v>
                </c:pt>
                <c:pt idx="9">
                  <c:v>Holandsko</c:v>
                </c:pt>
                <c:pt idx="10">
                  <c:v>Dánsko</c:v>
                </c:pt>
                <c:pt idx="11">
                  <c:v>Rakúsko</c:v>
                </c:pt>
                <c:pt idx="12">
                  <c:v>Chorvátsko</c:v>
                </c:pt>
                <c:pt idx="13">
                  <c:v>Slovensko</c:v>
                </c:pt>
                <c:pt idx="14">
                  <c:v>Švédsko</c:v>
                </c:pt>
                <c:pt idx="15">
                  <c:v>Fínsko</c:v>
                </c:pt>
                <c:pt idx="16">
                  <c:v>Česká republika</c:v>
                </c:pt>
                <c:pt idx="17">
                  <c:v>Francúzsko</c:v>
                </c:pt>
                <c:pt idx="18">
                  <c:v>Slovinsko</c:v>
                </c:pt>
                <c:pt idx="19">
                  <c:v>Bulharsko</c:v>
                </c:pt>
                <c:pt idx="20">
                  <c:v>Nemecko</c:v>
                </c:pt>
                <c:pt idx="21">
                  <c:v>Maďarsko</c:v>
                </c:pt>
                <c:pt idx="22">
                  <c:v>Poľsko</c:v>
                </c:pt>
                <c:pt idx="23">
                  <c:v>Estónsko</c:v>
                </c:pt>
                <c:pt idx="24">
                  <c:v>Portugalsko</c:v>
                </c:pt>
                <c:pt idx="25">
                  <c:v>Lotyšsko</c:v>
                </c:pt>
                <c:pt idx="26">
                  <c:v>Litva</c:v>
                </c:pt>
              </c:strCache>
            </c:strRef>
          </c:cat>
          <c:val>
            <c:numRef>
              <c:f>'vnímané zdravie sprac'!$E$53:$E$79</c:f>
              <c:numCache>
                <c:formatCode>0.0</c:formatCode>
                <c:ptCount val="27"/>
                <c:pt idx="0">
                  <c:v>67.462962962962976</c:v>
                </c:pt>
                <c:pt idx="1">
                  <c:v>67.462962962962976</c:v>
                </c:pt>
                <c:pt idx="2">
                  <c:v>67.462962962962976</c:v>
                </c:pt>
                <c:pt idx="3">
                  <c:v>67.462962962962976</c:v>
                </c:pt>
                <c:pt idx="4">
                  <c:v>67.462962962962976</c:v>
                </c:pt>
                <c:pt idx="5">
                  <c:v>67.462962962962976</c:v>
                </c:pt>
                <c:pt idx="6">
                  <c:v>67.462962962962976</c:v>
                </c:pt>
                <c:pt idx="7">
                  <c:v>67.462962962962976</c:v>
                </c:pt>
                <c:pt idx="8">
                  <c:v>67.462962962962976</c:v>
                </c:pt>
                <c:pt idx="9">
                  <c:v>67.462962962962976</c:v>
                </c:pt>
                <c:pt idx="10">
                  <c:v>67.462962962962976</c:v>
                </c:pt>
                <c:pt idx="11">
                  <c:v>67.462962962962976</c:v>
                </c:pt>
                <c:pt idx="12">
                  <c:v>67.462962962962976</c:v>
                </c:pt>
                <c:pt idx="13">
                  <c:v>67.462962962962976</c:v>
                </c:pt>
                <c:pt idx="14">
                  <c:v>67.462962962962976</c:v>
                </c:pt>
                <c:pt idx="15">
                  <c:v>67.462962962962976</c:v>
                </c:pt>
                <c:pt idx="16">
                  <c:v>67.462962962962976</c:v>
                </c:pt>
                <c:pt idx="17">
                  <c:v>67.462962962962976</c:v>
                </c:pt>
                <c:pt idx="18">
                  <c:v>67.462962962962976</c:v>
                </c:pt>
                <c:pt idx="19">
                  <c:v>67.462962962962976</c:v>
                </c:pt>
                <c:pt idx="20">
                  <c:v>67.462962962962976</c:v>
                </c:pt>
                <c:pt idx="21">
                  <c:v>67.462962962962976</c:v>
                </c:pt>
                <c:pt idx="22">
                  <c:v>67.462962962962976</c:v>
                </c:pt>
                <c:pt idx="23">
                  <c:v>67.462962962962976</c:v>
                </c:pt>
                <c:pt idx="24">
                  <c:v>67.462962962962976</c:v>
                </c:pt>
                <c:pt idx="25">
                  <c:v>67.462962962962976</c:v>
                </c:pt>
                <c:pt idx="26">
                  <c:v>67.462962962962976</c:v>
                </c:pt>
              </c:numCache>
            </c:numRef>
          </c:val>
          <c:smooth val="0"/>
          <c:extLst>
            <c:ext xmlns:c16="http://schemas.microsoft.com/office/drawing/2014/chart" uri="{C3380CC4-5D6E-409C-BE32-E72D297353CC}">
              <c16:uniqueId val="{00000003-8068-4F17-8A36-FAD8DF137049}"/>
            </c:ext>
          </c:extLst>
        </c:ser>
        <c:dLbls>
          <c:showLegendKey val="0"/>
          <c:showVal val="0"/>
          <c:showCatName val="0"/>
          <c:showSerName val="0"/>
          <c:showPercent val="0"/>
          <c:showBubbleSize val="0"/>
        </c:dLbls>
        <c:marker val="1"/>
        <c:smooth val="0"/>
        <c:axId val="1597731967"/>
        <c:axId val="1597735295"/>
        <c:extLst>
          <c:ext xmlns:c15="http://schemas.microsoft.com/office/drawing/2012/chart" uri="{02D57815-91ED-43cb-92C2-25804820EDAC}">
            <c15:filteredLineSeries>
              <c15:ser>
                <c:idx val="0"/>
                <c:order val="0"/>
                <c:tx>
                  <c:strRef>
                    <c:extLst>
                      <c:ext uri="{02D57815-91ED-43cb-92C2-25804820EDAC}">
                        <c15:formulaRef>
                          <c15:sqref>'vnímané zdravie sprac'!$C$52</c15:sqref>
                        </c15:formulaRef>
                      </c:ext>
                    </c:extLst>
                    <c:strCache>
                      <c:ptCount val="1"/>
                      <c:pt idx="0">
                        <c:v>2011</c:v>
                      </c:pt>
                    </c:strCache>
                  </c:strRef>
                </c:tx>
                <c:spPr>
                  <a:ln w="28575" cap="rnd">
                    <a:no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'vnímané zdravie sprac'!$B$53:$B$79</c15:sqref>
                        </c15:formulaRef>
                      </c:ext>
                    </c:extLst>
                    <c:strCache>
                      <c:ptCount val="27"/>
                      <c:pt idx="0">
                        <c:v>Írsko</c:v>
                      </c:pt>
                      <c:pt idx="1">
                        <c:v>Malta</c:v>
                      </c:pt>
                      <c:pt idx="2">
                        <c:v>Grécko</c:v>
                      </c:pt>
                      <c:pt idx="3">
                        <c:v>Taliansko</c:v>
                      </c:pt>
                      <c:pt idx="4">
                        <c:v>Rumunsko</c:v>
                      </c:pt>
                      <c:pt idx="5">
                        <c:v>Cyprus</c:v>
                      </c:pt>
                      <c:pt idx="6">
                        <c:v>Belgicko</c:v>
                      </c:pt>
                      <c:pt idx="7">
                        <c:v>Luxembursko</c:v>
                      </c:pt>
                      <c:pt idx="8">
                        <c:v>Španielsko</c:v>
                      </c:pt>
                      <c:pt idx="9">
                        <c:v>Holandsko</c:v>
                      </c:pt>
                      <c:pt idx="10">
                        <c:v>Dánsko</c:v>
                      </c:pt>
                      <c:pt idx="11">
                        <c:v>Rakúsko</c:v>
                      </c:pt>
                      <c:pt idx="12">
                        <c:v>Chorvátsko</c:v>
                      </c:pt>
                      <c:pt idx="13">
                        <c:v>Slovensko</c:v>
                      </c:pt>
                      <c:pt idx="14">
                        <c:v>Švédsko</c:v>
                      </c:pt>
                      <c:pt idx="15">
                        <c:v>Fínsko</c:v>
                      </c:pt>
                      <c:pt idx="16">
                        <c:v>Česká republika</c:v>
                      </c:pt>
                      <c:pt idx="17">
                        <c:v>Francúzsko</c:v>
                      </c:pt>
                      <c:pt idx="18">
                        <c:v>Slovinsko</c:v>
                      </c:pt>
                      <c:pt idx="19">
                        <c:v>Bulharsko</c:v>
                      </c:pt>
                      <c:pt idx="20">
                        <c:v>Nemecko</c:v>
                      </c:pt>
                      <c:pt idx="21">
                        <c:v>Maďarsko</c:v>
                      </c:pt>
                      <c:pt idx="22">
                        <c:v>Poľsko</c:v>
                      </c:pt>
                      <c:pt idx="23">
                        <c:v>Estónsko</c:v>
                      </c:pt>
                      <c:pt idx="24">
                        <c:v>Portugalsko</c:v>
                      </c:pt>
                      <c:pt idx="25">
                        <c:v>Lotyšsko</c:v>
                      </c:pt>
                      <c:pt idx="26">
                        <c:v>Litva</c:v>
                      </c:pt>
                    </c:strCache>
                  </c:strRef>
                </c:cat>
                <c:val>
                  <c:numRef>
                    <c:extLst>
                      <c:ext uri="{02D57815-91ED-43cb-92C2-25804820EDAC}">
                        <c15:formulaRef>
                          <c15:sqref>'vnímané zdravie sprac'!$C$53:$C$79</c15:sqref>
                        </c15:formulaRef>
                      </c:ext>
                    </c:extLst>
                    <c:numCache>
                      <c:formatCode>0.0</c:formatCode>
                      <c:ptCount val="27"/>
                      <c:pt idx="0">
                        <c:v>83.3</c:v>
                      </c:pt>
                      <c:pt idx="1">
                        <c:v>69.900000000000006</c:v>
                      </c:pt>
                      <c:pt idx="2">
                        <c:v>76.400000000000006</c:v>
                      </c:pt>
                      <c:pt idx="3">
                        <c:v>64.5</c:v>
                      </c:pt>
                      <c:pt idx="4">
                        <c:v>67.900000000000006</c:v>
                      </c:pt>
                      <c:pt idx="5">
                        <c:v>75.599999999999994</c:v>
                      </c:pt>
                      <c:pt idx="6">
                        <c:v>73.5</c:v>
                      </c:pt>
                      <c:pt idx="7">
                        <c:v>72.5</c:v>
                      </c:pt>
                      <c:pt idx="8">
                        <c:v>75.3</c:v>
                      </c:pt>
                      <c:pt idx="9">
                        <c:v>76.3</c:v>
                      </c:pt>
                      <c:pt idx="10">
                        <c:v>71.7</c:v>
                      </c:pt>
                      <c:pt idx="11">
                        <c:v>68.7</c:v>
                      </c:pt>
                      <c:pt idx="12">
                        <c:v>46.6</c:v>
                      </c:pt>
                      <c:pt idx="13">
                        <c:v>63.2</c:v>
                      </c:pt>
                      <c:pt idx="14">
                        <c:v>78.5</c:v>
                      </c:pt>
                      <c:pt idx="15">
                        <c:v>68.8</c:v>
                      </c:pt>
                      <c:pt idx="16">
                        <c:v>59.4</c:v>
                      </c:pt>
                      <c:pt idx="17">
                        <c:v>67.599999999999994</c:v>
                      </c:pt>
                      <c:pt idx="18">
                        <c:v>60.4</c:v>
                      </c:pt>
                      <c:pt idx="19">
                        <c:v>67.099999999999994</c:v>
                      </c:pt>
                      <c:pt idx="20">
                        <c:v>64.8</c:v>
                      </c:pt>
                      <c:pt idx="21">
                        <c:v>55.6</c:v>
                      </c:pt>
                      <c:pt idx="22">
                        <c:v>57.6</c:v>
                      </c:pt>
                      <c:pt idx="23">
                        <c:v>51.8</c:v>
                      </c:pt>
                      <c:pt idx="24">
                        <c:v>49.7</c:v>
                      </c:pt>
                      <c:pt idx="25">
                        <c:v>46</c:v>
                      </c:pt>
                      <c:pt idx="26">
                        <c:v>43.9</c:v>
                      </c:pt>
                    </c:numCache>
                  </c:numRef>
                </c:val>
                <c:smooth val="0"/>
                <c:extLst>
                  <c:ext xmlns:c16="http://schemas.microsoft.com/office/drawing/2014/chart" uri="{C3380CC4-5D6E-409C-BE32-E72D297353CC}">
                    <c16:uniqueId val="{00000005-8068-4F17-8A36-FAD8DF137049}"/>
                  </c:ext>
                </c:extLst>
              </c15:ser>
            </c15:filteredLineSeries>
          </c:ext>
        </c:extLst>
      </c:lineChart>
      <c:lineChart>
        <c:grouping val="standard"/>
        <c:varyColors val="0"/>
        <c:ser>
          <c:idx val="3"/>
          <c:order val="3"/>
          <c:tx>
            <c:strRef>
              <c:f>'vnímané zdravie sprac'!$F$52</c:f>
              <c:strCache>
                <c:ptCount val="1"/>
                <c:pt idx="0">
                  <c:v>zmena 2024 oproti 2023 (pravá os)</c:v>
                </c:pt>
              </c:strCache>
            </c:strRef>
          </c:tx>
          <c:spPr>
            <a:ln w="25400" cap="rnd">
              <a:noFill/>
              <a:round/>
            </a:ln>
            <a:effectLst/>
          </c:spPr>
          <c:marker>
            <c:symbol val="triangle"/>
            <c:size val="5"/>
            <c:spPr>
              <a:solidFill>
                <a:srgbClr val="314364"/>
              </a:solidFill>
              <a:ln w="9525">
                <a:solidFill>
                  <a:srgbClr val="314364"/>
                </a:solidFill>
              </a:ln>
              <a:effectLst/>
            </c:spPr>
          </c:marker>
          <c:cat>
            <c:strRef>
              <c:f>'vnímané zdravie sprac'!$B$53:$B$79</c:f>
              <c:strCache>
                <c:ptCount val="27"/>
                <c:pt idx="0">
                  <c:v>Írsko</c:v>
                </c:pt>
                <c:pt idx="1">
                  <c:v>Malta</c:v>
                </c:pt>
                <c:pt idx="2">
                  <c:v>Grécko</c:v>
                </c:pt>
                <c:pt idx="3">
                  <c:v>Taliansko</c:v>
                </c:pt>
                <c:pt idx="4">
                  <c:v>Rumunsko</c:v>
                </c:pt>
                <c:pt idx="5">
                  <c:v>Cyprus</c:v>
                </c:pt>
                <c:pt idx="6">
                  <c:v>Belgicko</c:v>
                </c:pt>
                <c:pt idx="7">
                  <c:v>Luxembursko</c:v>
                </c:pt>
                <c:pt idx="8">
                  <c:v>Španielsko</c:v>
                </c:pt>
                <c:pt idx="9">
                  <c:v>Holandsko</c:v>
                </c:pt>
                <c:pt idx="10">
                  <c:v>Dánsko</c:v>
                </c:pt>
                <c:pt idx="11">
                  <c:v>Rakúsko</c:v>
                </c:pt>
                <c:pt idx="12">
                  <c:v>Chorvátsko</c:v>
                </c:pt>
                <c:pt idx="13">
                  <c:v>Slovensko</c:v>
                </c:pt>
                <c:pt idx="14">
                  <c:v>Švédsko</c:v>
                </c:pt>
                <c:pt idx="15">
                  <c:v>Fínsko</c:v>
                </c:pt>
                <c:pt idx="16">
                  <c:v>Česká republika</c:v>
                </c:pt>
                <c:pt idx="17">
                  <c:v>Francúzsko</c:v>
                </c:pt>
                <c:pt idx="18">
                  <c:v>Slovinsko</c:v>
                </c:pt>
                <c:pt idx="19">
                  <c:v>Bulharsko</c:v>
                </c:pt>
                <c:pt idx="20">
                  <c:v>Nemecko</c:v>
                </c:pt>
                <c:pt idx="21">
                  <c:v>Maďarsko</c:v>
                </c:pt>
                <c:pt idx="22">
                  <c:v>Poľsko</c:v>
                </c:pt>
                <c:pt idx="23">
                  <c:v>Estónsko</c:v>
                </c:pt>
                <c:pt idx="24">
                  <c:v>Portugalsko</c:v>
                </c:pt>
                <c:pt idx="25">
                  <c:v>Lotyšsko</c:v>
                </c:pt>
                <c:pt idx="26">
                  <c:v>Litva</c:v>
                </c:pt>
              </c:strCache>
            </c:strRef>
          </c:cat>
          <c:val>
            <c:numRef>
              <c:f>'vnímané zdravie sprac'!$F$53:$F$79</c:f>
              <c:numCache>
                <c:formatCode>0.0</c:formatCode>
                <c:ptCount val="27"/>
                <c:pt idx="0">
                  <c:v>0.40000000000000568</c:v>
                </c:pt>
                <c:pt idx="1">
                  <c:v>-0.29999999999999716</c:v>
                </c:pt>
                <c:pt idx="2">
                  <c:v>0</c:v>
                </c:pt>
                <c:pt idx="3">
                  <c:v>1.5999999999999943</c:v>
                </c:pt>
                <c:pt idx="4">
                  <c:v>3.4000000000000057</c:v>
                </c:pt>
                <c:pt idx="5">
                  <c:v>-1.7999999999999972</c:v>
                </c:pt>
                <c:pt idx="6">
                  <c:v>-0.90000000000000568</c:v>
                </c:pt>
                <c:pt idx="7">
                  <c:v>-1</c:v>
                </c:pt>
                <c:pt idx="8">
                  <c:v>0</c:v>
                </c:pt>
                <c:pt idx="9">
                  <c:v>0.29999999999999716</c:v>
                </c:pt>
                <c:pt idx="10">
                  <c:v>3.7000000000000028</c:v>
                </c:pt>
                <c:pt idx="11">
                  <c:v>-1.5999999999999943</c:v>
                </c:pt>
                <c:pt idx="12">
                  <c:v>2.2000000000000028</c:v>
                </c:pt>
                <c:pt idx="13">
                  <c:v>-1.2000000000000028</c:v>
                </c:pt>
                <c:pt idx="14">
                  <c:v>-0.70000000000000284</c:v>
                </c:pt>
                <c:pt idx="15">
                  <c:v>0.20000000000000284</c:v>
                </c:pt>
                <c:pt idx="16">
                  <c:v>-9.9999999999994316E-2</c:v>
                </c:pt>
                <c:pt idx="17">
                  <c:v>1.3999999999999915</c:v>
                </c:pt>
                <c:pt idx="18">
                  <c:v>0.5</c:v>
                </c:pt>
                <c:pt idx="19">
                  <c:v>0.60000000000000853</c:v>
                </c:pt>
                <c:pt idx="20">
                  <c:v>-0.89999999999999147</c:v>
                </c:pt>
                <c:pt idx="21">
                  <c:v>-0.79999999999999716</c:v>
                </c:pt>
                <c:pt idx="22">
                  <c:v>1.5999999999999943</c:v>
                </c:pt>
                <c:pt idx="23">
                  <c:v>1.4000000000000057</c:v>
                </c:pt>
                <c:pt idx="24">
                  <c:v>2.6000000000000014</c:v>
                </c:pt>
                <c:pt idx="25">
                  <c:v>1.5</c:v>
                </c:pt>
                <c:pt idx="26">
                  <c:v>1.2999999999999972</c:v>
                </c:pt>
              </c:numCache>
            </c:numRef>
          </c:val>
          <c:smooth val="0"/>
          <c:extLst>
            <c:ext xmlns:c16="http://schemas.microsoft.com/office/drawing/2014/chart" uri="{C3380CC4-5D6E-409C-BE32-E72D297353CC}">
              <c16:uniqueId val="{00000004-8068-4F17-8A36-FAD8DF137049}"/>
            </c:ext>
          </c:extLst>
        </c:ser>
        <c:dLbls>
          <c:showLegendKey val="0"/>
          <c:showVal val="0"/>
          <c:showCatName val="0"/>
          <c:showSerName val="0"/>
          <c:showPercent val="0"/>
          <c:showBubbleSize val="0"/>
        </c:dLbls>
        <c:marker val="1"/>
        <c:smooth val="0"/>
        <c:axId val="570302016"/>
        <c:axId val="570303264"/>
      </c:lineChart>
      <c:catAx>
        <c:axId val="1597731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597735295"/>
        <c:crosses val="autoZero"/>
        <c:auto val="1"/>
        <c:lblAlgn val="ctr"/>
        <c:lblOffset val="100"/>
        <c:noMultiLvlLbl val="0"/>
      </c:catAx>
      <c:valAx>
        <c:axId val="15977352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597731967"/>
        <c:crosses val="autoZero"/>
        <c:crossBetween val="between"/>
        <c:majorUnit val="20"/>
      </c:valAx>
      <c:valAx>
        <c:axId val="570303264"/>
        <c:scaling>
          <c:orientation val="minMax"/>
          <c:max val="6"/>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70302016"/>
        <c:crosses val="max"/>
        <c:crossBetween val="between"/>
        <c:majorUnit val="2"/>
      </c:valAx>
      <c:catAx>
        <c:axId val="570302016"/>
        <c:scaling>
          <c:orientation val="minMax"/>
        </c:scaling>
        <c:delete val="1"/>
        <c:axPos val="b"/>
        <c:numFmt formatCode="General" sourceLinked="1"/>
        <c:majorTickMark val="out"/>
        <c:minorTickMark val="none"/>
        <c:tickLblPos val="nextTo"/>
        <c:crossAx val="570303264"/>
        <c:crosses val="autoZero"/>
        <c:auto val="1"/>
        <c:lblAlgn val="ctr"/>
        <c:lblOffset val="100"/>
        <c:noMultiLvlLbl val="0"/>
      </c:catAx>
      <c:spPr>
        <a:noFill/>
        <a:ln>
          <a:noFill/>
        </a:ln>
        <a:effectLst/>
      </c:spPr>
    </c:plotArea>
    <c:legend>
      <c:legendPos val="b"/>
      <c:layout>
        <c:manualLayout>
          <c:xMode val="edge"/>
          <c:yMode val="edge"/>
          <c:x val="0.11461792023471813"/>
          <c:y val="5.8361713900728598E-2"/>
          <c:w val="0.75729596931696674"/>
          <c:h val="9.7256712361116576E-2"/>
        </c:manualLayout>
      </c:layout>
      <c:overlay val="1"/>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'dlhodobý rast'!$A$10</c:f>
              <c:strCache>
                <c:ptCount val="1"/>
                <c:pt idx="0">
                  <c:v>celkové výdavky VZP</c:v>
                </c:pt>
              </c:strCache>
            </c:strRef>
          </c:tx>
          <c:spPr>
            <a:ln w="28575" cap="rnd">
              <a:solidFill>
                <a:schemeClr val="accent1"/>
              </a:solidFill>
              <a:round/>
            </a:ln>
            <a:effectLst/>
          </c:spPr>
          <c:marker>
            <c:symbol val="none"/>
          </c:marker>
          <c:cat>
            <c:numRef>
              <c:f>'dlhodobý rast'!$B$9:$L$9</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'dlhodobý rast'!$B$10:$L$10</c:f>
              <c:numCache>
                <c:formatCode>0.0</c:formatCode>
                <c:ptCount val="11"/>
                <c:pt idx="0">
                  <c:v>100</c:v>
                </c:pt>
                <c:pt idx="1">
                  <c:v>102.10898451785933</c:v>
                </c:pt>
                <c:pt idx="2">
                  <c:v>108.32622211386078</c:v>
                </c:pt>
                <c:pt idx="3">
                  <c:v>108.96013653541388</c:v>
                </c:pt>
                <c:pt idx="4">
                  <c:v>116.34767767889795</c:v>
                </c:pt>
                <c:pt idx="5">
                  <c:v>125.71010605875898</c:v>
                </c:pt>
                <c:pt idx="6">
                  <c:v>127.3022065098135</c:v>
                </c:pt>
                <c:pt idx="7">
                  <c:v>139.72655087845908</c:v>
                </c:pt>
                <c:pt idx="8">
                  <c:v>150.8701886558988</c:v>
                </c:pt>
                <c:pt idx="9">
                  <c:v>174.66041130171888</c:v>
                </c:pt>
                <c:pt idx="10">
                  <c:v>201.80274036376949</c:v>
                </c:pt>
              </c:numCache>
            </c:numRef>
          </c:val>
          <c:smooth val="0"/>
          <c:extLst>
            <c:ext xmlns:c16="http://schemas.microsoft.com/office/drawing/2014/chart" uri="{C3380CC4-5D6E-409C-BE32-E72D297353CC}">
              <c16:uniqueId val="{00000000-D318-47C3-B610-217AD32428A0}"/>
            </c:ext>
          </c:extLst>
        </c:ser>
        <c:ser>
          <c:idx val="2"/>
          <c:order val="1"/>
          <c:tx>
            <c:strRef>
              <c:f>'dlhodobý rast'!$A$12</c:f>
              <c:strCache>
                <c:ptCount val="1"/>
                <c:pt idx="0">
                  <c:v>HDP</c:v>
                </c:pt>
              </c:strCache>
            </c:strRef>
          </c:tx>
          <c:spPr>
            <a:ln w="28575" cap="rnd">
              <a:solidFill>
                <a:schemeClr val="bg2"/>
              </a:solidFill>
              <a:round/>
            </a:ln>
            <a:effectLst/>
          </c:spPr>
          <c:marker>
            <c:symbol val="none"/>
          </c:marker>
          <c:cat>
            <c:numRef>
              <c:f>'dlhodobý rast'!$B$9:$L$9</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'dlhodobý rast'!$B$12:$L$12</c:f>
              <c:numCache>
                <c:formatCode>0.0</c:formatCode>
                <c:ptCount val="11"/>
                <c:pt idx="0">
                  <c:v>100</c:v>
                </c:pt>
                <c:pt idx="1">
                  <c:v>104.98156403347339</c:v>
                </c:pt>
                <c:pt idx="2">
                  <c:v>106.60808256805242</c:v>
                </c:pt>
                <c:pt idx="3">
                  <c:v>110.96897559242602</c:v>
                </c:pt>
                <c:pt idx="4">
                  <c:v>117.91168760604107</c:v>
                </c:pt>
                <c:pt idx="5">
                  <c:v>123.19457487562417</c:v>
                </c:pt>
                <c:pt idx="6">
                  <c:v>123.4909348334624</c:v>
                </c:pt>
                <c:pt idx="7">
                  <c:v>133.13798044207135</c:v>
                </c:pt>
                <c:pt idx="8">
                  <c:v>143.73444893896865</c:v>
                </c:pt>
                <c:pt idx="9">
                  <c:v>161.74174495802765</c:v>
                </c:pt>
                <c:pt idx="10">
                  <c:v>171.08302650259986</c:v>
                </c:pt>
              </c:numCache>
            </c:numRef>
          </c:val>
          <c:smooth val="0"/>
          <c:extLst>
            <c:ext xmlns:c16="http://schemas.microsoft.com/office/drawing/2014/chart" uri="{C3380CC4-5D6E-409C-BE32-E72D297353CC}">
              <c16:uniqueId val="{00000001-D318-47C3-B610-217AD32428A0}"/>
            </c:ext>
          </c:extLst>
        </c:ser>
        <c:dLbls>
          <c:showLegendKey val="0"/>
          <c:showVal val="0"/>
          <c:showCatName val="0"/>
          <c:showSerName val="0"/>
          <c:showPercent val="0"/>
          <c:showBubbleSize val="0"/>
        </c:dLbls>
        <c:smooth val="0"/>
        <c:axId val="1803822671"/>
        <c:axId val="1803818511"/>
      </c:lineChart>
      <c:catAx>
        <c:axId val="1803822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03818511"/>
        <c:crosses val="autoZero"/>
        <c:auto val="1"/>
        <c:lblAlgn val="ctr"/>
        <c:lblOffset val="100"/>
        <c:noMultiLvlLbl val="0"/>
      </c:catAx>
      <c:valAx>
        <c:axId val="1803818511"/>
        <c:scaling>
          <c:orientation val="minMax"/>
          <c:max val="220"/>
          <c:min val="8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03822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457967312680346E-2"/>
          <c:y val="3.0153827532469778E-2"/>
          <c:w val="0.30779925116745482"/>
          <c:h val="0.86993803238224099"/>
        </c:manualLayout>
      </c:layout>
      <c:barChart>
        <c:barDir val="col"/>
        <c:grouping val="stacked"/>
        <c:varyColors val="0"/>
        <c:ser>
          <c:idx val="0"/>
          <c:order val="0"/>
          <c:tx>
            <c:strRef>
              <c:f>spracovanie!$B$33</c:f>
              <c:strCache>
                <c:ptCount val="1"/>
                <c:pt idx="0">
                  <c:v>Ústavná zdravotná starostlivosť</c:v>
                </c:pt>
              </c:strCache>
            </c:strRef>
          </c:tx>
          <c:spPr>
            <a:solidFill>
              <a:schemeClr val="accent1"/>
            </a:solidFill>
            <a:ln>
              <a:noFill/>
            </a:ln>
            <a:effectLst/>
          </c:spPr>
          <c:invertIfNegative val="0"/>
          <c:cat>
            <c:numRef>
              <c:f>spracovanie!$J$32:$L$32</c:f>
              <c:numCache>
                <c:formatCode>General</c:formatCode>
                <c:ptCount val="3"/>
                <c:pt idx="0">
                  <c:v>2022</c:v>
                </c:pt>
                <c:pt idx="1">
                  <c:v>2023</c:v>
                </c:pt>
                <c:pt idx="2">
                  <c:v>2024</c:v>
                </c:pt>
              </c:numCache>
            </c:numRef>
          </c:cat>
          <c:val>
            <c:numRef>
              <c:f>spracovanie!$J$33:$L$33</c:f>
              <c:numCache>
                <c:formatCode>#\ ##0.0</c:formatCode>
                <c:ptCount val="3"/>
                <c:pt idx="0">
                  <c:v>31.275254566025541</c:v>
                </c:pt>
                <c:pt idx="1">
                  <c:v>34.580221927559492</c:v>
                </c:pt>
                <c:pt idx="2">
                  <c:v>35.852813695045036</c:v>
                </c:pt>
              </c:numCache>
            </c:numRef>
          </c:val>
          <c:extLst>
            <c:ext xmlns:c16="http://schemas.microsoft.com/office/drawing/2014/chart" uri="{C3380CC4-5D6E-409C-BE32-E72D297353CC}">
              <c16:uniqueId val="{00000000-11D4-4339-96DD-E16B2617EAFD}"/>
            </c:ext>
          </c:extLst>
        </c:ser>
        <c:ser>
          <c:idx val="1"/>
          <c:order val="1"/>
          <c:tx>
            <c:strRef>
              <c:f>spracovanie!$B$34</c:f>
              <c:strCache>
                <c:ptCount val="1"/>
                <c:pt idx="0">
                  <c:v>Lieky a dietetické potraviny</c:v>
                </c:pt>
              </c:strCache>
            </c:strRef>
          </c:tx>
          <c:spPr>
            <a:solidFill>
              <a:schemeClr val="accent2"/>
            </a:solidFill>
            <a:ln>
              <a:noFill/>
            </a:ln>
            <a:effectLst/>
          </c:spPr>
          <c:invertIfNegative val="0"/>
          <c:cat>
            <c:numRef>
              <c:f>spracovanie!$J$32:$L$32</c:f>
              <c:numCache>
                <c:formatCode>General</c:formatCode>
                <c:ptCount val="3"/>
                <c:pt idx="0">
                  <c:v>2022</c:v>
                </c:pt>
                <c:pt idx="1">
                  <c:v>2023</c:v>
                </c:pt>
                <c:pt idx="2">
                  <c:v>2024</c:v>
                </c:pt>
              </c:numCache>
            </c:numRef>
          </c:cat>
          <c:val>
            <c:numRef>
              <c:f>spracovanie!$J$34:$L$34</c:f>
              <c:numCache>
                <c:formatCode>#\ ##0.0</c:formatCode>
                <c:ptCount val="3"/>
                <c:pt idx="0">
                  <c:v>22.272506869241958</c:v>
                </c:pt>
                <c:pt idx="1">
                  <c:v>21.235257170772559</c:v>
                </c:pt>
                <c:pt idx="2">
                  <c:v>19.994704735653016</c:v>
                </c:pt>
              </c:numCache>
            </c:numRef>
          </c:val>
          <c:extLst>
            <c:ext xmlns:c16="http://schemas.microsoft.com/office/drawing/2014/chart" uri="{C3380CC4-5D6E-409C-BE32-E72D297353CC}">
              <c16:uniqueId val="{00000001-11D4-4339-96DD-E16B2617EAFD}"/>
            </c:ext>
          </c:extLst>
        </c:ser>
        <c:ser>
          <c:idx val="2"/>
          <c:order val="2"/>
          <c:tx>
            <c:strRef>
              <c:f>spracovanie!$B$35</c:f>
              <c:strCache>
                <c:ptCount val="1"/>
                <c:pt idx="0">
                  <c:v>Špecializovaná ambulantná starostlivosť</c:v>
                </c:pt>
              </c:strCache>
            </c:strRef>
          </c:tx>
          <c:spPr>
            <a:solidFill>
              <a:schemeClr val="accent3"/>
            </a:solidFill>
            <a:ln>
              <a:noFill/>
            </a:ln>
            <a:effectLst/>
          </c:spPr>
          <c:invertIfNegative val="0"/>
          <c:cat>
            <c:numRef>
              <c:f>spracovanie!$J$32:$L$32</c:f>
              <c:numCache>
                <c:formatCode>General</c:formatCode>
                <c:ptCount val="3"/>
                <c:pt idx="0">
                  <c:v>2022</c:v>
                </c:pt>
                <c:pt idx="1">
                  <c:v>2023</c:v>
                </c:pt>
                <c:pt idx="2">
                  <c:v>2024</c:v>
                </c:pt>
              </c:numCache>
            </c:numRef>
          </c:cat>
          <c:val>
            <c:numRef>
              <c:f>spracovanie!$J$35:$L$35</c:f>
              <c:numCache>
                <c:formatCode>#\ ##0.0</c:formatCode>
                <c:ptCount val="3"/>
                <c:pt idx="0">
                  <c:v>17.165023436237274</c:v>
                </c:pt>
                <c:pt idx="1">
                  <c:v>17.483425221578614</c:v>
                </c:pt>
                <c:pt idx="2">
                  <c:v>17.373997855126831</c:v>
                </c:pt>
              </c:numCache>
            </c:numRef>
          </c:val>
          <c:extLst>
            <c:ext xmlns:c16="http://schemas.microsoft.com/office/drawing/2014/chart" uri="{C3380CC4-5D6E-409C-BE32-E72D297353CC}">
              <c16:uniqueId val="{00000002-11D4-4339-96DD-E16B2617EAFD}"/>
            </c:ext>
          </c:extLst>
        </c:ser>
        <c:ser>
          <c:idx val="3"/>
          <c:order val="3"/>
          <c:tx>
            <c:strRef>
              <c:f>spracovanie!$B$36</c:f>
              <c:strCache>
                <c:ptCount val="1"/>
                <c:pt idx="0">
                  <c:v>Spoločné vyšetrovacie a liečebné zložky</c:v>
                </c:pt>
              </c:strCache>
            </c:strRef>
          </c:tx>
          <c:spPr>
            <a:solidFill>
              <a:schemeClr val="accent4"/>
            </a:solidFill>
            <a:ln>
              <a:noFill/>
            </a:ln>
            <a:effectLst/>
          </c:spPr>
          <c:invertIfNegative val="0"/>
          <c:cat>
            <c:numRef>
              <c:f>spracovanie!$J$32:$L$32</c:f>
              <c:numCache>
                <c:formatCode>General</c:formatCode>
                <c:ptCount val="3"/>
                <c:pt idx="0">
                  <c:v>2022</c:v>
                </c:pt>
                <c:pt idx="1">
                  <c:v>2023</c:v>
                </c:pt>
                <c:pt idx="2">
                  <c:v>2024</c:v>
                </c:pt>
              </c:numCache>
            </c:numRef>
          </c:cat>
          <c:val>
            <c:numRef>
              <c:f>spracovanie!$J$36:$L$36</c:f>
              <c:numCache>
                <c:formatCode>#\ ##0.0</c:formatCode>
                <c:ptCount val="3"/>
                <c:pt idx="0">
                  <c:v>9.7300791983190553</c:v>
                </c:pt>
                <c:pt idx="1">
                  <c:v>7.6683648544908918</c:v>
                </c:pt>
                <c:pt idx="2">
                  <c:v>7.0383647888671241</c:v>
                </c:pt>
              </c:numCache>
            </c:numRef>
          </c:val>
          <c:extLst>
            <c:ext xmlns:c16="http://schemas.microsoft.com/office/drawing/2014/chart" uri="{C3380CC4-5D6E-409C-BE32-E72D297353CC}">
              <c16:uniqueId val="{00000003-11D4-4339-96DD-E16B2617EAFD}"/>
            </c:ext>
          </c:extLst>
        </c:ser>
        <c:ser>
          <c:idx val="4"/>
          <c:order val="4"/>
          <c:tx>
            <c:strRef>
              <c:f>spracovanie!$B$37</c:f>
              <c:strCache>
                <c:ptCount val="1"/>
                <c:pt idx="0">
                  <c:v>Všeobecná ambulantná starostlivosť</c:v>
                </c:pt>
              </c:strCache>
            </c:strRef>
          </c:tx>
          <c:spPr>
            <a:solidFill>
              <a:schemeClr val="accent5"/>
            </a:solidFill>
            <a:ln>
              <a:noFill/>
            </a:ln>
            <a:effectLst/>
          </c:spPr>
          <c:invertIfNegative val="0"/>
          <c:cat>
            <c:numRef>
              <c:f>spracovanie!$J$32:$L$32</c:f>
              <c:numCache>
                <c:formatCode>General</c:formatCode>
                <c:ptCount val="3"/>
                <c:pt idx="0">
                  <c:v>2022</c:v>
                </c:pt>
                <c:pt idx="1">
                  <c:v>2023</c:v>
                </c:pt>
                <c:pt idx="2">
                  <c:v>2024</c:v>
                </c:pt>
              </c:numCache>
            </c:numRef>
          </c:cat>
          <c:val>
            <c:numRef>
              <c:f>spracovanie!$J$37:$L$37</c:f>
              <c:numCache>
                <c:formatCode>#\ ##0.0</c:formatCode>
                <c:ptCount val="3"/>
                <c:pt idx="0">
                  <c:v>6.1580733796670435</c:v>
                </c:pt>
                <c:pt idx="1">
                  <c:v>6.1106846255844784</c:v>
                </c:pt>
                <c:pt idx="2">
                  <c:v>5.7438731202787352</c:v>
                </c:pt>
              </c:numCache>
            </c:numRef>
          </c:val>
          <c:extLst>
            <c:ext xmlns:c16="http://schemas.microsoft.com/office/drawing/2014/chart" uri="{C3380CC4-5D6E-409C-BE32-E72D297353CC}">
              <c16:uniqueId val="{00000004-11D4-4339-96DD-E16B2617EAFD}"/>
            </c:ext>
          </c:extLst>
        </c:ser>
        <c:ser>
          <c:idx val="5"/>
          <c:order val="5"/>
          <c:tx>
            <c:strRef>
              <c:f>spracovanie!$B$38</c:f>
              <c:strCache>
                <c:ptCount val="1"/>
                <c:pt idx="0">
                  <c:v>Zdravotnícke pomôcky</c:v>
                </c:pt>
              </c:strCache>
            </c:strRef>
          </c:tx>
          <c:spPr>
            <a:solidFill>
              <a:schemeClr val="accent6"/>
            </a:solidFill>
            <a:ln>
              <a:noFill/>
            </a:ln>
            <a:effectLst/>
          </c:spPr>
          <c:invertIfNegative val="0"/>
          <c:cat>
            <c:numRef>
              <c:f>spracovanie!$J$32:$L$32</c:f>
              <c:numCache>
                <c:formatCode>General</c:formatCode>
                <c:ptCount val="3"/>
                <c:pt idx="0">
                  <c:v>2022</c:v>
                </c:pt>
                <c:pt idx="1">
                  <c:v>2023</c:v>
                </c:pt>
                <c:pt idx="2">
                  <c:v>2024</c:v>
                </c:pt>
              </c:numCache>
            </c:numRef>
          </c:cat>
          <c:val>
            <c:numRef>
              <c:f>spracovanie!$J$38:$L$38</c:f>
              <c:numCache>
                <c:formatCode>#\ ##0.0</c:formatCode>
                <c:ptCount val="3"/>
                <c:pt idx="0">
                  <c:v>3.1032810732180378</c:v>
                </c:pt>
                <c:pt idx="1">
                  <c:v>3.1879405401633045</c:v>
                </c:pt>
                <c:pt idx="2">
                  <c:v>3.465065360482634</c:v>
                </c:pt>
              </c:numCache>
            </c:numRef>
          </c:val>
          <c:extLst>
            <c:ext xmlns:c16="http://schemas.microsoft.com/office/drawing/2014/chart" uri="{C3380CC4-5D6E-409C-BE32-E72D297353CC}">
              <c16:uniqueId val="{00000005-11D4-4339-96DD-E16B2617EAFD}"/>
            </c:ext>
          </c:extLst>
        </c:ser>
        <c:ser>
          <c:idx val="6"/>
          <c:order val="6"/>
          <c:tx>
            <c:strRef>
              <c:f>spracovanie!$B$39</c:f>
              <c:strCache>
                <c:ptCount val="1"/>
                <c:pt idx="0">
                  <c:v>Ostatné výdavky na ZS</c:v>
                </c:pt>
              </c:strCache>
            </c:strRef>
          </c:tx>
          <c:spPr>
            <a:solidFill>
              <a:schemeClr val="accent1">
                <a:lumMod val="60000"/>
              </a:schemeClr>
            </a:solidFill>
            <a:ln>
              <a:noFill/>
            </a:ln>
            <a:effectLst/>
          </c:spPr>
          <c:invertIfNegative val="0"/>
          <c:cat>
            <c:numRef>
              <c:f>spracovanie!$J$32:$L$32</c:f>
              <c:numCache>
                <c:formatCode>General</c:formatCode>
                <c:ptCount val="3"/>
                <c:pt idx="0">
                  <c:v>2022</c:v>
                </c:pt>
                <c:pt idx="1">
                  <c:v>2023</c:v>
                </c:pt>
                <c:pt idx="2">
                  <c:v>2024</c:v>
                </c:pt>
              </c:numCache>
            </c:numRef>
          </c:cat>
          <c:val>
            <c:numRef>
              <c:f>spracovanie!$J$39:$L$39</c:f>
              <c:numCache>
                <c:formatCode>#\ ##0.0</c:formatCode>
                <c:ptCount val="3"/>
                <c:pt idx="0">
                  <c:v>6.1419104574106997</c:v>
                </c:pt>
                <c:pt idx="1">
                  <c:v>6.6634098680996772</c:v>
                </c:pt>
                <c:pt idx="2">
                  <c:v>6.3735335641735906</c:v>
                </c:pt>
              </c:numCache>
            </c:numRef>
          </c:val>
          <c:extLst>
            <c:ext xmlns:c16="http://schemas.microsoft.com/office/drawing/2014/chart" uri="{C3380CC4-5D6E-409C-BE32-E72D297353CC}">
              <c16:uniqueId val="{00000006-11D4-4339-96DD-E16B2617EAFD}"/>
            </c:ext>
          </c:extLst>
        </c:ser>
        <c:ser>
          <c:idx val="7"/>
          <c:order val="7"/>
          <c:tx>
            <c:strRef>
              <c:f>spracovanie!$B$40</c:f>
              <c:strCache>
                <c:ptCount val="1"/>
                <c:pt idx="0">
                  <c:v>Iné výdavky VZP</c:v>
                </c:pt>
              </c:strCache>
            </c:strRef>
          </c:tx>
          <c:spPr>
            <a:solidFill>
              <a:schemeClr val="accent2">
                <a:lumMod val="60000"/>
              </a:schemeClr>
            </a:solidFill>
            <a:ln>
              <a:noFill/>
            </a:ln>
            <a:effectLst/>
          </c:spPr>
          <c:invertIfNegative val="0"/>
          <c:cat>
            <c:numRef>
              <c:f>spracovanie!$J$32:$L$32</c:f>
              <c:numCache>
                <c:formatCode>General</c:formatCode>
                <c:ptCount val="3"/>
                <c:pt idx="0">
                  <c:v>2022</c:v>
                </c:pt>
                <c:pt idx="1">
                  <c:v>2023</c:v>
                </c:pt>
                <c:pt idx="2">
                  <c:v>2024</c:v>
                </c:pt>
              </c:numCache>
            </c:numRef>
          </c:cat>
          <c:val>
            <c:numRef>
              <c:f>spracovanie!$J$40:$L$40</c:f>
              <c:numCache>
                <c:formatCode>#\ ##0.0</c:formatCode>
                <c:ptCount val="3"/>
                <c:pt idx="0">
                  <c:v>4.1538710198803948</c:v>
                </c:pt>
                <c:pt idx="1">
                  <c:v>3.0706957917509938</c:v>
                </c:pt>
                <c:pt idx="2">
                  <c:v>4.1576468803730329</c:v>
                </c:pt>
              </c:numCache>
            </c:numRef>
          </c:val>
          <c:extLst>
            <c:ext xmlns:c16="http://schemas.microsoft.com/office/drawing/2014/chart" uri="{C3380CC4-5D6E-409C-BE32-E72D297353CC}">
              <c16:uniqueId val="{00000007-11D4-4339-96DD-E16B2617EAFD}"/>
            </c:ext>
          </c:extLst>
        </c:ser>
        <c:dLbls>
          <c:showLegendKey val="0"/>
          <c:showVal val="0"/>
          <c:showCatName val="0"/>
          <c:showSerName val="0"/>
          <c:showPercent val="0"/>
          <c:showBubbleSize val="0"/>
        </c:dLbls>
        <c:gapWidth val="100"/>
        <c:overlap val="100"/>
        <c:axId val="789895471"/>
        <c:axId val="789900047"/>
      </c:barChart>
      <c:catAx>
        <c:axId val="7898954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789900047"/>
        <c:crosses val="autoZero"/>
        <c:auto val="1"/>
        <c:lblAlgn val="ctr"/>
        <c:lblOffset val="100"/>
        <c:noMultiLvlLbl val="0"/>
      </c:catAx>
      <c:valAx>
        <c:axId val="789900047"/>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789895471"/>
        <c:crosses val="autoZero"/>
        <c:crossBetween val="between"/>
      </c:valAx>
      <c:spPr>
        <a:noFill/>
        <a:ln>
          <a:noFill/>
        </a:ln>
        <a:effectLst/>
      </c:spPr>
    </c:plotArea>
    <c:legend>
      <c:legendPos val="r"/>
      <c:layout>
        <c:manualLayout>
          <c:xMode val="edge"/>
          <c:yMode val="edge"/>
          <c:x val="0.5103330916934542"/>
          <c:y val="2.7075115473316317E-2"/>
          <c:w val="0.48966690830654575"/>
          <c:h val="0.9729250584253464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829939361028141E-2"/>
          <c:y val="6.4814814814814811E-2"/>
          <c:w val="0.89388270431713279"/>
          <c:h val="0.70928951589384648"/>
        </c:manualLayout>
      </c:layout>
      <c:barChart>
        <c:barDir val="col"/>
        <c:grouping val="clustered"/>
        <c:varyColors val="0"/>
        <c:ser>
          <c:idx val="0"/>
          <c:order val="0"/>
          <c:tx>
            <c:v>VšZP</c:v>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'D:\SYSTÉMOVÉ PRIEČINKY\Desktop\NKÚ\Stanovisko_ŠZU_2024\prepoistenie\[NKU od NCZI.xlsx]Tabuľka 2 - 1.1.2025'!$D$12:$E$12</c:f>
              <c:strCache>
                <c:ptCount val="2"/>
                <c:pt idx="0">
                  <c:v>k 1.1.2024</c:v>
                </c:pt>
                <c:pt idx="1">
                  <c:v>k 1.1.2025</c:v>
                </c:pt>
              </c:strCache>
            </c:strRef>
          </c:cat>
          <c:val>
            <c:numRef>
              <c:f>'D:\SYSTÉMOVÉ PRIEČINKY\Desktop\NKÚ\Stanovisko_ŠZU_2024\prepoistenie\[NKU od NCZI.xlsx]Tabuľka 2 - 1.1.2025'!$D$13:$E$13</c:f>
              <c:numCache>
                <c:formatCode>General</c:formatCode>
                <c:ptCount val="2"/>
                <c:pt idx="0">
                  <c:v>-1393</c:v>
                </c:pt>
                <c:pt idx="1">
                  <c:v>1477</c:v>
                </c:pt>
              </c:numCache>
            </c:numRef>
          </c:val>
          <c:extLst>
            <c:ext xmlns:c16="http://schemas.microsoft.com/office/drawing/2014/chart" uri="{C3380CC4-5D6E-409C-BE32-E72D297353CC}">
              <c16:uniqueId val="{00000000-C897-4061-A2F6-FF99EEFC1CB8}"/>
            </c:ext>
          </c:extLst>
        </c:ser>
        <c:ser>
          <c:idx val="1"/>
          <c:order val="1"/>
          <c:tx>
            <c:strRef>
              <c:f>'D:\SYSTÉMOVÉ PRIEČINKY\Desktop\NKÚ\Stanovisko_ŠZU_2024\prepoistenie\[NKU od NCZI.xlsx]Tabuľka 2 - 1.1.2025'!$C$14</c:f>
              <c:strCache>
                <c:ptCount val="1"/>
                <c:pt idx="0">
                  <c:v>Dôvera</c:v>
                </c:pt>
              </c:strCache>
            </c:strRef>
          </c:tx>
          <c:spPr>
            <a:solidFill>
              <a:schemeClr val="accent2"/>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'D:\SYSTÉMOVÉ PRIEČINKY\Desktop\NKÚ\Stanovisko_ŠZU_2024\prepoistenie\[NKU od NCZI.xlsx]Tabuľka 2 - 1.1.2025'!$D$12:$E$12</c:f>
              <c:strCache>
                <c:ptCount val="2"/>
                <c:pt idx="0">
                  <c:v>k 1.1.2024</c:v>
                </c:pt>
                <c:pt idx="1">
                  <c:v>k 1.1.2025</c:v>
                </c:pt>
              </c:strCache>
            </c:strRef>
          </c:cat>
          <c:val>
            <c:numRef>
              <c:f>'D:\SYSTÉMOVÉ PRIEČINKY\Desktop\NKÚ\Stanovisko_ŠZU_2024\prepoistenie\[NKU od NCZI.xlsx]Tabuľka 2 - 1.1.2025'!$D$14:$E$14</c:f>
              <c:numCache>
                <c:formatCode>General</c:formatCode>
                <c:ptCount val="2"/>
                <c:pt idx="0">
                  <c:v>-604</c:v>
                </c:pt>
                <c:pt idx="1">
                  <c:v>246</c:v>
                </c:pt>
              </c:numCache>
            </c:numRef>
          </c:val>
          <c:extLst>
            <c:ext xmlns:c16="http://schemas.microsoft.com/office/drawing/2014/chart" uri="{C3380CC4-5D6E-409C-BE32-E72D297353CC}">
              <c16:uniqueId val="{00000001-C897-4061-A2F6-FF99EEFC1CB8}"/>
            </c:ext>
          </c:extLst>
        </c:ser>
        <c:ser>
          <c:idx val="2"/>
          <c:order val="2"/>
          <c:tx>
            <c:strRef>
              <c:f>'D:\SYSTÉMOVÉ PRIEČINKY\Desktop\NKÚ\Stanovisko_ŠZU_2024\prepoistenie\[NKU od NCZI.xlsx]Tabuľka 2 - 1.1.2025'!$C$15</c:f>
              <c:strCache>
                <c:ptCount val="1"/>
                <c:pt idx="0">
                  <c:v>Union</c:v>
                </c:pt>
              </c:strCache>
            </c:strRef>
          </c:tx>
          <c:spPr>
            <a:solidFill>
              <a:schemeClr val="accent3"/>
            </a:solidFill>
            <a:ln>
              <a:noFill/>
            </a:ln>
            <a:effectLst/>
          </c:spPr>
          <c:invertIfNegative val="0"/>
          <c:dLbls>
            <c:dLbl>
              <c:idx val="0"/>
              <c:layout>
                <c:manualLayout>
                  <c:x val="-8.4290214011718579E-17"/>
                  <c:y val="9.2592592592592587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897-4061-A2F6-FF99EEFC1CB8}"/>
                </c:ext>
              </c:extLst>
            </c:dLbl>
            <c:dLbl>
              <c:idx val="1"/>
              <c:layout>
                <c:manualLayout>
                  <c:x val="0"/>
                  <c:y val="2.314851268591426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897-4061-A2F6-FF99EEFC1CB8}"/>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'D:\SYSTÉMOVÉ PRIEČINKY\Desktop\NKÚ\Stanovisko_ŠZU_2024\prepoistenie\[NKU od NCZI.xlsx]Tabuľka 2 - 1.1.2025'!$D$12:$E$12</c:f>
              <c:strCache>
                <c:ptCount val="2"/>
                <c:pt idx="0">
                  <c:v>k 1.1.2024</c:v>
                </c:pt>
                <c:pt idx="1">
                  <c:v>k 1.1.2025</c:v>
                </c:pt>
              </c:strCache>
            </c:strRef>
          </c:cat>
          <c:val>
            <c:numRef>
              <c:f>'D:\SYSTÉMOVÉ PRIEČINKY\Desktop\NKÚ\Stanovisko_ŠZU_2024\prepoistenie\[NKU od NCZI.xlsx]Tabuľka 2 - 1.1.2025'!$D$15:$E$15</c:f>
              <c:numCache>
                <c:formatCode>General</c:formatCode>
                <c:ptCount val="2"/>
                <c:pt idx="0">
                  <c:v>1997</c:v>
                </c:pt>
                <c:pt idx="1">
                  <c:v>-1723</c:v>
                </c:pt>
              </c:numCache>
            </c:numRef>
          </c:val>
          <c:extLst>
            <c:ext xmlns:c16="http://schemas.microsoft.com/office/drawing/2014/chart" uri="{C3380CC4-5D6E-409C-BE32-E72D297353CC}">
              <c16:uniqueId val="{00000004-C897-4061-A2F6-FF99EEFC1CB8}"/>
            </c:ext>
          </c:extLst>
        </c:ser>
        <c:dLbls>
          <c:dLblPos val="outEnd"/>
          <c:showLegendKey val="0"/>
          <c:showVal val="1"/>
          <c:showCatName val="0"/>
          <c:showSerName val="0"/>
          <c:showPercent val="0"/>
          <c:showBubbleSize val="0"/>
        </c:dLbls>
        <c:gapWidth val="100"/>
        <c:axId val="1853831424"/>
        <c:axId val="1853832256"/>
      </c:barChart>
      <c:catAx>
        <c:axId val="1853831424"/>
        <c:scaling>
          <c:orientation val="minMax"/>
        </c:scaling>
        <c:delete val="0"/>
        <c:axPos val="b"/>
        <c:majorGridlines>
          <c:spPr>
            <a:ln w="15875" cap="flat" cmpd="sng" algn="ctr">
              <a:solidFill>
                <a:schemeClr val="tx1">
                  <a:lumMod val="15000"/>
                  <a:lumOff val="85000"/>
                </a:schemeClr>
              </a:solidFill>
              <a:round/>
            </a:ln>
            <a:effectLst/>
          </c:spPr>
        </c:majorGridlines>
        <c:numFmt formatCode="General" sourceLinked="1"/>
        <c:majorTickMark val="none"/>
        <c:minorTickMark val="none"/>
        <c:tickLblPos val="low"/>
        <c:spPr>
          <a:noFill/>
          <a:ln w="1587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53832256"/>
        <c:crosses val="autoZero"/>
        <c:auto val="1"/>
        <c:lblAlgn val="ctr"/>
        <c:lblOffset val="100"/>
        <c:noMultiLvlLbl val="0"/>
      </c:catAx>
      <c:valAx>
        <c:axId val="1853832256"/>
        <c:scaling>
          <c:orientation val="minMax"/>
          <c:max val="2500"/>
          <c:min val="-20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5383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250440917107582E-2"/>
          <c:y val="5.9945504087193457E-2"/>
          <c:w val="0.95149911816578481"/>
          <c:h val="0.68557480314960628"/>
        </c:manualLayout>
      </c:layout>
      <c:barChart>
        <c:barDir val="col"/>
        <c:grouping val="clustered"/>
        <c:varyColors val="0"/>
        <c:ser>
          <c:idx val="0"/>
          <c:order val="0"/>
          <c:tx>
            <c:strRef>
              <c:f>Hárok1!$B$3</c:f>
              <c:strCache>
                <c:ptCount val="1"/>
                <c:pt idx="0">
                  <c:v>Plánovaná úspora</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Hárok1!$C$2:$I$2</c:f>
              <c:numCache>
                <c:formatCode>General</c:formatCode>
                <c:ptCount val="7"/>
                <c:pt idx="0">
                  <c:v>2017</c:v>
                </c:pt>
                <c:pt idx="1">
                  <c:v>2018</c:v>
                </c:pt>
                <c:pt idx="2">
                  <c:v>2019</c:v>
                </c:pt>
                <c:pt idx="3">
                  <c:v>2020</c:v>
                </c:pt>
                <c:pt idx="4">
                  <c:v>2021</c:v>
                </c:pt>
                <c:pt idx="5">
                  <c:v>2022</c:v>
                </c:pt>
                <c:pt idx="6">
                  <c:v>2023</c:v>
                </c:pt>
              </c:numCache>
            </c:numRef>
          </c:cat>
          <c:val>
            <c:numRef>
              <c:f>Hárok1!$C$3:$I$3</c:f>
              <c:numCache>
                <c:formatCode>General</c:formatCode>
                <c:ptCount val="7"/>
                <c:pt idx="0">
                  <c:v>174</c:v>
                </c:pt>
                <c:pt idx="1">
                  <c:v>190</c:v>
                </c:pt>
                <c:pt idx="2">
                  <c:v>196</c:v>
                </c:pt>
                <c:pt idx="3">
                  <c:v>195</c:v>
                </c:pt>
                <c:pt idx="4">
                  <c:v>304.5</c:v>
                </c:pt>
                <c:pt idx="5">
                  <c:v>317.5</c:v>
                </c:pt>
                <c:pt idx="6">
                  <c:v>155.1</c:v>
                </c:pt>
              </c:numCache>
            </c:numRef>
          </c:val>
          <c:extLst>
            <c:ext xmlns:c16="http://schemas.microsoft.com/office/drawing/2014/chart" uri="{C3380CC4-5D6E-409C-BE32-E72D297353CC}">
              <c16:uniqueId val="{00000000-D497-40C4-8CC3-AB72D4DA49C9}"/>
            </c:ext>
          </c:extLst>
        </c:ser>
        <c:ser>
          <c:idx val="1"/>
          <c:order val="1"/>
          <c:tx>
            <c:strRef>
              <c:f>Hárok1!$B$4</c:f>
              <c:strCache>
                <c:ptCount val="1"/>
                <c:pt idx="0">
                  <c:v>Skutočná úspora</c:v>
                </c:pt>
              </c:strCache>
            </c:strRef>
          </c:tx>
          <c:spPr>
            <a:solidFill>
              <a:schemeClr val="accent2"/>
            </a:solidFill>
            <a:ln>
              <a:noFill/>
            </a:ln>
            <a:effectLst/>
          </c:spPr>
          <c:invertIfNegative val="0"/>
          <c:dLbls>
            <c:dLbl>
              <c:idx val="2"/>
              <c:layout>
                <c:manualLayout>
                  <c:x val="0"/>
                  <c:y val="3.0189273510622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97-40C4-8CC3-AB72D4DA49C9}"/>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Hárok1!$C$2:$I$2</c:f>
              <c:numCache>
                <c:formatCode>General</c:formatCode>
                <c:ptCount val="7"/>
                <c:pt idx="0">
                  <c:v>2017</c:v>
                </c:pt>
                <c:pt idx="1">
                  <c:v>2018</c:v>
                </c:pt>
                <c:pt idx="2">
                  <c:v>2019</c:v>
                </c:pt>
                <c:pt idx="3">
                  <c:v>2020</c:v>
                </c:pt>
                <c:pt idx="4">
                  <c:v>2021</c:v>
                </c:pt>
                <c:pt idx="5">
                  <c:v>2022</c:v>
                </c:pt>
                <c:pt idx="6">
                  <c:v>2023</c:v>
                </c:pt>
              </c:numCache>
            </c:numRef>
          </c:cat>
          <c:val>
            <c:numRef>
              <c:f>Hárok1!$C$4:$I$4</c:f>
              <c:numCache>
                <c:formatCode>General</c:formatCode>
                <c:ptCount val="7"/>
                <c:pt idx="0">
                  <c:v>98.7</c:v>
                </c:pt>
                <c:pt idx="1">
                  <c:v>40.4</c:v>
                </c:pt>
                <c:pt idx="2">
                  <c:v>-119</c:v>
                </c:pt>
                <c:pt idx="3">
                  <c:v>85.9</c:v>
                </c:pt>
                <c:pt idx="4">
                  <c:v>115.9</c:v>
                </c:pt>
                <c:pt idx="5">
                  <c:v>128.30000000000001</c:v>
                </c:pt>
                <c:pt idx="6">
                  <c:v>52.5</c:v>
                </c:pt>
              </c:numCache>
            </c:numRef>
          </c:val>
          <c:extLst>
            <c:ext xmlns:c16="http://schemas.microsoft.com/office/drawing/2014/chart" uri="{C3380CC4-5D6E-409C-BE32-E72D297353CC}">
              <c16:uniqueId val="{00000002-D497-40C4-8CC3-AB72D4DA49C9}"/>
            </c:ext>
          </c:extLst>
        </c:ser>
        <c:dLbls>
          <c:showLegendKey val="0"/>
          <c:showVal val="0"/>
          <c:showCatName val="0"/>
          <c:showSerName val="0"/>
          <c:showPercent val="0"/>
          <c:showBubbleSize val="0"/>
        </c:dLbls>
        <c:gapWidth val="100"/>
        <c:axId val="1998129583"/>
        <c:axId val="1998134159"/>
      </c:barChart>
      <c:catAx>
        <c:axId val="1998129583"/>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998134159"/>
        <c:crosses val="autoZero"/>
        <c:auto val="1"/>
        <c:lblAlgn val="ctr"/>
        <c:lblOffset val="100"/>
        <c:noMultiLvlLbl val="0"/>
      </c:catAx>
      <c:valAx>
        <c:axId val="1998134159"/>
        <c:scaling>
          <c:orientation val="minMax"/>
        </c:scaling>
        <c:delete val="0"/>
        <c:axPos val="r"/>
        <c:majorGridlines>
          <c:spPr>
            <a:ln w="9525" cap="flat" cmpd="sng" algn="ctr">
              <a:solidFill>
                <a:srgbClr val="D9D9D9"/>
              </a:solidFill>
              <a:round/>
            </a:ln>
            <a:effectLst/>
          </c:spPr>
        </c:majorGridlines>
        <c:numFmt formatCode="#,##0" sourceLinked="0"/>
        <c:majorTickMark val="out"/>
        <c:minorTickMark val="none"/>
        <c:tickLblPos val="low"/>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998129583"/>
        <c:crosses val="max"/>
        <c:crossBetween val="between"/>
      </c:valAx>
      <c:spPr>
        <a:noFill/>
        <a:ln>
          <a:noFill/>
        </a:ln>
        <a:effectLst/>
      </c:spPr>
    </c:plotArea>
    <c:legend>
      <c:legendPos val="b"/>
      <c:layout>
        <c:manualLayout>
          <c:xMode val="edge"/>
          <c:yMode val="edge"/>
          <c:x val="0.1333623227652099"/>
          <c:y val="0.90107027187639277"/>
          <c:w val="0.7222524267799858"/>
          <c:h val="6.7486554746694405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ZDR_lieky!$D$4</c:f>
              <c:strCache>
                <c:ptCount val="1"/>
                <c:pt idx="0">
                  <c:v>Rozpočet</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ZDR_lieky!$E$3:$I$3</c:f>
              <c:numCache>
                <c:formatCode>General</c:formatCode>
                <c:ptCount val="5"/>
                <c:pt idx="0">
                  <c:v>2021</c:v>
                </c:pt>
                <c:pt idx="1">
                  <c:v>2022</c:v>
                </c:pt>
                <c:pt idx="2">
                  <c:v>2023</c:v>
                </c:pt>
                <c:pt idx="3">
                  <c:v>2024</c:v>
                </c:pt>
                <c:pt idx="4">
                  <c:v>2025</c:v>
                </c:pt>
              </c:numCache>
            </c:numRef>
          </c:cat>
          <c:val>
            <c:numRef>
              <c:f>ZDR_lieky!$E$4:$I$4</c:f>
              <c:numCache>
                <c:formatCode>General</c:formatCode>
                <c:ptCount val="5"/>
                <c:pt idx="0">
                  <c:v>1129</c:v>
                </c:pt>
                <c:pt idx="1">
                  <c:v>1095</c:v>
                </c:pt>
                <c:pt idx="2">
                  <c:v>1326</c:v>
                </c:pt>
                <c:pt idx="3">
                  <c:v>1499</c:v>
                </c:pt>
                <c:pt idx="4">
                  <c:v>1654</c:v>
                </c:pt>
              </c:numCache>
            </c:numRef>
          </c:val>
          <c:extLst>
            <c:ext xmlns:c16="http://schemas.microsoft.com/office/drawing/2014/chart" uri="{C3380CC4-5D6E-409C-BE32-E72D297353CC}">
              <c16:uniqueId val="{00000000-B92A-4C43-9CC2-FB31D46A94A2}"/>
            </c:ext>
          </c:extLst>
        </c:ser>
        <c:ser>
          <c:idx val="1"/>
          <c:order val="1"/>
          <c:tx>
            <c:strRef>
              <c:f>ZDR_lieky!$D$5</c:f>
              <c:strCache>
                <c:ptCount val="1"/>
                <c:pt idx="0">
                  <c:v>Skutočnosť</c:v>
                </c:pt>
              </c:strCache>
            </c:strRef>
          </c:tx>
          <c:spPr>
            <a:solidFill>
              <a:schemeClr val="accent2"/>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ZDR_lieky!$E$3:$I$3</c:f>
              <c:numCache>
                <c:formatCode>General</c:formatCode>
                <c:ptCount val="5"/>
                <c:pt idx="0">
                  <c:v>2021</c:v>
                </c:pt>
                <c:pt idx="1">
                  <c:v>2022</c:v>
                </c:pt>
                <c:pt idx="2">
                  <c:v>2023</c:v>
                </c:pt>
                <c:pt idx="3">
                  <c:v>2024</c:v>
                </c:pt>
                <c:pt idx="4">
                  <c:v>2025</c:v>
                </c:pt>
              </c:numCache>
            </c:numRef>
          </c:cat>
          <c:val>
            <c:numRef>
              <c:f>ZDR_lieky!$E$5:$I$5</c:f>
              <c:numCache>
                <c:formatCode>General</c:formatCode>
                <c:ptCount val="5"/>
                <c:pt idx="0">
                  <c:v>1263</c:v>
                </c:pt>
                <c:pt idx="1">
                  <c:v>1402</c:v>
                </c:pt>
                <c:pt idx="2">
                  <c:v>1527</c:v>
                </c:pt>
                <c:pt idx="3">
                  <c:v>1650</c:v>
                </c:pt>
              </c:numCache>
            </c:numRef>
          </c:val>
          <c:extLst>
            <c:ext xmlns:c16="http://schemas.microsoft.com/office/drawing/2014/chart" uri="{C3380CC4-5D6E-409C-BE32-E72D297353CC}">
              <c16:uniqueId val="{00000001-B92A-4C43-9CC2-FB31D46A94A2}"/>
            </c:ext>
          </c:extLst>
        </c:ser>
        <c:dLbls>
          <c:dLblPos val="outEnd"/>
          <c:showLegendKey val="0"/>
          <c:showVal val="1"/>
          <c:showCatName val="0"/>
          <c:showSerName val="0"/>
          <c:showPercent val="0"/>
          <c:showBubbleSize val="0"/>
        </c:dLbls>
        <c:gapWidth val="100"/>
        <c:axId val="582757024"/>
        <c:axId val="582759520"/>
      </c:barChart>
      <c:catAx>
        <c:axId val="582757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82759520"/>
        <c:crosses val="autoZero"/>
        <c:auto val="1"/>
        <c:lblAlgn val="ctr"/>
        <c:lblOffset val="100"/>
        <c:noMultiLvlLbl val="0"/>
      </c:catAx>
      <c:valAx>
        <c:axId val="5827595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82757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stacked"/>
        <c:varyColors val="0"/>
        <c:ser>
          <c:idx val="0"/>
          <c:order val="0"/>
          <c:tx>
            <c:strRef>
              <c:f>ZDR_zav1!$B$4</c:f>
              <c:strCache>
                <c:ptCount val="1"/>
                <c:pt idx="0">
                  <c:v>Príspev. org. v pôsobnosti MZ SR (vrátane UN a FN)</c:v>
                </c:pt>
              </c:strCache>
            </c:strRef>
          </c:tx>
          <c:spPr>
            <a:solidFill>
              <a:schemeClr val="accent2">
                <a:shade val="53000"/>
              </a:schemeClr>
            </a:solidFill>
            <a:ln>
              <a:noFill/>
            </a:ln>
            <a:effectLst/>
          </c:spPr>
          <c:invertIfNegative val="0"/>
          <c:cat>
            <c:numRef>
              <c:f>ZDR_zav1!$C$3:$I$3</c:f>
              <c:numCache>
                <c:formatCode>General</c:formatCode>
                <c:ptCount val="7"/>
                <c:pt idx="0">
                  <c:v>2018</c:v>
                </c:pt>
                <c:pt idx="1">
                  <c:v>2019</c:v>
                </c:pt>
                <c:pt idx="2">
                  <c:v>2020</c:v>
                </c:pt>
                <c:pt idx="3">
                  <c:v>2021</c:v>
                </c:pt>
                <c:pt idx="4">
                  <c:v>2022</c:v>
                </c:pt>
                <c:pt idx="5">
                  <c:v>2023</c:v>
                </c:pt>
                <c:pt idx="6">
                  <c:v>2024</c:v>
                </c:pt>
              </c:numCache>
            </c:numRef>
          </c:cat>
          <c:val>
            <c:numRef>
              <c:f>ZDR_zav1!$C$4:$I$4</c:f>
              <c:numCache>
                <c:formatCode>_-* #\ ##0.0_-;\-* #\ ##0.0_-;_-* "-"??_-;_-@_-</c:formatCode>
                <c:ptCount val="7"/>
                <c:pt idx="0">
                  <c:v>880.35</c:v>
                </c:pt>
                <c:pt idx="1">
                  <c:v>811.74</c:v>
                </c:pt>
                <c:pt idx="2">
                  <c:v>911.19</c:v>
                </c:pt>
                <c:pt idx="3">
                  <c:v>1095.5899999999999</c:v>
                </c:pt>
                <c:pt idx="4">
                  <c:v>1118.98</c:v>
                </c:pt>
                <c:pt idx="5">
                  <c:v>1139.9000000000001</c:v>
                </c:pt>
                <c:pt idx="6">
                  <c:v>1127.9000000000001</c:v>
                </c:pt>
              </c:numCache>
            </c:numRef>
          </c:val>
          <c:extLst>
            <c:ext xmlns:c16="http://schemas.microsoft.com/office/drawing/2014/chart" uri="{C3380CC4-5D6E-409C-BE32-E72D297353CC}">
              <c16:uniqueId val="{00000000-BB64-418A-9EAD-66C9E323703A}"/>
            </c:ext>
          </c:extLst>
        </c:ser>
        <c:ser>
          <c:idx val="1"/>
          <c:order val="1"/>
          <c:tx>
            <c:strRef>
              <c:f>ZDR_zav1!$B$5</c:f>
              <c:strCache>
                <c:ptCount val="1"/>
                <c:pt idx="0">
                  <c:v>Zdravotné poisťovne</c:v>
                </c:pt>
              </c:strCache>
            </c:strRef>
          </c:tx>
          <c:spPr>
            <a:solidFill>
              <a:schemeClr val="accent2">
                <a:shade val="76000"/>
              </a:schemeClr>
            </a:solidFill>
            <a:ln>
              <a:noFill/>
            </a:ln>
            <a:effectLst/>
          </c:spPr>
          <c:invertIfNegative val="0"/>
          <c:cat>
            <c:numRef>
              <c:f>ZDR_zav1!$C$3:$I$3</c:f>
              <c:numCache>
                <c:formatCode>General</c:formatCode>
                <c:ptCount val="7"/>
                <c:pt idx="0">
                  <c:v>2018</c:v>
                </c:pt>
                <c:pt idx="1">
                  <c:v>2019</c:v>
                </c:pt>
                <c:pt idx="2">
                  <c:v>2020</c:v>
                </c:pt>
                <c:pt idx="3">
                  <c:v>2021</c:v>
                </c:pt>
                <c:pt idx="4">
                  <c:v>2022</c:v>
                </c:pt>
                <c:pt idx="5">
                  <c:v>2023</c:v>
                </c:pt>
                <c:pt idx="6">
                  <c:v>2024</c:v>
                </c:pt>
              </c:numCache>
            </c:numRef>
          </c:cat>
          <c:val>
            <c:numRef>
              <c:f>ZDR_zav1!$C$5:$I$5</c:f>
              <c:numCache>
                <c:formatCode>_-* #\ ##0.0_-;\-* #\ ##0.0_-;_-* "-"??_-;_-@_-</c:formatCode>
                <c:ptCount val="7"/>
                <c:pt idx="0">
                  <c:v>389</c:v>
                </c:pt>
                <c:pt idx="1">
                  <c:v>361.04</c:v>
                </c:pt>
                <c:pt idx="2">
                  <c:v>417.4</c:v>
                </c:pt>
                <c:pt idx="3">
                  <c:v>417.79</c:v>
                </c:pt>
                <c:pt idx="4">
                  <c:v>481.13</c:v>
                </c:pt>
                <c:pt idx="5">
                  <c:v>515.96</c:v>
                </c:pt>
                <c:pt idx="6">
                  <c:v>530.04999999999995</c:v>
                </c:pt>
              </c:numCache>
            </c:numRef>
          </c:val>
          <c:extLst>
            <c:ext xmlns:c16="http://schemas.microsoft.com/office/drawing/2014/chart" uri="{C3380CC4-5D6E-409C-BE32-E72D297353CC}">
              <c16:uniqueId val="{00000001-BB64-418A-9EAD-66C9E323703A}"/>
            </c:ext>
          </c:extLst>
        </c:ser>
        <c:ser>
          <c:idx val="2"/>
          <c:order val="2"/>
          <c:tx>
            <c:strRef>
              <c:f>ZDR_zav1!$B$6</c:f>
              <c:strCache>
                <c:ptCount val="1"/>
                <c:pt idx="0">
                  <c:v>ZZ delimitovane na obce, VÚC a transform. na n.o.</c:v>
                </c:pt>
              </c:strCache>
            </c:strRef>
          </c:tx>
          <c:spPr>
            <a:solidFill>
              <a:schemeClr val="accent2"/>
            </a:solidFill>
            <a:ln>
              <a:noFill/>
            </a:ln>
            <a:effectLst/>
          </c:spPr>
          <c:invertIfNegative val="0"/>
          <c:cat>
            <c:numRef>
              <c:f>ZDR_zav1!$C$3:$I$3</c:f>
              <c:numCache>
                <c:formatCode>General</c:formatCode>
                <c:ptCount val="7"/>
                <c:pt idx="0">
                  <c:v>2018</c:v>
                </c:pt>
                <c:pt idx="1">
                  <c:v>2019</c:v>
                </c:pt>
                <c:pt idx="2">
                  <c:v>2020</c:v>
                </c:pt>
                <c:pt idx="3">
                  <c:v>2021</c:v>
                </c:pt>
                <c:pt idx="4">
                  <c:v>2022</c:v>
                </c:pt>
                <c:pt idx="5">
                  <c:v>2023</c:v>
                </c:pt>
                <c:pt idx="6">
                  <c:v>2024</c:v>
                </c:pt>
              </c:numCache>
            </c:numRef>
          </c:cat>
          <c:val>
            <c:numRef>
              <c:f>ZDR_zav1!$C$6:$I$6</c:f>
              <c:numCache>
                <c:formatCode>_-* #\ ##0.0_-;\-* #\ ##0.0_-;_-* "-"??_-;_-@_-</c:formatCode>
                <c:ptCount val="7"/>
                <c:pt idx="0">
                  <c:v>133.41999999999999</c:v>
                </c:pt>
                <c:pt idx="1">
                  <c:v>109.1</c:v>
                </c:pt>
                <c:pt idx="2">
                  <c:v>120.86</c:v>
                </c:pt>
                <c:pt idx="3">
                  <c:v>128.62</c:v>
                </c:pt>
                <c:pt idx="4">
                  <c:v>156.69999999999999</c:v>
                </c:pt>
                <c:pt idx="5">
                  <c:v>146.66999999999999</c:v>
                </c:pt>
                <c:pt idx="6">
                  <c:v>151.80000000000001</c:v>
                </c:pt>
              </c:numCache>
            </c:numRef>
          </c:val>
          <c:extLst>
            <c:ext xmlns:c16="http://schemas.microsoft.com/office/drawing/2014/chart" uri="{C3380CC4-5D6E-409C-BE32-E72D297353CC}">
              <c16:uniqueId val="{00000002-BB64-418A-9EAD-66C9E323703A}"/>
            </c:ext>
          </c:extLst>
        </c:ser>
        <c:ser>
          <c:idx val="3"/>
          <c:order val="3"/>
          <c:tx>
            <c:strRef>
              <c:f>ZDR_zav1!$B$7</c:f>
              <c:strCache>
                <c:ptCount val="1"/>
                <c:pt idx="0">
                  <c:v>ZZ transformovane na a.s.</c:v>
                </c:pt>
              </c:strCache>
            </c:strRef>
          </c:tx>
          <c:spPr>
            <a:solidFill>
              <a:schemeClr val="accent2">
                <a:tint val="77000"/>
              </a:schemeClr>
            </a:solidFill>
            <a:ln>
              <a:noFill/>
            </a:ln>
            <a:effectLst/>
          </c:spPr>
          <c:invertIfNegative val="0"/>
          <c:cat>
            <c:numRef>
              <c:f>ZDR_zav1!$C$3:$I$3</c:f>
              <c:numCache>
                <c:formatCode>General</c:formatCode>
                <c:ptCount val="7"/>
                <c:pt idx="0">
                  <c:v>2018</c:v>
                </c:pt>
                <c:pt idx="1">
                  <c:v>2019</c:v>
                </c:pt>
                <c:pt idx="2">
                  <c:v>2020</c:v>
                </c:pt>
                <c:pt idx="3">
                  <c:v>2021</c:v>
                </c:pt>
                <c:pt idx="4">
                  <c:v>2022</c:v>
                </c:pt>
                <c:pt idx="5">
                  <c:v>2023</c:v>
                </c:pt>
                <c:pt idx="6">
                  <c:v>2024</c:v>
                </c:pt>
              </c:numCache>
            </c:numRef>
          </c:cat>
          <c:val>
            <c:numRef>
              <c:f>ZDR_zav1!$C$7:$I$7</c:f>
              <c:numCache>
                <c:formatCode>_-* #\ ##0.0_-;\-* #\ ##0.0_-;_-* "-"??_-;_-@_-</c:formatCode>
                <c:ptCount val="7"/>
                <c:pt idx="0">
                  <c:v>69.349999999999994</c:v>
                </c:pt>
                <c:pt idx="1">
                  <c:v>72.56</c:v>
                </c:pt>
                <c:pt idx="2">
                  <c:v>70.22</c:v>
                </c:pt>
                <c:pt idx="3">
                  <c:v>77.44</c:v>
                </c:pt>
                <c:pt idx="4">
                  <c:v>98.64</c:v>
                </c:pt>
                <c:pt idx="5">
                  <c:v>102.4</c:v>
                </c:pt>
                <c:pt idx="6">
                  <c:v>117.78</c:v>
                </c:pt>
              </c:numCache>
            </c:numRef>
          </c:val>
          <c:extLst>
            <c:ext xmlns:c16="http://schemas.microsoft.com/office/drawing/2014/chart" uri="{C3380CC4-5D6E-409C-BE32-E72D297353CC}">
              <c16:uniqueId val="{00000003-BB64-418A-9EAD-66C9E323703A}"/>
            </c:ext>
          </c:extLst>
        </c:ser>
        <c:ser>
          <c:idx val="4"/>
          <c:order val="4"/>
          <c:tx>
            <c:strRef>
              <c:f>ZDR_zav1!$B$8</c:f>
              <c:strCache>
                <c:ptCount val="1"/>
                <c:pt idx="0">
                  <c:v>ZZ v pôsobnosti MV SR a MO SR</c:v>
                </c:pt>
              </c:strCache>
            </c:strRef>
          </c:tx>
          <c:spPr>
            <a:solidFill>
              <a:schemeClr val="accent2">
                <a:tint val="54000"/>
              </a:schemeClr>
            </a:solidFill>
            <a:ln>
              <a:noFill/>
            </a:ln>
            <a:effectLst/>
          </c:spPr>
          <c:invertIfNegative val="0"/>
          <c:cat>
            <c:numRef>
              <c:f>ZDR_zav1!$C$3:$I$3</c:f>
              <c:numCache>
                <c:formatCode>General</c:formatCode>
                <c:ptCount val="7"/>
                <c:pt idx="0">
                  <c:v>2018</c:v>
                </c:pt>
                <c:pt idx="1">
                  <c:v>2019</c:v>
                </c:pt>
                <c:pt idx="2">
                  <c:v>2020</c:v>
                </c:pt>
                <c:pt idx="3">
                  <c:v>2021</c:v>
                </c:pt>
                <c:pt idx="4">
                  <c:v>2022</c:v>
                </c:pt>
                <c:pt idx="5">
                  <c:v>2023</c:v>
                </c:pt>
                <c:pt idx="6">
                  <c:v>2024</c:v>
                </c:pt>
              </c:numCache>
            </c:numRef>
          </c:cat>
          <c:val>
            <c:numRef>
              <c:f>ZDR_zav1!$C$8:$I$8</c:f>
              <c:numCache>
                <c:formatCode>_-* #\ ##0.0_-;\-* #\ ##0.0_-;_-* "-"??_-;_-@_-</c:formatCode>
                <c:ptCount val="7"/>
                <c:pt idx="0">
                  <c:v>42.6</c:v>
                </c:pt>
                <c:pt idx="1">
                  <c:v>37.53</c:v>
                </c:pt>
                <c:pt idx="2">
                  <c:v>45.58</c:v>
                </c:pt>
                <c:pt idx="3">
                  <c:v>55.09</c:v>
                </c:pt>
                <c:pt idx="4">
                  <c:v>58.55</c:v>
                </c:pt>
                <c:pt idx="5">
                  <c:v>59.3</c:v>
                </c:pt>
                <c:pt idx="6">
                  <c:v>113.73</c:v>
                </c:pt>
              </c:numCache>
            </c:numRef>
          </c:val>
          <c:extLst>
            <c:ext xmlns:c16="http://schemas.microsoft.com/office/drawing/2014/chart" uri="{C3380CC4-5D6E-409C-BE32-E72D297353CC}">
              <c16:uniqueId val="{00000004-BB64-418A-9EAD-66C9E323703A}"/>
            </c:ext>
          </c:extLst>
        </c:ser>
        <c:dLbls>
          <c:showLegendKey val="0"/>
          <c:showVal val="0"/>
          <c:showCatName val="0"/>
          <c:showSerName val="0"/>
          <c:showPercent val="0"/>
          <c:showBubbleSize val="0"/>
        </c:dLbls>
        <c:gapWidth val="100"/>
        <c:overlap val="100"/>
        <c:axId val="582755360"/>
        <c:axId val="582773664"/>
      </c:barChart>
      <c:catAx>
        <c:axId val="582755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82773664"/>
        <c:crosses val="autoZero"/>
        <c:auto val="1"/>
        <c:lblAlgn val="ctr"/>
        <c:lblOffset val="100"/>
        <c:noMultiLvlLbl val="0"/>
      </c:catAx>
      <c:valAx>
        <c:axId val="582773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5827553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253556448698433E-2"/>
          <c:y val="5.0505050505050504E-2"/>
          <c:w val="0.89829396325459321"/>
          <c:h val="0.70072264588973621"/>
        </c:manualLayout>
      </c:layout>
      <c:barChart>
        <c:barDir val="col"/>
        <c:grouping val="clustered"/>
        <c:varyColors val="0"/>
        <c:ser>
          <c:idx val="1"/>
          <c:order val="1"/>
          <c:tx>
            <c:strRef>
              <c:f>'Graf 3'!$C$2</c:f>
              <c:strCache>
                <c:ptCount val="1"/>
                <c:pt idx="0">
                  <c:v>Saldo 2024</c:v>
                </c:pt>
              </c:strCache>
            </c:strRef>
          </c:tx>
          <c:spPr>
            <a:solidFill>
              <a:schemeClr val="accent2"/>
            </a:solidFill>
            <a:ln>
              <a:noFill/>
            </a:ln>
            <a:effectLst/>
          </c:spPr>
          <c:invertIfNegative val="0"/>
          <c:dPt>
            <c:idx val="23"/>
            <c:invertIfNegative val="0"/>
            <c:bubble3D val="0"/>
            <c:spPr>
              <a:solidFill>
                <a:srgbClr val="F55647"/>
              </a:solidFill>
              <a:ln>
                <a:noFill/>
              </a:ln>
              <a:effectLst/>
            </c:spPr>
            <c:extLst>
              <c:ext xmlns:c16="http://schemas.microsoft.com/office/drawing/2014/chart" uri="{C3380CC4-5D6E-409C-BE32-E72D297353CC}">
                <c16:uniqueId val="{00000001-87F3-491C-9580-CF9F5A350590}"/>
              </c:ext>
            </c:extLst>
          </c:dPt>
          <c:dLbls>
            <c:dLbl>
              <c:idx val="23"/>
              <c:layout>
                <c:manualLayout>
                  <c:x val="-1.6170338740947114E-16"/>
                  <c:y val="-1.8018018018018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F3-491C-9580-CF9F5A35059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F55647"/>
                      </a:solidFill>
                      <a:round/>
                    </a:ln>
                    <a:effectLst/>
                  </c:spPr>
                </c15:leaderLines>
              </c:ext>
            </c:extLst>
          </c:dLbls>
          <c:cat>
            <c:strRef>
              <c:f>'Graf 3'!$B$3:$B$29</c:f>
              <c:strCache>
                <c:ptCount val="27"/>
                <c:pt idx="0">
                  <c:v>Dánsko</c:v>
                </c:pt>
                <c:pt idx="1">
                  <c:v>Cyprus</c:v>
                </c:pt>
                <c:pt idx="2">
                  <c:v>Írsko</c:v>
                </c:pt>
                <c:pt idx="3">
                  <c:v>Grécko</c:v>
                </c:pt>
                <c:pt idx="4">
                  <c:v>Luxembursko</c:v>
                </c:pt>
                <c:pt idx="5">
                  <c:v>Portugalsko</c:v>
                </c:pt>
                <c:pt idx="6">
                  <c:v>Holandsko</c:v>
                </c:pt>
                <c:pt idx="7">
                  <c:v>Slovinsko</c:v>
                </c:pt>
                <c:pt idx="8">
                  <c:v>Litva</c:v>
                </c:pt>
                <c:pt idx="9">
                  <c:v>Švédsko</c:v>
                </c:pt>
                <c:pt idx="10">
                  <c:v>Estónsko</c:v>
                </c:pt>
                <c:pt idx="11">
                  <c:v>Lotyšsko</c:v>
                </c:pt>
                <c:pt idx="12">
                  <c:v>Česko</c:v>
                </c:pt>
                <c:pt idx="13">
                  <c:v>Chorvátsko</c:v>
                </c:pt>
                <c:pt idx="14">
                  <c:v>Nemecko</c:v>
                </c:pt>
                <c:pt idx="15">
                  <c:v>Bulharsko</c:v>
                </c:pt>
                <c:pt idx="16">
                  <c:v>Španielsko</c:v>
                </c:pt>
                <c:pt idx="17">
                  <c:v>Taliansko</c:v>
                </c:pt>
                <c:pt idx="18">
                  <c:v>Malta</c:v>
                </c:pt>
                <c:pt idx="19">
                  <c:v>Fínsko</c:v>
                </c:pt>
                <c:pt idx="20">
                  <c:v>Belgicko</c:v>
                </c:pt>
                <c:pt idx="21">
                  <c:v>Rakúsko</c:v>
                </c:pt>
                <c:pt idx="22">
                  <c:v>Maďarsko</c:v>
                </c:pt>
                <c:pt idx="23">
                  <c:v>Slovensko</c:v>
                </c:pt>
                <c:pt idx="24">
                  <c:v>Francúzsko</c:v>
                </c:pt>
                <c:pt idx="25">
                  <c:v>Poľsko</c:v>
                </c:pt>
                <c:pt idx="26">
                  <c:v>Rumunsko</c:v>
                </c:pt>
              </c:strCache>
            </c:strRef>
          </c:cat>
          <c:val>
            <c:numRef>
              <c:f>'Graf 3'!$C$3:$C$29</c:f>
              <c:numCache>
                <c:formatCode>_-* #\ ##0.0_-;\-* #\ ##0.0_-;_-* "-"??_-;_-@_-</c:formatCode>
                <c:ptCount val="27"/>
                <c:pt idx="0">
                  <c:v>4.5</c:v>
                </c:pt>
                <c:pt idx="1">
                  <c:v>4.3</c:v>
                </c:pt>
                <c:pt idx="2">
                  <c:v>4.3</c:v>
                </c:pt>
                <c:pt idx="3">
                  <c:v>1.3</c:v>
                </c:pt>
                <c:pt idx="4">
                  <c:v>1</c:v>
                </c:pt>
                <c:pt idx="5">
                  <c:v>0.7</c:v>
                </c:pt>
                <c:pt idx="6">
                  <c:v>-0.9</c:v>
                </c:pt>
                <c:pt idx="7">
                  <c:v>-0.9</c:v>
                </c:pt>
                <c:pt idx="8">
                  <c:v>-1.3</c:v>
                </c:pt>
                <c:pt idx="9">
                  <c:v>-1.5</c:v>
                </c:pt>
                <c:pt idx="10">
                  <c:v>-1.5</c:v>
                </c:pt>
                <c:pt idx="11">
                  <c:v>-1.8</c:v>
                </c:pt>
                <c:pt idx="12">
                  <c:v>-2.2000000000000002</c:v>
                </c:pt>
                <c:pt idx="13">
                  <c:v>-2.4</c:v>
                </c:pt>
                <c:pt idx="14">
                  <c:v>-2.8</c:v>
                </c:pt>
                <c:pt idx="15">
                  <c:v>-3</c:v>
                </c:pt>
                <c:pt idx="16">
                  <c:v>-3.2</c:v>
                </c:pt>
                <c:pt idx="17">
                  <c:v>-3.4</c:v>
                </c:pt>
                <c:pt idx="18">
                  <c:v>-3.7</c:v>
                </c:pt>
                <c:pt idx="19">
                  <c:v>-4.4000000000000004</c:v>
                </c:pt>
                <c:pt idx="20">
                  <c:v>-4.5</c:v>
                </c:pt>
                <c:pt idx="21">
                  <c:v>-4.7</c:v>
                </c:pt>
                <c:pt idx="22">
                  <c:v>-4.9000000000000004</c:v>
                </c:pt>
                <c:pt idx="23">
                  <c:v>-5.3</c:v>
                </c:pt>
                <c:pt idx="24">
                  <c:v>-5.8</c:v>
                </c:pt>
                <c:pt idx="25">
                  <c:v>-6.6</c:v>
                </c:pt>
                <c:pt idx="26">
                  <c:v>-9.3000000000000007</c:v>
                </c:pt>
              </c:numCache>
            </c:numRef>
          </c:val>
          <c:extLst>
            <c:ext xmlns:c16="http://schemas.microsoft.com/office/drawing/2014/chart" uri="{C3380CC4-5D6E-409C-BE32-E72D297353CC}">
              <c16:uniqueId val="{00000002-87F3-491C-9580-CF9F5A350590}"/>
            </c:ext>
          </c:extLst>
        </c:ser>
        <c:dLbls>
          <c:showLegendKey val="0"/>
          <c:showVal val="0"/>
          <c:showCatName val="0"/>
          <c:showSerName val="0"/>
          <c:showPercent val="0"/>
          <c:showBubbleSize val="0"/>
        </c:dLbls>
        <c:gapWidth val="100"/>
        <c:axId val="611564432"/>
        <c:axId val="611571920"/>
      </c:barChart>
      <c:lineChart>
        <c:grouping val="standard"/>
        <c:varyColors val="0"/>
        <c:ser>
          <c:idx val="0"/>
          <c:order val="0"/>
          <c:tx>
            <c:strRef>
              <c:f>'Graf 3'!$F$2</c:f>
              <c:strCache>
                <c:ptCount val="1"/>
                <c:pt idx="0">
                  <c:v>Priemer EÚ</c:v>
                </c:pt>
              </c:strCache>
            </c:strRef>
          </c:tx>
          <c:spPr>
            <a:ln w="22225" cap="rnd">
              <a:solidFill>
                <a:srgbClr val="314364"/>
              </a:solidFill>
              <a:prstDash val="sysDash"/>
              <a:round/>
            </a:ln>
            <a:effectLst/>
          </c:spPr>
          <c:marker>
            <c:symbol val="none"/>
          </c:marker>
          <c:dLbls>
            <c:dLbl>
              <c:idx val="8"/>
              <c:layout>
                <c:manualLayout>
                  <c:x val="-0.29770672546857774"/>
                  <c:y val="7.4009127237473743E-2"/>
                </c:manualLayout>
              </c:layout>
              <c:tx>
                <c:rich>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fld id="{3EC23D4C-085D-40D2-8C76-D1017E8C8BDC}" type="SERIESNAME">
                      <a:rPr lang="en-US"/>
                      <a:pPr>
                        <a:defRPr b="1"/>
                      </a:pPr>
                      <a:t>[NÁZOV RADU]</a:t>
                    </a:fld>
                    <a:r>
                      <a:rPr lang="en-US" baseline="0"/>
                      <a:t> – </a:t>
                    </a:r>
                    <a:fld id="{CAB90346-7A60-4735-89EE-0350B271120C}" type="VALUE">
                      <a:rPr lang="en-US" baseline="0"/>
                      <a:pPr>
                        <a:defRPr b="1"/>
                      </a:pPr>
                      <a:t>[HODNOTA]</a:t>
                    </a:fld>
                    <a:endParaRPr lang="en-US" baseline="0"/>
                  </a:p>
                </c:rich>
              </c:tx>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7F3-491C-9580-CF9F5A35059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314364"/>
                      </a:solidFill>
                      <a:round/>
                    </a:ln>
                    <a:effectLst/>
                  </c:spPr>
                </c15:leaderLines>
              </c:ext>
            </c:extLst>
          </c:dLbls>
          <c:cat>
            <c:strRef>
              <c:f>'Graf 3'!$B$3:$B$29</c:f>
              <c:strCache>
                <c:ptCount val="27"/>
                <c:pt idx="0">
                  <c:v>Dánsko</c:v>
                </c:pt>
                <c:pt idx="1">
                  <c:v>Cyprus</c:v>
                </c:pt>
                <c:pt idx="2">
                  <c:v>Írsko</c:v>
                </c:pt>
                <c:pt idx="3">
                  <c:v>Grécko</c:v>
                </c:pt>
                <c:pt idx="4">
                  <c:v>Luxembursko</c:v>
                </c:pt>
                <c:pt idx="5">
                  <c:v>Portugalsko</c:v>
                </c:pt>
                <c:pt idx="6">
                  <c:v>Holandsko</c:v>
                </c:pt>
                <c:pt idx="7">
                  <c:v>Slovinsko</c:v>
                </c:pt>
                <c:pt idx="8">
                  <c:v>Litva</c:v>
                </c:pt>
                <c:pt idx="9">
                  <c:v>Švédsko</c:v>
                </c:pt>
                <c:pt idx="10">
                  <c:v>Estónsko</c:v>
                </c:pt>
                <c:pt idx="11">
                  <c:v>Lotyšsko</c:v>
                </c:pt>
                <c:pt idx="12">
                  <c:v>Česko</c:v>
                </c:pt>
                <c:pt idx="13">
                  <c:v>Chorvátsko</c:v>
                </c:pt>
                <c:pt idx="14">
                  <c:v>Nemecko</c:v>
                </c:pt>
                <c:pt idx="15">
                  <c:v>Bulharsko</c:v>
                </c:pt>
                <c:pt idx="16">
                  <c:v>Španielsko</c:v>
                </c:pt>
                <c:pt idx="17">
                  <c:v>Taliansko</c:v>
                </c:pt>
                <c:pt idx="18">
                  <c:v>Malta</c:v>
                </c:pt>
                <c:pt idx="19">
                  <c:v>Fínsko</c:v>
                </c:pt>
                <c:pt idx="20">
                  <c:v>Belgicko</c:v>
                </c:pt>
                <c:pt idx="21">
                  <c:v>Rakúsko</c:v>
                </c:pt>
                <c:pt idx="22">
                  <c:v>Maďarsko</c:v>
                </c:pt>
                <c:pt idx="23">
                  <c:v>Slovensko</c:v>
                </c:pt>
                <c:pt idx="24">
                  <c:v>Francúzsko</c:v>
                </c:pt>
                <c:pt idx="25">
                  <c:v>Poľsko</c:v>
                </c:pt>
                <c:pt idx="26">
                  <c:v>Rumunsko</c:v>
                </c:pt>
              </c:strCache>
            </c:strRef>
          </c:cat>
          <c:val>
            <c:numRef>
              <c:f>'Graf 3'!$F$3:$F$29</c:f>
              <c:numCache>
                <c:formatCode>_-* #\ ##0.0_-;\-* #\ ##0.0_-;_-* "-"??_-;_-@_-</c:formatCode>
                <c:ptCount val="27"/>
                <c:pt idx="0">
                  <c:v>-3.2</c:v>
                </c:pt>
                <c:pt idx="1">
                  <c:v>-3.2</c:v>
                </c:pt>
                <c:pt idx="2">
                  <c:v>-3.2</c:v>
                </c:pt>
                <c:pt idx="3">
                  <c:v>-3.2</c:v>
                </c:pt>
                <c:pt idx="4">
                  <c:v>-3.2</c:v>
                </c:pt>
                <c:pt idx="5">
                  <c:v>-3.2</c:v>
                </c:pt>
                <c:pt idx="6">
                  <c:v>-3.2</c:v>
                </c:pt>
                <c:pt idx="7">
                  <c:v>-3.2</c:v>
                </c:pt>
                <c:pt idx="8">
                  <c:v>-3.2</c:v>
                </c:pt>
                <c:pt idx="9">
                  <c:v>-3.2</c:v>
                </c:pt>
                <c:pt idx="10">
                  <c:v>-3.2</c:v>
                </c:pt>
                <c:pt idx="11">
                  <c:v>-3.2</c:v>
                </c:pt>
                <c:pt idx="12">
                  <c:v>-3.2</c:v>
                </c:pt>
                <c:pt idx="13">
                  <c:v>-3.2</c:v>
                </c:pt>
                <c:pt idx="14">
                  <c:v>-3.2</c:v>
                </c:pt>
                <c:pt idx="15">
                  <c:v>-3.2</c:v>
                </c:pt>
                <c:pt idx="16">
                  <c:v>-3.2</c:v>
                </c:pt>
                <c:pt idx="17">
                  <c:v>-3.2</c:v>
                </c:pt>
                <c:pt idx="18">
                  <c:v>-3.2</c:v>
                </c:pt>
                <c:pt idx="19">
                  <c:v>-3.2</c:v>
                </c:pt>
                <c:pt idx="20">
                  <c:v>-3.2</c:v>
                </c:pt>
                <c:pt idx="21">
                  <c:v>-3.2</c:v>
                </c:pt>
                <c:pt idx="22">
                  <c:v>-3.2</c:v>
                </c:pt>
                <c:pt idx="23">
                  <c:v>-3.2</c:v>
                </c:pt>
                <c:pt idx="24">
                  <c:v>-3.2</c:v>
                </c:pt>
                <c:pt idx="25">
                  <c:v>-3.2</c:v>
                </c:pt>
                <c:pt idx="26">
                  <c:v>-3.2</c:v>
                </c:pt>
              </c:numCache>
            </c:numRef>
          </c:val>
          <c:smooth val="0"/>
          <c:extLst>
            <c:ext xmlns:c16="http://schemas.microsoft.com/office/drawing/2014/chart" uri="{C3380CC4-5D6E-409C-BE32-E72D297353CC}">
              <c16:uniqueId val="{00000004-87F3-491C-9580-CF9F5A350590}"/>
            </c:ext>
          </c:extLst>
        </c:ser>
        <c:dLbls>
          <c:showLegendKey val="0"/>
          <c:showVal val="0"/>
          <c:showCatName val="0"/>
          <c:showSerName val="0"/>
          <c:showPercent val="0"/>
          <c:showBubbleSize val="0"/>
        </c:dLbls>
        <c:marker val="1"/>
        <c:smooth val="0"/>
        <c:axId val="611564432"/>
        <c:axId val="611571920"/>
      </c:lineChart>
      <c:catAx>
        <c:axId val="6115644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71920"/>
        <c:crosses val="autoZero"/>
        <c:auto val="1"/>
        <c:lblAlgn val="ctr"/>
        <c:lblOffset val="100"/>
        <c:noMultiLvlLbl val="0"/>
      </c:catAx>
      <c:valAx>
        <c:axId val="611571920"/>
        <c:scaling>
          <c:orientation val="minMax"/>
          <c:max val="5"/>
          <c:min val="-1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64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graf1!$D$2</c:f>
              <c:strCache>
                <c:ptCount val="1"/>
                <c:pt idx="0">
                  <c:v>Záväzky v lehote splatnosti</c:v>
                </c:pt>
              </c:strCache>
            </c:strRef>
          </c:tx>
          <c:spPr>
            <a:solidFill>
              <a:schemeClr val="accent1"/>
            </a:solidFill>
            <a:ln>
              <a:noFill/>
            </a:ln>
            <a:effectLst/>
          </c:spPr>
          <c:invertIfNegative val="0"/>
          <c:cat>
            <c:strRef>
              <c:f>graf1!$B$3:$B$15</c:f>
              <c:strCache>
                <c:ptCount val="13"/>
                <c:pt idx="0">
                  <c:v>UNB</c:v>
                </c:pt>
                <c:pt idx="1">
                  <c:v>UNKE</c:v>
                </c:pt>
                <c:pt idx="2">
                  <c:v>UNM</c:v>
                </c:pt>
                <c:pt idx="3">
                  <c:v>FNPO</c:v>
                </c:pt>
                <c:pt idx="4">
                  <c:v>FNBB</c:v>
                </c:pt>
                <c:pt idx="5">
                  <c:v>FNTN</c:v>
                </c:pt>
                <c:pt idx="6">
                  <c:v>FNTT</c:v>
                </c:pt>
                <c:pt idx="7">
                  <c:v>FNZA</c:v>
                </c:pt>
                <c:pt idx="8">
                  <c:v>NÚDCH</c:v>
                </c:pt>
                <c:pt idx="9">
                  <c:v>FNNZ</c:v>
                </c:pt>
                <c:pt idx="10">
                  <c:v>FNNR</c:v>
                </c:pt>
                <c:pt idx="11">
                  <c:v>DFNKE</c:v>
                </c:pt>
                <c:pt idx="12">
                  <c:v>DFNBB</c:v>
                </c:pt>
              </c:strCache>
            </c:strRef>
          </c:cat>
          <c:val>
            <c:numRef>
              <c:f>graf1!$D$3:$D$15</c:f>
              <c:numCache>
                <c:formatCode>0.0</c:formatCode>
                <c:ptCount val="13"/>
                <c:pt idx="0">
                  <c:v>89.27834423000003</c:v>
                </c:pt>
                <c:pt idx="1">
                  <c:v>62.237225000000002</c:v>
                </c:pt>
                <c:pt idx="2">
                  <c:v>36.320998360000011</c:v>
                </c:pt>
                <c:pt idx="3">
                  <c:v>62.692132550000011</c:v>
                </c:pt>
                <c:pt idx="4">
                  <c:v>39.577857889999997</c:v>
                </c:pt>
                <c:pt idx="5">
                  <c:v>17.840887980000002</c:v>
                </c:pt>
                <c:pt idx="6">
                  <c:v>16.965942200000001</c:v>
                </c:pt>
                <c:pt idx="7">
                  <c:v>20.565702000000002</c:v>
                </c:pt>
                <c:pt idx="8">
                  <c:v>14.207430909999996</c:v>
                </c:pt>
                <c:pt idx="9">
                  <c:v>11.426076889999997</c:v>
                </c:pt>
                <c:pt idx="10">
                  <c:v>11.708516159999997</c:v>
                </c:pt>
                <c:pt idx="11">
                  <c:v>4.9692324500000034</c:v>
                </c:pt>
                <c:pt idx="12">
                  <c:v>3.9894889400000015</c:v>
                </c:pt>
              </c:numCache>
            </c:numRef>
          </c:val>
          <c:extLst>
            <c:ext xmlns:c16="http://schemas.microsoft.com/office/drawing/2014/chart" uri="{C3380CC4-5D6E-409C-BE32-E72D297353CC}">
              <c16:uniqueId val="{00000002-D244-449E-A09F-65A2ACA5CC7C}"/>
            </c:ext>
          </c:extLst>
        </c:ser>
        <c:ser>
          <c:idx val="1"/>
          <c:order val="1"/>
          <c:tx>
            <c:strRef>
              <c:f>graf1!$E$2</c:f>
              <c:strCache>
                <c:ptCount val="1"/>
                <c:pt idx="0">
                  <c:v>Záväzky po lehote splatnosti</c:v>
                </c:pt>
              </c:strCache>
            </c:strRef>
          </c:tx>
          <c:spPr>
            <a:solidFill>
              <a:schemeClr val="accent2"/>
            </a:solidFill>
            <a:ln>
              <a:noFill/>
            </a:ln>
            <a:effectLst/>
          </c:spPr>
          <c:invertIfNegative val="0"/>
          <c:cat>
            <c:strRef>
              <c:f>graf1!$B$3:$B$15</c:f>
              <c:strCache>
                <c:ptCount val="13"/>
                <c:pt idx="0">
                  <c:v>UNB</c:v>
                </c:pt>
                <c:pt idx="1">
                  <c:v>UNKE</c:v>
                </c:pt>
                <c:pt idx="2">
                  <c:v>UNM</c:v>
                </c:pt>
                <c:pt idx="3">
                  <c:v>FNPO</c:v>
                </c:pt>
                <c:pt idx="4">
                  <c:v>FNBB</c:v>
                </c:pt>
                <c:pt idx="5">
                  <c:v>FNTN</c:v>
                </c:pt>
                <c:pt idx="6">
                  <c:v>FNTT</c:v>
                </c:pt>
                <c:pt idx="7">
                  <c:v>FNZA</c:v>
                </c:pt>
                <c:pt idx="8">
                  <c:v>NÚDCH</c:v>
                </c:pt>
                <c:pt idx="9">
                  <c:v>FNNZ</c:v>
                </c:pt>
                <c:pt idx="10">
                  <c:v>FNNR</c:v>
                </c:pt>
                <c:pt idx="11">
                  <c:v>DFNKE</c:v>
                </c:pt>
                <c:pt idx="12">
                  <c:v>DFNBB</c:v>
                </c:pt>
              </c:strCache>
            </c:strRef>
          </c:cat>
          <c:val>
            <c:numRef>
              <c:f>graf1!$E$3:$E$15</c:f>
              <c:numCache>
                <c:formatCode>0.0</c:formatCode>
                <c:ptCount val="13"/>
                <c:pt idx="0">
                  <c:v>208.95503244</c:v>
                </c:pt>
                <c:pt idx="1">
                  <c:v>131.650791</c:v>
                </c:pt>
                <c:pt idx="2">
                  <c:v>92.092918670000003</c:v>
                </c:pt>
                <c:pt idx="3">
                  <c:v>31.521459969999999</c:v>
                </c:pt>
                <c:pt idx="4">
                  <c:v>52.780828060000005</c:v>
                </c:pt>
                <c:pt idx="5">
                  <c:v>37.704129170000002</c:v>
                </c:pt>
                <c:pt idx="6">
                  <c:v>38.382879330000002</c:v>
                </c:pt>
                <c:pt idx="7">
                  <c:v>30.200361000000001</c:v>
                </c:pt>
                <c:pt idx="8">
                  <c:v>31.471791760000002</c:v>
                </c:pt>
                <c:pt idx="9">
                  <c:v>24.831409519999998</c:v>
                </c:pt>
                <c:pt idx="10">
                  <c:v>21.39335282</c:v>
                </c:pt>
                <c:pt idx="11">
                  <c:v>3.0964886200000001</c:v>
                </c:pt>
                <c:pt idx="12">
                  <c:v>2.2000000000000002</c:v>
                </c:pt>
              </c:numCache>
            </c:numRef>
          </c:val>
          <c:extLst>
            <c:ext xmlns:c16="http://schemas.microsoft.com/office/drawing/2014/chart" uri="{C3380CC4-5D6E-409C-BE32-E72D297353CC}">
              <c16:uniqueId val="{00000005-D244-449E-A09F-65A2ACA5CC7C}"/>
            </c:ext>
          </c:extLst>
        </c:ser>
        <c:dLbls>
          <c:showLegendKey val="0"/>
          <c:showVal val="0"/>
          <c:showCatName val="0"/>
          <c:showSerName val="0"/>
          <c:showPercent val="0"/>
          <c:showBubbleSize val="0"/>
        </c:dLbls>
        <c:gapWidth val="75"/>
        <c:overlap val="100"/>
        <c:axId val="1998129583"/>
        <c:axId val="1998134159"/>
      </c:barChart>
      <c:scatterChart>
        <c:scatterStyle val="lineMarker"/>
        <c:varyColors val="0"/>
        <c:ser>
          <c:idx val="2"/>
          <c:order val="2"/>
          <c:tx>
            <c:strRef>
              <c:f>graf1!$F$2</c:f>
              <c:strCache>
                <c:ptCount val="1"/>
                <c:pt idx="0">
                  <c:v>Podiel záväzkov po lehote splatnosti na celkových záväzkov</c:v>
                </c:pt>
              </c:strCache>
            </c:strRef>
          </c:tx>
          <c:spPr>
            <a:ln w="25400" cap="rnd">
              <a:noFill/>
              <a:round/>
            </a:ln>
            <a:effectLst/>
          </c:spPr>
          <c:marker>
            <c:symbol val="circle"/>
            <c:size val="5"/>
            <c:spPr>
              <a:solidFill>
                <a:srgbClr val="F55647"/>
              </a:solidFill>
              <a:ln w="9525">
                <a:solidFill>
                  <a:srgbClr val="F55647"/>
                </a:solidFill>
              </a:ln>
              <a:effectLst/>
            </c:spPr>
          </c:marker>
          <c:xVal>
            <c:strRef>
              <c:f>graf1!$B$3:$B$15</c:f>
              <c:strCache>
                <c:ptCount val="13"/>
                <c:pt idx="0">
                  <c:v>UNB</c:v>
                </c:pt>
                <c:pt idx="1">
                  <c:v>UNKE</c:v>
                </c:pt>
                <c:pt idx="2">
                  <c:v>UNM</c:v>
                </c:pt>
                <c:pt idx="3">
                  <c:v>FNPO</c:v>
                </c:pt>
                <c:pt idx="4">
                  <c:v>FNBB</c:v>
                </c:pt>
                <c:pt idx="5">
                  <c:v>FNTN</c:v>
                </c:pt>
                <c:pt idx="6">
                  <c:v>FNTT</c:v>
                </c:pt>
                <c:pt idx="7">
                  <c:v>FNZA</c:v>
                </c:pt>
                <c:pt idx="8">
                  <c:v>NÚDCH</c:v>
                </c:pt>
                <c:pt idx="9">
                  <c:v>FNNZ</c:v>
                </c:pt>
                <c:pt idx="10">
                  <c:v>FNNR</c:v>
                </c:pt>
                <c:pt idx="11">
                  <c:v>DFNKE</c:v>
                </c:pt>
                <c:pt idx="12">
                  <c:v>DFNBB</c:v>
                </c:pt>
              </c:strCache>
            </c:strRef>
          </c:xVal>
          <c:yVal>
            <c:numRef>
              <c:f>graf1!$F$3:$F$15</c:f>
              <c:numCache>
                <c:formatCode>0%</c:formatCode>
                <c:ptCount val="13"/>
                <c:pt idx="0">
                  <c:v>0.70064268048445855</c:v>
                </c:pt>
                <c:pt idx="1">
                  <c:v>0.67900427120776763</c:v>
                </c:pt>
                <c:pt idx="2">
                  <c:v>0.71715683782533701</c:v>
                </c:pt>
                <c:pt idx="3">
                  <c:v>0.33457444012984122</c:v>
                </c:pt>
                <c:pt idx="4">
                  <c:v>0.5714766025208915</c:v>
                </c:pt>
                <c:pt idx="5">
                  <c:v>0.67880308810022572</c:v>
                </c:pt>
                <c:pt idx="6">
                  <c:v>0.69347238602353667</c:v>
                </c:pt>
                <c:pt idx="7">
                  <c:v>0.59489271405584476</c:v>
                </c:pt>
                <c:pt idx="8">
                  <c:v>0.68897389054453451</c:v>
                </c:pt>
                <c:pt idx="9">
                  <c:v>0.68486296151934478</c:v>
                </c:pt>
                <c:pt idx="10">
                  <c:v>0.64628836616221785</c:v>
                </c:pt>
                <c:pt idx="11">
                  <c:v>0.38390722827215235</c:v>
                </c:pt>
                <c:pt idx="12">
                  <c:v>0.35544130078048086</c:v>
                </c:pt>
              </c:numCache>
            </c:numRef>
          </c:yVal>
          <c:smooth val="0"/>
          <c:extLst>
            <c:ext xmlns:c16="http://schemas.microsoft.com/office/drawing/2014/chart" uri="{C3380CC4-5D6E-409C-BE32-E72D297353CC}">
              <c16:uniqueId val="{00000006-D244-449E-A09F-65A2ACA5CC7C}"/>
            </c:ext>
          </c:extLst>
        </c:ser>
        <c:dLbls>
          <c:showLegendKey val="0"/>
          <c:showVal val="0"/>
          <c:showCatName val="0"/>
          <c:showSerName val="0"/>
          <c:showPercent val="0"/>
          <c:showBubbleSize val="0"/>
        </c:dLbls>
        <c:axId val="1194136960"/>
        <c:axId val="1182668656"/>
      </c:scatterChart>
      <c:catAx>
        <c:axId val="1998129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998134159"/>
        <c:crosses val="autoZero"/>
        <c:auto val="1"/>
        <c:lblAlgn val="ctr"/>
        <c:lblOffset val="100"/>
        <c:noMultiLvlLbl val="0"/>
      </c:catAx>
      <c:valAx>
        <c:axId val="19981341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998129583"/>
        <c:crosses val="autoZero"/>
        <c:crossBetween val="between"/>
      </c:valAx>
      <c:valAx>
        <c:axId val="118266865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194136960"/>
        <c:crosses val="max"/>
        <c:crossBetween val="midCat"/>
      </c:valAx>
      <c:valAx>
        <c:axId val="1194136960"/>
        <c:scaling>
          <c:orientation val="minMax"/>
        </c:scaling>
        <c:delete val="1"/>
        <c:axPos val="b"/>
        <c:majorTickMark val="out"/>
        <c:minorTickMark val="none"/>
        <c:tickLblPos val="nextTo"/>
        <c:crossAx val="1182668656"/>
        <c:crosses val="autoZero"/>
        <c:crossBetween val="midCat"/>
      </c:valAx>
      <c:spPr>
        <a:noFill/>
        <a:ln>
          <a:noFill/>
        </a:ln>
        <a:effectLst/>
      </c:spPr>
    </c:plotArea>
    <c:legend>
      <c:legendPos val="b"/>
      <c:layout>
        <c:manualLayout>
          <c:xMode val="edge"/>
          <c:yMode val="edge"/>
          <c:x val="4.5554104731883392E-2"/>
          <c:y val="0.68176705785931424"/>
          <c:w val="0.91559195804042082"/>
          <c:h val="0.2829492020642376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'MPSVR SR'!$D$24</c:f>
              <c:strCache>
                <c:ptCount val="1"/>
                <c:pt idx="0">
                  <c:v>2023 S</c:v>
                </c:pt>
              </c:strCache>
            </c:strRef>
          </c:tx>
          <c:spPr>
            <a:solidFill>
              <a:schemeClr val="accent1"/>
            </a:solidFill>
            <a:ln>
              <a:noFill/>
            </a:ln>
            <a:effectLst/>
          </c:spPr>
          <c:invertIfNegative val="0"/>
          <c:cat>
            <c:strRef>
              <c:f>'MPSVR SR'!$B$25:$B$28</c:f>
              <c:strCache>
                <c:ptCount val="4"/>
                <c:pt idx="0">
                  <c:v>Sociálna inklúzia</c:v>
                </c:pt>
                <c:pt idx="1">
                  <c:v>Tvorba a implementácia politík</c:v>
                </c:pt>
                <c:pt idx="2">
                  <c:v>Ľudské zdroje</c:v>
                </c:pt>
                <c:pt idx="3">
                  <c:v>Ostatné programy</c:v>
                </c:pt>
              </c:strCache>
            </c:strRef>
          </c:cat>
          <c:val>
            <c:numRef>
              <c:f>'MPSVR SR'!$D$25:$D$28</c:f>
              <c:numCache>
                <c:formatCode>#,##0</c:formatCode>
                <c:ptCount val="4"/>
                <c:pt idx="0">
                  <c:v>4203.7920169999998</c:v>
                </c:pt>
                <c:pt idx="1">
                  <c:v>249.08498499999999</c:v>
                </c:pt>
                <c:pt idx="2">
                  <c:v>430.98076800000001</c:v>
                </c:pt>
                <c:pt idx="3">
                  <c:v>30.497879999999999</c:v>
                </c:pt>
              </c:numCache>
            </c:numRef>
          </c:val>
          <c:extLst>
            <c:ext xmlns:c16="http://schemas.microsoft.com/office/drawing/2014/chart" uri="{C3380CC4-5D6E-409C-BE32-E72D297353CC}">
              <c16:uniqueId val="{00000000-705B-4ACB-8A57-8316F91F4198}"/>
            </c:ext>
          </c:extLst>
        </c:ser>
        <c:ser>
          <c:idx val="1"/>
          <c:order val="1"/>
          <c:tx>
            <c:strRef>
              <c:f>'MPSVR SR'!$E$24</c:f>
              <c:strCache>
                <c:ptCount val="1"/>
                <c:pt idx="0">
                  <c:v>2024 R</c:v>
                </c:pt>
              </c:strCache>
            </c:strRef>
          </c:tx>
          <c:spPr>
            <a:solidFill>
              <a:schemeClr val="accent2"/>
            </a:solidFill>
            <a:ln>
              <a:noFill/>
            </a:ln>
            <a:effectLst/>
          </c:spPr>
          <c:invertIfNegative val="0"/>
          <c:cat>
            <c:strRef>
              <c:f>'MPSVR SR'!$B$25:$B$28</c:f>
              <c:strCache>
                <c:ptCount val="4"/>
                <c:pt idx="0">
                  <c:v>Sociálna inklúzia</c:v>
                </c:pt>
                <c:pt idx="1">
                  <c:v>Tvorba a implementácia politík</c:v>
                </c:pt>
                <c:pt idx="2">
                  <c:v>Ľudské zdroje</c:v>
                </c:pt>
                <c:pt idx="3">
                  <c:v>Ostatné programy</c:v>
                </c:pt>
              </c:strCache>
            </c:strRef>
          </c:cat>
          <c:val>
            <c:numRef>
              <c:f>'MPSVR SR'!$E$25:$E$28</c:f>
              <c:numCache>
                <c:formatCode>#,##0</c:formatCode>
                <c:ptCount val="4"/>
                <c:pt idx="0">
                  <c:v>4074.98018</c:v>
                </c:pt>
                <c:pt idx="1">
                  <c:v>264.31666799999999</c:v>
                </c:pt>
                <c:pt idx="2">
                  <c:v>124.54981100000001</c:v>
                </c:pt>
                <c:pt idx="3">
                  <c:v>24.176849000000001</c:v>
                </c:pt>
              </c:numCache>
            </c:numRef>
          </c:val>
          <c:extLst>
            <c:ext xmlns:c16="http://schemas.microsoft.com/office/drawing/2014/chart" uri="{C3380CC4-5D6E-409C-BE32-E72D297353CC}">
              <c16:uniqueId val="{00000001-705B-4ACB-8A57-8316F91F4198}"/>
            </c:ext>
          </c:extLst>
        </c:ser>
        <c:ser>
          <c:idx val="2"/>
          <c:order val="2"/>
          <c:tx>
            <c:strRef>
              <c:f>'MPSVR SR'!$F$24</c:f>
              <c:strCache>
                <c:ptCount val="1"/>
                <c:pt idx="0">
                  <c:v>2024 UR</c:v>
                </c:pt>
              </c:strCache>
            </c:strRef>
          </c:tx>
          <c:spPr>
            <a:solidFill>
              <a:schemeClr val="accent3"/>
            </a:solidFill>
            <a:ln>
              <a:noFill/>
            </a:ln>
            <a:effectLst/>
          </c:spPr>
          <c:invertIfNegative val="0"/>
          <c:cat>
            <c:strRef>
              <c:f>'MPSVR SR'!$B$25:$B$28</c:f>
              <c:strCache>
                <c:ptCount val="4"/>
                <c:pt idx="0">
                  <c:v>Sociálna inklúzia</c:v>
                </c:pt>
                <c:pt idx="1">
                  <c:v>Tvorba a implementácia politík</c:v>
                </c:pt>
                <c:pt idx="2">
                  <c:v>Ľudské zdroje</c:v>
                </c:pt>
                <c:pt idx="3">
                  <c:v>Ostatné programy</c:v>
                </c:pt>
              </c:strCache>
            </c:strRef>
          </c:cat>
          <c:val>
            <c:numRef>
              <c:f>'MPSVR SR'!$F$25:$F$28</c:f>
              <c:numCache>
                <c:formatCode>#,##0</c:formatCode>
                <c:ptCount val="4"/>
                <c:pt idx="0">
                  <c:v>4052.4502219999999</c:v>
                </c:pt>
                <c:pt idx="1">
                  <c:v>274.81045399999999</c:v>
                </c:pt>
                <c:pt idx="2">
                  <c:v>479.20248299999997</c:v>
                </c:pt>
                <c:pt idx="3">
                  <c:v>31.305048120000002</c:v>
                </c:pt>
              </c:numCache>
            </c:numRef>
          </c:val>
          <c:extLst>
            <c:ext xmlns:c16="http://schemas.microsoft.com/office/drawing/2014/chart" uri="{C3380CC4-5D6E-409C-BE32-E72D297353CC}">
              <c16:uniqueId val="{00000002-705B-4ACB-8A57-8316F91F4198}"/>
            </c:ext>
          </c:extLst>
        </c:ser>
        <c:ser>
          <c:idx val="3"/>
          <c:order val="3"/>
          <c:tx>
            <c:strRef>
              <c:f>'MPSVR SR'!$G$24</c:f>
              <c:strCache>
                <c:ptCount val="1"/>
                <c:pt idx="0">
                  <c:v>2024 S</c:v>
                </c:pt>
              </c:strCache>
            </c:strRef>
          </c:tx>
          <c:spPr>
            <a:solidFill>
              <a:schemeClr val="accent4"/>
            </a:solidFill>
            <a:ln>
              <a:noFill/>
            </a:ln>
            <a:effectLst/>
          </c:spPr>
          <c:invertIfNegative val="0"/>
          <c:cat>
            <c:strRef>
              <c:f>'MPSVR SR'!$B$25:$B$28</c:f>
              <c:strCache>
                <c:ptCount val="4"/>
                <c:pt idx="0">
                  <c:v>Sociálna inklúzia</c:v>
                </c:pt>
                <c:pt idx="1">
                  <c:v>Tvorba a implementácia politík</c:v>
                </c:pt>
                <c:pt idx="2">
                  <c:v>Ľudské zdroje</c:v>
                </c:pt>
                <c:pt idx="3">
                  <c:v>Ostatné programy</c:v>
                </c:pt>
              </c:strCache>
            </c:strRef>
          </c:cat>
          <c:val>
            <c:numRef>
              <c:f>'MPSVR SR'!$G$25:$G$28</c:f>
              <c:numCache>
                <c:formatCode>#,##0</c:formatCode>
                <c:ptCount val="4"/>
                <c:pt idx="0">
                  <c:v>3947.76667</c:v>
                </c:pt>
                <c:pt idx="1">
                  <c:v>273.823577</c:v>
                </c:pt>
                <c:pt idx="2">
                  <c:v>476.68463100000002</c:v>
                </c:pt>
                <c:pt idx="3">
                  <c:v>31.046956999999999</c:v>
                </c:pt>
              </c:numCache>
            </c:numRef>
          </c:val>
          <c:extLst>
            <c:ext xmlns:c16="http://schemas.microsoft.com/office/drawing/2014/chart" uri="{C3380CC4-5D6E-409C-BE32-E72D297353CC}">
              <c16:uniqueId val="{00000003-705B-4ACB-8A57-8316F91F4198}"/>
            </c:ext>
          </c:extLst>
        </c:ser>
        <c:dLbls>
          <c:showLegendKey val="0"/>
          <c:showVal val="0"/>
          <c:showCatName val="0"/>
          <c:showSerName val="0"/>
          <c:showPercent val="0"/>
          <c:showBubbleSize val="0"/>
        </c:dLbls>
        <c:gapWidth val="100"/>
        <c:axId val="1853831424"/>
        <c:axId val="1853832256"/>
        <c:extLst>
          <c:ext xmlns:c15="http://schemas.microsoft.com/office/drawing/2012/chart" uri="{02D57815-91ED-43cb-92C2-25804820EDAC}">
            <c15:filteredBarSeries>
              <c15:ser>
                <c:idx val="4"/>
                <c:order val="4"/>
                <c:tx>
                  <c:strRef>
                    <c:extLst>
                      <c:ext uri="{02D57815-91ED-43cb-92C2-25804820EDAC}">
                        <c15:formulaRef>
                          <c15:sqref>'MPSVR SR'!$H$24</c15:sqref>
                        </c15:formulaRef>
                      </c:ext>
                    </c:extLst>
                    <c:strCache>
                      <c:ptCount val="1"/>
                      <c:pt idx="0">
                        <c:v>k UR</c:v>
                      </c:pt>
                    </c:strCache>
                  </c:strRef>
                </c:tx>
                <c:spPr>
                  <a:solidFill>
                    <a:schemeClr val="accent5"/>
                  </a:solidFill>
                  <a:ln>
                    <a:noFill/>
                  </a:ln>
                  <a:effectLst/>
                </c:spPr>
                <c:invertIfNegative val="0"/>
                <c:dPt>
                  <c:idx val="0"/>
                  <c:invertIfNegative val="0"/>
                  <c:bubble3D val="0"/>
                  <c:spPr>
                    <a:solidFill>
                      <a:schemeClr val="tx2"/>
                    </a:solidFill>
                    <a:ln>
                      <a:noFill/>
                    </a:ln>
                    <a:effectLst/>
                  </c:spPr>
                  <c:extLst>
                    <c:ext xmlns:c16="http://schemas.microsoft.com/office/drawing/2014/chart" uri="{C3380CC4-5D6E-409C-BE32-E72D297353CC}">
                      <c16:uniqueId val="{00000006-705B-4ACB-8A57-8316F91F4198}"/>
                    </c:ext>
                  </c:extLst>
                </c:dPt>
                <c:cat>
                  <c:strRef>
                    <c:extLst>
                      <c:ext uri="{02D57815-91ED-43cb-92C2-25804820EDAC}">
                        <c15:formulaRef>
                          <c15:sqref>'MPSVR SR'!$B$25:$B$28</c15:sqref>
                        </c15:formulaRef>
                      </c:ext>
                    </c:extLst>
                    <c:strCache>
                      <c:ptCount val="4"/>
                      <c:pt idx="0">
                        <c:v>Sociálna inklúzia</c:v>
                      </c:pt>
                      <c:pt idx="1">
                        <c:v>Tvorba a implementácia politík</c:v>
                      </c:pt>
                      <c:pt idx="2">
                        <c:v>Ľudské zdroje</c:v>
                      </c:pt>
                      <c:pt idx="3">
                        <c:v>Ostatné programy</c:v>
                      </c:pt>
                    </c:strCache>
                  </c:strRef>
                </c:cat>
                <c:val>
                  <c:numRef>
                    <c:extLst>
                      <c:ext uri="{02D57815-91ED-43cb-92C2-25804820EDAC}">
                        <c15:formulaRef>
                          <c15:sqref>'MPSVR SR'!$H$25:$H$28</c15:sqref>
                        </c15:formulaRef>
                      </c:ext>
                    </c:extLst>
                    <c:numCache>
                      <c:formatCode>#\ ##0.0</c:formatCode>
                      <c:ptCount val="4"/>
                      <c:pt idx="0">
                        <c:v>97.416783766233763</c:v>
                      </c:pt>
                      <c:pt idx="1">
                        <c:v>99.640888115559108</c:v>
                      </c:pt>
                      <c:pt idx="2">
                        <c:v>99.474574508830329</c:v>
                      </c:pt>
                      <c:pt idx="3" formatCode="0.0">
                        <c:v>99.175560698674943</c:v>
                      </c:pt>
                    </c:numCache>
                  </c:numRef>
                </c:val>
                <c:extLst>
                  <c:ext xmlns:c16="http://schemas.microsoft.com/office/drawing/2014/chart" uri="{C3380CC4-5D6E-409C-BE32-E72D297353CC}">
                    <c16:uniqueId val="{00000007-705B-4ACB-8A57-8316F91F4198}"/>
                  </c:ext>
                </c:extLst>
              </c15:ser>
            </c15:filteredBarSeries>
          </c:ext>
        </c:extLst>
      </c:barChart>
      <c:lineChart>
        <c:grouping val="standard"/>
        <c:varyColors val="0"/>
        <c:ser>
          <c:idx val="5"/>
          <c:order val="5"/>
          <c:tx>
            <c:strRef>
              <c:f>'MPSVR SR'!$I$24</c:f>
              <c:strCache>
                <c:ptCount val="1"/>
                <c:pt idx="0">
                  <c:v>% čerpania rozpočtu (pravá os)</c:v>
                </c:pt>
              </c:strCache>
            </c:strRef>
          </c:tx>
          <c:spPr>
            <a:ln w="28575" cap="rnd">
              <a:noFill/>
              <a:round/>
            </a:ln>
            <a:effectLst/>
          </c:spPr>
          <c:marker>
            <c:symbol val="triangle"/>
            <c:size val="5"/>
            <c:spPr>
              <a:solidFill>
                <a:srgbClr val="F55647"/>
              </a:solidFill>
              <a:ln w="9525">
                <a:solidFill>
                  <a:srgbClr val="F55647"/>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'MPSVR SR'!$B$25:$B$28</c:f>
              <c:strCache>
                <c:ptCount val="4"/>
                <c:pt idx="0">
                  <c:v>Sociálna inklúzia</c:v>
                </c:pt>
                <c:pt idx="1">
                  <c:v>Tvorba a implementácia politík</c:v>
                </c:pt>
                <c:pt idx="2">
                  <c:v>Ľudské zdroje</c:v>
                </c:pt>
                <c:pt idx="3">
                  <c:v>Ostatné programy</c:v>
                </c:pt>
              </c:strCache>
            </c:strRef>
          </c:cat>
          <c:val>
            <c:numRef>
              <c:f>'MPSVR SR'!$I$25:$I$28</c:f>
              <c:numCache>
                <c:formatCode>#\ ##0.0</c:formatCode>
                <c:ptCount val="4"/>
                <c:pt idx="0">
                  <c:v>96.878180889704353</c:v>
                </c:pt>
                <c:pt idx="1">
                  <c:v>103.59678754727643</c:v>
                </c:pt>
                <c:pt idx="2">
                  <c:v>382.72609743261671</c:v>
                </c:pt>
                <c:pt idx="3" formatCode="0.0">
                  <c:v>128.41606033937674</c:v>
                </c:pt>
              </c:numCache>
            </c:numRef>
          </c:val>
          <c:smooth val="0"/>
          <c:extLst>
            <c:ext xmlns:c16="http://schemas.microsoft.com/office/drawing/2014/chart" uri="{C3380CC4-5D6E-409C-BE32-E72D297353CC}">
              <c16:uniqueId val="{00000004-705B-4ACB-8A57-8316F91F4198}"/>
            </c:ext>
          </c:extLst>
        </c:ser>
        <c:dLbls>
          <c:showLegendKey val="0"/>
          <c:showVal val="0"/>
          <c:showCatName val="0"/>
          <c:showSerName val="0"/>
          <c:showPercent val="0"/>
          <c:showBubbleSize val="0"/>
        </c:dLbls>
        <c:marker val="1"/>
        <c:smooth val="0"/>
        <c:axId val="1880290527"/>
        <c:axId val="1880285119"/>
      </c:lineChart>
      <c:catAx>
        <c:axId val="185383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53832256"/>
        <c:crosses val="autoZero"/>
        <c:auto val="1"/>
        <c:lblAlgn val="ctr"/>
        <c:lblOffset val="100"/>
        <c:noMultiLvlLbl val="0"/>
      </c:catAx>
      <c:valAx>
        <c:axId val="1853832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53831424"/>
        <c:crosses val="autoZero"/>
        <c:crossBetween val="between"/>
      </c:valAx>
      <c:valAx>
        <c:axId val="1880285119"/>
        <c:scaling>
          <c:orientation val="minMax"/>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80290527"/>
        <c:crosses val="max"/>
        <c:crossBetween val="between"/>
      </c:valAx>
      <c:catAx>
        <c:axId val="1880290527"/>
        <c:scaling>
          <c:orientation val="minMax"/>
        </c:scaling>
        <c:delete val="1"/>
        <c:axPos val="b"/>
        <c:numFmt formatCode="General" sourceLinked="1"/>
        <c:majorTickMark val="out"/>
        <c:minorTickMark val="none"/>
        <c:tickLblPos val="nextTo"/>
        <c:crossAx val="188028511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stacked"/>
        <c:varyColors val="0"/>
        <c:ser>
          <c:idx val="0"/>
          <c:order val="0"/>
          <c:tx>
            <c:strRef>
              <c:f>'MPSVR SR'!$B$110</c:f>
              <c:strCache>
                <c:ptCount val="1"/>
                <c:pt idx="0">
                  <c:v>Prídavok na dieťa</c:v>
                </c:pt>
              </c:strCache>
            </c:strRef>
          </c:tx>
          <c:spPr>
            <a:solidFill>
              <a:schemeClr val="accent2">
                <a:shade val="53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'MPSVR SR'!$C$109:$F$109</c:f>
              <c:strCache>
                <c:ptCount val="4"/>
                <c:pt idx="0">
                  <c:v>2023 S</c:v>
                </c:pt>
                <c:pt idx="1">
                  <c:v>2024 R</c:v>
                </c:pt>
                <c:pt idx="2">
                  <c:v>2024 UR</c:v>
                </c:pt>
                <c:pt idx="3">
                  <c:v>2024 S</c:v>
                </c:pt>
              </c:strCache>
            </c:strRef>
          </c:cat>
          <c:val>
            <c:numRef>
              <c:f>'MPSVR SR'!$C$110:$F$110</c:f>
              <c:numCache>
                <c:formatCode>#\ ##0.0</c:formatCode>
                <c:ptCount val="4"/>
                <c:pt idx="0">
                  <c:v>786.55789500000003</c:v>
                </c:pt>
                <c:pt idx="1">
                  <c:v>828.05</c:v>
                </c:pt>
                <c:pt idx="2">
                  <c:v>796.50142700000004</c:v>
                </c:pt>
                <c:pt idx="3">
                  <c:v>789.55235200000004</c:v>
                </c:pt>
              </c:numCache>
            </c:numRef>
          </c:val>
          <c:extLst>
            <c:ext xmlns:c16="http://schemas.microsoft.com/office/drawing/2014/chart" uri="{C3380CC4-5D6E-409C-BE32-E72D297353CC}">
              <c16:uniqueId val="{00000000-61CC-4208-8CDE-2A00C5E0B4F7}"/>
            </c:ext>
          </c:extLst>
        </c:ser>
        <c:ser>
          <c:idx val="1"/>
          <c:order val="1"/>
          <c:tx>
            <c:strRef>
              <c:f>'MPSVR SR'!$B$111</c:f>
              <c:strCache>
                <c:ptCount val="1"/>
                <c:pt idx="0">
                  <c:v>Rodičovský príspevok</c:v>
                </c:pt>
              </c:strCache>
            </c:strRef>
          </c:tx>
          <c:spPr>
            <a:solidFill>
              <a:schemeClr val="accent2">
                <a:shade val="76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'MPSVR SR'!$C$109:$F$109</c:f>
              <c:strCache>
                <c:ptCount val="4"/>
                <c:pt idx="0">
                  <c:v>2023 S</c:v>
                </c:pt>
                <c:pt idx="1">
                  <c:v>2024 R</c:v>
                </c:pt>
                <c:pt idx="2">
                  <c:v>2024 UR</c:v>
                </c:pt>
                <c:pt idx="3">
                  <c:v>2024 S</c:v>
                </c:pt>
              </c:strCache>
            </c:strRef>
          </c:cat>
          <c:val>
            <c:numRef>
              <c:f>'MPSVR SR'!$C$111:$F$111</c:f>
              <c:numCache>
                <c:formatCode>#\ ##0.0</c:formatCode>
                <c:ptCount val="4"/>
                <c:pt idx="0">
                  <c:v>659.06717700000002</c:v>
                </c:pt>
                <c:pt idx="1">
                  <c:v>861.75476800000001</c:v>
                </c:pt>
                <c:pt idx="2">
                  <c:v>706.72238200000004</c:v>
                </c:pt>
                <c:pt idx="3">
                  <c:v>701.03880100000003</c:v>
                </c:pt>
              </c:numCache>
            </c:numRef>
          </c:val>
          <c:extLst>
            <c:ext xmlns:c16="http://schemas.microsoft.com/office/drawing/2014/chart" uri="{C3380CC4-5D6E-409C-BE32-E72D297353CC}">
              <c16:uniqueId val="{00000001-61CC-4208-8CDE-2A00C5E0B4F7}"/>
            </c:ext>
          </c:extLst>
        </c:ser>
        <c:ser>
          <c:idx val="2"/>
          <c:order val="2"/>
          <c:tx>
            <c:strRef>
              <c:f>'MPSVR SR'!$B$114</c:f>
              <c:strCache>
                <c:ptCount val="1"/>
                <c:pt idx="0">
                  <c:v>Ostatné príspevky na podporu rodiny</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'MPSVR SR'!$C$109:$F$109</c:f>
              <c:strCache>
                <c:ptCount val="4"/>
                <c:pt idx="0">
                  <c:v>2023 S</c:v>
                </c:pt>
                <c:pt idx="1">
                  <c:v>2024 R</c:v>
                </c:pt>
                <c:pt idx="2">
                  <c:v>2024 UR</c:v>
                </c:pt>
                <c:pt idx="3">
                  <c:v>2024 S</c:v>
                </c:pt>
              </c:strCache>
            </c:strRef>
          </c:cat>
          <c:val>
            <c:numRef>
              <c:f>'MPSVR SR'!$C$114:$F$114</c:f>
              <c:numCache>
                <c:formatCode>#\ ##0.0</c:formatCode>
                <c:ptCount val="4"/>
                <c:pt idx="0">
                  <c:v>41.285496000000002</c:v>
                </c:pt>
                <c:pt idx="1">
                  <c:v>48.804991999999999</c:v>
                </c:pt>
                <c:pt idx="2">
                  <c:v>42.989367999999999</c:v>
                </c:pt>
                <c:pt idx="3">
                  <c:v>40.463984000000004</c:v>
                </c:pt>
              </c:numCache>
            </c:numRef>
          </c:val>
          <c:extLst>
            <c:ext xmlns:c16="http://schemas.microsoft.com/office/drawing/2014/chart" uri="{C3380CC4-5D6E-409C-BE32-E72D297353CC}">
              <c16:uniqueId val="{00000002-61CC-4208-8CDE-2A00C5E0B4F7}"/>
            </c:ext>
          </c:extLst>
        </c:ser>
        <c:ser>
          <c:idx val="3"/>
          <c:order val="3"/>
          <c:tx>
            <c:strRef>
              <c:f>'MPSVR SR'!$B$112</c:f>
              <c:strCache>
                <c:ptCount val="1"/>
                <c:pt idx="0">
                  <c:v>Štátom platené poistné</c:v>
                </c:pt>
              </c:strCache>
            </c:strRef>
          </c:tx>
          <c:spPr>
            <a:solidFill>
              <a:schemeClr val="accent2">
                <a:tint val="77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'MPSVR SR'!$C$109:$F$109</c:f>
              <c:strCache>
                <c:ptCount val="4"/>
                <c:pt idx="0">
                  <c:v>2023 S</c:v>
                </c:pt>
                <c:pt idx="1">
                  <c:v>2024 R</c:v>
                </c:pt>
                <c:pt idx="2">
                  <c:v>2024 UR</c:v>
                </c:pt>
                <c:pt idx="3">
                  <c:v>2024 S</c:v>
                </c:pt>
              </c:strCache>
            </c:strRef>
          </c:cat>
          <c:val>
            <c:numRef>
              <c:f>'MPSVR SR'!$C$112:$F$112</c:f>
              <c:numCache>
                <c:formatCode>#\ ##0.0</c:formatCode>
                <c:ptCount val="4"/>
                <c:pt idx="0">
                  <c:v>451.910326</c:v>
                </c:pt>
                <c:pt idx="1">
                  <c:v>500.18299999999999</c:v>
                </c:pt>
                <c:pt idx="2">
                  <c:v>488.68299999999999</c:v>
                </c:pt>
                <c:pt idx="3">
                  <c:v>488.68299999999999</c:v>
                </c:pt>
              </c:numCache>
            </c:numRef>
          </c:val>
          <c:extLst>
            <c:ext xmlns:c16="http://schemas.microsoft.com/office/drawing/2014/chart" uri="{C3380CC4-5D6E-409C-BE32-E72D297353CC}">
              <c16:uniqueId val="{00000003-61CC-4208-8CDE-2A00C5E0B4F7}"/>
            </c:ext>
          </c:extLst>
        </c:ser>
        <c:ser>
          <c:idx val="4"/>
          <c:order val="4"/>
          <c:tx>
            <c:strRef>
              <c:f>'MPSVR SR'!$B$113</c:f>
              <c:strCache>
                <c:ptCount val="1"/>
                <c:pt idx="0">
                  <c:v>Dotácia na podporu výchovy k stravovacím návykom dieťaťa</c:v>
                </c:pt>
              </c:strCache>
            </c:strRef>
          </c:tx>
          <c:spPr>
            <a:solidFill>
              <a:schemeClr val="accent2">
                <a:tint val="54000"/>
              </a:scheme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'MPSVR SR'!$C$109:$F$109</c:f>
              <c:strCache>
                <c:ptCount val="4"/>
                <c:pt idx="0">
                  <c:v>2023 S</c:v>
                </c:pt>
                <c:pt idx="1">
                  <c:v>2024 R</c:v>
                </c:pt>
                <c:pt idx="2">
                  <c:v>2024 UR</c:v>
                </c:pt>
                <c:pt idx="3">
                  <c:v>2024 S</c:v>
                </c:pt>
              </c:strCache>
            </c:strRef>
          </c:cat>
          <c:val>
            <c:numRef>
              <c:f>'MPSVR SR'!$C$113:$F$113</c:f>
              <c:numCache>
                <c:formatCode>#\ ##0.0</c:formatCode>
                <c:ptCount val="4"/>
                <c:pt idx="0">
                  <c:v>112.650417</c:v>
                </c:pt>
                <c:pt idx="1">
                  <c:v>206.96598599999999</c:v>
                </c:pt>
                <c:pt idx="2">
                  <c:v>185.74122800000001</c:v>
                </c:pt>
                <c:pt idx="3">
                  <c:v>178.66049599999999</c:v>
                </c:pt>
              </c:numCache>
            </c:numRef>
          </c:val>
          <c:extLst>
            <c:ext xmlns:c16="http://schemas.microsoft.com/office/drawing/2014/chart" uri="{C3380CC4-5D6E-409C-BE32-E72D297353CC}">
              <c16:uniqueId val="{00000004-61CC-4208-8CDE-2A00C5E0B4F7}"/>
            </c:ext>
          </c:extLst>
        </c:ser>
        <c:dLbls>
          <c:showLegendKey val="0"/>
          <c:showVal val="0"/>
          <c:showCatName val="0"/>
          <c:showSerName val="0"/>
          <c:showPercent val="0"/>
          <c:showBubbleSize val="0"/>
        </c:dLbls>
        <c:gapWidth val="100"/>
        <c:overlap val="100"/>
        <c:axId val="2001356319"/>
        <c:axId val="2001364223"/>
      </c:barChart>
      <c:catAx>
        <c:axId val="200135631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64223"/>
        <c:crosses val="autoZero"/>
        <c:auto val="1"/>
        <c:lblAlgn val="ctr"/>
        <c:lblOffset val="100"/>
        <c:noMultiLvlLbl val="0"/>
      </c:catAx>
      <c:valAx>
        <c:axId val="2001364223"/>
        <c:scaling>
          <c:orientation val="minMax"/>
          <c:max val="2500"/>
        </c:scaling>
        <c:delete val="0"/>
        <c:axPos val="l"/>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1356319"/>
        <c:crosses val="autoZero"/>
        <c:crossBetween val="between"/>
      </c:valAx>
      <c:spPr>
        <a:noFill/>
        <a:ln>
          <a:noFill/>
        </a:ln>
        <a:effectLst/>
      </c:spPr>
    </c:plotArea>
    <c:legend>
      <c:legendPos val="r"/>
      <c:layout>
        <c:manualLayout>
          <c:xMode val="edge"/>
          <c:yMode val="edge"/>
          <c:x val="0.65357879461854418"/>
          <c:y val="5.0882145377558231E-2"/>
          <c:w val="0.32857203090577536"/>
          <c:h val="0.8979156363393884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0"/>
          <c:spPr>
            <a:solidFill>
              <a:schemeClr val="accent3"/>
            </a:solidFill>
            <a:ln>
              <a:noFill/>
            </a:ln>
            <a:effectLst/>
          </c:spPr>
          <c:invertIfNegative val="0"/>
          <c:dLbls>
            <c:dLbl>
              <c:idx val="1"/>
              <c:delete val="1"/>
              <c:extLst>
                <c:ext xmlns:c15="http://schemas.microsoft.com/office/drawing/2012/chart" uri="{CE6537A1-D6FC-4f65-9D91-7224C49458BB}"/>
                <c:ext xmlns:c16="http://schemas.microsoft.com/office/drawing/2014/chart" uri="{C3380CC4-5D6E-409C-BE32-E72D297353CC}">
                  <c16:uniqueId val="{00000000-BAD8-497E-8450-AC70E4FE46D9}"/>
                </c:ext>
              </c:extLst>
            </c:dLbl>
            <c:dLbl>
              <c:idx val="2"/>
              <c:delete val="1"/>
              <c:extLst>
                <c:ext xmlns:c15="http://schemas.microsoft.com/office/drawing/2012/chart" uri="{CE6537A1-D6FC-4f65-9D91-7224C49458BB}"/>
                <c:ext xmlns:c16="http://schemas.microsoft.com/office/drawing/2014/chart" uri="{C3380CC4-5D6E-409C-BE32-E72D297353CC}">
                  <c16:uniqueId val="{00000001-BAD8-497E-8450-AC70E4FE46D9}"/>
                </c:ext>
              </c:extLst>
            </c:dLbl>
            <c:dLbl>
              <c:idx val="3"/>
              <c:delete val="1"/>
              <c:extLst>
                <c:ext xmlns:c15="http://schemas.microsoft.com/office/drawing/2012/chart" uri="{CE6537A1-D6FC-4f65-9D91-7224C49458BB}"/>
                <c:ext xmlns:c16="http://schemas.microsoft.com/office/drawing/2014/chart" uri="{C3380CC4-5D6E-409C-BE32-E72D297353CC}">
                  <c16:uniqueId val="{00000002-BAD8-497E-8450-AC70E4FE46D9}"/>
                </c:ext>
              </c:extLst>
            </c:dLbl>
            <c:dLbl>
              <c:idx val="4"/>
              <c:delete val="1"/>
              <c:extLst>
                <c:ext xmlns:c15="http://schemas.microsoft.com/office/drawing/2012/chart" uri="{CE6537A1-D6FC-4f65-9D91-7224C49458BB}"/>
                <c:ext xmlns:c16="http://schemas.microsoft.com/office/drawing/2014/chart" uri="{C3380CC4-5D6E-409C-BE32-E72D297353CC}">
                  <c16:uniqueId val="{00000003-BAD8-497E-8450-AC70E4FE46D9}"/>
                </c:ext>
              </c:extLst>
            </c:dLbl>
            <c:dLbl>
              <c:idx val="5"/>
              <c:delete val="1"/>
              <c:extLst>
                <c:ext xmlns:c15="http://schemas.microsoft.com/office/drawing/2012/chart" uri="{CE6537A1-D6FC-4f65-9D91-7224C49458BB}"/>
                <c:ext xmlns:c16="http://schemas.microsoft.com/office/drawing/2014/chart" uri="{C3380CC4-5D6E-409C-BE32-E72D297353CC}">
                  <c16:uniqueId val="{00000004-BAD8-497E-8450-AC70E4FE46D9}"/>
                </c:ext>
              </c:extLst>
            </c:dLbl>
            <c:dLbl>
              <c:idx val="6"/>
              <c:delete val="1"/>
              <c:extLst>
                <c:ext xmlns:c15="http://schemas.microsoft.com/office/drawing/2012/chart" uri="{CE6537A1-D6FC-4f65-9D91-7224C49458BB}"/>
                <c:ext xmlns:c16="http://schemas.microsoft.com/office/drawing/2014/chart" uri="{C3380CC4-5D6E-409C-BE32-E72D297353CC}">
                  <c16:uniqueId val="{00000005-BAD8-497E-8450-AC70E4FE46D9}"/>
                </c:ext>
              </c:extLst>
            </c:dLbl>
            <c:dLbl>
              <c:idx val="7"/>
              <c:delete val="1"/>
              <c:extLst>
                <c:ext xmlns:c15="http://schemas.microsoft.com/office/drawing/2012/chart" uri="{CE6537A1-D6FC-4f65-9D91-7224C49458BB}"/>
                <c:ext xmlns:c16="http://schemas.microsoft.com/office/drawing/2014/chart" uri="{C3380CC4-5D6E-409C-BE32-E72D297353CC}">
                  <c16:uniqueId val="{00000006-BAD8-497E-8450-AC70E4FE46D9}"/>
                </c:ext>
              </c:extLst>
            </c:dLbl>
            <c:dLbl>
              <c:idx val="8"/>
              <c:delete val="1"/>
              <c:extLst>
                <c:ext xmlns:c15="http://schemas.microsoft.com/office/drawing/2012/chart" uri="{CE6537A1-D6FC-4f65-9D91-7224C49458BB}"/>
                <c:ext xmlns:c16="http://schemas.microsoft.com/office/drawing/2014/chart" uri="{C3380CC4-5D6E-409C-BE32-E72D297353CC}">
                  <c16:uniqueId val="{00000007-BAD8-497E-8450-AC70E4FE46D9}"/>
                </c:ext>
              </c:extLst>
            </c:dLbl>
            <c:dLbl>
              <c:idx val="10"/>
              <c:delete val="1"/>
              <c:extLst>
                <c:ext xmlns:c15="http://schemas.microsoft.com/office/drawing/2012/chart" uri="{CE6537A1-D6FC-4f65-9D91-7224C49458BB}"/>
                <c:ext xmlns:c16="http://schemas.microsoft.com/office/drawing/2014/chart" uri="{C3380CC4-5D6E-409C-BE32-E72D297353CC}">
                  <c16:uniqueId val="{00000008-BAD8-497E-8450-AC70E4FE46D9}"/>
                </c:ext>
              </c:extLst>
            </c:dLbl>
            <c:dLbl>
              <c:idx val="11"/>
              <c:delete val="1"/>
              <c:extLst>
                <c:ext xmlns:c15="http://schemas.microsoft.com/office/drawing/2012/chart" uri="{CE6537A1-D6FC-4f65-9D91-7224C49458BB}"/>
                <c:ext xmlns:c16="http://schemas.microsoft.com/office/drawing/2014/chart" uri="{C3380CC4-5D6E-409C-BE32-E72D297353CC}">
                  <c16:uniqueId val="{00000009-BAD8-497E-8450-AC70E4FE46D9}"/>
                </c:ext>
              </c:extLst>
            </c:dLbl>
            <c:dLbl>
              <c:idx val="12"/>
              <c:delete val="1"/>
              <c:extLst>
                <c:ext xmlns:c15="http://schemas.microsoft.com/office/drawing/2012/chart" uri="{CE6537A1-D6FC-4f65-9D91-7224C49458BB}"/>
                <c:ext xmlns:c16="http://schemas.microsoft.com/office/drawing/2014/chart" uri="{C3380CC4-5D6E-409C-BE32-E72D297353CC}">
                  <c16:uniqueId val="{0000000A-BAD8-497E-8450-AC70E4FE46D9}"/>
                </c:ext>
              </c:extLst>
            </c:dLbl>
            <c:dLbl>
              <c:idx val="13"/>
              <c:delete val="1"/>
              <c:extLst>
                <c:ext xmlns:c15="http://schemas.microsoft.com/office/drawing/2012/chart" uri="{CE6537A1-D6FC-4f65-9D91-7224C49458BB}"/>
                <c:ext xmlns:c16="http://schemas.microsoft.com/office/drawing/2014/chart" uri="{C3380CC4-5D6E-409C-BE32-E72D297353CC}">
                  <c16:uniqueId val="{0000000B-BAD8-497E-8450-AC70E4FE46D9}"/>
                </c:ext>
              </c:extLst>
            </c:dLbl>
            <c:dLbl>
              <c:idx val="14"/>
              <c:delete val="1"/>
              <c:extLst>
                <c:ext xmlns:c15="http://schemas.microsoft.com/office/drawing/2012/chart" uri="{CE6537A1-D6FC-4f65-9D91-7224C49458BB}"/>
                <c:ext xmlns:c16="http://schemas.microsoft.com/office/drawing/2014/chart" uri="{C3380CC4-5D6E-409C-BE32-E72D297353CC}">
                  <c16:uniqueId val="{0000000C-BAD8-497E-8450-AC70E4FE46D9}"/>
                </c:ext>
              </c:extLst>
            </c:dLbl>
            <c:dLbl>
              <c:idx val="15"/>
              <c:delete val="1"/>
              <c:extLst>
                <c:ext xmlns:c15="http://schemas.microsoft.com/office/drawing/2012/chart" uri="{CE6537A1-D6FC-4f65-9D91-7224C49458BB}"/>
                <c:ext xmlns:c16="http://schemas.microsoft.com/office/drawing/2014/chart" uri="{C3380CC4-5D6E-409C-BE32-E72D297353CC}">
                  <c16:uniqueId val="{0000000D-BAD8-497E-8450-AC70E4FE46D9}"/>
                </c:ext>
              </c:extLst>
            </c:dLbl>
            <c:dLbl>
              <c:idx val="16"/>
              <c:delete val="1"/>
              <c:extLst>
                <c:ext xmlns:c15="http://schemas.microsoft.com/office/drawing/2012/chart" uri="{CE6537A1-D6FC-4f65-9D91-7224C49458BB}"/>
                <c:ext xmlns:c16="http://schemas.microsoft.com/office/drawing/2014/chart" uri="{C3380CC4-5D6E-409C-BE32-E72D297353CC}">
                  <c16:uniqueId val="{0000000E-BAD8-497E-8450-AC70E4FE46D9}"/>
                </c:ext>
              </c:extLst>
            </c:dLbl>
            <c:dLbl>
              <c:idx val="17"/>
              <c:delete val="1"/>
              <c:extLst>
                <c:ext xmlns:c15="http://schemas.microsoft.com/office/drawing/2012/chart" uri="{CE6537A1-D6FC-4f65-9D91-7224C49458BB}"/>
                <c:ext xmlns:c16="http://schemas.microsoft.com/office/drawing/2014/chart" uri="{C3380CC4-5D6E-409C-BE32-E72D297353CC}">
                  <c16:uniqueId val="{0000000F-BAD8-497E-8450-AC70E4FE46D9}"/>
                </c:ext>
              </c:extLst>
            </c:dLbl>
            <c:dLbl>
              <c:idx val="18"/>
              <c:delete val="1"/>
              <c:extLst>
                <c:ext xmlns:c15="http://schemas.microsoft.com/office/drawing/2012/chart" uri="{CE6537A1-D6FC-4f65-9D91-7224C49458BB}"/>
                <c:ext xmlns:c16="http://schemas.microsoft.com/office/drawing/2014/chart" uri="{C3380CC4-5D6E-409C-BE32-E72D297353CC}">
                  <c16:uniqueId val="{00000010-BAD8-497E-8450-AC70E4FE46D9}"/>
                </c:ext>
              </c:extLst>
            </c:dLbl>
            <c:dLbl>
              <c:idx val="19"/>
              <c:delete val="1"/>
              <c:extLst>
                <c:ext xmlns:c15="http://schemas.microsoft.com/office/drawing/2012/chart" uri="{CE6537A1-D6FC-4f65-9D91-7224C49458BB}"/>
                <c:ext xmlns:c16="http://schemas.microsoft.com/office/drawing/2014/chart" uri="{C3380CC4-5D6E-409C-BE32-E72D297353CC}">
                  <c16:uniqueId val="{00000011-BAD8-497E-8450-AC70E4FE46D9}"/>
                </c:ext>
              </c:extLst>
            </c:dLbl>
            <c:dLbl>
              <c:idx val="20"/>
              <c:delete val="1"/>
              <c:extLst>
                <c:ext xmlns:c15="http://schemas.microsoft.com/office/drawing/2012/chart" uri="{CE6537A1-D6FC-4f65-9D91-7224C49458BB}"/>
                <c:ext xmlns:c16="http://schemas.microsoft.com/office/drawing/2014/chart" uri="{C3380CC4-5D6E-409C-BE32-E72D297353CC}">
                  <c16:uniqueId val="{00000012-BAD8-497E-8450-AC70E4FE46D9}"/>
                </c:ext>
              </c:extLst>
            </c:dLbl>
            <c:dLbl>
              <c:idx val="21"/>
              <c:delete val="1"/>
              <c:extLst>
                <c:ext xmlns:c15="http://schemas.microsoft.com/office/drawing/2012/chart" uri="{CE6537A1-D6FC-4f65-9D91-7224C49458BB}"/>
                <c:ext xmlns:c16="http://schemas.microsoft.com/office/drawing/2014/chart" uri="{C3380CC4-5D6E-409C-BE32-E72D297353CC}">
                  <c16:uniqueId val="{00000013-BAD8-497E-8450-AC70E4FE46D9}"/>
                </c:ext>
              </c:extLst>
            </c:dLbl>
            <c:dLbl>
              <c:idx val="22"/>
              <c:delete val="1"/>
              <c:extLst>
                <c:ext xmlns:c15="http://schemas.microsoft.com/office/drawing/2012/chart" uri="{CE6537A1-D6FC-4f65-9D91-7224C49458BB}"/>
                <c:ext xmlns:c16="http://schemas.microsoft.com/office/drawing/2014/chart" uri="{C3380CC4-5D6E-409C-BE32-E72D297353CC}">
                  <c16:uniqueId val="{00000014-BAD8-497E-8450-AC70E4FE46D9}"/>
                </c:ext>
              </c:extLst>
            </c:dLbl>
            <c:dLbl>
              <c:idx val="23"/>
              <c:delete val="1"/>
              <c:extLst>
                <c:ext xmlns:c15="http://schemas.microsoft.com/office/drawing/2012/chart" uri="{CE6537A1-D6FC-4f65-9D91-7224C49458BB}"/>
                <c:ext xmlns:c16="http://schemas.microsoft.com/office/drawing/2014/chart" uri="{C3380CC4-5D6E-409C-BE32-E72D297353CC}">
                  <c16:uniqueId val="{00000015-BAD8-497E-8450-AC70E4FE46D9}"/>
                </c:ext>
              </c:extLst>
            </c:dLbl>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'hrubá miera živorodenosti'!$A$11:$A$35</c:f>
              <c:strCach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strCache>
            </c:strRef>
          </c:cat>
          <c:val>
            <c:numRef>
              <c:f>'hrubá miera živorodenosti'!$B$11:$B$35</c:f>
              <c:numCache>
                <c:formatCode>General</c:formatCode>
                <c:ptCount val="25"/>
                <c:pt idx="0">
                  <c:v>10.210000000000001</c:v>
                </c:pt>
                <c:pt idx="1">
                  <c:v>9.51</c:v>
                </c:pt>
                <c:pt idx="2">
                  <c:v>9.4499999999999993</c:v>
                </c:pt>
                <c:pt idx="3">
                  <c:v>9.61</c:v>
                </c:pt>
                <c:pt idx="4">
                  <c:v>9.99</c:v>
                </c:pt>
                <c:pt idx="5">
                  <c:v>10.1</c:v>
                </c:pt>
                <c:pt idx="6">
                  <c:v>10</c:v>
                </c:pt>
                <c:pt idx="7">
                  <c:v>10.08</c:v>
                </c:pt>
                <c:pt idx="8">
                  <c:v>10.61</c:v>
                </c:pt>
                <c:pt idx="9">
                  <c:v>11.3</c:v>
                </c:pt>
                <c:pt idx="10">
                  <c:v>11.12</c:v>
                </c:pt>
                <c:pt idx="11">
                  <c:v>11.27</c:v>
                </c:pt>
                <c:pt idx="12">
                  <c:v>10.27</c:v>
                </c:pt>
                <c:pt idx="13">
                  <c:v>10.130000000000001</c:v>
                </c:pt>
                <c:pt idx="14">
                  <c:v>10.16</c:v>
                </c:pt>
                <c:pt idx="15">
                  <c:v>10.25</c:v>
                </c:pt>
                <c:pt idx="16">
                  <c:v>10.6</c:v>
                </c:pt>
                <c:pt idx="17">
                  <c:v>10.66</c:v>
                </c:pt>
                <c:pt idx="18">
                  <c:v>10.58</c:v>
                </c:pt>
                <c:pt idx="19">
                  <c:v>10.46</c:v>
                </c:pt>
                <c:pt idx="20">
                  <c:v>10.38</c:v>
                </c:pt>
                <c:pt idx="21">
                  <c:v>10.39</c:v>
                </c:pt>
                <c:pt idx="22">
                  <c:v>9.6999999999999993</c:v>
                </c:pt>
                <c:pt idx="23">
                  <c:v>8.9600000000000009</c:v>
                </c:pt>
                <c:pt idx="24">
                  <c:v>8.5299999999999994</c:v>
                </c:pt>
              </c:numCache>
            </c:numRef>
          </c:val>
          <c:extLst>
            <c:ext xmlns:c16="http://schemas.microsoft.com/office/drawing/2014/chart" uri="{C3380CC4-5D6E-409C-BE32-E72D297353CC}">
              <c16:uniqueId val="{00000016-BAD8-497E-8450-AC70E4FE46D9}"/>
            </c:ext>
          </c:extLst>
        </c:ser>
        <c:dLbls>
          <c:dLblPos val="outEnd"/>
          <c:showLegendKey val="0"/>
          <c:showVal val="1"/>
          <c:showCatName val="0"/>
          <c:showSerName val="0"/>
          <c:showPercent val="0"/>
          <c:showBubbleSize val="0"/>
        </c:dLbls>
        <c:gapWidth val="100"/>
        <c:axId val="1821113199"/>
        <c:axId val="1821115279"/>
        <c:extLst/>
      </c:barChart>
      <c:catAx>
        <c:axId val="182111319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21115279"/>
        <c:crosses val="autoZero"/>
        <c:auto val="1"/>
        <c:lblAlgn val="ctr"/>
        <c:lblOffset val="100"/>
        <c:noMultiLvlLbl val="0"/>
      </c:catAx>
      <c:valAx>
        <c:axId val="182111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21113199"/>
        <c:crosses val="autoZero"/>
        <c:crossBetween val="between"/>
      </c:valAx>
      <c:spPr>
        <a:noFill/>
        <a:ln>
          <a:noFill/>
        </a:ln>
        <a:effectLst/>
      </c:spPr>
    </c:plotArea>
    <c:plotVisOnly val="1"/>
    <c:dispBlanksAs val="zero"/>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697287839020116E-2"/>
          <c:y val="0.17841899970836977"/>
          <c:w val="0.88174715660542435"/>
          <c:h val="0.56788782426293094"/>
        </c:manualLayout>
      </c:layout>
      <c:lineChart>
        <c:grouping val="standard"/>
        <c:varyColors val="0"/>
        <c:ser>
          <c:idx val="0"/>
          <c:order val="0"/>
          <c:tx>
            <c:strRef>
              <c:f>'AROPE graf'!$A$3</c:f>
              <c:strCache>
                <c:ptCount val="1"/>
                <c:pt idx="0">
                  <c:v>EÚ27</c:v>
                </c:pt>
              </c:strCache>
            </c:strRef>
          </c:tx>
          <c:spPr>
            <a:ln w="25400" cap="rnd">
              <a:solidFill>
                <a:schemeClr val="accent1"/>
              </a:solidFill>
              <a:round/>
            </a:ln>
            <a:effectLst/>
          </c:spPr>
          <c:marker>
            <c:symbol val="circle"/>
            <c:size val="5"/>
            <c:spPr>
              <a:solidFill>
                <a:schemeClr val="accent1"/>
              </a:solidFill>
              <a:ln w="12700">
                <a:solidFill>
                  <a:schemeClr val="bg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'AROPE graf'!$B$2:$J$2</c:f>
              <c:strCache>
                <c:ptCount val="9"/>
                <c:pt idx="0">
                  <c:v>2015</c:v>
                </c:pt>
                <c:pt idx="1">
                  <c:v>2016</c:v>
                </c:pt>
                <c:pt idx="2">
                  <c:v>2017</c:v>
                </c:pt>
                <c:pt idx="3">
                  <c:v>2018</c:v>
                </c:pt>
                <c:pt idx="4">
                  <c:v>2019</c:v>
                </c:pt>
                <c:pt idx="5">
                  <c:v>2020</c:v>
                </c:pt>
                <c:pt idx="6">
                  <c:v>2021</c:v>
                </c:pt>
                <c:pt idx="7">
                  <c:v>2022</c:v>
                </c:pt>
                <c:pt idx="8">
                  <c:v>2023</c:v>
                </c:pt>
              </c:strCache>
            </c:strRef>
          </c:cat>
          <c:val>
            <c:numRef>
              <c:f>'AROPE graf'!$B$3:$J$3</c:f>
              <c:numCache>
                <c:formatCode>#\ ##0.##########</c:formatCode>
                <c:ptCount val="9"/>
                <c:pt idx="0" formatCode="#\ ##0.0">
                  <c:v>24</c:v>
                </c:pt>
                <c:pt idx="1">
                  <c:v>23.7</c:v>
                </c:pt>
                <c:pt idx="2">
                  <c:v>22.4</c:v>
                </c:pt>
                <c:pt idx="3">
                  <c:v>21.7</c:v>
                </c:pt>
                <c:pt idx="4">
                  <c:v>21.8</c:v>
                </c:pt>
                <c:pt idx="5">
                  <c:v>21.5</c:v>
                </c:pt>
                <c:pt idx="6">
                  <c:v>21.7</c:v>
                </c:pt>
                <c:pt idx="7">
                  <c:v>21.6</c:v>
                </c:pt>
                <c:pt idx="8">
                  <c:v>21.3</c:v>
                </c:pt>
              </c:numCache>
            </c:numRef>
          </c:val>
          <c:smooth val="0"/>
          <c:extLst>
            <c:ext xmlns:c16="http://schemas.microsoft.com/office/drawing/2014/chart" uri="{C3380CC4-5D6E-409C-BE32-E72D297353CC}">
              <c16:uniqueId val="{00000000-A376-45CC-86D1-2428C642C5D1}"/>
            </c:ext>
          </c:extLst>
        </c:ser>
        <c:ser>
          <c:idx val="1"/>
          <c:order val="1"/>
          <c:tx>
            <c:strRef>
              <c:f>'AROPE graf'!$A$4</c:f>
              <c:strCache>
                <c:ptCount val="1"/>
                <c:pt idx="0">
                  <c:v>SR</c:v>
                </c:pt>
              </c:strCache>
            </c:strRef>
          </c:tx>
          <c:spPr>
            <a:ln w="25400" cap="rnd">
              <a:solidFill>
                <a:schemeClr val="accent2"/>
              </a:solidFill>
              <a:round/>
            </a:ln>
            <a:effectLst/>
          </c:spPr>
          <c:marker>
            <c:symbol val="circle"/>
            <c:size val="5"/>
            <c:spPr>
              <a:solidFill>
                <a:schemeClr val="accent2"/>
              </a:solidFill>
              <a:ln w="12700">
                <a:solidFill>
                  <a:schemeClr val="bg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'AROPE graf'!$B$2:$J$2</c:f>
              <c:strCache>
                <c:ptCount val="9"/>
                <c:pt idx="0">
                  <c:v>2015</c:v>
                </c:pt>
                <c:pt idx="1">
                  <c:v>2016</c:v>
                </c:pt>
                <c:pt idx="2">
                  <c:v>2017</c:v>
                </c:pt>
                <c:pt idx="3">
                  <c:v>2018</c:v>
                </c:pt>
                <c:pt idx="4">
                  <c:v>2019</c:v>
                </c:pt>
                <c:pt idx="5">
                  <c:v>2020</c:v>
                </c:pt>
                <c:pt idx="6">
                  <c:v>2021</c:v>
                </c:pt>
                <c:pt idx="7">
                  <c:v>2022</c:v>
                </c:pt>
                <c:pt idx="8">
                  <c:v>2023</c:v>
                </c:pt>
              </c:strCache>
            </c:strRef>
          </c:cat>
          <c:val>
            <c:numRef>
              <c:f>'AROPE graf'!$B$4:$J$4</c:f>
              <c:numCache>
                <c:formatCode>#\ ##0.##########</c:formatCode>
                <c:ptCount val="9"/>
                <c:pt idx="0">
                  <c:v>17.3</c:v>
                </c:pt>
                <c:pt idx="1">
                  <c:v>17.100000000000001</c:v>
                </c:pt>
                <c:pt idx="2">
                  <c:v>15.8</c:v>
                </c:pt>
                <c:pt idx="3">
                  <c:v>15.2</c:v>
                </c:pt>
                <c:pt idx="4">
                  <c:v>14.8</c:v>
                </c:pt>
                <c:pt idx="5">
                  <c:v>13.8</c:v>
                </c:pt>
                <c:pt idx="6">
                  <c:v>15.6</c:v>
                </c:pt>
                <c:pt idx="7">
                  <c:v>16.5</c:v>
                </c:pt>
                <c:pt idx="8">
                  <c:v>17.600000000000001</c:v>
                </c:pt>
              </c:numCache>
            </c:numRef>
          </c:val>
          <c:smooth val="0"/>
          <c:extLst>
            <c:ext xmlns:c16="http://schemas.microsoft.com/office/drawing/2014/chart" uri="{C3380CC4-5D6E-409C-BE32-E72D297353CC}">
              <c16:uniqueId val="{00000001-A376-45CC-86D1-2428C642C5D1}"/>
            </c:ext>
          </c:extLst>
        </c:ser>
        <c:dLbls>
          <c:dLblPos val="t"/>
          <c:showLegendKey val="0"/>
          <c:showVal val="1"/>
          <c:showCatName val="0"/>
          <c:showSerName val="0"/>
          <c:showPercent val="0"/>
          <c:showBubbleSize val="0"/>
        </c:dLbls>
        <c:marker val="1"/>
        <c:smooth val="0"/>
        <c:axId val="1252035695"/>
        <c:axId val="1252032367"/>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min val="1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majorUnit val="5"/>
      </c:valAx>
      <c:spPr>
        <a:noFill/>
        <a:ln>
          <a:noFill/>
        </a:ln>
        <a:effectLst/>
      </c:spPr>
    </c:plotArea>
    <c:legend>
      <c:legendPos val="b"/>
      <c:layout>
        <c:manualLayout>
          <c:xMode val="edge"/>
          <c:yMode val="edge"/>
          <c:x val="0.30799325671758393"/>
          <c:y val="0.88260706869472638"/>
          <c:w val="0.39271636410983873"/>
          <c:h val="0.110699490876893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6985058240268984E-2"/>
          <c:y val="7.3627844712182061E-2"/>
          <c:w val="0.82483179798603601"/>
          <c:h val="0.6556878432364629"/>
        </c:manualLayout>
      </c:layout>
      <c:barChart>
        <c:barDir val="col"/>
        <c:grouping val="clustered"/>
        <c:varyColors val="0"/>
        <c:ser>
          <c:idx val="0"/>
          <c:order val="0"/>
          <c:tx>
            <c:strRef>
              <c:f>'výdavky na dôchodky'!$C$63</c:f>
              <c:strCache>
                <c:ptCount val="1"/>
                <c:pt idx="0">
                  <c:v>2023 S</c:v>
                </c:pt>
              </c:strCache>
            </c:strRef>
          </c:tx>
          <c:spPr>
            <a:solidFill>
              <a:schemeClr val="accent1"/>
            </a:solidFill>
            <a:ln>
              <a:noFill/>
            </a:ln>
            <a:effectLst/>
          </c:spPr>
          <c:invertIfNegative val="0"/>
          <c:dLbls>
            <c:dLbl>
              <c:idx val="0"/>
              <c:layout>
                <c:manualLayout>
                  <c:x val="-1.3071895424836602E-2"/>
                  <c:y val="-1.5338957118096378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1EE-41FA-91DA-3513EBB096B4}"/>
                </c:ext>
              </c:extLst>
            </c:dLbl>
            <c:dLbl>
              <c:idx val="1"/>
              <c:layout>
                <c:manualLayout>
                  <c:x val="-1.307189542483660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1EE-41FA-91DA-3513EBB096B4}"/>
                </c:ext>
              </c:extLst>
            </c:dLbl>
            <c:dLbl>
              <c:idx val="2"/>
              <c:layout>
                <c:manualLayout>
                  <c:x val="-1.9607843137254981E-2"/>
                  <c:y val="-6.69344042838018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1EE-41FA-91DA-3513EBB096B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'výdavky na dôchodky'!$B$64:$B$68</c:f>
              <c:strCache>
                <c:ptCount val="5"/>
                <c:pt idx="0">
                  <c:v>SD</c:v>
                </c:pt>
                <c:pt idx="1">
                  <c:v>RD</c:v>
                </c:pt>
                <c:pt idx="2">
                  <c:v>PSD</c:v>
                </c:pt>
                <c:pt idx="3">
                  <c:v>13. dôchodok</c:v>
                </c:pt>
                <c:pt idx="4">
                  <c:v>ID</c:v>
                </c:pt>
              </c:strCache>
            </c:strRef>
          </c:cat>
          <c:val>
            <c:numRef>
              <c:f>'výdavky na dôchodky'!$C$64:$C$68</c:f>
              <c:numCache>
                <c:formatCode>#\ ##0.0</c:formatCode>
                <c:ptCount val="5"/>
                <c:pt idx="0">
                  <c:v>7976.0249999999996</c:v>
                </c:pt>
                <c:pt idx="1">
                  <c:v>286.06799999999998</c:v>
                </c:pt>
                <c:pt idx="2">
                  <c:v>144.60300000000001</c:v>
                </c:pt>
                <c:pt idx="3">
                  <c:v>746.32990000000007</c:v>
                </c:pt>
                <c:pt idx="4">
                  <c:v>969.88099999999997</c:v>
                </c:pt>
              </c:numCache>
            </c:numRef>
          </c:val>
          <c:extLst>
            <c:ext xmlns:c16="http://schemas.microsoft.com/office/drawing/2014/chart" uri="{C3380CC4-5D6E-409C-BE32-E72D297353CC}">
              <c16:uniqueId val="{00000003-C1EE-41FA-91DA-3513EBB096B4}"/>
            </c:ext>
          </c:extLst>
        </c:ser>
        <c:ser>
          <c:idx val="1"/>
          <c:order val="1"/>
          <c:tx>
            <c:strRef>
              <c:f>'výdavky na dôchodky'!$D$63</c:f>
              <c:strCache>
                <c:ptCount val="1"/>
                <c:pt idx="0">
                  <c:v>2024 R</c:v>
                </c:pt>
              </c:strCache>
            </c:strRef>
          </c:tx>
          <c:spPr>
            <a:solidFill>
              <a:schemeClr val="accent2"/>
            </a:solidFill>
            <a:ln>
              <a:noFill/>
            </a:ln>
            <a:effectLst/>
          </c:spPr>
          <c:invertIfNegative val="0"/>
          <c:dLbls>
            <c:dLbl>
              <c:idx val="0"/>
              <c:layout>
                <c:manualLayout>
                  <c:x val="2.1786492374727671E-3"/>
                  <c:y val="-6.435006435006434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1EE-41FA-91DA-3513EBB096B4}"/>
                </c:ext>
              </c:extLst>
            </c:dLbl>
            <c:dLbl>
              <c:idx val="4"/>
              <c:layout>
                <c:manualLayout>
                  <c:x val="0"/>
                  <c:y val="-6.02409638554217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1EE-41FA-91DA-3513EBB096B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'výdavky na dôchodky'!$B$64:$B$68</c:f>
              <c:strCache>
                <c:ptCount val="5"/>
                <c:pt idx="0">
                  <c:v>SD</c:v>
                </c:pt>
                <c:pt idx="1">
                  <c:v>RD</c:v>
                </c:pt>
                <c:pt idx="2">
                  <c:v>PSD</c:v>
                </c:pt>
                <c:pt idx="3">
                  <c:v>13. dôchodok</c:v>
                </c:pt>
                <c:pt idx="4">
                  <c:v>ID</c:v>
                </c:pt>
              </c:strCache>
            </c:strRef>
          </c:cat>
          <c:val>
            <c:numRef>
              <c:f>'výdavky na dôchodky'!$D$64:$D$68</c:f>
              <c:numCache>
                <c:formatCode>#\ ##0.0</c:formatCode>
                <c:ptCount val="5"/>
                <c:pt idx="0">
                  <c:v>8782.08</c:v>
                </c:pt>
                <c:pt idx="1">
                  <c:v>0</c:v>
                </c:pt>
                <c:pt idx="2">
                  <c:v>276.733</c:v>
                </c:pt>
                <c:pt idx="3">
                  <c:v>0</c:v>
                </c:pt>
                <c:pt idx="4">
                  <c:v>1083.2070000000001</c:v>
                </c:pt>
              </c:numCache>
            </c:numRef>
          </c:val>
          <c:extLst>
            <c:ext xmlns:c16="http://schemas.microsoft.com/office/drawing/2014/chart" uri="{C3380CC4-5D6E-409C-BE32-E72D297353CC}">
              <c16:uniqueId val="{00000006-C1EE-41FA-91DA-3513EBB096B4}"/>
            </c:ext>
          </c:extLst>
        </c:ser>
        <c:ser>
          <c:idx val="3"/>
          <c:order val="3"/>
          <c:tx>
            <c:strRef>
              <c:f>'výdavky na dôchodky'!$F$63</c:f>
              <c:strCache>
                <c:ptCount val="1"/>
                <c:pt idx="0">
                  <c:v>2024 S</c:v>
                </c:pt>
              </c:strCache>
            </c:strRef>
          </c:tx>
          <c:spPr>
            <a:solidFill>
              <a:schemeClr val="accent4"/>
            </a:solidFill>
            <a:ln>
              <a:noFill/>
            </a:ln>
            <a:effectLst/>
          </c:spPr>
          <c:invertIfNegative val="0"/>
          <c:dLbls>
            <c:dLbl>
              <c:idx val="0"/>
              <c:layout>
                <c:manualLayout>
                  <c:x val="3.4858387799564274E-2"/>
                  <c:y val="-7.669478559048189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1EE-41FA-91DA-3513EBB096B4}"/>
                </c:ext>
              </c:extLst>
            </c:dLbl>
            <c:dLbl>
              <c:idx val="1"/>
              <c:layout>
                <c:manualLayout>
                  <c:x val="1.5250544662309448E-2"/>
                  <c:y val="-2.00803212851406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1EE-41FA-91DA-3513EBB096B4}"/>
                </c:ext>
              </c:extLst>
            </c:dLbl>
            <c:dLbl>
              <c:idx val="2"/>
              <c:layout>
                <c:manualLayout>
                  <c:x val="1.9607843137254902E-2"/>
                  <c:y val="-6.69344042838018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1EE-41FA-91DA-3513EBB096B4}"/>
                </c:ext>
              </c:extLst>
            </c:dLbl>
            <c:dLbl>
              <c:idx val="3"/>
              <c:layout>
                <c:manualLayout>
                  <c:x val="6.5359477124183806E-3"/>
                  <c:y val="-6.693440428380187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1EE-41FA-91DA-3513EBB096B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'výdavky na dôchodky'!$B$64:$B$68</c:f>
              <c:strCache>
                <c:ptCount val="5"/>
                <c:pt idx="0">
                  <c:v>SD</c:v>
                </c:pt>
                <c:pt idx="1">
                  <c:v>RD</c:v>
                </c:pt>
                <c:pt idx="2">
                  <c:v>PSD</c:v>
                </c:pt>
                <c:pt idx="3">
                  <c:v>13. dôchodok</c:v>
                </c:pt>
                <c:pt idx="4">
                  <c:v>ID</c:v>
                </c:pt>
              </c:strCache>
            </c:strRef>
          </c:cat>
          <c:val>
            <c:numRef>
              <c:f>'výdavky na dôchodky'!$F$64:$F$68</c:f>
              <c:numCache>
                <c:formatCode>#\ ##0.0</c:formatCode>
                <c:ptCount val="5"/>
                <c:pt idx="0">
                  <c:v>8908.1360000000004</c:v>
                </c:pt>
                <c:pt idx="1">
                  <c:v>315.98899999999998</c:v>
                </c:pt>
                <c:pt idx="2">
                  <c:v>461.28100000000001</c:v>
                </c:pt>
                <c:pt idx="3">
                  <c:v>823.01900000000001</c:v>
                </c:pt>
                <c:pt idx="4">
                  <c:v>1090.9880000000001</c:v>
                </c:pt>
              </c:numCache>
            </c:numRef>
          </c:val>
          <c:extLst>
            <c:ext xmlns:c16="http://schemas.microsoft.com/office/drawing/2014/chart" uri="{C3380CC4-5D6E-409C-BE32-E72D297353CC}">
              <c16:uniqueId val="{0000000B-C1EE-41FA-91DA-3513EBB096B4}"/>
            </c:ext>
          </c:extLst>
        </c:ser>
        <c:dLbls>
          <c:showLegendKey val="0"/>
          <c:showVal val="0"/>
          <c:showCatName val="0"/>
          <c:showSerName val="0"/>
          <c:showPercent val="0"/>
          <c:showBubbleSize val="0"/>
        </c:dLbls>
        <c:gapWidth val="150"/>
        <c:axId val="1252035695"/>
        <c:axId val="1252032367"/>
        <c:extLst>
          <c:ext xmlns:c15="http://schemas.microsoft.com/office/drawing/2012/chart" uri="{02D57815-91ED-43cb-92C2-25804820EDAC}">
            <c15:filteredBarSeries>
              <c15:ser>
                <c:idx val="2"/>
                <c:order val="2"/>
                <c:tx>
                  <c:strRef>
                    <c:extLst>
                      <c:ext uri="{02D57815-91ED-43cb-92C2-25804820EDAC}">
                        <c15:formulaRef>
                          <c15:sqref>'výdavky na dôchodky'!$E$63</c15:sqref>
                        </c15:formulaRef>
                      </c:ext>
                    </c:extLst>
                    <c:strCache>
                      <c:ptCount val="1"/>
                      <c:pt idx="0">
                        <c:v>2024 UR</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'výdavky na dôchodky'!$B$64:$B$68</c15:sqref>
                        </c15:formulaRef>
                      </c:ext>
                    </c:extLst>
                    <c:strCache>
                      <c:ptCount val="5"/>
                      <c:pt idx="0">
                        <c:v>SD</c:v>
                      </c:pt>
                      <c:pt idx="1">
                        <c:v>RD</c:v>
                      </c:pt>
                      <c:pt idx="2">
                        <c:v>PSD</c:v>
                      </c:pt>
                      <c:pt idx="3">
                        <c:v>13. dôchodok</c:v>
                      </c:pt>
                      <c:pt idx="4">
                        <c:v>ID</c:v>
                      </c:pt>
                    </c:strCache>
                  </c:strRef>
                </c:cat>
                <c:val>
                  <c:numRef>
                    <c:extLst>
                      <c:ext uri="{02D57815-91ED-43cb-92C2-25804820EDAC}">
                        <c15:formulaRef>
                          <c15:sqref>'výdavky na dôchodky'!$E$64:$E$68</c15:sqref>
                        </c15:formulaRef>
                      </c:ext>
                    </c:extLst>
                    <c:numCache>
                      <c:formatCode>General</c:formatCode>
                      <c:ptCount val="5"/>
                    </c:numCache>
                  </c:numRef>
                </c:val>
                <c:extLst>
                  <c:ext xmlns:c16="http://schemas.microsoft.com/office/drawing/2014/chart" uri="{C3380CC4-5D6E-409C-BE32-E72D297353CC}">
                    <c16:uniqueId val="{0000000F-C1EE-41FA-91DA-3513EBB096B4}"/>
                  </c:ext>
                </c:extLst>
              </c15:ser>
            </c15:filteredBarSeries>
          </c:ext>
        </c:extLst>
      </c:barChart>
      <c:lineChart>
        <c:grouping val="standard"/>
        <c:varyColors val="0"/>
        <c:ser>
          <c:idx val="4"/>
          <c:order val="4"/>
          <c:tx>
            <c:strRef>
              <c:f>'výdavky na dôchodky'!$G$63</c:f>
              <c:strCache>
                <c:ptCount val="1"/>
                <c:pt idx="0">
                  <c:v>% čerpania rozpočtu (pravá os)</c:v>
                </c:pt>
              </c:strCache>
            </c:strRef>
          </c:tx>
          <c:spPr>
            <a:ln w="28575" cap="rnd">
              <a:noFill/>
              <a:round/>
            </a:ln>
            <a:effectLst/>
          </c:spPr>
          <c:marker>
            <c:symbol val="triangle"/>
            <c:size val="5"/>
            <c:spPr>
              <a:solidFill>
                <a:srgbClr val="F55647"/>
              </a:solidFill>
              <a:ln w="9525">
                <a:solidFill>
                  <a:srgbClr val="F55647"/>
                </a:solidFill>
              </a:ln>
              <a:effectLst/>
            </c:spPr>
          </c:marker>
          <c:dLbls>
            <c:dLbl>
              <c:idx val="1"/>
              <c:layout>
                <c:manualLayout>
                  <c:x val="0"/>
                  <c:y val="1.9531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1EE-41FA-91DA-3513EBB096B4}"/>
                </c:ext>
              </c:extLst>
            </c:dLbl>
            <c:dLbl>
              <c:idx val="3"/>
              <c:layout>
                <c:manualLayout>
                  <c:x val="2.1786492374727671E-3"/>
                  <c:y val="1.30208333333333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1EE-41FA-91DA-3513EBB096B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'výdavky na dôchodky'!$B$64:$B$68</c:f>
              <c:strCache>
                <c:ptCount val="5"/>
                <c:pt idx="0">
                  <c:v>SD</c:v>
                </c:pt>
                <c:pt idx="1">
                  <c:v>RD</c:v>
                </c:pt>
                <c:pt idx="2">
                  <c:v>PSD</c:v>
                </c:pt>
                <c:pt idx="3">
                  <c:v>13. dôchodok</c:v>
                </c:pt>
                <c:pt idx="4">
                  <c:v>ID</c:v>
                </c:pt>
              </c:strCache>
            </c:strRef>
          </c:cat>
          <c:val>
            <c:numRef>
              <c:f>'výdavky na dôchodky'!$G$64:$G$68</c:f>
              <c:numCache>
                <c:formatCode>#\ ##0.0</c:formatCode>
                <c:ptCount val="5"/>
                <c:pt idx="0">
                  <c:v>101.43537749599186</c:v>
                </c:pt>
                <c:pt idx="1">
                  <c:v>0</c:v>
                </c:pt>
                <c:pt idx="2">
                  <c:v>166.6881073092114</c:v>
                </c:pt>
                <c:pt idx="3">
                  <c:v>0</c:v>
                </c:pt>
                <c:pt idx="4">
                  <c:v>100.71832992216629</c:v>
                </c:pt>
              </c:numCache>
            </c:numRef>
          </c:val>
          <c:smooth val="0"/>
          <c:extLst>
            <c:ext xmlns:c16="http://schemas.microsoft.com/office/drawing/2014/chart" uri="{C3380CC4-5D6E-409C-BE32-E72D297353CC}">
              <c16:uniqueId val="{0000000E-C1EE-41FA-91DA-3513EBB096B4}"/>
            </c:ext>
          </c:extLst>
        </c:ser>
        <c:dLbls>
          <c:showLegendKey val="0"/>
          <c:showVal val="0"/>
          <c:showCatName val="0"/>
          <c:showSerName val="0"/>
          <c:showPercent val="0"/>
          <c:showBubbleSize val="0"/>
        </c:dLbls>
        <c:marker val="1"/>
        <c:smooth val="0"/>
        <c:axId val="1894121551"/>
        <c:axId val="1894134031"/>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valAx>
      <c:valAx>
        <c:axId val="1894134031"/>
        <c:scaling>
          <c:orientation val="minMax"/>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94121551"/>
        <c:crosses val="max"/>
        <c:crossBetween val="between"/>
      </c:valAx>
      <c:catAx>
        <c:axId val="1894121551"/>
        <c:scaling>
          <c:orientation val="minMax"/>
        </c:scaling>
        <c:delete val="1"/>
        <c:axPos val="b"/>
        <c:numFmt formatCode="General" sourceLinked="1"/>
        <c:majorTickMark val="out"/>
        <c:minorTickMark val="none"/>
        <c:tickLblPos val="nextTo"/>
        <c:crossAx val="1894134031"/>
        <c:crosses val="autoZero"/>
        <c:auto val="1"/>
        <c:lblAlgn val="ctr"/>
        <c:lblOffset val="100"/>
        <c:noMultiLvlLbl val="0"/>
      </c:catAx>
      <c:spPr>
        <a:noFill/>
        <a:ln>
          <a:noFill/>
        </a:ln>
        <a:effectLst/>
      </c:spPr>
    </c:plotArea>
    <c:legend>
      <c:legendPos val="b"/>
      <c:layout>
        <c:manualLayout>
          <c:xMode val="edge"/>
          <c:yMode val="edge"/>
          <c:x val="0.21370867857204123"/>
          <c:y val="0.87426960143495591"/>
          <c:w val="0.57258264285591753"/>
          <c:h val="0.106425379260024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39205433966424"/>
          <c:y val="7.217847769028872E-2"/>
          <c:w val="0.8243612265002308"/>
          <c:h val="0.5309793952921239"/>
        </c:manualLayout>
      </c:layout>
      <c:lineChart>
        <c:grouping val="standard"/>
        <c:varyColors val="0"/>
        <c:ser>
          <c:idx val="0"/>
          <c:order val="0"/>
          <c:tx>
            <c:strRef>
              <c:f>Hárok1!$C$24</c:f>
              <c:strCache>
                <c:ptCount val="1"/>
                <c:pt idx="0">
                  <c:v>Priemerná výška sólo SD</c:v>
                </c:pt>
              </c:strCache>
            </c:strRef>
          </c:tx>
          <c:spPr>
            <a:ln w="25400" cap="rnd">
              <a:solidFill>
                <a:schemeClr val="accent1"/>
              </a:solidFill>
              <a:round/>
            </a:ln>
            <a:effectLst/>
          </c:spPr>
          <c:marker>
            <c:symbol val="circle"/>
            <c:size val="5"/>
            <c:spPr>
              <a:solidFill>
                <a:schemeClr val="accent1"/>
              </a:solidFill>
              <a:ln w="12700">
                <a:solidFill>
                  <a:schemeClr val="bg1"/>
                </a:solidFill>
              </a:ln>
              <a:effectLst/>
            </c:spPr>
          </c:marker>
          <c:dLbls>
            <c:spPr>
              <a:noFill/>
              <a:ln>
                <a:noFill/>
              </a:ln>
              <a:effectLst/>
            </c:spPr>
            <c:txPr>
              <a:bodyPr rot="0" spcFirstLastPara="1" vertOverflow="ellipsis" vert="horz" wrap="square" anchor="ctr" anchorCtr="1"/>
              <a:lstStyle/>
              <a:p>
                <a:pPr>
                  <a:defRPr sz="7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Hárok1!$B$25:$B$34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Hárok1!$C$25:$C$34</c:f>
              <c:numCache>
                <c:formatCode>#,##0</c:formatCode>
                <c:ptCount val="10"/>
                <c:pt idx="0">
                  <c:v>411.06</c:v>
                </c:pt>
                <c:pt idx="1">
                  <c:v>417.46</c:v>
                </c:pt>
                <c:pt idx="2">
                  <c:v>428.31</c:v>
                </c:pt>
                <c:pt idx="3">
                  <c:v>444.26</c:v>
                </c:pt>
                <c:pt idx="4">
                  <c:v>460.39</c:v>
                </c:pt>
                <c:pt idx="5">
                  <c:v>487.37</c:v>
                </c:pt>
                <c:pt idx="6">
                  <c:v>505.68</c:v>
                </c:pt>
                <c:pt idx="7">
                  <c:v>518.76</c:v>
                </c:pt>
                <c:pt idx="8">
                  <c:v>648.83000000000004</c:v>
                </c:pt>
                <c:pt idx="9">
                  <c:v>683.1</c:v>
                </c:pt>
              </c:numCache>
            </c:numRef>
          </c:val>
          <c:smooth val="0"/>
          <c:extLst>
            <c:ext xmlns:c16="http://schemas.microsoft.com/office/drawing/2014/chart" uri="{C3380CC4-5D6E-409C-BE32-E72D297353CC}">
              <c16:uniqueId val="{00000000-FCD7-47A8-93AB-0E26765FBED8}"/>
            </c:ext>
          </c:extLst>
        </c:ser>
        <c:ser>
          <c:idx val="1"/>
          <c:order val="1"/>
          <c:tx>
            <c:strRef>
              <c:f>Hárok1!$D$24</c:f>
              <c:strCache>
                <c:ptCount val="1"/>
                <c:pt idx="0">
                  <c:v>   Priemerná mesačná mzda </c:v>
                </c:pt>
              </c:strCache>
            </c:strRef>
          </c:tx>
          <c:spPr>
            <a:ln w="25400" cap="rnd">
              <a:solidFill>
                <a:schemeClr val="accent2"/>
              </a:solidFill>
              <a:round/>
            </a:ln>
            <a:effectLst/>
          </c:spPr>
          <c:marker>
            <c:symbol val="circle"/>
            <c:size val="5"/>
            <c:spPr>
              <a:solidFill>
                <a:schemeClr val="accent2"/>
              </a:solidFill>
              <a:ln w="12700">
                <a:solidFill>
                  <a:schemeClr val="bg1"/>
                </a:solidFill>
              </a:ln>
              <a:effectLst/>
            </c:spPr>
          </c:marker>
          <c:dLbls>
            <c:spPr>
              <a:noFill/>
              <a:ln>
                <a:noFill/>
              </a:ln>
              <a:effectLst/>
            </c:spPr>
            <c:txPr>
              <a:bodyPr rot="0" spcFirstLastPara="1" vertOverflow="ellipsis" vert="horz" wrap="square" anchor="ctr" anchorCtr="1"/>
              <a:lstStyle/>
              <a:p>
                <a:pPr>
                  <a:defRPr sz="7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Hárok1!$B$25:$B$34</c:f>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f>Hárok1!$D$25:$D$34</c:f>
              <c:numCache>
                <c:formatCode>#,##0</c:formatCode>
                <c:ptCount val="10"/>
                <c:pt idx="0">
                  <c:v>883</c:v>
                </c:pt>
                <c:pt idx="1">
                  <c:v>912</c:v>
                </c:pt>
                <c:pt idx="2">
                  <c:v>954</c:v>
                </c:pt>
                <c:pt idx="3">
                  <c:v>1013</c:v>
                </c:pt>
                <c:pt idx="4">
                  <c:v>1092</c:v>
                </c:pt>
                <c:pt idx="5">
                  <c:v>1133</c:v>
                </c:pt>
                <c:pt idx="6">
                  <c:v>1211</c:v>
                </c:pt>
                <c:pt idx="7">
                  <c:v>1304</c:v>
                </c:pt>
                <c:pt idx="8">
                  <c:v>1430</c:v>
                </c:pt>
                <c:pt idx="9">
                  <c:v>1524</c:v>
                </c:pt>
              </c:numCache>
            </c:numRef>
          </c:val>
          <c:smooth val="0"/>
          <c:extLst>
            <c:ext xmlns:c16="http://schemas.microsoft.com/office/drawing/2014/chart" uri="{C3380CC4-5D6E-409C-BE32-E72D297353CC}">
              <c16:uniqueId val="{00000001-FCD7-47A8-93AB-0E26765FBED8}"/>
            </c:ext>
          </c:extLst>
        </c:ser>
        <c:dLbls>
          <c:dLblPos val="t"/>
          <c:showLegendKey val="0"/>
          <c:showVal val="1"/>
          <c:showCatName val="0"/>
          <c:showSerName val="0"/>
          <c:showPercent val="0"/>
          <c:showBubbleSize val="0"/>
        </c:dLbls>
        <c:marker val="1"/>
        <c:smooth val="0"/>
        <c:axId val="1252035695"/>
        <c:axId val="1252032367"/>
        <c:extLst>
          <c:ext xmlns:c15="http://schemas.microsoft.com/office/drawing/2012/chart" uri="{02D57815-91ED-43cb-92C2-25804820EDAC}">
            <c15:filteredLineSeries>
              <c15:ser>
                <c:idx val="2"/>
                <c:order val="2"/>
                <c:tx>
                  <c:strRef>
                    <c:extLst>
                      <c:ext uri="{02D57815-91ED-43cb-92C2-25804820EDAC}">
                        <c15:formulaRef>
                          <c15:sqref>Hárok1!$E$24</c15:sqref>
                        </c15:formulaRef>
                      </c:ext>
                    </c:extLst>
                    <c:strCache>
                      <c:ptCount val="1"/>
                      <c:pt idx="0">
                        <c:v>   % podiel sólo priemerný SD/priemerná mzda (pravá os)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Hárok1!$B$25:$B$34</c15:sqref>
                        </c15:formulaRef>
                      </c:ext>
                    </c:extLst>
                    <c:numCache>
                      <c:formatCode>General</c:formatCode>
                      <c:ptCount val="10"/>
                      <c:pt idx="0">
                        <c:v>2015</c:v>
                      </c:pt>
                      <c:pt idx="1">
                        <c:v>2016</c:v>
                      </c:pt>
                      <c:pt idx="2">
                        <c:v>2017</c:v>
                      </c:pt>
                      <c:pt idx="3">
                        <c:v>2018</c:v>
                      </c:pt>
                      <c:pt idx="4">
                        <c:v>2019</c:v>
                      </c:pt>
                      <c:pt idx="5">
                        <c:v>2020</c:v>
                      </c:pt>
                      <c:pt idx="6">
                        <c:v>2021</c:v>
                      </c:pt>
                      <c:pt idx="7">
                        <c:v>2022</c:v>
                      </c:pt>
                      <c:pt idx="8">
                        <c:v>2023</c:v>
                      </c:pt>
                      <c:pt idx="9">
                        <c:v>2024</c:v>
                      </c:pt>
                    </c:numCache>
                  </c:numRef>
                </c:cat>
                <c:val>
                  <c:numRef>
                    <c:extLst>
                      <c:ext uri="{02D57815-91ED-43cb-92C2-25804820EDAC}">
                        <c15:formulaRef>
                          <c15:sqref>Hárok1!$E$25:$E$34</c15:sqref>
                        </c15:formulaRef>
                      </c:ext>
                    </c:extLst>
                    <c:numCache>
                      <c:formatCode>#\ ##0.0</c:formatCode>
                      <c:ptCount val="10"/>
                      <c:pt idx="0">
                        <c:v>46.55</c:v>
                      </c:pt>
                      <c:pt idx="1">
                        <c:v>45.77</c:v>
                      </c:pt>
                      <c:pt idx="2">
                        <c:v>44.9</c:v>
                      </c:pt>
                      <c:pt idx="3">
                        <c:v>43.86</c:v>
                      </c:pt>
                      <c:pt idx="4">
                        <c:v>42.16</c:v>
                      </c:pt>
                      <c:pt idx="5">
                        <c:v>43.015887025595759</c:v>
                      </c:pt>
                      <c:pt idx="6">
                        <c:v>41.75722543352601</c:v>
                      </c:pt>
                      <c:pt idx="7">
                        <c:v>39.782208588957054</c:v>
                      </c:pt>
                      <c:pt idx="8">
                        <c:v>45.372727272727275</c:v>
                      </c:pt>
                      <c:pt idx="9">
                        <c:v>44.822834645669289</c:v>
                      </c:pt>
                    </c:numCache>
                  </c:numRef>
                </c:val>
                <c:smooth val="0"/>
                <c:extLst>
                  <c:ext xmlns:c16="http://schemas.microsoft.com/office/drawing/2014/chart" uri="{C3380CC4-5D6E-409C-BE32-E72D297353CC}">
                    <c16:uniqueId val="{00000002-FCD7-47A8-93AB-0E26765FBED8}"/>
                  </c:ext>
                </c:extLst>
              </c15:ser>
            </c15:filteredLineSeries>
          </c:ext>
        </c:extLst>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7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Hárok1!$B$3</c:f>
              <c:strCache>
                <c:ptCount val="1"/>
                <c:pt idx="0">
                  <c:v>EÚ 27</c:v>
                </c:pt>
              </c:strCache>
            </c:strRef>
          </c:tx>
          <c:spPr>
            <a:ln w="25400" cap="rnd">
              <a:solidFill>
                <a:schemeClr val="accent1"/>
              </a:solidFill>
              <a:round/>
            </a:ln>
            <a:effectLst/>
          </c:spPr>
          <c:marker>
            <c:symbol val="circle"/>
            <c:size val="5"/>
            <c:spPr>
              <a:solidFill>
                <a:schemeClr val="accent1"/>
              </a:solidFill>
              <a:ln w="12700">
                <a:solidFill>
                  <a:schemeClr val="bg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Hárok1!$C$2:$K$2</c:f>
              <c:strCache>
                <c:ptCount val="9"/>
                <c:pt idx="0">
                  <c:v>2015</c:v>
                </c:pt>
                <c:pt idx="1">
                  <c:v>2016</c:v>
                </c:pt>
                <c:pt idx="2">
                  <c:v>2017</c:v>
                </c:pt>
                <c:pt idx="3">
                  <c:v>2018</c:v>
                </c:pt>
                <c:pt idx="4">
                  <c:v>2019</c:v>
                </c:pt>
                <c:pt idx="5">
                  <c:v>2020</c:v>
                </c:pt>
                <c:pt idx="6">
                  <c:v>2021</c:v>
                </c:pt>
                <c:pt idx="7">
                  <c:v>2022</c:v>
                </c:pt>
                <c:pt idx="8">
                  <c:v>2023</c:v>
                </c:pt>
              </c:strCache>
            </c:strRef>
          </c:cat>
          <c:val>
            <c:numRef>
              <c:f>Hárok1!$C$3:$K$3</c:f>
              <c:numCache>
                <c:formatCode>0.0</c:formatCode>
                <c:ptCount val="9"/>
                <c:pt idx="0">
                  <c:v>18</c:v>
                </c:pt>
                <c:pt idx="1">
                  <c:v>18.5</c:v>
                </c:pt>
                <c:pt idx="2">
                  <c:v>18.5</c:v>
                </c:pt>
                <c:pt idx="3">
                  <c:v>19.100000000000001</c:v>
                </c:pt>
                <c:pt idx="4">
                  <c:v>19.399999999999999</c:v>
                </c:pt>
                <c:pt idx="5">
                  <c:v>20</c:v>
                </c:pt>
                <c:pt idx="6">
                  <c:v>19.5</c:v>
                </c:pt>
                <c:pt idx="7">
                  <c:v>20.100000000000001</c:v>
                </c:pt>
                <c:pt idx="8">
                  <c:v>19.7</c:v>
                </c:pt>
              </c:numCache>
            </c:numRef>
          </c:val>
          <c:smooth val="0"/>
          <c:extLst>
            <c:ext xmlns:c16="http://schemas.microsoft.com/office/drawing/2014/chart" uri="{C3380CC4-5D6E-409C-BE32-E72D297353CC}">
              <c16:uniqueId val="{00000000-4782-4CD3-A42E-2E68279AE714}"/>
            </c:ext>
          </c:extLst>
        </c:ser>
        <c:ser>
          <c:idx val="1"/>
          <c:order val="1"/>
          <c:tx>
            <c:strRef>
              <c:f>Hárok1!$B$4</c:f>
              <c:strCache>
                <c:ptCount val="1"/>
                <c:pt idx="0">
                  <c:v>SK</c:v>
                </c:pt>
              </c:strCache>
            </c:strRef>
          </c:tx>
          <c:spPr>
            <a:ln w="25400" cap="rnd">
              <a:solidFill>
                <a:schemeClr val="accent2"/>
              </a:solidFill>
              <a:round/>
            </a:ln>
            <a:effectLst/>
          </c:spPr>
          <c:marker>
            <c:symbol val="circle"/>
            <c:size val="5"/>
            <c:spPr>
              <a:solidFill>
                <a:schemeClr val="accent2"/>
              </a:solidFill>
              <a:ln w="12700">
                <a:solidFill>
                  <a:schemeClr val="bg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Hárok1!$C$2:$K$2</c:f>
              <c:strCache>
                <c:ptCount val="9"/>
                <c:pt idx="0">
                  <c:v>2015</c:v>
                </c:pt>
                <c:pt idx="1">
                  <c:v>2016</c:v>
                </c:pt>
                <c:pt idx="2">
                  <c:v>2017</c:v>
                </c:pt>
                <c:pt idx="3">
                  <c:v>2018</c:v>
                </c:pt>
                <c:pt idx="4">
                  <c:v>2019</c:v>
                </c:pt>
                <c:pt idx="5">
                  <c:v>2020</c:v>
                </c:pt>
                <c:pt idx="6">
                  <c:v>2021</c:v>
                </c:pt>
                <c:pt idx="7">
                  <c:v>2022</c:v>
                </c:pt>
                <c:pt idx="8">
                  <c:v>2023</c:v>
                </c:pt>
              </c:strCache>
            </c:strRef>
          </c:cat>
          <c:val>
            <c:numRef>
              <c:f>Hárok1!$C$4:$K$4</c:f>
              <c:numCache>
                <c:formatCode>0.0</c:formatCode>
                <c:ptCount val="9"/>
                <c:pt idx="0">
                  <c:v>11.1</c:v>
                </c:pt>
                <c:pt idx="1">
                  <c:v>11.5</c:v>
                </c:pt>
                <c:pt idx="2">
                  <c:v>11.8</c:v>
                </c:pt>
                <c:pt idx="3">
                  <c:v>10.3</c:v>
                </c:pt>
                <c:pt idx="4">
                  <c:v>12.3</c:v>
                </c:pt>
                <c:pt idx="5">
                  <c:v>12.3</c:v>
                </c:pt>
                <c:pt idx="6">
                  <c:v>13.9</c:v>
                </c:pt>
                <c:pt idx="7">
                  <c:v>11.9</c:v>
                </c:pt>
                <c:pt idx="8">
                  <c:v>14</c:v>
                </c:pt>
              </c:numCache>
            </c:numRef>
          </c:val>
          <c:smooth val="0"/>
          <c:extLst>
            <c:ext xmlns:c16="http://schemas.microsoft.com/office/drawing/2014/chart" uri="{C3380CC4-5D6E-409C-BE32-E72D297353CC}">
              <c16:uniqueId val="{00000001-4782-4CD3-A42E-2E68279AE714}"/>
            </c:ext>
          </c:extLst>
        </c:ser>
        <c:dLbls>
          <c:dLblPos val="t"/>
          <c:showLegendKey val="0"/>
          <c:showVal val="1"/>
          <c:showCatName val="0"/>
          <c:showSerName val="0"/>
          <c:showPercent val="0"/>
          <c:showBubbleSize val="0"/>
        </c:dLbls>
        <c:marker val="1"/>
        <c:smooth val="0"/>
        <c:axId val="1252035695"/>
        <c:axId val="1252032367"/>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min val="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majorUnit val="5"/>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0"/>
          <c:tx>
            <c:strRef>
              <c:f>Hárok2!$C$4</c:f>
              <c:strCache>
                <c:ptCount val="1"/>
                <c:pt idx="0">
                  <c:v>Novopriznané PSD </c:v>
                </c:pt>
              </c:strCache>
            </c:strRef>
          </c:tx>
          <c:spPr>
            <a:solidFill>
              <a:srgbClr val="9CB9EC"/>
            </a:solidFill>
            <a:ln>
              <a:noFill/>
            </a:ln>
            <a:effectLst/>
          </c:spPr>
          <c:invertIfNegative val="0"/>
          <c:cat>
            <c:numRef>
              <c:f>Hárok2!$B$5:$B$27</c:f>
              <c:numCache>
                <c:formatCode>mm\/yyyy</c:formatCode>
                <c:ptCount val="23"/>
                <c:pt idx="0">
                  <c:v>44958</c:v>
                </c:pt>
                <c:pt idx="1">
                  <c:v>44986</c:v>
                </c:pt>
                <c:pt idx="2">
                  <c:v>45017</c:v>
                </c:pt>
                <c:pt idx="3">
                  <c:v>45047</c:v>
                </c:pt>
                <c:pt idx="4">
                  <c:v>45078</c:v>
                </c:pt>
                <c:pt idx="5">
                  <c:v>45108</c:v>
                </c:pt>
                <c:pt idx="6">
                  <c:v>45139</c:v>
                </c:pt>
                <c:pt idx="7">
                  <c:v>45170</c:v>
                </c:pt>
                <c:pt idx="8">
                  <c:v>45200</c:v>
                </c:pt>
                <c:pt idx="9">
                  <c:v>45231</c:v>
                </c:pt>
                <c:pt idx="10">
                  <c:v>45261</c:v>
                </c:pt>
                <c:pt idx="11">
                  <c:v>45292</c:v>
                </c:pt>
                <c:pt idx="12">
                  <c:v>45323</c:v>
                </c:pt>
                <c:pt idx="13">
                  <c:v>45352</c:v>
                </c:pt>
                <c:pt idx="14">
                  <c:v>45383</c:v>
                </c:pt>
                <c:pt idx="15">
                  <c:v>45413</c:v>
                </c:pt>
                <c:pt idx="16">
                  <c:v>45444</c:v>
                </c:pt>
                <c:pt idx="17">
                  <c:v>45474</c:v>
                </c:pt>
                <c:pt idx="18">
                  <c:v>45505</c:v>
                </c:pt>
                <c:pt idx="19">
                  <c:v>45536</c:v>
                </c:pt>
                <c:pt idx="20">
                  <c:v>45566</c:v>
                </c:pt>
                <c:pt idx="21">
                  <c:v>45597</c:v>
                </c:pt>
                <c:pt idx="22">
                  <c:v>45627</c:v>
                </c:pt>
              </c:numCache>
            </c:numRef>
          </c:cat>
          <c:val>
            <c:numRef>
              <c:f>Hárok2!$C$5:$C$27</c:f>
              <c:numCache>
                <c:formatCode>#,##0</c:formatCode>
                <c:ptCount val="23"/>
                <c:pt idx="0">
                  <c:v>2052</c:v>
                </c:pt>
                <c:pt idx="1">
                  <c:v>1497</c:v>
                </c:pt>
                <c:pt idx="2">
                  <c:v>930</c:v>
                </c:pt>
                <c:pt idx="3">
                  <c:v>1392</c:v>
                </c:pt>
                <c:pt idx="4">
                  <c:v>1119</c:v>
                </c:pt>
                <c:pt idx="5">
                  <c:v>386</c:v>
                </c:pt>
                <c:pt idx="6">
                  <c:v>1803</c:v>
                </c:pt>
                <c:pt idx="7">
                  <c:v>2029</c:v>
                </c:pt>
                <c:pt idx="8">
                  <c:v>1872</c:v>
                </c:pt>
                <c:pt idx="9">
                  <c:v>1692</c:v>
                </c:pt>
                <c:pt idx="10">
                  <c:v>2030</c:v>
                </c:pt>
                <c:pt idx="11">
                  <c:v>4972</c:v>
                </c:pt>
                <c:pt idx="12">
                  <c:v>7276</c:v>
                </c:pt>
                <c:pt idx="13">
                  <c:v>6527</c:v>
                </c:pt>
                <c:pt idx="14">
                  <c:v>9002</c:v>
                </c:pt>
                <c:pt idx="15">
                  <c:v>3624</c:v>
                </c:pt>
                <c:pt idx="16">
                  <c:v>2549</c:v>
                </c:pt>
                <c:pt idx="17">
                  <c:v>3321</c:v>
                </c:pt>
                <c:pt idx="18">
                  <c:v>1049</c:v>
                </c:pt>
                <c:pt idx="19">
                  <c:v>887</c:v>
                </c:pt>
                <c:pt idx="20">
                  <c:v>926</c:v>
                </c:pt>
                <c:pt idx="21">
                  <c:v>965</c:v>
                </c:pt>
                <c:pt idx="22">
                  <c:v>768</c:v>
                </c:pt>
              </c:numCache>
            </c:numRef>
          </c:val>
          <c:extLst>
            <c:ext xmlns:c16="http://schemas.microsoft.com/office/drawing/2014/chart" uri="{C3380CC4-5D6E-409C-BE32-E72D297353CC}">
              <c16:uniqueId val="{00000000-E2E7-49D9-9B97-9489874903CD}"/>
            </c:ext>
          </c:extLst>
        </c:ser>
        <c:ser>
          <c:idx val="0"/>
          <c:order val="1"/>
          <c:tx>
            <c:strRef>
              <c:f>Hárok2!$D$4</c:f>
              <c:strCache>
                <c:ptCount val="1"/>
                <c:pt idx="0">
                  <c:v>Novopriznané PSD40+</c:v>
                </c:pt>
              </c:strCache>
            </c:strRef>
          </c:tx>
          <c:spPr>
            <a:solidFill>
              <a:schemeClr val="accent1"/>
            </a:solidFill>
            <a:ln>
              <a:noFill/>
            </a:ln>
            <a:effectLst/>
          </c:spPr>
          <c:invertIfNegative val="0"/>
          <c:cat>
            <c:numRef>
              <c:f>Hárok2!$B$5:$B$27</c:f>
              <c:numCache>
                <c:formatCode>mm\/yyyy</c:formatCode>
                <c:ptCount val="23"/>
                <c:pt idx="0">
                  <c:v>44958</c:v>
                </c:pt>
                <c:pt idx="1">
                  <c:v>44986</c:v>
                </c:pt>
                <c:pt idx="2">
                  <c:v>45017</c:v>
                </c:pt>
                <c:pt idx="3">
                  <c:v>45047</c:v>
                </c:pt>
                <c:pt idx="4">
                  <c:v>45078</c:v>
                </c:pt>
                <c:pt idx="5">
                  <c:v>45108</c:v>
                </c:pt>
                <c:pt idx="6">
                  <c:v>45139</c:v>
                </c:pt>
                <c:pt idx="7">
                  <c:v>45170</c:v>
                </c:pt>
                <c:pt idx="8">
                  <c:v>45200</c:v>
                </c:pt>
                <c:pt idx="9">
                  <c:v>45231</c:v>
                </c:pt>
                <c:pt idx="10">
                  <c:v>45261</c:v>
                </c:pt>
                <c:pt idx="11">
                  <c:v>45292</c:v>
                </c:pt>
                <c:pt idx="12">
                  <c:v>45323</c:v>
                </c:pt>
                <c:pt idx="13">
                  <c:v>45352</c:v>
                </c:pt>
                <c:pt idx="14">
                  <c:v>45383</c:v>
                </c:pt>
                <c:pt idx="15">
                  <c:v>45413</c:v>
                </c:pt>
                <c:pt idx="16">
                  <c:v>45444</c:v>
                </c:pt>
                <c:pt idx="17">
                  <c:v>45474</c:v>
                </c:pt>
                <c:pt idx="18">
                  <c:v>45505</c:v>
                </c:pt>
                <c:pt idx="19">
                  <c:v>45536</c:v>
                </c:pt>
                <c:pt idx="20">
                  <c:v>45566</c:v>
                </c:pt>
                <c:pt idx="21">
                  <c:v>45597</c:v>
                </c:pt>
                <c:pt idx="22">
                  <c:v>45627</c:v>
                </c:pt>
              </c:numCache>
            </c:numRef>
          </c:cat>
          <c:val>
            <c:numRef>
              <c:f>Hárok2!$D$5:$D$27</c:f>
              <c:numCache>
                <c:formatCode>#,##0</c:formatCode>
                <c:ptCount val="23"/>
                <c:pt idx="0">
                  <c:v>887</c:v>
                </c:pt>
                <c:pt idx="1">
                  <c:v>801</c:v>
                </c:pt>
                <c:pt idx="2">
                  <c:v>568</c:v>
                </c:pt>
                <c:pt idx="3">
                  <c:v>943</c:v>
                </c:pt>
                <c:pt idx="4">
                  <c:v>741</c:v>
                </c:pt>
                <c:pt idx="5">
                  <c:v>249</c:v>
                </c:pt>
                <c:pt idx="6">
                  <c:v>1330</c:v>
                </c:pt>
                <c:pt idx="7">
                  <c:v>1514</c:v>
                </c:pt>
                <c:pt idx="8">
                  <c:v>1435</c:v>
                </c:pt>
                <c:pt idx="9">
                  <c:v>1309</c:v>
                </c:pt>
                <c:pt idx="10">
                  <c:v>1589</c:v>
                </c:pt>
                <c:pt idx="11">
                  <c:v>4146</c:v>
                </c:pt>
                <c:pt idx="12">
                  <c:v>6082</c:v>
                </c:pt>
                <c:pt idx="13">
                  <c:v>5449</c:v>
                </c:pt>
                <c:pt idx="14">
                  <c:v>7472</c:v>
                </c:pt>
                <c:pt idx="15">
                  <c:v>2782</c:v>
                </c:pt>
                <c:pt idx="16">
                  <c:v>2002</c:v>
                </c:pt>
                <c:pt idx="17">
                  <c:v>2801</c:v>
                </c:pt>
                <c:pt idx="18">
                  <c:v>443</c:v>
                </c:pt>
                <c:pt idx="19">
                  <c:v>232</c:v>
                </c:pt>
                <c:pt idx="20">
                  <c:v>233</c:v>
                </c:pt>
                <c:pt idx="21">
                  <c:v>146</c:v>
                </c:pt>
                <c:pt idx="22">
                  <c:v>128</c:v>
                </c:pt>
              </c:numCache>
            </c:numRef>
          </c:val>
          <c:extLst>
            <c:ext xmlns:c16="http://schemas.microsoft.com/office/drawing/2014/chart" uri="{C3380CC4-5D6E-409C-BE32-E72D297353CC}">
              <c16:uniqueId val="{00000001-E2E7-49D9-9B97-9489874903CD}"/>
            </c:ext>
          </c:extLst>
        </c:ser>
        <c:dLbls>
          <c:showLegendKey val="0"/>
          <c:showVal val="0"/>
          <c:showCatName val="0"/>
          <c:showSerName val="0"/>
          <c:showPercent val="0"/>
          <c:showBubbleSize val="0"/>
        </c:dLbls>
        <c:gapWidth val="100"/>
        <c:axId val="1821113199"/>
        <c:axId val="1821115279"/>
        <c:extLst/>
      </c:barChart>
      <c:dateAx>
        <c:axId val="1821113199"/>
        <c:scaling>
          <c:orientation val="minMax"/>
        </c:scaling>
        <c:delete val="0"/>
        <c:axPos val="b"/>
        <c:numFmt formatCode="mm\/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21115279"/>
        <c:crosses val="autoZero"/>
        <c:auto val="1"/>
        <c:lblOffset val="100"/>
        <c:baseTimeUnit val="months"/>
      </c:dateAx>
      <c:valAx>
        <c:axId val="182111527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21113199"/>
        <c:crosses val="autoZero"/>
        <c:crossBetween val="between"/>
        <c:majorUnit val="2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zero"/>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'vyplácané SD, PSD'!$C$4</c:f>
              <c:strCache>
                <c:ptCount val="1"/>
                <c:pt idx="0">
                  <c:v>SD</c:v>
                </c:pt>
              </c:strCache>
            </c:strRef>
          </c:tx>
          <c:spPr>
            <a:ln w="25400" cap="rnd">
              <a:solidFill>
                <a:schemeClr val="accent1"/>
              </a:solidFill>
              <a:round/>
            </a:ln>
            <a:effectLst/>
          </c:spPr>
          <c:marker>
            <c:symbol val="circle"/>
            <c:size val="5"/>
            <c:spPr>
              <a:solidFill>
                <a:schemeClr val="accent1"/>
              </a:solidFill>
              <a:ln w="12700">
                <a:solidFill>
                  <a:schemeClr val="bg1"/>
                </a:solidFill>
              </a:ln>
              <a:effectLst/>
            </c:spPr>
          </c:marker>
          <c:dLbls>
            <c:dLbl>
              <c:idx val="1"/>
              <c:layout>
                <c:manualLayout>
                  <c:x val="-0.12037427408188153"/>
                  <c:y val="-8.881794321164400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486-4A71-A00A-D5368C4807B3}"/>
                </c:ext>
              </c:extLst>
            </c:dLbl>
            <c:dLbl>
              <c:idx val="2"/>
              <c:layout>
                <c:manualLayout>
                  <c:x val="-0.11334733158355211"/>
                  <c:y val="-8.94561096529600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86-4A71-A00A-D5368C4807B3}"/>
                </c:ext>
              </c:extLst>
            </c:dLbl>
            <c:dLbl>
              <c:idx val="3"/>
              <c:layout>
                <c:manualLayout>
                  <c:x val="-0.14514952363238059"/>
                  <c:y val="-7.699832975423526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486-4A71-A00A-D5368C4807B3}"/>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'vyplácané SD, PSD'!$B$5:$B$9</c:f>
              <c:numCache>
                <c:formatCode>General</c:formatCode>
                <c:ptCount val="5"/>
                <c:pt idx="0">
                  <c:v>2020</c:v>
                </c:pt>
                <c:pt idx="1">
                  <c:v>2021</c:v>
                </c:pt>
                <c:pt idx="2">
                  <c:v>2022</c:v>
                </c:pt>
                <c:pt idx="3">
                  <c:v>2023</c:v>
                </c:pt>
                <c:pt idx="4">
                  <c:v>2024</c:v>
                </c:pt>
              </c:numCache>
            </c:numRef>
          </c:cat>
          <c:val>
            <c:numRef>
              <c:f>'vyplácané SD, PSD'!$C$5:$C$9</c:f>
              <c:numCache>
                <c:formatCode>#,##0</c:formatCode>
                <c:ptCount val="5"/>
                <c:pt idx="0">
                  <c:v>1093195</c:v>
                </c:pt>
                <c:pt idx="1">
                  <c:v>1096225</c:v>
                </c:pt>
                <c:pt idx="2">
                  <c:v>1104304</c:v>
                </c:pt>
                <c:pt idx="3">
                  <c:v>1118242</c:v>
                </c:pt>
                <c:pt idx="4">
                  <c:v>1134690</c:v>
                </c:pt>
              </c:numCache>
            </c:numRef>
          </c:val>
          <c:smooth val="0"/>
          <c:extLst>
            <c:ext xmlns:c16="http://schemas.microsoft.com/office/drawing/2014/chart" uri="{C3380CC4-5D6E-409C-BE32-E72D297353CC}">
              <c16:uniqueId val="{00000003-F486-4A71-A00A-D5368C4807B3}"/>
            </c:ext>
          </c:extLst>
        </c:ser>
        <c:dLbls>
          <c:dLblPos val="t"/>
          <c:showLegendKey val="0"/>
          <c:showVal val="1"/>
          <c:showCatName val="0"/>
          <c:showSerName val="0"/>
          <c:showPercent val="0"/>
          <c:showBubbleSize val="0"/>
        </c:dLbls>
        <c:marker val="1"/>
        <c:smooth val="0"/>
        <c:axId val="1252035695"/>
        <c:axId val="1252032367"/>
      </c:lineChart>
      <c:lineChart>
        <c:grouping val="standard"/>
        <c:varyColors val="0"/>
        <c:ser>
          <c:idx val="1"/>
          <c:order val="1"/>
          <c:tx>
            <c:strRef>
              <c:f>'vyplácané SD, PSD'!$D$4</c:f>
              <c:strCache>
                <c:ptCount val="1"/>
                <c:pt idx="0">
                  <c:v>PSD (pravá os)</c:v>
                </c:pt>
              </c:strCache>
            </c:strRef>
          </c:tx>
          <c:spPr>
            <a:ln w="25400" cap="rnd">
              <a:solidFill>
                <a:schemeClr val="accent2"/>
              </a:solidFill>
              <a:round/>
            </a:ln>
            <a:effectLst/>
          </c:spPr>
          <c:marker>
            <c:symbol val="circle"/>
            <c:size val="5"/>
            <c:spPr>
              <a:solidFill>
                <a:schemeClr val="accent2"/>
              </a:solidFill>
              <a:ln w="12700">
                <a:solidFill>
                  <a:schemeClr val="bg1"/>
                </a:solidFill>
              </a:ln>
              <a:effectLst/>
            </c:spPr>
          </c:marker>
          <c:dLbls>
            <c:dLbl>
              <c:idx val="4"/>
              <c:layout>
                <c:manualLayout>
                  <c:x val="-5.1531403062806125E-2"/>
                  <c:y val="0.1076377952755905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486-4A71-A00A-D5368C4807B3}"/>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'vyplácané SD, PSD'!$B$5:$B$9</c:f>
              <c:numCache>
                <c:formatCode>General</c:formatCode>
                <c:ptCount val="5"/>
                <c:pt idx="0">
                  <c:v>2020</c:v>
                </c:pt>
                <c:pt idx="1">
                  <c:v>2021</c:v>
                </c:pt>
                <c:pt idx="2">
                  <c:v>2022</c:v>
                </c:pt>
                <c:pt idx="3">
                  <c:v>2023</c:v>
                </c:pt>
                <c:pt idx="4">
                  <c:v>2024</c:v>
                </c:pt>
              </c:numCache>
            </c:numRef>
          </c:cat>
          <c:val>
            <c:numRef>
              <c:f>'vyplácané SD, PSD'!$D$5:$D$9</c:f>
              <c:numCache>
                <c:formatCode>#,##0</c:formatCode>
                <c:ptCount val="5"/>
                <c:pt idx="0">
                  <c:v>12203</c:v>
                </c:pt>
                <c:pt idx="1">
                  <c:v>11992</c:v>
                </c:pt>
                <c:pt idx="2">
                  <c:v>12311</c:v>
                </c:pt>
                <c:pt idx="3">
                  <c:v>15427</c:v>
                </c:pt>
                <c:pt idx="4">
                  <c:v>39055</c:v>
                </c:pt>
              </c:numCache>
            </c:numRef>
          </c:val>
          <c:smooth val="0"/>
          <c:extLst>
            <c:ext xmlns:c16="http://schemas.microsoft.com/office/drawing/2014/chart" uri="{C3380CC4-5D6E-409C-BE32-E72D297353CC}">
              <c16:uniqueId val="{00000005-F486-4A71-A00A-D5368C4807B3}"/>
            </c:ext>
          </c:extLst>
        </c:ser>
        <c:dLbls>
          <c:showLegendKey val="0"/>
          <c:showVal val="0"/>
          <c:showCatName val="0"/>
          <c:showSerName val="0"/>
          <c:showPercent val="0"/>
          <c:showBubbleSize val="0"/>
        </c:dLbls>
        <c:marker val="1"/>
        <c:smooth val="0"/>
        <c:axId val="812365280"/>
        <c:axId val="812360704"/>
      </c:lineChart>
      <c:catAx>
        <c:axId val="125203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2367"/>
        <c:crosses val="autoZero"/>
        <c:auto val="1"/>
        <c:lblAlgn val="ctr"/>
        <c:lblOffset val="100"/>
        <c:noMultiLvlLbl val="0"/>
      </c:catAx>
      <c:valAx>
        <c:axId val="125203236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252035695"/>
        <c:crosses val="autoZero"/>
        <c:crossBetween val="between"/>
      </c:valAx>
      <c:valAx>
        <c:axId val="81236070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812365280"/>
        <c:crosses val="max"/>
        <c:crossBetween val="between"/>
      </c:valAx>
      <c:catAx>
        <c:axId val="812365280"/>
        <c:scaling>
          <c:orientation val="minMax"/>
        </c:scaling>
        <c:delete val="1"/>
        <c:axPos val="b"/>
        <c:numFmt formatCode="General" sourceLinked="1"/>
        <c:majorTickMark val="out"/>
        <c:minorTickMark val="none"/>
        <c:tickLblPos val="nextTo"/>
        <c:crossAx val="8123607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0"/>
          <c:tx>
            <c:strRef>
              <c:f>'Graf 4'!$C$2</c:f>
              <c:strCache>
                <c:ptCount val="1"/>
                <c:pt idx="0">
                  <c:v>RVS 2024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4'!$B$3:$B$8</c:f>
              <c:strCache>
                <c:ptCount val="6"/>
                <c:pt idx="0">
                  <c:v>DP FO</c:v>
                </c:pt>
                <c:pt idx="1">
                  <c:v>DP PO</c:v>
                </c:pt>
                <c:pt idx="2">
                  <c:v>DPH</c:v>
                </c:pt>
                <c:pt idx="3">
                  <c:v>Spotrebné dane</c:v>
                </c:pt>
                <c:pt idx="4">
                  <c:v>Sociálna poisťovňa</c:v>
                </c:pt>
                <c:pt idx="5">
                  <c:v>Zdravotné poisťovne</c:v>
                </c:pt>
              </c:strCache>
            </c:strRef>
          </c:cat>
          <c:val>
            <c:numRef>
              <c:f>'Graf 4'!$C$3:$C$8</c:f>
              <c:numCache>
                <c:formatCode>_-* #\ ##0.0_-;\-* #\ ##0.0_-;_-* "-"??_-;_-@_-</c:formatCode>
                <c:ptCount val="6"/>
                <c:pt idx="0">
                  <c:v>4802.6000000000004</c:v>
                </c:pt>
                <c:pt idx="1">
                  <c:v>4517.7</c:v>
                </c:pt>
                <c:pt idx="2">
                  <c:v>10081.6</c:v>
                </c:pt>
                <c:pt idx="3">
                  <c:v>2795.5</c:v>
                </c:pt>
                <c:pt idx="4">
                  <c:v>11300.5</c:v>
                </c:pt>
                <c:pt idx="5">
                  <c:v>5978.6</c:v>
                </c:pt>
              </c:numCache>
            </c:numRef>
          </c:val>
          <c:extLst>
            <c:ext xmlns:c16="http://schemas.microsoft.com/office/drawing/2014/chart" uri="{C3380CC4-5D6E-409C-BE32-E72D297353CC}">
              <c16:uniqueId val="{00000000-69E7-4DA7-860F-D0A7A6A41AA2}"/>
            </c:ext>
          </c:extLst>
        </c:ser>
        <c:ser>
          <c:idx val="0"/>
          <c:order val="1"/>
          <c:tx>
            <c:strRef>
              <c:f>'Graf 4'!$D$2</c:f>
              <c:strCache>
                <c:ptCount val="1"/>
                <c:pt idx="0">
                  <c:v>Skutočnosť</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4'!$B$3:$B$8</c:f>
              <c:strCache>
                <c:ptCount val="6"/>
                <c:pt idx="0">
                  <c:v>DP FO</c:v>
                </c:pt>
                <c:pt idx="1">
                  <c:v>DP PO</c:v>
                </c:pt>
                <c:pt idx="2">
                  <c:v>DPH</c:v>
                </c:pt>
                <c:pt idx="3">
                  <c:v>Spotrebné dane</c:v>
                </c:pt>
                <c:pt idx="4">
                  <c:v>Sociálna poisťovňa</c:v>
                </c:pt>
                <c:pt idx="5">
                  <c:v>Zdravotné poisťovne</c:v>
                </c:pt>
              </c:strCache>
            </c:strRef>
          </c:cat>
          <c:val>
            <c:numRef>
              <c:f>'Graf 4'!$D$3:$D$8</c:f>
              <c:numCache>
                <c:formatCode>_-* #\ ##0.0_-;\-* #\ ##0.0_-;_-* "-"??_-;_-@_-</c:formatCode>
                <c:ptCount val="6"/>
                <c:pt idx="0">
                  <c:v>4834.2</c:v>
                </c:pt>
                <c:pt idx="1">
                  <c:v>4537.8</c:v>
                </c:pt>
                <c:pt idx="2">
                  <c:v>9904.4</c:v>
                </c:pt>
                <c:pt idx="3">
                  <c:v>2700.3</c:v>
                </c:pt>
                <c:pt idx="4">
                  <c:v>11327</c:v>
                </c:pt>
                <c:pt idx="5">
                  <c:v>5958</c:v>
                </c:pt>
              </c:numCache>
            </c:numRef>
          </c:val>
          <c:extLst>
            <c:ext xmlns:c16="http://schemas.microsoft.com/office/drawing/2014/chart" uri="{C3380CC4-5D6E-409C-BE32-E72D297353CC}">
              <c16:uniqueId val="{00000001-69E7-4DA7-860F-D0A7A6A41AA2}"/>
            </c:ext>
          </c:extLst>
        </c:ser>
        <c:dLbls>
          <c:showLegendKey val="0"/>
          <c:showVal val="0"/>
          <c:showCatName val="0"/>
          <c:showSerName val="0"/>
          <c:showPercent val="0"/>
          <c:showBubbleSize val="0"/>
        </c:dLbls>
        <c:gapWidth val="100"/>
        <c:axId val="311234272"/>
        <c:axId val="311235104"/>
      </c:barChart>
      <c:catAx>
        <c:axId val="311234272"/>
        <c:scaling>
          <c:orientation val="maxMin"/>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tx2"/>
                  </a:gs>
                </a:gsLst>
                <a:lin ang="10800000" scaled="0"/>
              </a:gra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11235104"/>
        <c:crosses val="autoZero"/>
        <c:auto val="1"/>
        <c:lblAlgn val="ctr"/>
        <c:lblOffset val="100"/>
        <c:noMultiLvlLbl val="0"/>
      </c:catAx>
      <c:valAx>
        <c:axId val="311235104"/>
        <c:scaling>
          <c:orientation val="minMax"/>
        </c:scaling>
        <c:delete val="0"/>
        <c:axPos val="t"/>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11234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90434019937035"/>
          <c:y val="7.1614583333333329E-2"/>
          <c:w val="0.83937662405665625"/>
          <c:h val="0.66510262877296589"/>
        </c:manualLayout>
      </c:layout>
      <c:barChart>
        <c:barDir val="col"/>
        <c:grouping val="clustered"/>
        <c:varyColors val="0"/>
        <c:ser>
          <c:idx val="0"/>
          <c:order val="0"/>
          <c:tx>
            <c:strRef>
              <c:f>'priemerná výška SD, PSD'!$C$3</c:f>
              <c:strCache>
                <c:ptCount val="1"/>
                <c:pt idx="0">
                  <c:v>SD</c:v>
                </c:pt>
              </c:strCache>
            </c:strRef>
          </c:tx>
          <c:spPr>
            <a:solidFill>
              <a:schemeClr val="accent1"/>
            </a:solidFill>
            <a:ln>
              <a:noFill/>
            </a:ln>
            <a:effectLst/>
          </c:spPr>
          <c:invertIfNegative val="0"/>
          <c:dLbls>
            <c:dLbl>
              <c:idx val="0"/>
              <c:layout>
                <c:manualLayout>
                  <c:x val="-4.1562759767248547E-3"/>
                  <c:y val="-4.557291666666666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C63-42BC-9BBB-B398740788D4}"/>
                </c:ext>
              </c:extLst>
            </c:dLbl>
            <c:dLbl>
              <c:idx val="1"/>
              <c:layout>
                <c:manualLayout>
                  <c:x val="-4.1562759767248547E-3"/>
                  <c:y val="-5.859375000000002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C63-42BC-9BBB-B398740788D4}"/>
                </c:ext>
              </c:extLst>
            </c:dLbl>
            <c:dLbl>
              <c:idx val="2"/>
              <c:layout>
                <c:manualLayout>
                  <c:x val="-1.2468827930174564E-2"/>
                  <c:y val="-5.20833333333333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C63-42BC-9BBB-B398740788D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'priemerná výška SD, PSD'!$B$4:$B$8</c:f>
              <c:numCache>
                <c:formatCode>General</c:formatCode>
                <c:ptCount val="5"/>
                <c:pt idx="0">
                  <c:v>2020</c:v>
                </c:pt>
                <c:pt idx="1">
                  <c:v>2021</c:v>
                </c:pt>
                <c:pt idx="2">
                  <c:v>2022</c:v>
                </c:pt>
                <c:pt idx="3">
                  <c:v>2023</c:v>
                </c:pt>
                <c:pt idx="4">
                  <c:v>2024</c:v>
                </c:pt>
              </c:numCache>
            </c:numRef>
          </c:cat>
          <c:val>
            <c:numRef>
              <c:f>'priemerná výška SD, PSD'!$C$4:$C$8</c:f>
              <c:numCache>
                <c:formatCode>#\ ##0.0</c:formatCode>
                <c:ptCount val="5"/>
                <c:pt idx="0">
                  <c:v>487.37</c:v>
                </c:pt>
                <c:pt idx="1">
                  <c:v>505.68</c:v>
                </c:pt>
                <c:pt idx="2">
                  <c:v>518.76</c:v>
                </c:pt>
                <c:pt idx="3">
                  <c:v>648.83000000000004</c:v>
                </c:pt>
                <c:pt idx="4">
                  <c:v>683.1</c:v>
                </c:pt>
              </c:numCache>
            </c:numRef>
          </c:val>
          <c:extLst>
            <c:ext xmlns:c16="http://schemas.microsoft.com/office/drawing/2014/chart" uri="{C3380CC4-5D6E-409C-BE32-E72D297353CC}">
              <c16:uniqueId val="{00000003-8C63-42BC-9BBB-B398740788D4}"/>
            </c:ext>
          </c:extLst>
        </c:ser>
        <c:ser>
          <c:idx val="1"/>
          <c:order val="1"/>
          <c:tx>
            <c:strRef>
              <c:f>'priemerná výška SD, PSD'!$D$3</c:f>
              <c:strCache>
                <c:ptCount val="1"/>
                <c:pt idx="0">
                  <c:v>PSD</c:v>
                </c:pt>
              </c:strCache>
            </c:strRef>
          </c:tx>
          <c:spPr>
            <a:solidFill>
              <a:schemeClr val="accent2"/>
            </a:solidFill>
            <a:ln>
              <a:noFill/>
            </a:ln>
            <a:effectLst/>
          </c:spPr>
          <c:invertIfNegative val="0"/>
          <c:dLbls>
            <c:dLbl>
              <c:idx val="3"/>
              <c:layout>
                <c:manualLayout>
                  <c:x val="-7.619751266645382E-17"/>
                  <c:y val="-2.604166666666667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C63-42BC-9BBB-B398740788D4}"/>
                </c:ext>
              </c:extLst>
            </c:dLbl>
            <c:dLbl>
              <c:idx val="4"/>
              <c:layout>
                <c:manualLayout>
                  <c:x val="0"/>
                  <c:y val="-1.302083333333333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C63-42BC-9BBB-B398740788D4}"/>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'priemerná výška SD, PSD'!$B$4:$B$8</c:f>
              <c:numCache>
                <c:formatCode>General</c:formatCode>
                <c:ptCount val="5"/>
                <c:pt idx="0">
                  <c:v>2020</c:v>
                </c:pt>
                <c:pt idx="1">
                  <c:v>2021</c:v>
                </c:pt>
                <c:pt idx="2">
                  <c:v>2022</c:v>
                </c:pt>
                <c:pt idx="3">
                  <c:v>2023</c:v>
                </c:pt>
                <c:pt idx="4">
                  <c:v>2024</c:v>
                </c:pt>
              </c:numCache>
            </c:numRef>
          </c:cat>
          <c:val>
            <c:numRef>
              <c:f>'priemerná výška SD, PSD'!$D$4:$D$8</c:f>
              <c:numCache>
                <c:formatCode>#\ ##0.0</c:formatCode>
                <c:ptCount val="5"/>
                <c:pt idx="0">
                  <c:v>474.48</c:v>
                </c:pt>
                <c:pt idx="1">
                  <c:v>500.4</c:v>
                </c:pt>
                <c:pt idx="2">
                  <c:v>512.51</c:v>
                </c:pt>
                <c:pt idx="3">
                  <c:v>702.44</c:v>
                </c:pt>
                <c:pt idx="4">
                  <c:v>733.15</c:v>
                </c:pt>
              </c:numCache>
            </c:numRef>
          </c:val>
          <c:extLst>
            <c:ext xmlns:c16="http://schemas.microsoft.com/office/drawing/2014/chart" uri="{C3380CC4-5D6E-409C-BE32-E72D297353CC}">
              <c16:uniqueId val="{00000006-8C63-42BC-9BBB-B398740788D4}"/>
            </c:ext>
          </c:extLst>
        </c:ser>
        <c:dLbls>
          <c:dLblPos val="outEnd"/>
          <c:showLegendKey val="0"/>
          <c:showVal val="1"/>
          <c:showCatName val="0"/>
          <c:showSerName val="0"/>
          <c:showPercent val="0"/>
          <c:showBubbleSize val="0"/>
        </c:dLbls>
        <c:gapWidth val="100"/>
        <c:axId val="1853831424"/>
        <c:axId val="1853832256"/>
      </c:barChart>
      <c:catAx>
        <c:axId val="185383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53832256"/>
        <c:crosses val="autoZero"/>
        <c:auto val="1"/>
        <c:lblAlgn val="ctr"/>
        <c:lblOffset val="100"/>
        <c:noMultiLvlLbl val="0"/>
      </c:catAx>
      <c:valAx>
        <c:axId val="1853832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53831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'2024 graf'!$I$3</c:f>
              <c:strCache>
                <c:ptCount val="1"/>
                <c:pt idx="0">
                  <c:v>Rozpočet</c:v>
                </c:pt>
              </c:strCache>
            </c:strRef>
          </c:tx>
          <c:spPr>
            <a:solidFill>
              <a:schemeClr val="accent1"/>
            </a:solidFill>
            <a:ln>
              <a:noFill/>
            </a:ln>
            <a:effectLst/>
          </c:spPr>
          <c:invertIfNegative val="0"/>
          <c:cat>
            <c:strRef>
              <c:f>'2024 graf'!$H$4:$H$10</c:f>
              <c:strCache>
                <c:ptCount val="7"/>
                <c:pt idx="0">
                  <c:v>Program Slovensko 2021 - 2027</c:v>
                </c:pt>
                <c:pt idx="1">
                  <c:v>VŠ vzdelávanie a veda, sociálna podpora študentov VŠ</c:v>
                </c:pt>
                <c:pt idx="2">
                  <c:v>NP rozvoja vedy a techniky</c:v>
                </c:pt>
                <c:pt idx="3">
                  <c:v>NP výchovy, vzdelávania a mládeže</c:v>
                </c:pt>
                <c:pt idx="4">
                  <c:v>Tvorba a implementácia politík</c:v>
                </c:pt>
                <c:pt idx="5">
                  <c:v>Rozvoj a podpora športu</c:v>
                </c:pt>
                <c:pt idx="6">
                  <c:v>OP Integrovaná infraštruktúra</c:v>
                </c:pt>
              </c:strCache>
            </c:strRef>
          </c:cat>
          <c:val>
            <c:numRef>
              <c:f>'2024 graf'!$I$4:$I$10</c:f>
              <c:numCache>
                <c:formatCode>#\ ##0.0</c:formatCode>
                <c:ptCount val="7"/>
                <c:pt idx="0">
                  <c:v>120.396412</c:v>
                </c:pt>
                <c:pt idx="1">
                  <c:v>769.741489</c:v>
                </c:pt>
                <c:pt idx="2">
                  <c:v>64.596530000000001</c:v>
                </c:pt>
                <c:pt idx="3">
                  <c:v>3018.721039</c:v>
                </c:pt>
                <c:pt idx="4">
                  <c:v>35.711638999999998</c:v>
                </c:pt>
                <c:pt idx="5">
                  <c:v>99.151127000000002</c:v>
                </c:pt>
                <c:pt idx="6">
                  <c:v>0</c:v>
                </c:pt>
              </c:numCache>
            </c:numRef>
          </c:val>
          <c:extLst>
            <c:ext xmlns:c16="http://schemas.microsoft.com/office/drawing/2014/chart" uri="{C3380CC4-5D6E-409C-BE32-E72D297353CC}">
              <c16:uniqueId val="{00000000-0146-45E2-9CAC-34D874E046DC}"/>
            </c:ext>
          </c:extLst>
        </c:ser>
        <c:ser>
          <c:idx val="1"/>
          <c:order val="1"/>
          <c:tx>
            <c:strRef>
              <c:f>'2024 graf'!$J$3</c:f>
              <c:strCache>
                <c:ptCount val="1"/>
                <c:pt idx="0">
                  <c:v>Skutočnosť</c:v>
                </c:pt>
              </c:strCache>
            </c:strRef>
          </c:tx>
          <c:spPr>
            <a:solidFill>
              <a:schemeClr val="accent2"/>
            </a:solidFill>
            <a:ln>
              <a:noFill/>
            </a:ln>
            <a:effectLst/>
          </c:spPr>
          <c:invertIfNegative val="0"/>
          <c:cat>
            <c:strRef>
              <c:f>'2024 graf'!$H$4:$H$10</c:f>
              <c:strCache>
                <c:ptCount val="7"/>
                <c:pt idx="0">
                  <c:v>Program Slovensko 2021 - 2027</c:v>
                </c:pt>
                <c:pt idx="1">
                  <c:v>VŠ vzdelávanie a veda, sociálna podpora študentov VŠ</c:v>
                </c:pt>
                <c:pt idx="2">
                  <c:v>NP rozvoja vedy a techniky</c:v>
                </c:pt>
                <c:pt idx="3">
                  <c:v>NP výchovy, vzdelávania a mládeže</c:v>
                </c:pt>
                <c:pt idx="4">
                  <c:v>Tvorba a implementácia politík</c:v>
                </c:pt>
                <c:pt idx="5">
                  <c:v>Rozvoj a podpora športu</c:v>
                </c:pt>
                <c:pt idx="6">
                  <c:v>OP Integrovaná infraštruktúra</c:v>
                </c:pt>
              </c:strCache>
            </c:strRef>
          </c:cat>
          <c:val>
            <c:numRef>
              <c:f>'2024 graf'!$J$4:$J$10</c:f>
              <c:numCache>
                <c:formatCode>#\ ##0.0</c:formatCode>
                <c:ptCount val="7"/>
                <c:pt idx="0">
                  <c:v>129.43496845000001</c:v>
                </c:pt>
                <c:pt idx="1">
                  <c:v>787.53332437999995</c:v>
                </c:pt>
                <c:pt idx="2">
                  <c:v>65.291391669999996</c:v>
                </c:pt>
                <c:pt idx="3">
                  <c:v>3023.9185790900001</c:v>
                </c:pt>
                <c:pt idx="4">
                  <c:v>35.651306420000004</c:v>
                </c:pt>
                <c:pt idx="5">
                  <c:v>37.254036159999998</c:v>
                </c:pt>
                <c:pt idx="6">
                  <c:v>26.519073670000001</c:v>
                </c:pt>
              </c:numCache>
            </c:numRef>
          </c:val>
          <c:extLst>
            <c:ext xmlns:c16="http://schemas.microsoft.com/office/drawing/2014/chart" uri="{C3380CC4-5D6E-409C-BE32-E72D297353CC}">
              <c16:uniqueId val="{00000001-0146-45E2-9CAC-34D874E046DC}"/>
            </c:ext>
          </c:extLst>
        </c:ser>
        <c:dLbls>
          <c:showLegendKey val="0"/>
          <c:showVal val="0"/>
          <c:showCatName val="0"/>
          <c:showSerName val="0"/>
          <c:showPercent val="0"/>
          <c:showBubbleSize val="0"/>
        </c:dLbls>
        <c:gapWidth val="100"/>
        <c:axId val="338982640"/>
        <c:axId val="338983472"/>
      </c:barChart>
      <c:scatterChart>
        <c:scatterStyle val="lineMarker"/>
        <c:varyColors val="0"/>
        <c:ser>
          <c:idx val="2"/>
          <c:order val="2"/>
          <c:tx>
            <c:strRef>
              <c:f>'2024 graf'!$K$3</c:f>
              <c:strCache>
                <c:ptCount val="1"/>
                <c:pt idx="0">
                  <c:v>% čerpania (pravá os)</c:v>
                </c:pt>
              </c:strCache>
            </c:strRef>
          </c:tx>
          <c:spPr>
            <a:ln w="25400" cap="rnd">
              <a:noFill/>
              <a:round/>
            </a:ln>
            <a:effectLst/>
          </c:spPr>
          <c:marker>
            <c:symbol val="diamond"/>
            <c:size val="5"/>
            <c:spPr>
              <a:solidFill>
                <a:schemeClr val="accent6"/>
              </a:solidFill>
              <a:ln w="9525">
                <a:solidFill>
                  <a:schemeClr val="accent6"/>
                </a:solidFill>
              </a:ln>
              <a:effectLst/>
            </c:spPr>
          </c:marker>
          <c:dLbls>
            <c:dLbl>
              <c:idx val="3"/>
              <c:spPr>
                <a:solidFill>
                  <a:schemeClr val="bg1"/>
                </a:solidFill>
                <a:ln>
                  <a:noFill/>
                </a:ln>
                <a:effectLst/>
              </c:spPr>
              <c:txPr>
                <a:bodyPr rot="0" spcFirstLastPara="1" vertOverflow="ellipsis" vert="horz" wrap="square" anchor="ctr" anchorCtr="1"/>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extLst>
                <c:ext xmlns:c16="http://schemas.microsoft.com/office/drawing/2014/chart" uri="{C3380CC4-5D6E-409C-BE32-E72D297353CC}">
                  <c16:uniqueId val="{00000002-0146-45E2-9CAC-34D874E046DC}"/>
                </c:ext>
              </c:extLst>
            </c:dLbl>
            <c:spPr>
              <a:noFill/>
              <a:ln>
                <a:noFill/>
              </a:ln>
              <a:effectLst/>
            </c:spPr>
            <c:txPr>
              <a:bodyPr rot="0" spcFirstLastPara="1" vertOverflow="ellipsis" vert="horz" wrap="square" anchor="ctr" anchorCtr="1"/>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'2024 graf'!$H$4:$H$10</c:f>
              <c:strCache>
                <c:ptCount val="7"/>
                <c:pt idx="0">
                  <c:v>Program Slovensko 2021 - 2027</c:v>
                </c:pt>
                <c:pt idx="1">
                  <c:v>VŠ vzdelávanie a veda, sociálna podpora študentov VŠ</c:v>
                </c:pt>
                <c:pt idx="2">
                  <c:v>NP rozvoja vedy a techniky</c:v>
                </c:pt>
                <c:pt idx="3">
                  <c:v>NP výchovy, vzdelávania a mládeže</c:v>
                </c:pt>
                <c:pt idx="4">
                  <c:v>Tvorba a implementácia politík</c:v>
                </c:pt>
                <c:pt idx="5">
                  <c:v>Rozvoj a podpora športu</c:v>
                </c:pt>
                <c:pt idx="6">
                  <c:v>OP Integrovaná infraštruktúra</c:v>
                </c:pt>
              </c:strCache>
            </c:strRef>
          </c:xVal>
          <c:yVal>
            <c:numRef>
              <c:f>'2024 graf'!$K$4:$K$10</c:f>
              <c:numCache>
                <c:formatCode>0.0</c:formatCode>
                <c:ptCount val="7"/>
                <c:pt idx="0">
                  <c:v>107.50733040948097</c:v>
                </c:pt>
                <c:pt idx="1">
                  <c:v>102.31140397578335</c:v>
                </c:pt>
                <c:pt idx="2">
                  <c:v>101.07569504120424</c:v>
                </c:pt>
                <c:pt idx="3">
                  <c:v>100.1721768928911</c:v>
                </c:pt>
                <c:pt idx="4">
                  <c:v>99.831056255917019</c:v>
                </c:pt>
                <c:pt idx="5">
                  <c:v>37.572983068563602</c:v>
                </c:pt>
              </c:numCache>
            </c:numRef>
          </c:yVal>
          <c:smooth val="0"/>
          <c:extLst>
            <c:ext xmlns:c16="http://schemas.microsoft.com/office/drawing/2014/chart" uri="{C3380CC4-5D6E-409C-BE32-E72D297353CC}">
              <c16:uniqueId val="{00000003-0146-45E2-9CAC-34D874E046DC}"/>
            </c:ext>
          </c:extLst>
        </c:ser>
        <c:dLbls>
          <c:showLegendKey val="0"/>
          <c:showVal val="0"/>
          <c:showCatName val="0"/>
          <c:showSerName val="0"/>
          <c:showPercent val="0"/>
          <c:showBubbleSize val="0"/>
        </c:dLbls>
        <c:axId val="338985136"/>
        <c:axId val="338983056"/>
      </c:scatterChart>
      <c:catAx>
        <c:axId val="33898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38983472"/>
        <c:crosses val="autoZero"/>
        <c:auto val="1"/>
        <c:lblAlgn val="ctr"/>
        <c:lblOffset val="100"/>
        <c:noMultiLvlLbl val="0"/>
      </c:catAx>
      <c:valAx>
        <c:axId val="338983472"/>
        <c:scaling>
          <c:orientation val="minMax"/>
          <c:max val="31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38982640"/>
        <c:crosses val="autoZero"/>
        <c:crossBetween val="between"/>
      </c:valAx>
      <c:valAx>
        <c:axId val="338983056"/>
        <c:scaling>
          <c:orientation val="minMax"/>
          <c:max val="150"/>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38985136"/>
        <c:crosses val="max"/>
        <c:crossBetween val="midCat"/>
        <c:majorUnit val="25"/>
      </c:valAx>
      <c:valAx>
        <c:axId val="338985136"/>
        <c:scaling>
          <c:orientation val="minMax"/>
        </c:scaling>
        <c:delete val="1"/>
        <c:axPos val="b"/>
        <c:numFmt formatCode="General" sourceLinked="1"/>
        <c:majorTickMark val="out"/>
        <c:minorTickMark val="none"/>
        <c:tickLblPos val="nextTo"/>
        <c:crossAx val="338983056"/>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0856019237948067"/>
          <c:y val="7.0558050032071842E-2"/>
          <c:w val="0.74292823099427896"/>
          <c:h val="0.59534781532680447"/>
        </c:manualLayout>
      </c:layout>
      <c:barChart>
        <c:barDir val="col"/>
        <c:grouping val="stacked"/>
        <c:varyColors val="0"/>
        <c:ser>
          <c:idx val="0"/>
          <c:order val="0"/>
          <c:tx>
            <c:strRef>
              <c:f>'Nová analýza'!$G$3</c:f>
              <c:strCache>
                <c:ptCount val="1"/>
                <c:pt idx="0">
                  <c:v>S novými kapacitami</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EA72-46BF-A478-D6D210301CB6}"/>
                </c:ext>
              </c:extLst>
            </c:dLbl>
            <c:dLbl>
              <c:idx val="1"/>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extLst>
                <c:ext xmlns:c16="http://schemas.microsoft.com/office/drawing/2014/chart" uri="{C3380CC4-5D6E-409C-BE32-E72D297353CC}">
                  <c16:uniqueId val="{00000001-EA72-46BF-A478-D6D210301CB6}"/>
                </c:ext>
              </c:extLst>
            </c:dLbl>
            <c:dLbl>
              <c:idx val="2"/>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extLst>
                <c:ext xmlns:c16="http://schemas.microsoft.com/office/drawing/2014/chart" uri="{C3380CC4-5D6E-409C-BE32-E72D297353CC}">
                  <c16:uniqueId val="{00000002-EA72-46BF-A478-D6D210301CB6}"/>
                </c:ext>
              </c:extLst>
            </c:dLbl>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'Nová analýza'!$H$2:$J$2</c:f>
              <c:strCache>
                <c:ptCount val="3"/>
                <c:pt idx="0">
                  <c:v>[0 – 1]</c:v>
                </c:pt>
                <c:pt idx="1">
                  <c:v>(1 – 2]</c:v>
                </c:pt>
                <c:pt idx="2">
                  <c:v>(2 – 3]</c:v>
                </c:pt>
              </c:strCache>
            </c:strRef>
          </c:cat>
          <c:val>
            <c:numRef>
              <c:f>'Nová analýza'!$H$3:$J$3</c:f>
              <c:numCache>
                <c:formatCode>General</c:formatCode>
                <c:ptCount val="3"/>
                <c:pt idx="0">
                  <c:v>6</c:v>
                </c:pt>
                <c:pt idx="1">
                  <c:v>18</c:v>
                </c:pt>
                <c:pt idx="2">
                  <c:v>27</c:v>
                </c:pt>
              </c:numCache>
            </c:numRef>
          </c:val>
          <c:extLst>
            <c:ext xmlns:c16="http://schemas.microsoft.com/office/drawing/2014/chart" uri="{C3380CC4-5D6E-409C-BE32-E72D297353CC}">
              <c16:uniqueId val="{00000003-EA72-46BF-A478-D6D210301CB6}"/>
            </c:ext>
          </c:extLst>
        </c:ser>
        <c:ser>
          <c:idx val="1"/>
          <c:order val="1"/>
          <c:tx>
            <c:strRef>
              <c:f>'Nová analýza'!$G$4</c:f>
              <c:strCache>
                <c:ptCount val="1"/>
                <c:pt idx="0">
                  <c:v>Bez nových kapacít</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'Nová analýza'!$H$2:$J$2</c:f>
              <c:strCache>
                <c:ptCount val="3"/>
                <c:pt idx="0">
                  <c:v>[0 – 1]</c:v>
                </c:pt>
                <c:pt idx="1">
                  <c:v>(1 – 2]</c:v>
                </c:pt>
                <c:pt idx="2">
                  <c:v>(2 – 3]</c:v>
                </c:pt>
              </c:strCache>
            </c:strRef>
          </c:cat>
          <c:val>
            <c:numRef>
              <c:f>'Nová analýza'!$H$4:$J$4</c:f>
              <c:numCache>
                <c:formatCode>General</c:formatCode>
                <c:ptCount val="3"/>
                <c:pt idx="0">
                  <c:v>12</c:v>
                </c:pt>
                <c:pt idx="1">
                  <c:v>68</c:v>
                </c:pt>
                <c:pt idx="2">
                  <c:v>115</c:v>
                </c:pt>
              </c:numCache>
            </c:numRef>
          </c:val>
          <c:extLst>
            <c:ext xmlns:c16="http://schemas.microsoft.com/office/drawing/2014/chart" uri="{C3380CC4-5D6E-409C-BE32-E72D297353CC}">
              <c16:uniqueId val="{00000004-EA72-46BF-A478-D6D210301CB6}"/>
            </c:ext>
          </c:extLst>
        </c:ser>
        <c:dLbls>
          <c:showLegendKey val="0"/>
          <c:showVal val="0"/>
          <c:showCatName val="0"/>
          <c:showSerName val="0"/>
          <c:showPercent val="0"/>
          <c:showBubbleSize val="0"/>
        </c:dLbls>
        <c:gapWidth val="100"/>
        <c:overlap val="100"/>
        <c:axId val="1643151584"/>
        <c:axId val="1643157408"/>
      </c:barChart>
      <c:catAx>
        <c:axId val="164315158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r>
                  <a:rPr lang="sk-SK"/>
                  <a:t>Index dostupnosti MŠ</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43157408"/>
        <c:crosses val="autoZero"/>
        <c:auto val="1"/>
        <c:lblAlgn val="ctr"/>
        <c:lblOffset val="100"/>
        <c:noMultiLvlLbl val="0"/>
      </c:catAx>
      <c:valAx>
        <c:axId val="1643157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r>
                  <a:rPr lang="sk-SK"/>
                  <a:t>Počet</a:t>
                </a:r>
                <a:r>
                  <a:rPr lang="sk-SK" baseline="0"/>
                  <a:t> obcí</a:t>
                </a:r>
                <a:endParaRPr lang="sk-SK"/>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4315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 2024'!$M$2</c:f>
              <c:strCache>
                <c:ptCount val="1"/>
                <c:pt idx="0">
                  <c:v>cov (mil. eur)</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2024'!$I$3:$I$12</c:f>
              <c:strCache>
                <c:ptCount val="10"/>
                <c:pt idx="0">
                  <c:v>[0 – 1]</c:v>
                </c:pt>
                <c:pt idx="1">
                  <c:v>(1 – 2]</c:v>
                </c:pt>
                <c:pt idx="2">
                  <c:v>(2 – 3]</c:v>
                </c:pt>
                <c:pt idx="3">
                  <c:v>(3 – 4]</c:v>
                </c:pt>
                <c:pt idx="4">
                  <c:v>(4 – 5]</c:v>
                </c:pt>
                <c:pt idx="5">
                  <c:v>(5 – 6]</c:v>
                </c:pt>
                <c:pt idx="6">
                  <c:v>(6 – 7]</c:v>
                </c:pt>
                <c:pt idx="7">
                  <c:v>(7 – 8]</c:v>
                </c:pt>
                <c:pt idx="8">
                  <c:v>(8 – 9]</c:v>
                </c:pt>
                <c:pt idx="9">
                  <c:v>(9 – 10]</c:v>
                </c:pt>
              </c:strCache>
            </c:strRef>
          </c:cat>
          <c:val>
            <c:numRef>
              <c:f>'Graf 2024'!$M$3:$M$12</c:f>
              <c:numCache>
                <c:formatCode>0.0</c:formatCode>
                <c:ptCount val="10"/>
                <c:pt idx="0">
                  <c:v>6.1291664000000008</c:v>
                </c:pt>
                <c:pt idx="1">
                  <c:v>18.695838999999999</c:v>
                </c:pt>
                <c:pt idx="2">
                  <c:v>21.289442999999999</c:v>
                </c:pt>
                <c:pt idx="3">
                  <c:v>41.424469999999999</c:v>
                </c:pt>
                <c:pt idx="4">
                  <c:v>15.142517</c:v>
                </c:pt>
                <c:pt idx="5">
                  <c:v>13.059661999999999</c:v>
                </c:pt>
                <c:pt idx="6">
                  <c:v>7.9235599000000008</c:v>
                </c:pt>
                <c:pt idx="7">
                  <c:v>4.8316603000000002</c:v>
                </c:pt>
                <c:pt idx="8">
                  <c:v>5.4829284999999999</c:v>
                </c:pt>
                <c:pt idx="9">
                  <c:v>0.48387102000000004</c:v>
                </c:pt>
              </c:numCache>
            </c:numRef>
          </c:val>
          <c:extLst>
            <c:ext xmlns:c16="http://schemas.microsoft.com/office/drawing/2014/chart" uri="{C3380CC4-5D6E-409C-BE32-E72D297353CC}">
              <c16:uniqueId val="{00000000-6128-4501-9AF8-439164C9055B}"/>
            </c:ext>
          </c:extLst>
        </c:ser>
        <c:dLbls>
          <c:showLegendKey val="0"/>
          <c:showVal val="0"/>
          <c:showCatName val="0"/>
          <c:showSerName val="0"/>
          <c:showPercent val="0"/>
          <c:showBubbleSize val="0"/>
        </c:dLbls>
        <c:gapWidth val="100"/>
        <c:axId val="33362144"/>
        <c:axId val="33364224"/>
      </c:barChart>
      <c:catAx>
        <c:axId val="3336214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r>
                  <a:rPr lang="sk-SK"/>
                  <a:t>Index dostupnosti MŠ</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3364224"/>
        <c:crosses val="autoZero"/>
        <c:auto val="1"/>
        <c:lblAlgn val="ctr"/>
        <c:lblOffset val="100"/>
        <c:noMultiLvlLbl val="0"/>
      </c:catAx>
      <c:valAx>
        <c:axId val="33364224"/>
        <c:scaling>
          <c:orientation val="minMax"/>
          <c:max val="4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r>
                  <a:rPr lang="sk-SK"/>
                  <a:t>Mil. eur</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33362144"/>
        <c:crosses val="autoZero"/>
        <c:crossBetween val="between"/>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1"/>
          <c:order val="0"/>
          <c:tx>
            <c:strRef>
              <c:f>Čerpanie!$L$6</c:f>
              <c:strCache>
                <c:ptCount val="1"/>
                <c:pt idx="0">
                  <c:v>Podané žiadosti</c:v>
                </c:pt>
              </c:strCache>
            </c:strRef>
          </c:tx>
          <c:spPr>
            <a:solidFill>
              <a:schemeClr val="accent2"/>
            </a:solidFill>
            <a:ln>
              <a:noFill/>
            </a:ln>
            <a:effectLst/>
          </c:spPr>
          <c:invertIfNegative val="0"/>
          <c:cat>
            <c:strRef>
              <c:f>Čerpanie!$M$3:$P$3</c:f>
              <c:strCache>
                <c:ptCount val="4"/>
                <c:pt idx="0">
                  <c:v>Metodika č. 1</c:v>
                </c:pt>
                <c:pt idx="1">
                  <c:v>Metodika č. 2</c:v>
                </c:pt>
                <c:pt idx="2">
                  <c:v>Metodika č. 3</c:v>
                </c:pt>
                <c:pt idx="3">
                  <c:v>Metodika č. 4</c:v>
                </c:pt>
              </c:strCache>
            </c:strRef>
          </c:cat>
          <c:val>
            <c:numRef>
              <c:f>Čerpanie!$M$6:$P$6</c:f>
              <c:numCache>
                <c:formatCode>0.0</c:formatCode>
                <c:ptCount val="4"/>
                <c:pt idx="0">
                  <c:v>2.3162910000000001</c:v>
                </c:pt>
                <c:pt idx="1">
                  <c:v>0.41229409</c:v>
                </c:pt>
                <c:pt idx="2">
                  <c:v>1.71108408</c:v>
                </c:pt>
                <c:pt idx="3">
                  <c:v>0.76744999999999997</c:v>
                </c:pt>
              </c:numCache>
            </c:numRef>
          </c:val>
          <c:extLst>
            <c:ext xmlns:c16="http://schemas.microsoft.com/office/drawing/2014/chart" uri="{C3380CC4-5D6E-409C-BE32-E72D297353CC}">
              <c16:uniqueId val="{00000000-F2D7-4DDE-8CD9-10454484CBC9}"/>
            </c:ext>
          </c:extLst>
        </c:ser>
        <c:ser>
          <c:idx val="0"/>
          <c:order val="1"/>
          <c:tx>
            <c:strRef>
              <c:f>Čerpanie!$L$5</c:f>
              <c:strCache>
                <c:ptCount val="1"/>
                <c:pt idx="0">
                  <c:v>Zostatok</c:v>
                </c:pt>
              </c:strCache>
            </c:strRef>
          </c:tx>
          <c:spPr>
            <a:solidFill>
              <a:schemeClr val="accent1"/>
            </a:solidFill>
            <a:ln>
              <a:noFill/>
            </a:ln>
            <a:effectLst/>
          </c:spPr>
          <c:invertIfNegative val="0"/>
          <c:cat>
            <c:strRef>
              <c:f>Čerpanie!$M$3:$P$3</c:f>
              <c:strCache>
                <c:ptCount val="4"/>
                <c:pt idx="0">
                  <c:v>Metodika č. 1</c:v>
                </c:pt>
                <c:pt idx="1">
                  <c:v>Metodika č. 2</c:v>
                </c:pt>
                <c:pt idx="2">
                  <c:v>Metodika č. 3</c:v>
                </c:pt>
                <c:pt idx="3">
                  <c:v>Metodika č. 4</c:v>
                </c:pt>
              </c:strCache>
            </c:strRef>
          </c:cat>
          <c:val>
            <c:numRef>
              <c:f>Čerpanie!$M$5:$P$5</c:f>
              <c:numCache>
                <c:formatCode>0.0</c:formatCode>
                <c:ptCount val="4"/>
                <c:pt idx="0">
                  <c:v>2.215157</c:v>
                </c:pt>
                <c:pt idx="1">
                  <c:v>15.852753910000001</c:v>
                </c:pt>
                <c:pt idx="2">
                  <c:v>28.254534920000001</c:v>
                </c:pt>
                <c:pt idx="3">
                  <c:v>26.985290809999999</c:v>
                </c:pt>
              </c:numCache>
            </c:numRef>
          </c:val>
          <c:extLst>
            <c:ext xmlns:c16="http://schemas.microsoft.com/office/drawing/2014/chart" uri="{C3380CC4-5D6E-409C-BE32-E72D297353CC}">
              <c16:uniqueId val="{00000001-F2D7-4DDE-8CD9-10454484CBC9}"/>
            </c:ext>
          </c:extLst>
        </c:ser>
        <c:dLbls>
          <c:showLegendKey val="0"/>
          <c:showVal val="0"/>
          <c:showCatName val="0"/>
          <c:showSerName val="0"/>
          <c:showPercent val="0"/>
          <c:showBubbleSize val="0"/>
        </c:dLbls>
        <c:gapWidth val="100"/>
        <c:overlap val="100"/>
        <c:axId val="1987781743"/>
        <c:axId val="1987795471"/>
      </c:barChart>
      <c:scatterChart>
        <c:scatterStyle val="lineMarker"/>
        <c:varyColors val="0"/>
        <c:ser>
          <c:idx val="2"/>
          <c:order val="2"/>
          <c:tx>
            <c:strRef>
              <c:f>Čerpanie!$L$7</c:f>
              <c:strCache>
                <c:ptCount val="1"/>
                <c:pt idx="0">
                  <c:v>Potenciálna miera čerpania (pravá os)</c:v>
                </c:pt>
              </c:strCache>
            </c:strRef>
          </c:tx>
          <c:spPr>
            <a:ln w="25400" cap="rnd">
              <a:noFill/>
              <a:round/>
            </a:ln>
            <a:effectLst/>
          </c:spPr>
          <c:marker>
            <c:symbol val="diamond"/>
            <c:size val="5"/>
            <c:spPr>
              <a:solidFill>
                <a:schemeClr val="accent6"/>
              </a:solidFill>
              <a:ln w="9525">
                <a:solidFill>
                  <a:schemeClr val="accent6"/>
                </a:solidFill>
              </a:ln>
              <a:effectLst/>
            </c:spPr>
          </c:marker>
          <c:dLbls>
            <c:dLbl>
              <c:idx val="1"/>
              <c:layout>
                <c:manualLayout>
                  <c:x val="0"/>
                  <c:y val="-3.02419354838709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D7-4DDE-8CD9-10454484CBC9}"/>
                </c:ext>
              </c:extLst>
            </c:dLbl>
            <c:dLbl>
              <c:idx val="2"/>
              <c:layout>
                <c:manualLayout>
                  <c:x val="0"/>
                  <c:y val="-2.01612903225807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D7-4DDE-8CD9-10454484CBC9}"/>
                </c:ext>
              </c:extLst>
            </c:dLbl>
            <c:dLbl>
              <c:idx val="3"/>
              <c:layout>
                <c:manualLayout>
                  <c:x val="0"/>
                  <c:y val="-3.02419354838710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2D7-4DDE-8CD9-10454484CBC9}"/>
                </c:ext>
              </c:extLst>
            </c:dLbl>
            <c:numFmt formatCode="0.0\ %" sourceLinked="0"/>
            <c:spPr>
              <a:noFill/>
              <a:ln>
                <a:noFill/>
              </a:ln>
              <a:effectLst/>
            </c:spPr>
            <c:txPr>
              <a:bodyPr rot="0" spcFirstLastPara="1" vertOverflow="ellipsis" vert="horz" wrap="square" anchor="ctr" anchorCtr="1"/>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strRef>
              <c:f>Čerpanie!$M$3:$P$3</c:f>
              <c:strCache>
                <c:ptCount val="4"/>
                <c:pt idx="0">
                  <c:v>Metodika č. 1</c:v>
                </c:pt>
                <c:pt idx="1">
                  <c:v>Metodika č. 2</c:v>
                </c:pt>
                <c:pt idx="2">
                  <c:v>Metodika č. 3</c:v>
                </c:pt>
                <c:pt idx="3">
                  <c:v>Metodika č. 4</c:v>
                </c:pt>
              </c:strCache>
            </c:strRef>
          </c:xVal>
          <c:yVal>
            <c:numRef>
              <c:f>Čerpanie!$M$7:$P$7</c:f>
              <c:numCache>
                <c:formatCode>0.0%</c:formatCode>
                <c:ptCount val="4"/>
                <c:pt idx="0">
                  <c:v>0.51115912617776926</c:v>
                </c:pt>
                <c:pt idx="1">
                  <c:v>2.5348470536330419E-2</c:v>
                </c:pt>
                <c:pt idx="2">
                  <c:v>5.7101576309836949E-2</c:v>
                </c:pt>
                <c:pt idx="3">
                  <c:v>2.7653124614036996E-2</c:v>
                </c:pt>
              </c:numCache>
            </c:numRef>
          </c:yVal>
          <c:smooth val="0"/>
          <c:extLst>
            <c:ext xmlns:c16="http://schemas.microsoft.com/office/drawing/2014/chart" uri="{C3380CC4-5D6E-409C-BE32-E72D297353CC}">
              <c16:uniqueId val="{00000005-F2D7-4DDE-8CD9-10454484CBC9}"/>
            </c:ext>
          </c:extLst>
        </c:ser>
        <c:dLbls>
          <c:showLegendKey val="0"/>
          <c:showVal val="0"/>
          <c:showCatName val="0"/>
          <c:showSerName val="0"/>
          <c:showPercent val="0"/>
          <c:showBubbleSize val="0"/>
        </c:dLbls>
        <c:axId val="1767662559"/>
        <c:axId val="1767664639"/>
      </c:scatterChart>
      <c:catAx>
        <c:axId val="19877817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987795471"/>
        <c:crosses val="autoZero"/>
        <c:auto val="1"/>
        <c:lblAlgn val="ctr"/>
        <c:lblOffset val="100"/>
        <c:noMultiLvlLbl val="0"/>
      </c:catAx>
      <c:valAx>
        <c:axId val="1987795471"/>
        <c:scaling>
          <c:orientation val="minMax"/>
          <c:max val="4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r>
                  <a:rPr lang="sk-SK"/>
                  <a:t>Mil. eur</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987781743"/>
        <c:crosses val="autoZero"/>
        <c:crossBetween val="between"/>
        <c:majorUnit val="10"/>
      </c:valAx>
      <c:valAx>
        <c:axId val="1767664639"/>
        <c:scaling>
          <c:orientation val="minMax"/>
          <c:max val="1"/>
        </c:scaling>
        <c:delete val="0"/>
        <c:axPos val="r"/>
        <c:numFmt formatCode="0\ %"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767662559"/>
        <c:crosses val="max"/>
        <c:crossBetween val="midCat"/>
        <c:majorUnit val="0.25"/>
      </c:valAx>
      <c:valAx>
        <c:axId val="1767662559"/>
        <c:scaling>
          <c:orientation val="minMax"/>
        </c:scaling>
        <c:delete val="1"/>
        <c:axPos val="b"/>
        <c:numFmt formatCode="General" sourceLinked="1"/>
        <c:majorTickMark val="out"/>
        <c:minorTickMark val="none"/>
        <c:tickLblPos val="nextTo"/>
        <c:crossAx val="176766463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Kontrola!$B$10</c:f>
              <c:strCache>
                <c:ptCount val="1"/>
                <c:pt idx="0">
                  <c:v>Podané žiadosti</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Kontrola!$C$9:$F$9</c:f>
              <c:strCache>
                <c:ptCount val="4"/>
                <c:pt idx="0">
                  <c:v>Metodika č. 1</c:v>
                </c:pt>
                <c:pt idx="1">
                  <c:v>Metodika č. 2</c:v>
                </c:pt>
                <c:pt idx="2">
                  <c:v>Metodika č. 3</c:v>
                </c:pt>
                <c:pt idx="3">
                  <c:v>Metodika č. 4</c:v>
                </c:pt>
              </c:strCache>
            </c:strRef>
          </c:cat>
          <c:val>
            <c:numRef>
              <c:f>Kontrola!$C$10:$F$10</c:f>
              <c:numCache>
                <c:formatCode>#,##0</c:formatCode>
                <c:ptCount val="4"/>
                <c:pt idx="0">
                  <c:v>2253</c:v>
                </c:pt>
                <c:pt idx="1">
                  <c:v>515</c:v>
                </c:pt>
                <c:pt idx="2">
                  <c:v>2938</c:v>
                </c:pt>
                <c:pt idx="3">
                  <c:v>421</c:v>
                </c:pt>
              </c:numCache>
            </c:numRef>
          </c:val>
          <c:extLst>
            <c:ext xmlns:c16="http://schemas.microsoft.com/office/drawing/2014/chart" uri="{C3380CC4-5D6E-409C-BE32-E72D297353CC}">
              <c16:uniqueId val="{00000000-94B8-4E40-A45B-73293923C39B}"/>
            </c:ext>
          </c:extLst>
        </c:ser>
        <c:ser>
          <c:idx val="1"/>
          <c:order val="1"/>
          <c:tx>
            <c:strRef>
              <c:f>Kontrola!$B$11</c:f>
              <c:strCache>
                <c:ptCount val="1"/>
                <c:pt idx="0">
                  <c:v>Ukončené kontroly žiadostí</c:v>
                </c:pt>
              </c:strCache>
            </c:strRef>
          </c:tx>
          <c:spPr>
            <a:solidFill>
              <a:schemeClr val="accent2"/>
            </a:solidFill>
            <a:ln>
              <a:noFill/>
            </a:ln>
            <a:effectLst/>
          </c:spPr>
          <c:invertIfNegative val="0"/>
          <c:dLbls>
            <c:dLbl>
              <c:idx val="0"/>
              <c:layout>
                <c:manualLayout>
                  <c:x val="3.0871003307607538E-2"/>
                  <c:y val="-2.520161290322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B8-4E40-A45B-73293923C39B}"/>
                </c:ext>
              </c:extLst>
            </c:dLbl>
            <c:dLbl>
              <c:idx val="1"/>
              <c:layout>
                <c:manualLayout>
                  <c:x val="8.820286659316427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B8-4E40-A45B-73293923C39B}"/>
                </c:ext>
              </c:extLst>
            </c:dLbl>
            <c:dLbl>
              <c:idx val="2"/>
              <c:layout>
                <c:manualLayout>
                  <c:x val="2.2050716648290988E-2"/>
                  <c:y val="-4.03225806451612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4B8-4E40-A45B-73293923C39B}"/>
                </c:ext>
              </c:extLst>
            </c:dLbl>
            <c:spPr>
              <a:noFill/>
              <a:ln>
                <a:noFill/>
              </a:ln>
              <a:effectLst/>
            </c:spPr>
            <c:txPr>
              <a:bodyPr rot="0" spcFirstLastPara="1" vertOverflow="ellipsis" vert="horz" wrap="square"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Kontrola!$C$9:$F$9</c:f>
              <c:strCache>
                <c:ptCount val="4"/>
                <c:pt idx="0">
                  <c:v>Metodika č. 1</c:v>
                </c:pt>
                <c:pt idx="1">
                  <c:v>Metodika č. 2</c:v>
                </c:pt>
                <c:pt idx="2">
                  <c:v>Metodika č. 3</c:v>
                </c:pt>
                <c:pt idx="3">
                  <c:v>Metodika č. 4</c:v>
                </c:pt>
              </c:strCache>
            </c:strRef>
          </c:cat>
          <c:val>
            <c:numRef>
              <c:f>Kontrola!$C$11:$F$11</c:f>
              <c:numCache>
                <c:formatCode>General</c:formatCode>
                <c:ptCount val="4"/>
                <c:pt idx="0">
                  <c:v>880</c:v>
                </c:pt>
                <c:pt idx="1">
                  <c:v>94</c:v>
                </c:pt>
                <c:pt idx="2">
                  <c:v>237</c:v>
                </c:pt>
                <c:pt idx="3">
                  <c:v>0</c:v>
                </c:pt>
              </c:numCache>
            </c:numRef>
          </c:val>
          <c:extLst>
            <c:ext xmlns:c16="http://schemas.microsoft.com/office/drawing/2014/chart" uri="{C3380CC4-5D6E-409C-BE32-E72D297353CC}">
              <c16:uniqueId val="{00000004-94B8-4E40-A45B-73293923C39B}"/>
            </c:ext>
          </c:extLst>
        </c:ser>
        <c:ser>
          <c:idx val="2"/>
          <c:order val="2"/>
          <c:tx>
            <c:strRef>
              <c:f>Kontrola!$B$12</c:f>
              <c:strCache>
                <c:ptCount val="1"/>
                <c:pt idx="0">
                  <c:v>Prebiehajúce kontroly žiadostí</c:v>
                </c:pt>
              </c:strCache>
            </c:strRef>
          </c:tx>
          <c:spPr>
            <a:solidFill>
              <a:schemeClr val="accent3"/>
            </a:solidFill>
            <a:ln>
              <a:noFill/>
            </a:ln>
            <a:effectLst/>
          </c:spPr>
          <c:invertIfNegative val="0"/>
          <c:dLbls>
            <c:dLbl>
              <c:idx val="1"/>
              <c:layout>
                <c:manualLayout>
                  <c:x val="1.7640573318632856E-2"/>
                  <c:y val="-9.240484650982252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4B8-4E40-A45B-73293923C39B}"/>
                </c:ext>
              </c:extLst>
            </c:dLbl>
            <c:spPr>
              <a:noFill/>
              <a:ln>
                <a:noFill/>
              </a:ln>
              <a:effectLst/>
            </c:spPr>
            <c:txPr>
              <a:bodyPr rot="0" spcFirstLastPara="1" vertOverflow="ellipsis" vert="horz" wrap="square" anchor="ctr" anchorCtr="1"/>
              <a:lstStyle/>
              <a:p>
                <a:pPr>
                  <a:defRPr sz="800" b="1" i="0" u="none" strike="noStrike" kern="1200" baseline="0">
                    <a:solidFill>
                      <a:schemeClr val="accent3"/>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Kontrola!$C$9:$F$9</c:f>
              <c:strCache>
                <c:ptCount val="4"/>
                <c:pt idx="0">
                  <c:v>Metodika č. 1</c:v>
                </c:pt>
                <c:pt idx="1">
                  <c:v>Metodika č. 2</c:v>
                </c:pt>
                <c:pt idx="2">
                  <c:v>Metodika č. 3</c:v>
                </c:pt>
                <c:pt idx="3">
                  <c:v>Metodika č. 4</c:v>
                </c:pt>
              </c:strCache>
            </c:strRef>
          </c:cat>
          <c:val>
            <c:numRef>
              <c:f>Kontrola!$C$12:$F$12</c:f>
              <c:numCache>
                <c:formatCode>General</c:formatCode>
                <c:ptCount val="4"/>
                <c:pt idx="0">
                  <c:v>68</c:v>
                </c:pt>
                <c:pt idx="1">
                  <c:v>32</c:v>
                </c:pt>
                <c:pt idx="2">
                  <c:v>9</c:v>
                </c:pt>
                <c:pt idx="3">
                  <c:v>0</c:v>
                </c:pt>
              </c:numCache>
            </c:numRef>
          </c:val>
          <c:extLst>
            <c:ext xmlns:c16="http://schemas.microsoft.com/office/drawing/2014/chart" uri="{C3380CC4-5D6E-409C-BE32-E72D297353CC}">
              <c16:uniqueId val="{00000006-94B8-4E40-A45B-73293923C39B}"/>
            </c:ext>
          </c:extLst>
        </c:ser>
        <c:dLbls>
          <c:showLegendKey val="0"/>
          <c:showVal val="0"/>
          <c:showCatName val="0"/>
          <c:showSerName val="0"/>
          <c:showPercent val="0"/>
          <c:showBubbleSize val="0"/>
        </c:dLbls>
        <c:gapWidth val="100"/>
        <c:axId val="1668273407"/>
        <c:axId val="1668258847"/>
      </c:barChart>
      <c:catAx>
        <c:axId val="166827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68258847"/>
        <c:crosses val="autoZero"/>
        <c:auto val="1"/>
        <c:lblAlgn val="ctr"/>
        <c:lblOffset val="100"/>
        <c:noMultiLvlLbl val="0"/>
      </c:catAx>
      <c:valAx>
        <c:axId val="1668258847"/>
        <c:scaling>
          <c:orientation val="minMax"/>
          <c:max val="3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r>
                  <a:rPr lang="sk-SK"/>
                  <a:t>Počet</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6682734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'Všetky ŠP'!$K$3</c:f>
              <c:strCache>
                <c:ptCount val="1"/>
                <c:pt idx="0">
                  <c:v>Najväčšie talenty spomedzi slovenských maturantov</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'Všetky ŠP'!$L$2:$N$2</c:f>
              <c:numCache>
                <c:formatCode>General</c:formatCode>
                <c:ptCount val="3"/>
                <c:pt idx="0">
                  <c:v>2022</c:v>
                </c:pt>
                <c:pt idx="1">
                  <c:v>2023</c:v>
                </c:pt>
                <c:pt idx="2">
                  <c:v>2024</c:v>
                </c:pt>
              </c:numCache>
            </c:numRef>
          </c:cat>
          <c:val>
            <c:numRef>
              <c:f>'Všetky ŠP'!$L$3:$N$3</c:f>
              <c:numCache>
                <c:formatCode>General</c:formatCode>
                <c:ptCount val="3"/>
                <c:pt idx="0">
                  <c:v>1081</c:v>
                </c:pt>
                <c:pt idx="1">
                  <c:v>1176</c:v>
                </c:pt>
                <c:pt idx="2">
                  <c:v>1213</c:v>
                </c:pt>
              </c:numCache>
            </c:numRef>
          </c:val>
          <c:extLst>
            <c:ext xmlns:c16="http://schemas.microsoft.com/office/drawing/2014/chart" uri="{C3380CC4-5D6E-409C-BE32-E72D297353CC}">
              <c16:uniqueId val="{00000000-5B34-48B2-B851-7F5387F4FDD5}"/>
            </c:ext>
          </c:extLst>
        </c:ser>
        <c:ser>
          <c:idx val="1"/>
          <c:order val="1"/>
          <c:tx>
            <c:strRef>
              <c:f>'Všetky ŠP'!$K$4</c:f>
              <c:strCache>
                <c:ptCount val="1"/>
                <c:pt idx="0">
                  <c:v>Nadpriemerní študenti, ktorí sú zo sociálne znevýhodneného prostredia alebo patria do špecifických znevýhodnených skupín</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'Všetky ŠP'!$L$2:$N$2</c:f>
              <c:numCache>
                <c:formatCode>General</c:formatCode>
                <c:ptCount val="3"/>
                <c:pt idx="0">
                  <c:v>2022</c:v>
                </c:pt>
                <c:pt idx="1">
                  <c:v>2023</c:v>
                </c:pt>
                <c:pt idx="2">
                  <c:v>2024</c:v>
                </c:pt>
              </c:numCache>
            </c:numRef>
          </c:cat>
          <c:val>
            <c:numRef>
              <c:f>'Všetky ŠP'!$L$4:$N$4</c:f>
              <c:numCache>
                <c:formatCode>General</c:formatCode>
                <c:ptCount val="3"/>
                <c:pt idx="0">
                  <c:v>253</c:v>
                </c:pt>
                <c:pt idx="1">
                  <c:v>496</c:v>
                </c:pt>
                <c:pt idx="2">
                  <c:v>528</c:v>
                </c:pt>
              </c:numCache>
            </c:numRef>
          </c:val>
          <c:extLst>
            <c:ext xmlns:c16="http://schemas.microsoft.com/office/drawing/2014/chart" uri="{C3380CC4-5D6E-409C-BE32-E72D297353CC}">
              <c16:uniqueId val="{00000001-5B34-48B2-B851-7F5387F4FDD5}"/>
            </c:ext>
          </c:extLst>
        </c:ser>
        <c:dLbls>
          <c:showLegendKey val="0"/>
          <c:showVal val="0"/>
          <c:showCatName val="0"/>
          <c:showSerName val="0"/>
          <c:showPercent val="0"/>
          <c:showBubbleSize val="0"/>
        </c:dLbls>
        <c:gapWidth val="150"/>
        <c:overlap val="100"/>
        <c:axId val="2043675647"/>
        <c:axId val="2043677311"/>
      </c:barChart>
      <c:catAx>
        <c:axId val="20436756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43677311"/>
        <c:crosses val="autoZero"/>
        <c:auto val="1"/>
        <c:lblAlgn val="ctr"/>
        <c:lblOffset val="100"/>
        <c:noMultiLvlLbl val="0"/>
      </c:catAx>
      <c:valAx>
        <c:axId val="204367731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43675647"/>
        <c:crosses val="autoZero"/>
        <c:crossBetween val="between"/>
        <c:majorUnit val="500"/>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'Nedostatkové učiteľské ŠP'!$M$2</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'Nedostatkové učiteľské ŠP'!$L$3:$L$5</c:f>
              <c:strCache>
                <c:ptCount val="3"/>
                <c:pt idx="0">
                  <c:v>Najväčšie talenty spomedzi slovenských maturantov</c:v>
                </c:pt>
                <c:pt idx="1">
                  <c:v>Nadpriemerní študenti, ktorí sú zo sociálne znevýhodneného prostredia alebo patria do špecifických znevýhodnených skupín</c:v>
                </c:pt>
                <c:pt idx="2">
                  <c:v>Spolu</c:v>
                </c:pt>
              </c:strCache>
            </c:strRef>
          </c:cat>
          <c:val>
            <c:numRef>
              <c:f>'Nedostatkové učiteľské ŠP'!$M$3:$M$5</c:f>
              <c:numCache>
                <c:formatCode>General</c:formatCode>
                <c:ptCount val="3"/>
                <c:pt idx="0">
                  <c:v>81</c:v>
                </c:pt>
                <c:pt idx="1">
                  <c:v>17</c:v>
                </c:pt>
                <c:pt idx="2">
                  <c:v>98</c:v>
                </c:pt>
              </c:numCache>
            </c:numRef>
          </c:val>
          <c:extLst>
            <c:ext xmlns:c16="http://schemas.microsoft.com/office/drawing/2014/chart" uri="{C3380CC4-5D6E-409C-BE32-E72D297353CC}">
              <c16:uniqueId val="{00000000-7B14-4570-86FC-AECB9995B597}"/>
            </c:ext>
          </c:extLst>
        </c:ser>
        <c:ser>
          <c:idx val="1"/>
          <c:order val="1"/>
          <c:tx>
            <c:strRef>
              <c:f>'Nedostatkové učiteľské ŠP'!$N$2</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'Nedostatkové učiteľské ŠP'!$L$3:$L$5</c:f>
              <c:strCache>
                <c:ptCount val="3"/>
                <c:pt idx="0">
                  <c:v>Najväčšie talenty spomedzi slovenských maturantov</c:v>
                </c:pt>
                <c:pt idx="1">
                  <c:v>Nadpriemerní študenti, ktorí sú zo sociálne znevýhodneného prostredia alebo patria do špecifických znevýhodnených skupín</c:v>
                </c:pt>
                <c:pt idx="2">
                  <c:v>Spolu</c:v>
                </c:pt>
              </c:strCache>
            </c:strRef>
          </c:cat>
          <c:val>
            <c:numRef>
              <c:f>'Nedostatkové učiteľské ŠP'!$N$3:$N$5</c:f>
              <c:numCache>
                <c:formatCode>General</c:formatCode>
                <c:ptCount val="3"/>
                <c:pt idx="0">
                  <c:v>60</c:v>
                </c:pt>
                <c:pt idx="1">
                  <c:v>29</c:v>
                </c:pt>
                <c:pt idx="2">
                  <c:v>89</c:v>
                </c:pt>
              </c:numCache>
            </c:numRef>
          </c:val>
          <c:extLst>
            <c:ext xmlns:c16="http://schemas.microsoft.com/office/drawing/2014/chart" uri="{C3380CC4-5D6E-409C-BE32-E72D297353CC}">
              <c16:uniqueId val="{00000001-7B14-4570-86FC-AECB9995B597}"/>
            </c:ext>
          </c:extLst>
        </c:ser>
        <c:ser>
          <c:idx val="2"/>
          <c:order val="2"/>
          <c:tx>
            <c:strRef>
              <c:f>'Nedostatkové učiteľské ŠP'!$O$2</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'Nedostatkové učiteľské ŠP'!$L$3:$L$5</c:f>
              <c:strCache>
                <c:ptCount val="3"/>
                <c:pt idx="0">
                  <c:v>Najväčšie talenty spomedzi slovenských maturantov</c:v>
                </c:pt>
                <c:pt idx="1">
                  <c:v>Nadpriemerní študenti, ktorí sú zo sociálne znevýhodneného prostredia alebo patria do špecifických znevýhodnených skupín</c:v>
                </c:pt>
                <c:pt idx="2">
                  <c:v>Spolu</c:v>
                </c:pt>
              </c:strCache>
            </c:strRef>
          </c:cat>
          <c:val>
            <c:numRef>
              <c:f>'Nedostatkové učiteľské ŠP'!$O$3:$O$5</c:f>
              <c:numCache>
                <c:formatCode>General</c:formatCode>
                <c:ptCount val="3"/>
                <c:pt idx="0">
                  <c:v>70</c:v>
                </c:pt>
                <c:pt idx="1">
                  <c:v>28</c:v>
                </c:pt>
                <c:pt idx="2">
                  <c:v>97</c:v>
                </c:pt>
              </c:numCache>
            </c:numRef>
          </c:val>
          <c:extLst>
            <c:ext xmlns:c16="http://schemas.microsoft.com/office/drawing/2014/chart" uri="{C3380CC4-5D6E-409C-BE32-E72D297353CC}">
              <c16:uniqueId val="{00000002-7B14-4570-86FC-AECB9995B597}"/>
            </c:ext>
          </c:extLst>
        </c:ser>
        <c:dLbls>
          <c:showLegendKey val="0"/>
          <c:showVal val="0"/>
          <c:showCatName val="0"/>
          <c:showSerName val="0"/>
          <c:showPercent val="0"/>
          <c:showBubbleSize val="0"/>
        </c:dLbls>
        <c:gapWidth val="100"/>
        <c:axId val="811136896"/>
        <c:axId val="811122752"/>
      </c:barChart>
      <c:catAx>
        <c:axId val="81113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811122752"/>
        <c:crosses val="autoZero"/>
        <c:auto val="1"/>
        <c:lblAlgn val="ctr"/>
        <c:lblOffset val="100"/>
        <c:noMultiLvlLbl val="0"/>
      </c:catAx>
      <c:valAx>
        <c:axId val="811122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811136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'Nedostatkové pedagogické ŠP'!$M$2</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'Nedostatkové pedagogické ŠP'!$L$3:$L$5</c:f>
              <c:strCache>
                <c:ptCount val="3"/>
                <c:pt idx="0">
                  <c:v>Najväčšie talenty spomedzi slovenských maturantov</c:v>
                </c:pt>
                <c:pt idx="1">
                  <c:v>Nadpriemerní študenti, ktorí sú zo sociálne znevýhodneného prostredia alebo patria do špecifických znevýhodnených skupín</c:v>
                </c:pt>
                <c:pt idx="2">
                  <c:v>Spolu</c:v>
                </c:pt>
              </c:strCache>
            </c:strRef>
          </c:cat>
          <c:val>
            <c:numRef>
              <c:f>'Nedostatkové pedagogické ŠP'!$M$3:$M$5</c:f>
              <c:numCache>
                <c:formatCode>General</c:formatCode>
                <c:ptCount val="3"/>
                <c:pt idx="0">
                  <c:v>6</c:v>
                </c:pt>
                <c:pt idx="1">
                  <c:v>3</c:v>
                </c:pt>
                <c:pt idx="2">
                  <c:v>9</c:v>
                </c:pt>
              </c:numCache>
            </c:numRef>
          </c:val>
          <c:extLst>
            <c:ext xmlns:c16="http://schemas.microsoft.com/office/drawing/2014/chart" uri="{C3380CC4-5D6E-409C-BE32-E72D297353CC}">
              <c16:uniqueId val="{00000000-02CF-426B-9700-3EA96AF33ECC}"/>
            </c:ext>
          </c:extLst>
        </c:ser>
        <c:ser>
          <c:idx val="1"/>
          <c:order val="1"/>
          <c:tx>
            <c:strRef>
              <c:f>'Nedostatkové pedagogické ŠP'!$N$2</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'Nedostatkové pedagogické ŠP'!$L$3:$L$5</c:f>
              <c:strCache>
                <c:ptCount val="3"/>
                <c:pt idx="0">
                  <c:v>Najväčšie talenty spomedzi slovenských maturantov</c:v>
                </c:pt>
                <c:pt idx="1">
                  <c:v>Nadpriemerní študenti, ktorí sú zo sociálne znevýhodneného prostredia alebo patria do špecifických znevýhodnených skupín</c:v>
                </c:pt>
                <c:pt idx="2">
                  <c:v>Spolu</c:v>
                </c:pt>
              </c:strCache>
            </c:strRef>
          </c:cat>
          <c:val>
            <c:numRef>
              <c:f>'Nedostatkové pedagogické ŠP'!$N$3:$N$5</c:f>
              <c:numCache>
                <c:formatCode>General</c:formatCode>
                <c:ptCount val="3"/>
                <c:pt idx="0">
                  <c:v>7</c:v>
                </c:pt>
                <c:pt idx="1">
                  <c:v>8</c:v>
                </c:pt>
                <c:pt idx="2">
                  <c:v>15</c:v>
                </c:pt>
              </c:numCache>
            </c:numRef>
          </c:val>
          <c:extLst>
            <c:ext xmlns:c16="http://schemas.microsoft.com/office/drawing/2014/chart" uri="{C3380CC4-5D6E-409C-BE32-E72D297353CC}">
              <c16:uniqueId val="{00000001-02CF-426B-9700-3EA96AF33ECC}"/>
            </c:ext>
          </c:extLst>
        </c:ser>
        <c:ser>
          <c:idx val="2"/>
          <c:order val="2"/>
          <c:tx>
            <c:strRef>
              <c:f>'Nedostatkové pedagogické ŠP'!$O$2</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'Nedostatkové pedagogické ŠP'!$L$3:$L$5</c:f>
              <c:strCache>
                <c:ptCount val="3"/>
                <c:pt idx="0">
                  <c:v>Najväčšie talenty spomedzi slovenských maturantov</c:v>
                </c:pt>
                <c:pt idx="1">
                  <c:v>Nadpriemerní študenti, ktorí sú zo sociálne znevýhodneného prostredia alebo patria do špecifických znevýhodnených skupín</c:v>
                </c:pt>
                <c:pt idx="2">
                  <c:v>Spolu</c:v>
                </c:pt>
              </c:strCache>
            </c:strRef>
          </c:cat>
          <c:val>
            <c:numRef>
              <c:f>'Nedostatkové pedagogické ŠP'!$O$3:$O$5</c:f>
              <c:numCache>
                <c:formatCode>General</c:formatCode>
                <c:ptCount val="3"/>
                <c:pt idx="0">
                  <c:v>8</c:v>
                </c:pt>
                <c:pt idx="1">
                  <c:v>18</c:v>
                </c:pt>
                <c:pt idx="2">
                  <c:v>26</c:v>
                </c:pt>
              </c:numCache>
            </c:numRef>
          </c:val>
          <c:extLst>
            <c:ext xmlns:c16="http://schemas.microsoft.com/office/drawing/2014/chart" uri="{C3380CC4-5D6E-409C-BE32-E72D297353CC}">
              <c16:uniqueId val="{00000002-02CF-426B-9700-3EA96AF33ECC}"/>
            </c:ext>
          </c:extLst>
        </c:ser>
        <c:dLbls>
          <c:showLegendKey val="0"/>
          <c:showVal val="0"/>
          <c:showCatName val="0"/>
          <c:showSerName val="0"/>
          <c:showPercent val="0"/>
          <c:showBubbleSize val="0"/>
        </c:dLbls>
        <c:gapWidth val="100"/>
        <c:axId val="1833758911"/>
        <c:axId val="1833767231"/>
      </c:barChart>
      <c:catAx>
        <c:axId val="18337589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33767231"/>
        <c:crosses val="autoZero"/>
        <c:auto val="1"/>
        <c:lblAlgn val="ctr"/>
        <c:lblOffset val="100"/>
        <c:noMultiLvlLbl val="0"/>
      </c:catAx>
      <c:valAx>
        <c:axId val="18337672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8337589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'Obr.výdavky ako % HDP-NATO'!$C$50</c:f>
              <c:strCache>
                <c:ptCount val="1"/>
                <c:pt idx="0">
                  <c:v>2024 odhad</c:v>
                </c:pt>
              </c:strCache>
            </c:strRef>
          </c:tx>
          <c:spPr>
            <a:solidFill>
              <a:schemeClr val="bg2"/>
            </a:solidFill>
            <a:ln w="25400">
              <a:noFill/>
            </a:ln>
            <a:effectLst/>
          </c:spPr>
          <c:invertIfNegative val="0"/>
          <c:dPt>
            <c:idx val="6"/>
            <c:invertIfNegative val="0"/>
            <c:bubble3D val="0"/>
            <c:spPr>
              <a:solidFill>
                <a:schemeClr val="bg2"/>
              </a:solidFill>
              <a:ln w="25400">
                <a:noFill/>
              </a:ln>
              <a:effectLst/>
            </c:spPr>
            <c:extLst>
              <c:ext xmlns:c16="http://schemas.microsoft.com/office/drawing/2014/chart" uri="{C3380CC4-5D6E-409C-BE32-E72D297353CC}">
                <c16:uniqueId val="{00000001-74D2-4138-BAB2-A3E5D26F923F}"/>
              </c:ext>
            </c:extLst>
          </c:dPt>
          <c:dPt>
            <c:idx val="23"/>
            <c:invertIfNegative val="0"/>
            <c:bubble3D val="0"/>
            <c:spPr>
              <a:solidFill>
                <a:schemeClr val="bg2"/>
              </a:solidFill>
              <a:ln w="25400">
                <a:noFill/>
              </a:ln>
              <a:effectLst/>
            </c:spPr>
            <c:extLst>
              <c:ext xmlns:c16="http://schemas.microsoft.com/office/drawing/2014/chart" uri="{C3380CC4-5D6E-409C-BE32-E72D297353CC}">
                <c16:uniqueId val="{00000003-74D2-4138-BAB2-A3E5D26F923F}"/>
              </c:ext>
            </c:extLst>
          </c:dPt>
          <c:dPt>
            <c:idx val="24"/>
            <c:invertIfNegative val="0"/>
            <c:bubble3D val="0"/>
            <c:spPr>
              <a:solidFill>
                <a:schemeClr val="accent6"/>
              </a:solidFill>
              <a:ln w="12700">
                <a:solidFill>
                  <a:schemeClr val="accent6"/>
                </a:solidFill>
              </a:ln>
              <a:effectLst/>
            </c:spPr>
            <c:extLst>
              <c:ext xmlns:c16="http://schemas.microsoft.com/office/drawing/2014/chart" uri="{C3380CC4-5D6E-409C-BE32-E72D297353CC}">
                <c16:uniqueId val="{00000005-74D2-4138-BAB2-A3E5D26F923F}"/>
              </c:ext>
            </c:extLst>
          </c:dPt>
          <c:cat>
            <c:strRef>
              <c:f>'Obr.výdavky ako % HDP-NATO'!$A$51:$A$83</c:f>
              <c:strCache>
                <c:ptCount val="33"/>
                <c:pt idx="0">
                  <c:v>Poľsko</c:v>
                </c:pt>
                <c:pt idx="1">
                  <c:v>Estónsko</c:v>
                </c:pt>
                <c:pt idx="2">
                  <c:v>USA</c:v>
                </c:pt>
                <c:pt idx="3">
                  <c:v>Lotyšsko</c:v>
                </c:pt>
                <c:pt idx="4">
                  <c:v>Grécko</c:v>
                </c:pt>
                <c:pt idx="5">
                  <c:v>Litva</c:v>
                </c:pt>
                <c:pt idx="6">
                  <c:v>NATO</c:v>
                </c:pt>
                <c:pt idx="7">
                  <c:v>Fínsko</c:v>
                </c:pt>
                <c:pt idx="8">
                  <c:v>Dánsko</c:v>
                </c:pt>
                <c:pt idx="9">
                  <c:v>Spojené kráľovstvo</c:v>
                </c:pt>
                <c:pt idx="10">
                  <c:v>Rumunsko</c:v>
                </c:pt>
                <c:pt idx="11">
                  <c:v>Sev. Macedónsko</c:v>
                </c:pt>
                <c:pt idx="12">
                  <c:v>Nórsko</c:v>
                </c:pt>
                <c:pt idx="13">
                  <c:v>Bulharsko</c:v>
                </c:pt>
                <c:pt idx="14">
                  <c:v>Švédsko</c:v>
                </c:pt>
                <c:pt idx="15">
                  <c:v>Nemecko</c:v>
                </c:pt>
                <c:pt idx="16">
                  <c:v>Maďarsko</c:v>
                </c:pt>
                <c:pt idx="17">
                  <c:v>Česko</c:v>
                </c:pt>
                <c:pt idx="18">
                  <c:v>Turecko</c:v>
                </c:pt>
                <c:pt idx="19">
                  <c:v>Francúzsko</c:v>
                </c:pt>
                <c:pt idx="20">
                  <c:v>Holandsko</c:v>
                </c:pt>
                <c:pt idx="21">
                  <c:v>Albánsko</c:v>
                </c:pt>
                <c:pt idx="22">
                  <c:v>Čierna Hora</c:v>
                </c:pt>
                <c:pt idx="23">
                  <c:v>NATO bez USA</c:v>
                </c:pt>
                <c:pt idx="24">
                  <c:v>Slovensko</c:v>
                </c:pt>
                <c:pt idx="25">
                  <c:v>Chorvátsko</c:v>
                </c:pt>
                <c:pt idx="26">
                  <c:v>Portugalsko</c:v>
                </c:pt>
                <c:pt idx="27">
                  <c:v>Taliansko</c:v>
                </c:pt>
                <c:pt idx="28">
                  <c:v>Kanada</c:v>
                </c:pt>
                <c:pt idx="29">
                  <c:v>Belgicko</c:v>
                </c:pt>
                <c:pt idx="30">
                  <c:v>Luxembursko</c:v>
                </c:pt>
                <c:pt idx="31">
                  <c:v>Slovinsko</c:v>
                </c:pt>
                <c:pt idx="32">
                  <c:v>Španielsko</c:v>
                </c:pt>
              </c:strCache>
            </c:strRef>
          </c:cat>
          <c:val>
            <c:numRef>
              <c:f>'Obr.výdavky ako % HDP-NATO'!$C$51:$C$83</c:f>
              <c:numCache>
                <c:formatCode>General</c:formatCode>
                <c:ptCount val="33"/>
                <c:pt idx="0">
                  <c:v>4.1201909893571473</c:v>
                </c:pt>
                <c:pt idx="1">
                  <c:v>3.4314625890573818</c:v>
                </c:pt>
                <c:pt idx="2">
                  <c:v>3.3790207262385565</c:v>
                </c:pt>
                <c:pt idx="3">
                  <c:v>3.1480258529892384</c:v>
                </c:pt>
                <c:pt idx="4">
                  <c:v>3.0759535261611037</c:v>
                </c:pt>
                <c:pt idx="5">
                  <c:v>2.8495515889570782</c:v>
                </c:pt>
                <c:pt idx="6">
                  <c:v>2.7127497283473159</c:v>
                </c:pt>
                <c:pt idx="7">
                  <c:v>2.4140772955536267</c:v>
                </c:pt>
                <c:pt idx="8">
                  <c:v>2.374576871428173</c:v>
                </c:pt>
                <c:pt idx="9">
                  <c:v>2.3322602255087128</c:v>
                </c:pt>
                <c:pt idx="10">
                  <c:v>2.2516277550781809</c:v>
                </c:pt>
                <c:pt idx="11">
                  <c:v>2.2213001138901891</c:v>
                </c:pt>
                <c:pt idx="12">
                  <c:v>2.1976529360586272</c:v>
                </c:pt>
                <c:pt idx="13">
                  <c:v>2.1786672466802064</c:v>
                </c:pt>
                <c:pt idx="14">
                  <c:v>2.143210151776056</c:v>
                </c:pt>
                <c:pt idx="15">
                  <c:v>2.1189770886676191</c:v>
                </c:pt>
                <c:pt idx="16">
                  <c:v>2.1107658032713594</c:v>
                </c:pt>
                <c:pt idx="17">
                  <c:v>2.095574480758243</c:v>
                </c:pt>
                <c:pt idx="18">
                  <c:v>2.0890202976150429</c:v>
                </c:pt>
                <c:pt idx="19">
                  <c:v>2.0597448978198241</c:v>
                </c:pt>
                <c:pt idx="20">
                  <c:v>2.0495461473730692</c:v>
                </c:pt>
                <c:pt idx="21">
                  <c:v>2.0294680677363757</c:v>
                </c:pt>
                <c:pt idx="22">
                  <c:v>2.0172837757020856</c:v>
                </c:pt>
                <c:pt idx="23">
                  <c:v>2.0154548520439497</c:v>
                </c:pt>
                <c:pt idx="24">
                  <c:v>2</c:v>
                </c:pt>
                <c:pt idx="25">
                  <c:v>1.8065856886024478</c:v>
                </c:pt>
                <c:pt idx="26">
                  <c:v>1.5475688452189258</c:v>
                </c:pt>
                <c:pt idx="27">
                  <c:v>1.4910941208035369</c:v>
                </c:pt>
                <c:pt idx="28">
                  <c:v>1.3651551143938319</c:v>
                </c:pt>
                <c:pt idx="29">
                  <c:v>1.2991611084952479</c:v>
                </c:pt>
                <c:pt idx="30">
                  <c:v>1.2935808360974441</c:v>
                </c:pt>
                <c:pt idx="31">
                  <c:v>1.2908213732437304</c:v>
                </c:pt>
                <c:pt idx="32">
                  <c:v>1.282549642204323</c:v>
                </c:pt>
              </c:numCache>
            </c:numRef>
          </c:val>
          <c:extLst>
            <c:ext xmlns:c16="http://schemas.microsoft.com/office/drawing/2014/chart" uri="{C3380CC4-5D6E-409C-BE32-E72D297353CC}">
              <c16:uniqueId val="{00000006-74D2-4138-BAB2-A3E5D26F923F}"/>
            </c:ext>
          </c:extLst>
        </c:ser>
        <c:dLbls>
          <c:showLegendKey val="0"/>
          <c:showVal val="0"/>
          <c:showCatName val="0"/>
          <c:showSerName val="0"/>
          <c:showPercent val="0"/>
          <c:showBubbleSize val="0"/>
        </c:dLbls>
        <c:gapWidth val="100"/>
        <c:axId val="585312719"/>
        <c:axId val="585302319"/>
      </c:barChart>
      <c:lineChart>
        <c:grouping val="standard"/>
        <c:varyColors val="0"/>
        <c:ser>
          <c:idx val="2"/>
          <c:order val="2"/>
          <c:tx>
            <c:strRef>
              <c:f>'Obr.výdavky ako % HDP-NATO'!$D$50</c:f>
              <c:strCache>
                <c:ptCount val="1"/>
                <c:pt idx="0">
                  <c:v>Odporúčanie NATO</c:v>
                </c:pt>
              </c:strCache>
            </c:strRef>
          </c:tx>
          <c:spPr>
            <a:ln w="25400" cap="rnd">
              <a:solidFill>
                <a:schemeClr val="accent3"/>
              </a:solidFill>
              <a:prstDash val="dash"/>
              <a:round/>
            </a:ln>
            <a:effectLst/>
          </c:spPr>
          <c:marker>
            <c:symbol val="none"/>
          </c:marker>
          <c:cat>
            <c:strRef>
              <c:f>'Obr.výdavky ako % HDP-NATO'!$A$51:$A$83</c:f>
              <c:strCache>
                <c:ptCount val="33"/>
                <c:pt idx="0">
                  <c:v>Poľsko</c:v>
                </c:pt>
                <c:pt idx="1">
                  <c:v>Estónsko</c:v>
                </c:pt>
                <c:pt idx="2">
                  <c:v>USA</c:v>
                </c:pt>
                <c:pt idx="3">
                  <c:v>Lotyšsko</c:v>
                </c:pt>
                <c:pt idx="4">
                  <c:v>Grécko</c:v>
                </c:pt>
                <c:pt idx="5">
                  <c:v>Litva</c:v>
                </c:pt>
                <c:pt idx="6">
                  <c:v>NATO</c:v>
                </c:pt>
                <c:pt idx="7">
                  <c:v>Fínsko</c:v>
                </c:pt>
                <c:pt idx="8">
                  <c:v>Dánsko</c:v>
                </c:pt>
                <c:pt idx="9">
                  <c:v>Spojené kráľovstvo</c:v>
                </c:pt>
                <c:pt idx="10">
                  <c:v>Rumunsko</c:v>
                </c:pt>
                <c:pt idx="11">
                  <c:v>Sev. Macedónsko</c:v>
                </c:pt>
                <c:pt idx="12">
                  <c:v>Nórsko</c:v>
                </c:pt>
                <c:pt idx="13">
                  <c:v>Bulharsko</c:v>
                </c:pt>
                <c:pt idx="14">
                  <c:v>Švédsko</c:v>
                </c:pt>
                <c:pt idx="15">
                  <c:v>Nemecko</c:v>
                </c:pt>
                <c:pt idx="16">
                  <c:v>Maďarsko</c:v>
                </c:pt>
                <c:pt idx="17">
                  <c:v>Česko</c:v>
                </c:pt>
                <c:pt idx="18">
                  <c:v>Turecko</c:v>
                </c:pt>
                <c:pt idx="19">
                  <c:v>Francúzsko</c:v>
                </c:pt>
                <c:pt idx="20">
                  <c:v>Holandsko</c:v>
                </c:pt>
                <c:pt idx="21">
                  <c:v>Albánsko</c:v>
                </c:pt>
                <c:pt idx="22">
                  <c:v>Čierna Hora</c:v>
                </c:pt>
                <c:pt idx="23">
                  <c:v>NATO bez USA</c:v>
                </c:pt>
                <c:pt idx="24">
                  <c:v>Slovensko</c:v>
                </c:pt>
                <c:pt idx="25">
                  <c:v>Chorvátsko</c:v>
                </c:pt>
                <c:pt idx="26">
                  <c:v>Portugalsko</c:v>
                </c:pt>
                <c:pt idx="27">
                  <c:v>Taliansko</c:v>
                </c:pt>
                <c:pt idx="28">
                  <c:v>Kanada</c:v>
                </c:pt>
                <c:pt idx="29">
                  <c:v>Belgicko</c:v>
                </c:pt>
                <c:pt idx="30">
                  <c:v>Luxembursko</c:v>
                </c:pt>
                <c:pt idx="31">
                  <c:v>Slovinsko</c:v>
                </c:pt>
                <c:pt idx="32">
                  <c:v>Španielsko</c:v>
                </c:pt>
              </c:strCache>
            </c:strRef>
          </c:cat>
          <c:val>
            <c:numRef>
              <c:f>'Obr.výdavky ako % HDP-NATO'!$D$51:$D$83</c:f>
              <c:numCache>
                <c:formatCode>General</c:formatCode>
                <c:ptCount val="33"/>
                <c:pt idx="0">
                  <c:v>2</c:v>
                </c:pt>
                <c:pt idx="1">
                  <c:v>2</c:v>
                </c:pt>
                <c:pt idx="2">
                  <c:v>2</c:v>
                </c:pt>
                <c:pt idx="3">
                  <c:v>2</c:v>
                </c:pt>
                <c:pt idx="4">
                  <c:v>2</c:v>
                </c:pt>
                <c:pt idx="5">
                  <c:v>2</c:v>
                </c:pt>
                <c:pt idx="6">
                  <c:v>2</c:v>
                </c:pt>
                <c:pt idx="7">
                  <c:v>2</c:v>
                </c:pt>
                <c:pt idx="8">
                  <c:v>2</c:v>
                </c:pt>
                <c:pt idx="9">
                  <c:v>2</c:v>
                </c:pt>
                <c:pt idx="10">
                  <c:v>2</c:v>
                </c:pt>
                <c:pt idx="11">
                  <c:v>2</c:v>
                </c:pt>
                <c:pt idx="12">
                  <c:v>2</c:v>
                </c:pt>
                <c:pt idx="13">
                  <c:v>2</c:v>
                </c:pt>
                <c:pt idx="14">
                  <c:v>2</c:v>
                </c:pt>
                <c:pt idx="15">
                  <c:v>2</c:v>
                </c:pt>
                <c:pt idx="16">
                  <c:v>2</c:v>
                </c:pt>
                <c:pt idx="17">
                  <c:v>2</c:v>
                </c:pt>
                <c:pt idx="18">
                  <c:v>2</c:v>
                </c:pt>
                <c:pt idx="19">
                  <c:v>2</c:v>
                </c:pt>
                <c:pt idx="20">
                  <c:v>2</c:v>
                </c:pt>
                <c:pt idx="21">
                  <c:v>2</c:v>
                </c:pt>
                <c:pt idx="22">
                  <c:v>2</c:v>
                </c:pt>
                <c:pt idx="23">
                  <c:v>2</c:v>
                </c:pt>
                <c:pt idx="24">
                  <c:v>2</c:v>
                </c:pt>
                <c:pt idx="25">
                  <c:v>2</c:v>
                </c:pt>
                <c:pt idx="26">
                  <c:v>2</c:v>
                </c:pt>
                <c:pt idx="27">
                  <c:v>2</c:v>
                </c:pt>
                <c:pt idx="28">
                  <c:v>2</c:v>
                </c:pt>
                <c:pt idx="29">
                  <c:v>2</c:v>
                </c:pt>
                <c:pt idx="30">
                  <c:v>2</c:v>
                </c:pt>
                <c:pt idx="31">
                  <c:v>2</c:v>
                </c:pt>
                <c:pt idx="32">
                  <c:v>2</c:v>
                </c:pt>
              </c:numCache>
            </c:numRef>
          </c:val>
          <c:smooth val="0"/>
          <c:extLst>
            <c:ext xmlns:c16="http://schemas.microsoft.com/office/drawing/2014/chart" uri="{C3380CC4-5D6E-409C-BE32-E72D297353CC}">
              <c16:uniqueId val="{00000007-74D2-4138-BAB2-A3E5D26F923F}"/>
            </c:ext>
          </c:extLst>
        </c:ser>
        <c:dLbls>
          <c:showLegendKey val="0"/>
          <c:showVal val="0"/>
          <c:showCatName val="0"/>
          <c:showSerName val="0"/>
          <c:showPercent val="0"/>
          <c:showBubbleSize val="0"/>
        </c:dLbls>
        <c:marker val="1"/>
        <c:smooth val="0"/>
        <c:axId val="585312719"/>
        <c:axId val="585302319"/>
      </c:lineChart>
      <c:scatterChart>
        <c:scatterStyle val="lineMarker"/>
        <c:varyColors val="0"/>
        <c:ser>
          <c:idx val="0"/>
          <c:order val="0"/>
          <c:tx>
            <c:strRef>
              <c:f>'Obr.výdavky ako % HDP-NATO'!$B$50</c:f>
              <c:strCache>
                <c:ptCount val="1"/>
                <c:pt idx="0">
                  <c:v>2014</c:v>
                </c:pt>
              </c:strCache>
            </c:strRef>
          </c:tx>
          <c:spPr>
            <a:ln w="25400" cap="rnd">
              <a:noFill/>
              <a:round/>
            </a:ln>
            <a:effectLst/>
          </c:spPr>
          <c:marker>
            <c:symbol val="circle"/>
            <c:size val="5"/>
            <c:spPr>
              <a:solidFill>
                <a:schemeClr val="tx2"/>
              </a:solidFill>
              <a:ln w="9525">
                <a:solidFill>
                  <a:schemeClr val="tx2"/>
                </a:solidFill>
              </a:ln>
              <a:effectLst/>
            </c:spPr>
          </c:marker>
          <c:xVal>
            <c:strRef>
              <c:f>'Obr.výdavky ako % HDP-NATO'!$A$51:$A$83</c:f>
              <c:strCache>
                <c:ptCount val="33"/>
                <c:pt idx="0">
                  <c:v>Poľsko</c:v>
                </c:pt>
                <c:pt idx="1">
                  <c:v>Estónsko</c:v>
                </c:pt>
                <c:pt idx="2">
                  <c:v>USA</c:v>
                </c:pt>
                <c:pt idx="3">
                  <c:v>Lotyšsko</c:v>
                </c:pt>
                <c:pt idx="4">
                  <c:v>Grécko</c:v>
                </c:pt>
                <c:pt idx="5">
                  <c:v>Litva</c:v>
                </c:pt>
                <c:pt idx="6">
                  <c:v>NATO</c:v>
                </c:pt>
                <c:pt idx="7">
                  <c:v>Fínsko</c:v>
                </c:pt>
                <c:pt idx="8">
                  <c:v>Dánsko</c:v>
                </c:pt>
                <c:pt idx="9">
                  <c:v>Spojené kráľovstvo</c:v>
                </c:pt>
                <c:pt idx="10">
                  <c:v>Rumunsko</c:v>
                </c:pt>
                <c:pt idx="11">
                  <c:v>Sev. Macedónsko</c:v>
                </c:pt>
                <c:pt idx="12">
                  <c:v>Nórsko</c:v>
                </c:pt>
                <c:pt idx="13">
                  <c:v>Bulharsko</c:v>
                </c:pt>
                <c:pt idx="14">
                  <c:v>Švédsko</c:v>
                </c:pt>
                <c:pt idx="15">
                  <c:v>Nemecko</c:v>
                </c:pt>
                <c:pt idx="16">
                  <c:v>Maďarsko</c:v>
                </c:pt>
                <c:pt idx="17">
                  <c:v>Česko</c:v>
                </c:pt>
                <c:pt idx="18">
                  <c:v>Turecko</c:v>
                </c:pt>
                <c:pt idx="19">
                  <c:v>Francúzsko</c:v>
                </c:pt>
                <c:pt idx="20">
                  <c:v>Holandsko</c:v>
                </c:pt>
                <c:pt idx="21">
                  <c:v>Albánsko</c:v>
                </c:pt>
                <c:pt idx="22">
                  <c:v>Čierna Hora</c:v>
                </c:pt>
                <c:pt idx="23">
                  <c:v>NATO bez USA</c:v>
                </c:pt>
                <c:pt idx="24">
                  <c:v>Slovensko</c:v>
                </c:pt>
                <c:pt idx="25">
                  <c:v>Chorvátsko</c:v>
                </c:pt>
                <c:pt idx="26">
                  <c:v>Portugalsko</c:v>
                </c:pt>
                <c:pt idx="27">
                  <c:v>Taliansko</c:v>
                </c:pt>
                <c:pt idx="28">
                  <c:v>Kanada</c:v>
                </c:pt>
                <c:pt idx="29">
                  <c:v>Belgicko</c:v>
                </c:pt>
                <c:pt idx="30">
                  <c:v>Luxembursko</c:v>
                </c:pt>
                <c:pt idx="31">
                  <c:v>Slovinsko</c:v>
                </c:pt>
                <c:pt idx="32">
                  <c:v>Španielsko</c:v>
                </c:pt>
              </c:strCache>
            </c:strRef>
          </c:xVal>
          <c:yVal>
            <c:numRef>
              <c:f>'Obr.výdavky ako % HDP-NATO'!$B$51:$B$83</c:f>
              <c:numCache>
                <c:formatCode>General</c:formatCode>
                <c:ptCount val="33"/>
                <c:pt idx="0">
                  <c:v>1.8752685360706713</c:v>
                </c:pt>
                <c:pt idx="1">
                  <c:v>1.92873799093634</c:v>
                </c:pt>
                <c:pt idx="2">
                  <c:v>3.7139172994177043</c:v>
                </c:pt>
                <c:pt idx="3">
                  <c:v>0.93562965336074744</c:v>
                </c:pt>
                <c:pt idx="4">
                  <c:v>2.2222501141415969</c:v>
                </c:pt>
                <c:pt idx="5">
                  <c:v>0.8796754293247111</c:v>
                </c:pt>
                <c:pt idx="6">
                  <c:v>2.5785805502066639</c:v>
                </c:pt>
                <c:pt idx="7">
                  <c:v>1.4517097879621264</c:v>
                </c:pt>
                <c:pt idx="8">
                  <c:v>1.1493157611670286</c:v>
                </c:pt>
                <c:pt idx="9">
                  <c:v>2.1423756962030893</c:v>
                </c:pt>
                <c:pt idx="10">
                  <c:v>1.3476645895502306</c:v>
                </c:pt>
                <c:pt idx="11">
                  <c:v>1.0884017428847053</c:v>
                </c:pt>
                <c:pt idx="12">
                  <c:v>1.539005243238692</c:v>
                </c:pt>
                <c:pt idx="13">
                  <c:v>1.309083360627801</c:v>
                </c:pt>
                <c:pt idx="14">
                  <c:v>1.0644305762881403</c:v>
                </c:pt>
                <c:pt idx="15">
                  <c:v>1.1851482213758722</c:v>
                </c:pt>
                <c:pt idx="16">
                  <c:v>0.85780963079475148</c:v>
                </c:pt>
                <c:pt idx="17">
                  <c:v>0.94374764445551096</c:v>
                </c:pt>
                <c:pt idx="18">
                  <c:v>1.4466412684504484</c:v>
                </c:pt>
                <c:pt idx="19">
                  <c:v>1.8189453615057607</c:v>
                </c:pt>
                <c:pt idx="20">
                  <c:v>1.1516287307443844</c:v>
                </c:pt>
                <c:pt idx="21">
                  <c:v>1.3465168570312589</c:v>
                </c:pt>
                <c:pt idx="22">
                  <c:v>1.5044671299509531</c:v>
                </c:pt>
                <c:pt idx="23">
                  <c:v>1.4278082919106425</c:v>
                </c:pt>
                <c:pt idx="24">
                  <c:v>0.98430535106210615</c:v>
                </c:pt>
                <c:pt idx="25">
                  <c:v>1.8119292581028477</c:v>
                </c:pt>
                <c:pt idx="26">
                  <c:v>1.3077681447603451</c:v>
                </c:pt>
                <c:pt idx="27">
                  <c:v>1.1396981810032158</c:v>
                </c:pt>
                <c:pt idx="28">
                  <c:v>1.0063652555168234</c:v>
                </c:pt>
                <c:pt idx="29">
                  <c:v>0.97101568028029783</c:v>
                </c:pt>
                <c:pt idx="30">
                  <c:v>0.36769711105550013</c:v>
                </c:pt>
                <c:pt idx="31">
                  <c:v>0.9737384612141603</c:v>
                </c:pt>
                <c:pt idx="32">
                  <c:v>0.92075114661129887</c:v>
                </c:pt>
              </c:numCache>
            </c:numRef>
          </c:yVal>
          <c:smooth val="0"/>
          <c:extLst>
            <c:ext xmlns:c16="http://schemas.microsoft.com/office/drawing/2014/chart" uri="{C3380CC4-5D6E-409C-BE32-E72D297353CC}">
              <c16:uniqueId val="{00000008-74D2-4138-BAB2-A3E5D26F923F}"/>
            </c:ext>
          </c:extLst>
        </c:ser>
        <c:dLbls>
          <c:showLegendKey val="0"/>
          <c:showVal val="0"/>
          <c:showCatName val="0"/>
          <c:showSerName val="0"/>
          <c:showPercent val="0"/>
          <c:showBubbleSize val="0"/>
        </c:dLbls>
        <c:axId val="585312719"/>
        <c:axId val="585302319"/>
      </c:scatterChart>
      <c:catAx>
        <c:axId val="585312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chemeClr val="tx2"/>
                </a:solidFill>
                <a:latin typeface="Segoe UI" panose="020B0502040204020203" pitchFamily="34" charset="0"/>
                <a:ea typeface="Segoe UI Black" panose="020B0A02040204020203" pitchFamily="34" charset="0"/>
                <a:cs typeface="Segoe UI" panose="020B0502040204020203" pitchFamily="34" charset="0"/>
              </a:defRPr>
            </a:pPr>
            <a:endParaRPr lang="sk-SK"/>
          </a:p>
        </c:txPr>
        <c:crossAx val="585302319"/>
        <c:crosses val="autoZero"/>
        <c:auto val="1"/>
        <c:lblAlgn val="ctr"/>
        <c:lblOffset val="100"/>
        <c:noMultiLvlLbl val="0"/>
      </c:catAx>
      <c:valAx>
        <c:axId val="5853023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2"/>
                </a:solidFill>
                <a:latin typeface="Segoe UI" panose="020B0502040204020203" pitchFamily="34" charset="0"/>
                <a:ea typeface="Segoe UI Black" panose="020B0A02040204020203" pitchFamily="34" charset="0"/>
                <a:cs typeface="Segoe UI" panose="020B0502040204020203" pitchFamily="34" charset="0"/>
              </a:defRPr>
            </a:pPr>
            <a:endParaRPr lang="sk-SK"/>
          </a:p>
        </c:txPr>
        <c:crossAx val="585312719"/>
        <c:crosses val="autoZero"/>
        <c:crossBetween val="between"/>
        <c:majorUnit val="1"/>
      </c:valAx>
      <c:spPr>
        <a:noFill/>
        <a:ln>
          <a:noFill/>
        </a:ln>
        <a:effectLst/>
      </c:spPr>
    </c:plotArea>
    <c:legend>
      <c:legendPos val="t"/>
      <c:layout>
        <c:manualLayout>
          <c:xMode val="edge"/>
          <c:yMode val="edge"/>
          <c:x val="0.13754096616301342"/>
          <c:y val="7.3390555910240948E-2"/>
          <c:w val="0.78635108533730569"/>
          <c:h val="6.3451693075291998E-2"/>
        </c:manualLayout>
      </c:layout>
      <c:overlay val="1"/>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Segoe UI Black" panose="020B0A02040204020203" pitchFamily="34" charset="0"/>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700">
          <a:solidFill>
            <a:schemeClr val="tx2"/>
          </a:solidFill>
          <a:latin typeface="Segoe UI" panose="020B0502040204020203" pitchFamily="34" charset="0"/>
          <a:ea typeface="Segoe UI Black" panose="020B0A02040204020203" pitchFamily="34" charset="0"/>
          <a:cs typeface="Segoe UI" panose="020B0502040204020203" pitchFamily="34" charset="0"/>
        </a:defRPr>
      </a:pPr>
      <a:endParaRPr lang="sk-SK"/>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253556448698433E-2"/>
          <c:y val="5.0505050505050504E-2"/>
          <c:w val="0.89829396325459321"/>
          <c:h val="0.65276813516589993"/>
        </c:manualLayout>
      </c:layout>
      <c:barChart>
        <c:barDir val="col"/>
        <c:grouping val="clustered"/>
        <c:varyColors val="0"/>
        <c:ser>
          <c:idx val="0"/>
          <c:order val="0"/>
          <c:spPr>
            <a:solidFill>
              <a:srgbClr val="9CB9EC"/>
            </a:solidFill>
            <a:ln>
              <a:noFill/>
            </a:ln>
            <a:effectLst/>
          </c:spPr>
          <c:invertIfNegative val="0"/>
          <c:dPt>
            <c:idx val="20"/>
            <c:invertIfNegative val="0"/>
            <c:bubble3D val="0"/>
            <c:spPr>
              <a:solidFill>
                <a:srgbClr val="F55647"/>
              </a:solidFill>
              <a:ln>
                <a:noFill/>
              </a:ln>
              <a:effectLst/>
            </c:spPr>
            <c:extLst>
              <c:ext xmlns:c16="http://schemas.microsoft.com/office/drawing/2014/chart" uri="{C3380CC4-5D6E-409C-BE32-E72D297353CC}">
                <c16:uniqueId val="{00000001-DCFC-44AC-902E-DC4138B1F141}"/>
              </c:ext>
            </c:extLst>
          </c:dPt>
          <c:dLbls>
            <c:dLbl>
              <c:idx val="20"/>
              <c:layout>
                <c:manualLayout>
                  <c:x val="-8.0851693704735569E-17"/>
                  <c:y val="-7.1684587813620068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CFC-44AC-902E-DC4138B1F14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F55647"/>
                      </a:solidFill>
                      <a:round/>
                    </a:ln>
                    <a:effectLst/>
                  </c:spPr>
                </c15:leaderLines>
              </c:ext>
            </c:extLst>
          </c:dLbls>
          <c:cat>
            <c:strRef>
              <c:f>'Graf 5'!$B$3:$B$29</c:f>
              <c:strCache>
                <c:ptCount val="27"/>
                <c:pt idx="0">
                  <c:v>Fínsko</c:v>
                </c:pt>
                <c:pt idx="1">
                  <c:v>Rakúsko</c:v>
                </c:pt>
                <c:pt idx="2">
                  <c:v>Francúzsko</c:v>
                </c:pt>
                <c:pt idx="3">
                  <c:v>Dánsko</c:v>
                </c:pt>
                <c:pt idx="4">
                  <c:v>Belgicko</c:v>
                </c:pt>
                <c:pt idx="5">
                  <c:v>Grécko</c:v>
                </c:pt>
                <c:pt idx="6">
                  <c:v>Švédsko</c:v>
                </c:pt>
                <c:pt idx="7">
                  <c:v>Luxembursko</c:v>
                </c:pt>
                <c:pt idx="8">
                  <c:v>Taliansko</c:v>
                </c:pt>
                <c:pt idx="9">
                  <c:v>Nemecko</c:v>
                </c:pt>
                <c:pt idx="10">
                  <c:v>Slovinsko</c:v>
                </c:pt>
                <c:pt idx="11">
                  <c:v>Chorvátsko</c:v>
                </c:pt>
                <c:pt idx="12">
                  <c:v>Cyprus</c:v>
                </c:pt>
                <c:pt idx="13">
                  <c:v>Lotyšsko</c:v>
                </c:pt>
                <c:pt idx="14">
                  <c:v>Portugalsko</c:v>
                </c:pt>
                <c:pt idx="15">
                  <c:v>Holandsko</c:v>
                </c:pt>
                <c:pt idx="16">
                  <c:v>Poľsko</c:v>
                </c:pt>
                <c:pt idx="17">
                  <c:v>Estónsko</c:v>
                </c:pt>
                <c:pt idx="18">
                  <c:v>Španielsko</c:v>
                </c:pt>
                <c:pt idx="19">
                  <c:v>Maďarsko</c:v>
                </c:pt>
                <c:pt idx="20">
                  <c:v>Slovensko</c:v>
                </c:pt>
                <c:pt idx="21">
                  <c:v>Česko</c:v>
                </c:pt>
                <c:pt idx="22">
                  <c:v>Litva</c:v>
                </c:pt>
                <c:pt idx="23">
                  <c:v>Bulharsko</c:v>
                </c:pt>
                <c:pt idx="24">
                  <c:v>Malta</c:v>
                </c:pt>
                <c:pt idx="25">
                  <c:v>Rumunsko</c:v>
                </c:pt>
                <c:pt idx="26">
                  <c:v>Írsko</c:v>
                </c:pt>
              </c:strCache>
            </c:strRef>
          </c:cat>
          <c:val>
            <c:numRef>
              <c:f>'Graf 5'!$C$3:$C$29</c:f>
              <c:numCache>
                <c:formatCode>_-* #\ ##0.0_-;\-* #\ ##0.0_-;_-* "-"??_-;_-@_-</c:formatCode>
                <c:ptCount val="27"/>
                <c:pt idx="0">
                  <c:v>53.2</c:v>
                </c:pt>
                <c:pt idx="1">
                  <c:v>51.6</c:v>
                </c:pt>
                <c:pt idx="2">
                  <c:v>51.3</c:v>
                </c:pt>
                <c:pt idx="3">
                  <c:v>51</c:v>
                </c:pt>
                <c:pt idx="4">
                  <c:v>50</c:v>
                </c:pt>
                <c:pt idx="5">
                  <c:v>49.3</c:v>
                </c:pt>
                <c:pt idx="6">
                  <c:v>48.5</c:v>
                </c:pt>
                <c:pt idx="7">
                  <c:v>47.9</c:v>
                </c:pt>
                <c:pt idx="8">
                  <c:v>47.1</c:v>
                </c:pt>
                <c:pt idx="9">
                  <c:v>46.8</c:v>
                </c:pt>
                <c:pt idx="10">
                  <c:v>45.8</c:v>
                </c:pt>
                <c:pt idx="11">
                  <c:v>45.6</c:v>
                </c:pt>
                <c:pt idx="12">
                  <c:v>44.3</c:v>
                </c:pt>
                <c:pt idx="13">
                  <c:v>43.9</c:v>
                </c:pt>
                <c:pt idx="14">
                  <c:v>43.5</c:v>
                </c:pt>
                <c:pt idx="15">
                  <c:v>43</c:v>
                </c:pt>
                <c:pt idx="16">
                  <c:v>42.8</c:v>
                </c:pt>
                <c:pt idx="17">
                  <c:v>42.5</c:v>
                </c:pt>
                <c:pt idx="18">
                  <c:v>42.3</c:v>
                </c:pt>
                <c:pt idx="19">
                  <c:v>42</c:v>
                </c:pt>
                <c:pt idx="20">
                  <c:v>41.8</c:v>
                </c:pt>
                <c:pt idx="21">
                  <c:v>40.799999999999997</c:v>
                </c:pt>
                <c:pt idx="22">
                  <c:v>38.200000000000003</c:v>
                </c:pt>
                <c:pt idx="23">
                  <c:v>36.700000000000003</c:v>
                </c:pt>
                <c:pt idx="24">
                  <c:v>34.6</c:v>
                </c:pt>
                <c:pt idx="25">
                  <c:v>34.1</c:v>
                </c:pt>
                <c:pt idx="26">
                  <c:v>27.8</c:v>
                </c:pt>
              </c:numCache>
            </c:numRef>
          </c:val>
          <c:extLst>
            <c:ext xmlns:c16="http://schemas.microsoft.com/office/drawing/2014/chart" uri="{C3380CC4-5D6E-409C-BE32-E72D297353CC}">
              <c16:uniqueId val="{00000002-DCFC-44AC-902E-DC4138B1F141}"/>
            </c:ext>
          </c:extLst>
        </c:ser>
        <c:dLbls>
          <c:showLegendKey val="0"/>
          <c:showVal val="0"/>
          <c:showCatName val="0"/>
          <c:showSerName val="0"/>
          <c:showPercent val="0"/>
          <c:showBubbleSize val="0"/>
        </c:dLbls>
        <c:gapWidth val="100"/>
        <c:axId val="611564432"/>
        <c:axId val="611571920"/>
      </c:barChart>
      <c:lineChart>
        <c:grouping val="standard"/>
        <c:varyColors val="0"/>
        <c:ser>
          <c:idx val="1"/>
          <c:order val="1"/>
          <c:tx>
            <c:strRef>
              <c:f>'Graf 5'!$F$2</c:f>
              <c:strCache>
                <c:ptCount val="1"/>
                <c:pt idx="0">
                  <c:v>Priemer EÚ</c:v>
                </c:pt>
              </c:strCache>
            </c:strRef>
          </c:tx>
          <c:spPr>
            <a:ln w="22225" cap="rnd">
              <a:solidFill>
                <a:srgbClr val="314364"/>
              </a:solidFill>
              <a:prstDash val="sysDash"/>
              <a:round/>
            </a:ln>
            <a:effectLst/>
          </c:spPr>
          <c:marker>
            <c:symbol val="none"/>
          </c:marker>
          <c:dLbls>
            <c:dLbl>
              <c:idx val="21"/>
              <c:layout>
                <c:manualLayout>
                  <c:x val="2.2571946974103429E-2"/>
                  <c:y val="-7.3277735444359782E-2"/>
                </c:manualLayout>
              </c:layout>
              <c:showLegendKey val="0"/>
              <c:showVal val="1"/>
              <c:showCatName val="0"/>
              <c:showSerName val="1"/>
              <c:showPercent val="0"/>
              <c:showBubbleSize val="0"/>
              <c:extLst>
                <c:ext xmlns:c15="http://schemas.microsoft.com/office/drawing/2012/chart" uri="{CE6537A1-D6FC-4f65-9D91-7224C49458BB}"/>
                <c:ext xmlns:c16="http://schemas.microsoft.com/office/drawing/2014/chart" uri="{C3380CC4-5D6E-409C-BE32-E72D297353CC}">
                  <c16:uniqueId val="{00000003-DCFC-44AC-902E-DC4138B1F141}"/>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314364"/>
                      </a:solidFill>
                      <a:round/>
                    </a:ln>
                    <a:effectLst/>
                  </c:spPr>
                </c15:leaderLines>
              </c:ext>
            </c:extLst>
          </c:dLbls>
          <c:cat>
            <c:strRef>
              <c:f>'Graf 5'!$B$3:$B$29</c:f>
              <c:strCache>
                <c:ptCount val="27"/>
                <c:pt idx="0">
                  <c:v>Fínsko</c:v>
                </c:pt>
                <c:pt idx="1">
                  <c:v>Rakúsko</c:v>
                </c:pt>
                <c:pt idx="2">
                  <c:v>Francúzsko</c:v>
                </c:pt>
                <c:pt idx="3">
                  <c:v>Dánsko</c:v>
                </c:pt>
                <c:pt idx="4">
                  <c:v>Belgicko</c:v>
                </c:pt>
                <c:pt idx="5">
                  <c:v>Grécko</c:v>
                </c:pt>
                <c:pt idx="6">
                  <c:v>Švédsko</c:v>
                </c:pt>
                <c:pt idx="7">
                  <c:v>Luxembursko</c:v>
                </c:pt>
                <c:pt idx="8">
                  <c:v>Taliansko</c:v>
                </c:pt>
                <c:pt idx="9">
                  <c:v>Nemecko</c:v>
                </c:pt>
                <c:pt idx="10">
                  <c:v>Slovinsko</c:v>
                </c:pt>
                <c:pt idx="11">
                  <c:v>Chorvátsko</c:v>
                </c:pt>
                <c:pt idx="12">
                  <c:v>Cyprus</c:v>
                </c:pt>
                <c:pt idx="13">
                  <c:v>Lotyšsko</c:v>
                </c:pt>
                <c:pt idx="14">
                  <c:v>Portugalsko</c:v>
                </c:pt>
                <c:pt idx="15">
                  <c:v>Holandsko</c:v>
                </c:pt>
                <c:pt idx="16">
                  <c:v>Poľsko</c:v>
                </c:pt>
                <c:pt idx="17">
                  <c:v>Estónsko</c:v>
                </c:pt>
                <c:pt idx="18">
                  <c:v>Španielsko</c:v>
                </c:pt>
                <c:pt idx="19">
                  <c:v>Maďarsko</c:v>
                </c:pt>
                <c:pt idx="20">
                  <c:v>Slovensko</c:v>
                </c:pt>
                <c:pt idx="21">
                  <c:v>Česko</c:v>
                </c:pt>
                <c:pt idx="22">
                  <c:v>Litva</c:v>
                </c:pt>
                <c:pt idx="23">
                  <c:v>Bulharsko</c:v>
                </c:pt>
                <c:pt idx="24">
                  <c:v>Malta</c:v>
                </c:pt>
                <c:pt idx="25">
                  <c:v>Rumunsko</c:v>
                </c:pt>
                <c:pt idx="26">
                  <c:v>Írsko</c:v>
                </c:pt>
              </c:strCache>
            </c:strRef>
          </c:cat>
          <c:val>
            <c:numRef>
              <c:f>'Graf 5'!$F$3:$F$29</c:f>
              <c:numCache>
                <c:formatCode>_-* #\ ##0.0_-;\-* #\ ##0.0_-;_-* "-"??_-;_-@_-</c:formatCode>
                <c:ptCount val="27"/>
                <c:pt idx="0">
                  <c:v>46</c:v>
                </c:pt>
                <c:pt idx="1">
                  <c:v>46</c:v>
                </c:pt>
                <c:pt idx="2">
                  <c:v>46</c:v>
                </c:pt>
                <c:pt idx="3">
                  <c:v>46</c:v>
                </c:pt>
                <c:pt idx="4">
                  <c:v>46</c:v>
                </c:pt>
                <c:pt idx="5">
                  <c:v>46</c:v>
                </c:pt>
                <c:pt idx="6">
                  <c:v>46</c:v>
                </c:pt>
                <c:pt idx="7">
                  <c:v>46</c:v>
                </c:pt>
                <c:pt idx="8">
                  <c:v>46</c:v>
                </c:pt>
                <c:pt idx="9">
                  <c:v>46</c:v>
                </c:pt>
                <c:pt idx="10">
                  <c:v>46</c:v>
                </c:pt>
                <c:pt idx="11">
                  <c:v>46</c:v>
                </c:pt>
                <c:pt idx="12">
                  <c:v>46</c:v>
                </c:pt>
                <c:pt idx="13">
                  <c:v>46</c:v>
                </c:pt>
                <c:pt idx="14">
                  <c:v>46</c:v>
                </c:pt>
                <c:pt idx="15">
                  <c:v>46</c:v>
                </c:pt>
                <c:pt idx="16">
                  <c:v>46</c:v>
                </c:pt>
                <c:pt idx="17">
                  <c:v>46</c:v>
                </c:pt>
                <c:pt idx="18">
                  <c:v>46</c:v>
                </c:pt>
                <c:pt idx="19">
                  <c:v>46</c:v>
                </c:pt>
                <c:pt idx="20">
                  <c:v>46</c:v>
                </c:pt>
                <c:pt idx="21">
                  <c:v>46</c:v>
                </c:pt>
                <c:pt idx="22">
                  <c:v>46</c:v>
                </c:pt>
                <c:pt idx="23">
                  <c:v>46</c:v>
                </c:pt>
                <c:pt idx="24">
                  <c:v>46</c:v>
                </c:pt>
                <c:pt idx="25">
                  <c:v>46</c:v>
                </c:pt>
                <c:pt idx="26">
                  <c:v>46</c:v>
                </c:pt>
              </c:numCache>
            </c:numRef>
          </c:val>
          <c:smooth val="0"/>
          <c:extLst>
            <c:ext xmlns:c16="http://schemas.microsoft.com/office/drawing/2014/chart" uri="{C3380CC4-5D6E-409C-BE32-E72D297353CC}">
              <c16:uniqueId val="{00000004-DCFC-44AC-902E-DC4138B1F141}"/>
            </c:ext>
          </c:extLst>
        </c:ser>
        <c:dLbls>
          <c:showLegendKey val="0"/>
          <c:showVal val="0"/>
          <c:showCatName val="0"/>
          <c:showSerName val="0"/>
          <c:showPercent val="0"/>
          <c:showBubbleSize val="0"/>
        </c:dLbls>
        <c:marker val="1"/>
        <c:smooth val="0"/>
        <c:axId val="611564432"/>
        <c:axId val="611571920"/>
      </c:lineChart>
      <c:catAx>
        <c:axId val="61156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71920"/>
        <c:crosses val="autoZero"/>
        <c:auto val="1"/>
        <c:lblAlgn val="ctr"/>
        <c:lblOffset val="100"/>
        <c:noMultiLvlLbl val="0"/>
      </c:catAx>
      <c:valAx>
        <c:axId val="611571920"/>
        <c:scaling>
          <c:orientation val="minMax"/>
          <c:max val="5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64432"/>
        <c:crosses val="autoZero"/>
        <c:crossBetween val="between"/>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6222711922101877E-2"/>
          <c:y val="0.15357931060280172"/>
          <c:w val="0.58099880859602449"/>
          <c:h val="0.75816204387753194"/>
        </c:manualLayout>
      </c:layout>
      <c:pieChart>
        <c:varyColors val="1"/>
        <c:ser>
          <c:idx val="0"/>
          <c:order val="0"/>
          <c:tx>
            <c:strRef>
              <c:f>Grafy!$C$38</c:f>
              <c:strCache>
                <c:ptCount val="1"/>
                <c:pt idx="0">
                  <c:v>Slovensko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D3D-48F7-A39E-DE596E7B344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D3D-48F7-A39E-DE596E7B344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D3D-48F7-A39E-DE596E7B344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D3D-48F7-A39E-DE596E7B344F}"/>
              </c:ext>
            </c:extLst>
          </c:dPt>
          <c:dLbls>
            <c:dLbl>
              <c:idx val="1"/>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bestFit"/>
              <c:showLegendKey val="0"/>
              <c:showVal val="1"/>
              <c:showCatName val="0"/>
              <c:showSerName val="0"/>
              <c:showPercent val="0"/>
              <c:showBubbleSize val="0"/>
              <c:extLst>
                <c:ext xmlns:c16="http://schemas.microsoft.com/office/drawing/2014/chart" uri="{C3380CC4-5D6E-409C-BE32-E72D297353CC}">
                  <c16:uniqueId val="{00000003-8D3D-48F7-A39E-DE596E7B344F}"/>
                </c:ext>
              </c:extLst>
            </c:dLbl>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Segoe UI" panose="020B0502040204020203" pitchFamily="34" charset="0"/>
                    <a:ea typeface="+mn-ea"/>
                    <a:cs typeface="Segoe UI" panose="020B0502040204020203" pitchFamily="34" charset="0"/>
                  </a:defRPr>
                </a:pPr>
                <a:endParaRPr lang="sk-SK"/>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Grafy!$D$37:$G$37</c:f>
              <c:strCache>
                <c:ptCount val="4"/>
                <c:pt idx="0">
                  <c:v>Osobné výdavky</c:v>
                </c:pt>
                <c:pt idx="1">
                  <c:v>Výdavky na infraštruktúru</c:v>
                </c:pt>
                <c:pt idx="2">
                  <c:v>Výdavky na vybavenie</c:v>
                </c:pt>
                <c:pt idx="3">
                  <c:v>Ostatné výdavky</c:v>
                </c:pt>
              </c:strCache>
            </c:strRef>
          </c:cat>
          <c:val>
            <c:numRef>
              <c:f>Grafy!$D$38:$G$38</c:f>
              <c:numCache>
                <c:formatCode>0.0</c:formatCode>
                <c:ptCount val="4"/>
                <c:pt idx="0">
                  <c:v>39.138442420420546</c:v>
                </c:pt>
                <c:pt idx="1">
                  <c:v>5.846508516408802</c:v>
                </c:pt>
                <c:pt idx="2">
                  <c:v>27.244352570416336</c:v>
                </c:pt>
                <c:pt idx="3">
                  <c:v>27.770696492754308</c:v>
                </c:pt>
              </c:numCache>
            </c:numRef>
          </c:val>
          <c:extLst>
            <c:ext xmlns:c16="http://schemas.microsoft.com/office/drawing/2014/chart" uri="{C3380CC4-5D6E-409C-BE32-E72D297353CC}">
              <c16:uniqueId val="{00000008-8D3D-48F7-A39E-DE596E7B344F}"/>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3799485815126356"/>
          <c:y val="7.7470215272972112E-2"/>
          <c:w val="0.33470138758252488"/>
          <c:h val="0.8509978117343408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'Počet vojakov'!$B$43</c:f>
              <c:strCache>
                <c:ptCount val="1"/>
                <c:pt idx="0">
                  <c:v>NATO bez USA</c:v>
                </c:pt>
              </c:strCache>
            </c:strRef>
          </c:tx>
          <c:spPr>
            <a:ln w="25400" cap="rnd">
              <a:solidFill>
                <a:schemeClr val="accent1"/>
              </a:solidFill>
              <a:round/>
            </a:ln>
            <a:effectLst/>
          </c:spPr>
          <c:marker>
            <c:symbol val="none"/>
          </c:marker>
          <c:cat>
            <c:strRef>
              <c:f>'Počet vojakov'!$C$41:$M$41</c:f>
              <c:strCache>
                <c:ptCount val="11"/>
                <c:pt idx="0">
                  <c:v>2014</c:v>
                </c:pt>
                <c:pt idx="1">
                  <c:v>2015</c:v>
                </c:pt>
                <c:pt idx="2">
                  <c:v>2016</c:v>
                </c:pt>
                <c:pt idx="3">
                  <c:v>2017</c:v>
                </c:pt>
                <c:pt idx="4">
                  <c:v>2018</c:v>
                </c:pt>
                <c:pt idx="5">
                  <c:v>2019</c:v>
                </c:pt>
                <c:pt idx="6">
                  <c:v>2020</c:v>
                </c:pt>
                <c:pt idx="7">
                  <c:v>2021</c:v>
                </c:pt>
                <c:pt idx="8">
                  <c:v>2022</c:v>
                </c:pt>
                <c:pt idx="9">
                  <c:v>2023 odhad</c:v>
                </c:pt>
                <c:pt idx="10">
                  <c:v>2024 odhad</c:v>
                </c:pt>
              </c:strCache>
            </c:strRef>
          </c:cat>
          <c:val>
            <c:numRef>
              <c:f>'Počet vojakov'!$C$43:$M$43</c:f>
              <c:numCache>
                <c:formatCode>_-* #\ ##0.0_-;\-* #\ ##0.0_-;_-* "-"??_-;_-@_-</c:formatCode>
                <c:ptCount val="11"/>
                <c:pt idx="0">
                  <c:v>1890.7589543573001</c:v>
                </c:pt>
                <c:pt idx="1">
                  <c:v>1810.6902599999996</c:v>
                </c:pt>
                <c:pt idx="2">
                  <c:v>1788.3076299999998</c:v>
                </c:pt>
                <c:pt idx="3">
                  <c:v>1857.0544866000002</c:v>
                </c:pt>
                <c:pt idx="4">
                  <c:v>1893.0420000000001</c:v>
                </c:pt>
                <c:pt idx="5">
                  <c:v>1883.7329500000001</c:v>
                </c:pt>
                <c:pt idx="6">
                  <c:v>1896.7029499999999</c:v>
                </c:pt>
                <c:pt idx="7">
                  <c:v>1968.3059999999998</c:v>
                </c:pt>
                <c:pt idx="8">
                  <c:v>1968.165</c:v>
                </c:pt>
                <c:pt idx="9">
                  <c:v>2033.913201223055</c:v>
                </c:pt>
                <c:pt idx="10">
                  <c:v>2118.3989830791511</c:v>
                </c:pt>
              </c:numCache>
            </c:numRef>
          </c:val>
          <c:smooth val="0"/>
          <c:extLst>
            <c:ext xmlns:c16="http://schemas.microsoft.com/office/drawing/2014/chart" uri="{C3380CC4-5D6E-409C-BE32-E72D297353CC}">
              <c16:uniqueId val="{00000000-8CA8-48E0-B538-0111D7756A15}"/>
            </c:ext>
          </c:extLst>
        </c:ser>
        <c:ser>
          <c:idx val="1"/>
          <c:order val="1"/>
          <c:tx>
            <c:strRef>
              <c:f>'Počet vojakov'!$B$44</c:f>
              <c:strCache>
                <c:ptCount val="1"/>
                <c:pt idx="0">
                  <c:v>NATO</c:v>
                </c:pt>
              </c:strCache>
            </c:strRef>
          </c:tx>
          <c:spPr>
            <a:ln w="25400" cap="rnd">
              <a:solidFill>
                <a:schemeClr val="accent2"/>
              </a:solidFill>
              <a:round/>
            </a:ln>
            <a:effectLst/>
          </c:spPr>
          <c:marker>
            <c:symbol val="none"/>
          </c:marker>
          <c:cat>
            <c:strRef>
              <c:f>'Počet vojakov'!$C$41:$M$41</c:f>
              <c:strCache>
                <c:ptCount val="11"/>
                <c:pt idx="0">
                  <c:v>2014</c:v>
                </c:pt>
                <c:pt idx="1">
                  <c:v>2015</c:v>
                </c:pt>
                <c:pt idx="2">
                  <c:v>2016</c:v>
                </c:pt>
                <c:pt idx="3">
                  <c:v>2017</c:v>
                </c:pt>
                <c:pt idx="4">
                  <c:v>2018</c:v>
                </c:pt>
                <c:pt idx="5">
                  <c:v>2019</c:v>
                </c:pt>
                <c:pt idx="6">
                  <c:v>2020</c:v>
                </c:pt>
                <c:pt idx="7">
                  <c:v>2021</c:v>
                </c:pt>
                <c:pt idx="8">
                  <c:v>2022</c:v>
                </c:pt>
                <c:pt idx="9">
                  <c:v>2023 odhad</c:v>
                </c:pt>
                <c:pt idx="10">
                  <c:v>2024 odhad</c:v>
                </c:pt>
              </c:strCache>
            </c:strRef>
          </c:cat>
          <c:val>
            <c:numRef>
              <c:f>'Počet vojakov'!$C$44:$M$44</c:f>
              <c:numCache>
                <c:formatCode>_-* #\ ##0.0_-;\-* #\ ##0.0_-;_-* "-"??_-;_-@_-</c:formatCode>
                <c:ptCount val="11"/>
                <c:pt idx="0">
                  <c:v>3228.9429543573001</c:v>
                </c:pt>
                <c:pt idx="1">
                  <c:v>3124.8002599999995</c:v>
                </c:pt>
                <c:pt idx="2">
                  <c:v>3089.7516299999997</c:v>
                </c:pt>
                <c:pt idx="3">
                  <c:v>3162.9544866000006</c:v>
                </c:pt>
                <c:pt idx="4">
                  <c:v>3210.4859999999999</c:v>
                </c:pt>
                <c:pt idx="5">
                  <c:v>3212.9139500000001</c:v>
                </c:pt>
                <c:pt idx="6">
                  <c:v>3243.3539499999997</c:v>
                </c:pt>
                <c:pt idx="7">
                  <c:v>3317.3059999999996</c:v>
                </c:pt>
                <c:pt idx="8">
                  <c:v>3285.165</c:v>
                </c:pt>
                <c:pt idx="9">
                  <c:v>3319.9392012230551</c:v>
                </c:pt>
                <c:pt idx="10">
                  <c:v>3418.6089830791511</c:v>
                </c:pt>
              </c:numCache>
            </c:numRef>
          </c:val>
          <c:smooth val="0"/>
          <c:extLst>
            <c:ext xmlns:c16="http://schemas.microsoft.com/office/drawing/2014/chart" uri="{C3380CC4-5D6E-409C-BE32-E72D297353CC}">
              <c16:uniqueId val="{00000001-8CA8-48E0-B538-0111D7756A15}"/>
            </c:ext>
          </c:extLst>
        </c:ser>
        <c:dLbls>
          <c:showLegendKey val="0"/>
          <c:showVal val="0"/>
          <c:showCatName val="0"/>
          <c:showSerName val="0"/>
          <c:showPercent val="0"/>
          <c:showBubbleSize val="0"/>
        </c:dLbls>
        <c:marker val="1"/>
        <c:smooth val="0"/>
        <c:axId val="1998129583"/>
        <c:axId val="1998134159"/>
      </c:lineChart>
      <c:lineChart>
        <c:grouping val="standard"/>
        <c:varyColors val="0"/>
        <c:ser>
          <c:idx val="2"/>
          <c:order val="2"/>
          <c:tx>
            <c:strRef>
              <c:f>'Počet vojakov'!$B$42</c:f>
              <c:strCache>
                <c:ptCount val="1"/>
                <c:pt idx="0">
                  <c:v>Slovensko (pravá os)</c:v>
                </c:pt>
              </c:strCache>
            </c:strRef>
          </c:tx>
          <c:spPr>
            <a:ln w="25400" cap="rnd">
              <a:solidFill>
                <a:srgbClr val="FF0000"/>
              </a:solidFill>
              <a:round/>
            </a:ln>
            <a:effectLst/>
          </c:spPr>
          <c:marker>
            <c:symbol val="none"/>
          </c:marker>
          <c:cat>
            <c:strRef>
              <c:f>'Počet vojakov'!$C$41:$M$41</c:f>
              <c:strCache>
                <c:ptCount val="11"/>
                <c:pt idx="0">
                  <c:v>2014</c:v>
                </c:pt>
                <c:pt idx="1">
                  <c:v>2015</c:v>
                </c:pt>
                <c:pt idx="2">
                  <c:v>2016</c:v>
                </c:pt>
                <c:pt idx="3">
                  <c:v>2017</c:v>
                </c:pt>
                <c:pt idx="4">
                  <c:v>2018</c:v>
                </c:pt>
                <c:pt idx="5">
                  <c:v>2019</c:v>
                </c:pt>
                <c:pt idx="6">
                  <c:v>2020</c:v>
                </c:pt>
                <c:pt idx="7">
                  <c:v>2021</c:v>
                </c:pt>
                <c:pt idx="8">
                  <c:v>2022</c:v>
                </c:pt>
                <c:pt idx="9">
                  <c:v>2023 odhad</c:v>
                </c:pt>
                <c:pt idx="10">
                  <c:v>2024 odhad</c:v>
                </c:pt>
              </c:strCache>
            </c:strRef>
          </c:cat>
          <c:val>
            <c:numRef>
              <c:f>'Počet vojakov'!$C$42:$M$42</c:f>
              <c:numCache>
                <c:formatCode>_-* #\ ##0.0_-;\-* #\ ##0.0_-;_-* "-"??_-;_-@_-</c:formatCode>
                <c:ptCount val="11"/>
                <c:pt idx="0">
                  <c:v>12.420999999999999</c:v>
                </c:pt>
                <c:pt idx="1">
                  <c:v>12.442</c:v>
                </c:pt>
                <c:pt idx="2">
                  <c:v>12.167999999999999</c:v>
                </c:pt>
                <c:pt idx="3">
                  <c:v>12.159000000000001</c:v>
                </c:pt>
                <c:pt idx="4">
                  <c:v>12.162000000000001</c:v>
                </c:pt>
                <c:pt idx="5">
                  <c:v>12.707000000000001</c:v>
                </c:pt>
                <c:pt idx="6">
                  <c:v>13.141999999999999</c:v>
                </c:pt>
                <c:pt idx="7">
                  <c:v>13.058</c:v>
                </c:pt>
                <c:pt idx="8">
                  <c:v>13.242000000000001</c:v>
                </c:pt>
                <c:pt idx="9">
                  <c:v>12.991</c:v>
                </c:pt>
                <c:pt idx="10">
                  <c:v>15.605</c:v>
                </c:pt>
              </c:numCache>
            </c:numRef>
          </c:val>
          <c:smooth val="0"/>
          <c:extLst>
            <c:ext xmlns:c16="http://schemas.microsoft.com/office/drawing/2014/chart" uri="{C3380CC4-5D6E-409C-BE32-E72D297353CC}">
              <c16:uniqueId val="{00000002-8CA8-48E0-B538-0111D7756A15}"/>
            </c:ext>
          </c:extLst>
        </c:ser>
        <c:dLbls>
          <c:showLegendKey val="0"/>
          <c:showVal val="0"/>
          <c:showCatName val="0"/>
          <c:showSerName val="0"/>
          <c:showPercent val="0"/>
          <c:showBubbleSize val="0"/>
        </c:dLbls>
        <c:marker val="1"/>
        <c:smooth val="0"/>
        <c:axId val="2000177231"/>
        <c:axId val="2000176815"/>
      </c:lineChart>
      <c:catAx>
        <c:axId val="19981295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998134159"/>
        <c:crosses val="autoZero"/>
        <c:auto val="1"/>
        <c:lblAlgn val="ctr"/>
        <c:lblOffset val="100"/>
        <c:noMultiLvlLbl val="0"/>
      </c:catAx>
      <c:valAx>
        <c:axId val="19981341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998129583"/>
        <c:crosses val="autoZero"/>
        <c:crossBetween val="between"/>
      </c:valAx>
      <c:valAx>
        <c:axId val="2000176815"/>
        <c:scaling>
          <c:orientation val="minMax"/>
          <c:max val="16"/>
        </c:scaling>
        <c:delete val="0"/>
        <c:axPos val="r"/>
        <c:numFmt formatCode="#,##0" sourceLinked="0"/>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000177231"/>
        <c:crosses val="max"/>
        <c:crossBetween val="between"/>
      </c:valAx>
      <c:catAx>
        <c:axId val="2000177231"/>
        <c:scaling>
          <c:orientation val="minMax"/>
        </c:scaling>
        <c:delete val="1"/>
        <c:axPos val="b"/>
        <c:numFmt formatCode="General" sourceLinked="1"/>
        <c:majorTickMark val="out"/>
        <c:minorTickMark val="none"/>
        <c:tickLblPos val="nextTo"/>
        <c:crossAx val="2000176815"/>
        <c:crosses val="autoZero"/>
        <c:auto val="1"/>
        <c:lblAlgn val="ctr"/>
        <c:lblOffset val="100"/>
        <c:noMultiLvlLbl val="0"/>
      </c:catAx>
      <c:spPr>
        <a:noFill/>
        <a:ln>
          <a:noFill/>
        </a:ln>
        <a:effectLst/>
      </c:spPr>
    </c:plotArea>
    <c:legend>
      <c:legendPos val="b"/>
      <c:layout>
        <c:manualLayout>
          <c:xMode val="edge"/>
          <c:yMode val="edge"/>
          <c:x val="0.16272711585792263"/>
          <c:y val="0.46057315932394266"/>
          <c:w val="0.72312163401720109"/>
          <c:h val="0.22092835281402973"/>
        </c:manualLayout>
      </c:layout>
      <c:overlay val="1"/>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'Výdavky na Obranu EÚ'!$C$3</c:f>
              <c:strCache>
                <c:ptCount val="1"/>
                <c:pt idx="0">
                  <c:v>Celkové výdavky na obranu</c:v>
                </c:pt>
              </c:strCache>
            </c:strRef>
          </c:tx>
          <c:spPr>
            <a:ln w="28575" cap="rnd">
              <a:solidFill>
                <a:schemeClr val="tx2">
                  <a:lumMod val="90000"/>
                  <a:lumOff val="10000"/>
                </a:schemeClr>
              </a:solidFill>
              <a:round/>
            </a:ln>
            <a:effectLst/>
          </c:spPr>
          <c:marker>
            <c:symbol val="circle"/>
            <c:size val="5"/>
            <c:spPr>
              <a:solidFill>
                <a:schemeClr val="accent1"/>
              </a:solidFill>
              <a:ln w="9525">
                <a:solidFill>
                  <a:schemeClr val="bg1"/>
                </a:solidFill>
              </a:ln>
              <a:effectLst/>
            </c:spPr>
          </c:marker>
          <c:cat>
            <c:numRef>
              <c:f>'Výdavky na Obranu EÚ'!$B$4:$B$23</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'Výdavky na Obranu EÚ'!$C$4:$C$23</c:f>
              <c:numCache>
                <c:formatCode>General</c:formatCode>
                <c:ptCount val="20"/>
                <c:pt idx="0">
                  <c:v>149</c:v>
                </c:pt>
                <c:pt idx="1">
                  <c:v>154</c:v>
                </c:pt>
                <c:pt idx="2">
                  <c:v>154</c:v>
                </c:pt>
                <c:pt idx="3">
                  <c:v>159</c:v>
                </c:pt>
                <c:pt idx="4">
                  <c:v>154</c:v>
                </c:pt>
                <c:pt idx="5">
                  <c:v>150</c:v>
                </c:pt>
                <c:pt idx="6">
                  <c:v>148</c:v>
                </c:pt>
                <c:pt idx="7">
                  <c:v>147</c:v>
                </c:pt>
                <c:pt idx="8">
                  <c:v>147</c:v>
                </c:pt>
                <c:pt idx="9">
                  <c:v>147</c:v>
                </c:pt>
                <c:pt idx="10">
                  <c:v>151</c:v>
                </c:pt>
                <c:pt idx="11">
                  <c:v>155</c:v>
                </c:pt>
                <c:pt idx="12">
                  <c:v>164</c:v>
                </c:pt>
                <c:pt idx="13">
                  <c:v>174</c:v>
                </c:pt>
                <c:pt idx="14">
                  <c:v>186</c:v>
                </c:pt>
                <c:pt idx="15">
                  <c:v>198</c:v>
                </c:pt>
                <c:pt idx="16">
                  <c:v>214</c:v>
                </c:pt>
                <c:pt idx="17">
                  <c:v>240</c:v>
                </c:pt>
                <c:pt idx="18">
                  <c:v>279</c:v>
                </c:pt>
                <c:pt idx="19">
                  <c:v>326</c:v>
                </c:pt>
              </c:numCache>
            </c:numRef>
          </c:val>
          <c:smooth val="0"/>
          <c:extLst>
            <c:ext xmlns:c16="http://schemas.microsoft.com/office/drawing/2014/chart" uri="{C3380CC4-5D6E-409C-BE32-E72D297353CC}">
              <c16:uniqueId val="{00000000-021F-4459-8825-6D799A27DBC1}"/>
            </c:ext>
          </c:extLst>
        </c:ser>
        <c:ser>
          <c:idx val="1"/>
          <c:order val="1"/>
          <c:tx>
            <c:strRef>
              <c:f>'Výdavky na Obranu EÚ'!$D$3</c:f>
              <c:strCache>
                <c:ptCount val="1"/>
                <c:pt idx="0">
                  <c:v>Investície do obrany*</c:v>
                </c:pt>
              </c:strCache>
            </c:strRef>
          </c:tx>
          <c:spPr>
            <a:ln w="28575" cap="rnd">
              <a:solidFill>
                <a:schemeClr val="tx2">
                  <a:lumMod val="25000"/>
                  <a:lumOff val="75000"/>
                </a:schemeClr>
              </a:solidFill>
              <a:round/>
            </a:ln>
            <a:effectLst/>
          </c:spPr>
          <c:marker>
            <c:symbol val="circle"/>
            <c:size val="5"/>
            <c:spPr>
              <a:solidFill>
                <a:schemeClr val="accent2"/>
              </a:solidFill>
              <a:ln w="9525">
                <a:solidFill>
                  <a:schemeClr val="bg1"/>
                </a:solidFill>
              </a:ln>
              <a:effectLst/>
            </c:spPr>
          </c:marker>
          <c:cat>
            <c:numRef>
              <c:f>'Výdavky na Obranu EÚ'!$B$4:$B$23</c:f>
              <c:numCache>
                <c:formatCode>General</c:formatCode>
                <c:ptCount val="20"/>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pt idx="17">
                  <c:v>2022</c:v>
                </c:pt>
                <c:pt idx="18">
                  <c:v>2023</c:v>
                </c:pt>
                <c:pt idx="19">
                  <c:v>2024</c:v>
                </c:pt>
              </c:numCache>
            </c:numRef>
          </c:cat>
          <c:val>
            <c:numRef>
              <c:f>'Výdavky na Obranu EÚ'!$D$4:$D$23</c:f>
              <c:numCache>
                <c:formatCode>General</c:formatCode>
                <c:ptCount val="20"/>
                <c:pt idx="0">
                  <c:v>25</c:v>
                </c:pt>
                <c:pt idx="1">
                  <c:v>27</c:v>
                </c:pt>
                <c:pt idx="2">
                  <c:v>29</c:v>
                </c:pt>
                <c:pt idx="3">
                  <c:v>31</c:v>
                </c:pt>
                <c:pt idx="4">
                  <c:v>30</c:v>
                </c:pt>
                <c:pt idx="5">
                  <c:v>32</c:v>
                </c:pt>
                <c:pt idx="6">
                  <c:v>27</c:v>
                </c:pt>
                <c:pt idx="7">
                  <c:v>29</c:v>
                </c:pt>
                <c:pt idx="8">
                  <c:v>28</c:v>
                </c:pt>
                <c:pt idx="9">
                  <c:v>24</c:v>
                </c:pt>
                <c:pt idx="10">
                  <c:v>26</c:v>
                </c:pt>
                <c:pt idx="11">
                  <c:v>27</c:v>
                </c:pt>
                <c:pt idx="12">
                  <c:v>31</c:v>
                </c:pt>
                <c:pt idx="13">
                  <c:v>34</c:v>
                </c:pt>
                <c:pt idx="14">
                  <c:v>41</c:v>
                </c:pt>
                <c:pt idx="15">
                  <c:v>44</c:v>
                </c:pt>
                <c:pt idx="16">
                  <c:v>52</c:v>
                </c:pt>
                <c:pt idx="17">
                  <c:v>58.1</c:v>
                </c:pt>
                <c:pt idx="18">
                  <c:v>71.900000000000006</c:v>
                </c:pt>
                <c:pt idx="19">
                  <c:v>102</c:v>
                </c:pt>
              </c:numCache>
            </c:numRef>
          </c:val>
          <c:smooth val="0"/>
          <c:extLst>
            <c:ext xmlns:c16="http://schemas.microsoft.com/office/drawing/2014/chart" uri="{C3380CC4-5D6E-409C-BE32-E72D297353CC}">
              <c16:uniqueId val="{00000001-021F-4459-8825-6D799A27DBC1}"/>
            </c:ext>
          </c:extLst>
        </c:ser>
        <c:dLbls>
          <c:showLegendKey val="0"/>
          <c:showVal val="0"/>
          <c:showCatName val="0"/>
          <c:showSerName val="0"/>
          <c:showPercent val="0"/>
          <c:showBubbleSize val="0"/>
        </c:dLbls>
        <c:marker val="1"/>
        <c:smooth val="0"/>
        <c:axId val="901832383"/>
        <c:axId val="901836223"/>
      </c:lineChart>
      <c:catAx>
        <c:axId val="901832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901836223"/>
        <c:crosses val="autoZero"/>
        <c:auto val="1"/>
        <c:lblAlgn val="ctr"/>
        <c:lblOffset val="100"/>
        <c:noMultiLvlLbl val="0"/>
      </c:catAx>
      <c:valAx>
        <c:axId val="9018362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9018323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Miera pripojenia v 2022</c:v>
          </c:tx>
          <c:spPr>
            <a:solidFill>
              <a:srgbClr val="9CB9EC"/>
            </a:solidFill>
            <a:ln>
              <a:noFill/>
            </a:ln>
            <a:effectLst/>
          </c:spPr>
          <c:invertIfNegative val="0"/>
          <c:dPt>
            <c:idx val="18"/>
            <c:invertIfNegative val="0"/>
            <c:bubble3D val="0"/>
            <c:spPr>
              <a:solidFill>
                <a:srgbClr val="F55647"/>
              </a:solidFill>
              <a:ln>
                <a:noFill/>
              </a:ln>
              <a:effectLst/>
            </c:spPr>
            <c:extLst>
              <c:ext xmlns:c16="http://schemas.microsoft.com/office/drawing/2014/chart" uri="{C3380CC4-5D6E-409C-BE32-E72D297353CC}">
                <c16:uniqueId val="{00000001-75B3-412E-A74B-B41EBFC6902B}"/>
              </c:ext>
            </c:extLst>
          </c:dPt>
          <c:cat>
            <c:strRef>
              <c:f>'Graf 1'!$A$2:$A$28</c:f>
              <c:strCache>
                <c:ptCount val="27"/>
                <c:pt idx="0">
                  <c:v>NL</c:v>
                </c:pt>
                <c:pt idx="1">
                  <c:v>AT</c:v>
                </c:pt>
                <c:pt idx="2">
                  <c:v>DK</c:v>
                </c:pt>
                <c:pt idx="3">
                  <c:v>*LU</c:v>
                </c:pt>
                <c:pt idx="4">
                  <c:v>*DE</c:v>
                </c:pt>
                <c:pt idx="5">
                  <c:v>*SE</c:v>
                </c:pt>
                <c:pt idx="6">
                  <c:v>GR</c:v>
                </c:pt>
                <c:pt idx="7">
                  <c:v>*ES</c:v>
                </c:pt>
                <c:pt idx="8">
                  <c:v>FI</c:v>
                </c:pt>
                <c:pt idx="9">
                  <c:v>CZ</c:v>
                </c:pt>
                <c:pt idx="10">
                  <c:v>BE</c:v>
                </c:pt>
                <c:pt idx="11">
                  <c:v>*CY</c:v>
                </c:pt>
                <c:pt idx="12">
                  <c:v>EE</c:v>
                </c:pt>
                <c:pt idx="13">
                  <c:v>HU</c:v>
                </c:pt>
                <c:pt idx="14">
                  <c:v>FR</c:v>
                </c:pt>
                <c:pt idx="15">
                  <c:v>LV</c:v>
                </c:pt>
                <c:pt idx="16">
                  <c:v>LT</c:v>
                </c:pt>
                <c:pt idx="17">
                  <c:v>PL</c:v>
                </c:pt>
                <c:pt idx="18">
                  <c:v>SK</c:v>
                </c:pt>
                <c:pt idx="19">
                  <c:v>SI</c:v>
                </c:pt>
                <c:pt idx="20">
                  <c:v>*BG</c:v>
                </c:pt>
                <c:pt idx="21">
                  <c:v>IE</c:v>
                </c:pt>
                <c:pt idx="22">
                  <c:v>*IT</c:v>
                </c:pt>
                <c:pt idx="23">
                  <c:v>*PT</c:v>
                </c:pt>
                <c:pt idx="24">
                  <c:v>RO</c:v>
                </c:pt>
                <c:pt idx="25">
                  <c:v>*HR</c:v>
                </c:pt>
                <c:pt idx="26">
                  <c:v>MT</c:v>
                </c:pt>
              </c:strCache>
            </c:strRef>
          </c:cat>
          <c:val>
            <c:numRef>
              <c:f>'Graf 1'!$B$2:$B$28</c:f>
              <c:numCache>
                <c:formatCode>#\ ##0.#########</c:formatCode>
                <c:ptCount val="27"/>
                <c:pt idx="0" formatCode="#\ ##0.########">
                  <c:v>99.65</c:v>
                </c:pt>
                <c:pt idx="1">
                  <c:v>99.15</c:v>
                </c:pt>
                <c:pt idx="2">
                  <c:v>97.93</c:v>
                </c:pt>
                <c:pt idx="3" formatCode="#,##0">
                  <c:v>97</c:v>
                </c:pt>
                <c:pt idx="4" formatCode="#\ ##0.0">
                  <c:v>96.32</c:v>
                </c:pt>
                <c:pt idx="5" formatCode="#,##0">
                  <c:v>96</c:v>
                </c:pt>
                <c:pt idx="6">
                  <c:v>94.9</c:v>
                </c:pt>
                <c:pt idx="7" formatCode="#\ ##0.0">
                  <c:v>86.93</c:v>
                </c:pt>
                <c:pt idx="8" formatCode="#\ ##0.#############">
                  <c:v>85</c:v>
                </c:pt>
                <c:pt idx="9">
                  <c:v>84.9</c:v>
                </c:pt>
                <c:pt idx="10">
                  <c:v>84.04</c:v>
                </c:pt>
                <c:pt idx="11" formatCode="#\ ##0.0">
                  <c:v>83.5</c:v>
                </c:pt>
                <c:pt idx="12">
                  <c:v>82</c:v>
                </c:pt>
                <c:pt idx="13">
                  <c:v>81.73</c:v>
                </c:pt>
                <c:pt idx="14">
                  <c:v>79.56</c:v>
                </c:pt>
                <c:pt idx="15">
                  <c:v>77.2</c:v>
                </c:pt>
                <c:pt idx="16">
                  <c:v>76.03</c:v>
                </c:pt>
                <c:pt idx="17">
                  <c:v>75.680000000000007</c:v>
                </c:pt>
                <c:pt idx="18">
                  <c:v>70.599999999999994</c:v>
                </c:pt>
                <c:pt idx="19">
                  <c:v>68.45</c:v>
                </c:pt>
                <c:pt idx="20" formatCode="#\ ##0.0">
                  <c:v>65.3</c:v>
                </c:pt>
                <c:pt idx="21">
                  <c:v>64.72</c:v>
                </c:pt>
                <c:pt idx="22" formatCode="#\ ##0.0">
                  <c:v>59.6</c:v>
                </c:pt>
                <c:pt idx="23" formatCode="#\ ##0.0">
                  <c:v>55.8</c:v>
                </c:pt>
                <c:pt idx="24">
                  <c:v>53.94</c:v>
                </c:pt>
                <c:pt idx="25" formatCode="#\ ##0.0">
                  <c:v>31.39</c:v>
                </c:pt>
                <c:pt idx="26" formatCode="#\ ##0.#######">
                  <c:v>7.41</c:v>
                </c:pt>
              </c:numCache>
            </c:numRef>
          </c:val>
          <c:extLst>
            <c:ext xmlns:c16="http://schemas.microsoft.com/office/drawing/2014/chart" uri="{C3380CC4-5D6E-409C-BE32-E72D297353CC}">
              <c16:uniqueId val="{00000002-75B3-412E-A74B-B41EBFC6902B}"/>
            </c:ext>
          </c:extLst>
        </c:ser>
        <c:dLbls>
          <c:showLegendKey val="0"/>
          <c:showVal val="0"/>
          <c:showCatName val="0"/>
          <c:showSerName val="0"/>
          <c:showPercent val="0"/>
          <c:showBubbleSize val="0"/>
        </c:dLbls>
        <c:gapWidth val="100"/>
        <c:axId val="283186879"/>
        <c:axId val="283184799"/>
      </c:barChart>
      <c:lineChart>
        <c:grouping val="standard"/>
        <c:varyColors val="0"/>
        <c:ser>
          <c:idx val="1"/>
          <c:order val="1"/>
          <c:tx>
            <c:v>EÚ 27</c:v>
          </c:tx>
          <c:spPr>
            <a:ln w="28575" cap="rnd">
              <a:solidFill>
                <a:srgbClr val="314364"/>
              </a:solidFill>
              <a:round/>
            </a:ln>
            <a:effectLst/>
          </c:spPr>
          <c:marker>
            <c:symbol val="none"/>
          </c:marker>
          <c:dLbls>
            <c:dLbl>
              <c:idx val="23"/>
              <c:layout>
                <c:manualLayout>
                  <c:x val="-6.3276836158192087E-2"/>
                  <c:y val="-9.8039215686274522E-2"/>
                </c:manualLayout>
              </c:layout>
              <c:tx>
                <c:rich>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fld id="{34142D9D-C7A1-46BD-A86C-3F5AC14AA2C3}" type="SERIESNAME">
                      <a:rPr lang="en-US" b="1"/>
                      <a:pPr>
                        <a:defRPr/>
                      </a:pPr>
                      <a:t>[NÁZOV RADU]</a:t>
                    </a:fld>
                    <a:r>
                      <a:rPr lang="en-US" baseline="0"/>
                      <a:t> – </a:t>
                    </a:r>
                    <a:fld id="{F8C979BE-3FCE-4937-B9E7-60C92610107E}" type="VALUE">
                      <a:rPr lang="en-US" b="1" baseline="0"/>
                      <a:pPr>
                        <a:defRPr/>
                      </a:pPr>
                      <a:t>[HODNOTA]</a:t>
                    </a:fld>
                    <a:endParaRPr lang="en-US" baseline="0"/>
                  </a:p>
                </c:rich>
              </c:tx>
              <c:spPr>
                <a:noFill/>
                <a:ln>
                  <a:solidFill>
                    <a:srgbClr val="314364"/>
                  </a:solid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75B3-412E-A74B-B41EBFC6902B}"/>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'Graf 1'!$A$2:$A$28</c:f>
              <c:strCache>
                <c:ptCount val="27"/>
                <c:pt idx="0">
                  <c:v>NL</c:v>
                </c:pt>
                <c:pt idx="1">
                  <c:v>AT</c:v>
                </c:pt>
                <c:pt idx="2">
                  <c:v>DK</c:v>
                </c:pt>
                <c:pt idx="3">
                  <c:v>*LU</c:v>
                </c:pt>
                <c:pt idx="4">
                  <c:v>*DE</c:v>
                </c:pt>
                <c:pt idx="5">
                  <c:v>*SE</c:v>
                </c:pt>
                <c:pt idx="6">
                  <c:v>GR</c:v>
                </c:pt>
                <c:pt idx="7">
                  <c:v>*ES</c:v>
                </c:pt>
                <c:pt idx="8">
                  <c:v>FI</c:v>
                </c:pt>
                <c:pt idx="9">
                  <c:v>CZ</c:v>
                </c:pt>
                <c:pt idx="10">
                  <c:v>BE</c:v>
                </c:pt>
                <c:pt idx="11">
                  <c:v>*CY</c:v>
                </c:pt>
                <c:pt idx="12">
                  <c:v>EE</c:v>
                </c:pt>
                <c:pt idx="13">
                  <c:v>HU</c:v>
                </c:pt>
                <c:pt idx="14">
                  <c:v>FR</c:v>
                </c:pt>
                <c:pt idx="15">
                  <c:v>LV</c:v>
                </c:pt>
                <c:pt idx="16">
                  <c:v>LT</c:v>
                </c:pt>
                <c:pt idx="17">
                  <c:v>PL</c:v>
                </c:pt>
                <c:pt idx="18">
                  <c:v>SK</c:v>
                </c:pt>
                <c:pt idx="19">
                  <c:v>SI</c:v>
                </c:pt>
                <c:pt idx="20">
                  <c:v>*BG</c:v>
                </c:pt>
                <c:pt idx="21">
                  <c:v>IE</c:v>
                </c:pt>
                <c:pt idx="22">
                  <c:v>*IT</c:v>
                </c:pt>
                <c:pt idx="23">
                  <c:v>*PT</c:v>
                </c:pt>
                <c:pt idx="24">
                  <c:v>RO</c:v>
                </c:pt>
                <c:pt idx="25">
                  <c:v>*HR</c:v>
                </c:pt>
                <c:pt idx="26">
                  <c:v>MT</c:v>
                </c:pt>
              </c:strCache>
            </c:strRef>
          </c:cat>
          <c:val>
            <c:numRef>
              <c:f>'Graf 1'!$C$2:$C$28</c:f>
              <c:numCache>
                <c:formatCode>#\ ##0.##</c:formatCode>
                <c:ptCount val="27"/>
                <c:pt idx="0">
                  <c:v>80.88</c:v>
                </c:pt>
                <c:pt idx="1">
                  <c:v>80.88</c:v>
                </c:pt>
                <c:pt idx="2">
                  <c:v>80.88</c:v>
                </c:pt>
                <c:pt idx="3">
                  <c:v>80.88</c:v>
                </c:pt>
                <c:pt idx="4">
                  <c:v>80.88</c:v>
                </c:pt>
                <c:pt idx="5">
                  <c:v>80.88</c:v>
                </c:pt>
                <c:pt idx="6">
                  <c:v>80.88</c:v>
                </c:pt>
                <c:pt idx="7">
                  <c:v>80.88</c:v>
                </c:pt>
                <c:pt idx="8">
                  <c:v>80.88</c:v>
                </c:pt>
                <c:pt idx="9">
                  <c:v>80.88</c:v>
                </c:pt>
                <c:pt idx="10">
                  <c:v>80.88</c:v>
                </c:pt>
                <c:pt idx="11">
                  <c:v>80.88</c:v>
                </c:pt>
                <c:pt idx="12">
                  <c:v>80.88</c:v>
                </c:pt>
                <c:pt idx="13">
                  <c:v>80.88</c:v>
                </c:pt>
                <c:pt idx="14">
                  <c:v>80.88</c:v>
                </c:pt>
                <c:pt idx="15">
                  <c:v>80.88</c:v>
                </c:pt>
                <c:pt idx="16">
                  <c:v>80.88</c:v>
                </c:pt>
                <c:pt idx="17">
                  <c:v>80.88</c:v>
                </c:pt>
                <c:pt idx="18">
                  <c:v>80.88</c:v>
                </c:pt>
                <c:pt idx="19">
                  <c:v>80.88</c:v>
                </c:pt>
                <c:pt idx="20">
                  <c:v>80.88</c:v>
                </c:pt>
                <c:pt idx="21">
                  <c:v>80.88</c:v>
                </c:pt>
                <c:pt idx="22">
                  <c:v>80.88</c:v>
                </c:pt>
                <c:pt idx="23">
                  <c:v>80.88</c:v>
                </c:pt>
                <c:pt idx="24">
                  <c:v>80.88</c:v>
                </c:pt>
                <c:pt idx="25">
                  <c:v>80.88</c:v>
                </c:pt>
                <c:pt idx="26">
                  <c:v>80.88</c:v>
                </c:pt>
              </c:numCache>
            </c:numRef>
          </c:val>
          <c:smooth val="0"/>
          <c:extLst>
            <c:ext xmlns:c16="http://schemas.microsoft.com/office/drawing/2014/chart" uri="{C3380CC4-5D6E-409C-BE32-E72D297353CC}">
              <c16:uniqueId val="{00000004-75B3-412E-A74B-B41EBFC6902B}"/>
            </c:ext>
          </c:extLst>
        </c:ser>
        <c:dLbls>
          <c:showLegendKey val="0"/>
          <c:showVal val="0"/>
          <c:showCatName val="0"/>
          <c:showSerName val="0"/>
          <c:showPercent val="0"/>
          <c:showBubbleSize val="0"/>
        </c:dLbls>
        <c:marker val="1"/>
        <c:smooth val="0"/>
        <c:axId val="283186879"/>
        <c:axId val="283184799"/>
      </c:lineChart>
      <c:catAx>
        <c:axId val="2831868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83184799"/>
        <c:crosses val="autoZero"/>
        <c:auto val="1"/>
        <c:lblAlgn val="ctr"/>
        <c:lblOffset val="100"/>
        <c:noMultiLvlLbl val="0"/>
      </c:catAx>
      <c:valAx>
        <c:axId val="283184799"/>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8318687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Hárok1!$C$42</c:f>
              <c:strCache>
                <c:ptCount val="1"/>
                <c:pt idx="0">
                  <c:v>Požiadavka fin. prostr. na neregulované platby zo ŠR SR</c:v>
                </c:pt>
              </c:strCache>
            </c:strRef>
          </c:tx>
          <c:spPr>
            <a:ln w="28575" cap="rnd">
              <a:solidFill>
                <a:schemeClr val="accent1"/>
              </a:solidFill>
              <a:round/>
            </a:ln>
            <a:effectLst/>
          </c:spPr>
          <c:marker>
            <c:symbol val="circle"/>
            <c:size val="5"/>
            <c:spPr>
              <a:solidFill>
                <a:schemeClr val="accent1"/>
              </a:solidFill>
              <a:ln w="9525">
                <a:solidFill>
                  <a:sysClr val="window" lastClr="FFFFFF"/>
                </a:solid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Hárok1!$C$32:$C$39</c:f>
              <c:strCache>
                <c:ptCount val="8"/>
                <c:pt idx="0">
                  <c:v>2018</c:v>
                </c:pt>
                <c:pt idx="1">
                  <c:v>2019</c:v>
                </c:pt>
                <c:pt idx="2">
                  <c:v>2020</c:v>
                </c:pt>
                <c:pt idx="3">
                  <c:v>2021</c:v>
                </c:pt>
                <c:pt idx="4">
                  <c:v>2022</c:v>
                </c:pt>
                <c:pt idx="5">
                  <c:v>2023</c:v>
                </c:pt>
                <c:pt idx="6">
                  <c:v>2024</c:v>
                </c:pt>
                <c:pt idx="7">
                  <c:v>*2025</c:v>
                </c:pt>
              </c:strCache>
            </c:strRef>
          </c:cat>
          <c:val>
            <c:numRef>
              <c:f>Hárok1!$F$32:$F$39</c:f>
              <c:numCache>
                <c:formatCode>#,##0</c:formatCode>
                <c:ptCount val="8"/>
                <c:pt idx="0">
                  <c:v>40207</c:v>
                </c:pt>
                <c:pt idx="1">
                  <c:v>41347</c:v>
                </c:pt>
                <c:pt idx="2">
                  <c:v>72001</c:v>
                </c:pt>
                <c:pt idx="3">
                  <c:v>58601.417999999998</c:v>
                </c:pt>
                <c:pt idx="4">
                  <c:v>50059.218000000001</c:v>
                </c:pt>
                <c:pt idx="5">
                  <c:v>50546</c:v>
                </c:pt>
                <c:pt idx="6">
                  <c:v>57742</c:v>
                </c:pt>
                <c:pt idx="7">
                  <c:v>72174</c:v>
                </c:pt>
              </c:numCache>
            </c:numRef>
          </c:val>
          <c:smooth val="0"/>
          <c:extLst>
            <c:ext xmlns:c16="http://schemas.microsoft.com/office/drawing/2014/chart" uri="{C3380CC4-5D6E-409C-BE32-E72D297353CC}">
              <c16:uniqueId val="{00000005-09B2-4EB0-A35B-AE99D3933ADD}"/>
            </c:ext>
          </c:extLst>
        </c:ser>
        <c:ser>
          <c:idx val="1"/>
          <c:order val="1"/>
          <c:tx>
            <c:strRef>
              <c:f>Hárok1!$C$43</c:f>
              <c:strCache>
                <c:ptCount val="1"/>
                <c:pt idx="0">
                  <c:v>Pridelené fin. prostr. na neregulované platby zo ŠR SR</c:v>
                </c:pt>
              </c:strCache>
            </c:strRef>
          </c:tx>
          <c:spPr>
            <a:ln w="28575" cap="rnd">
              <a:solidFill>
                <a:schemeClr val="accent2"/>
              </a:solidFill>
              <a:round/>
            </a:ln>
            <a:effectLst/>
          </c:spPr>
          <c:marker>
            <c:symbol val="circle"/>
            <c:size val="5"/>
            <c:spPr>
              <a:solidFill>
                <a:schemeClr val="accent2"/>
              </a:solidFill>
              <a:ln w="9525">
                <a:solidFill>
                  <a:sysClr val="window" lastClr="FFFFFF"/>
                </a:solidFill>
              </a:ln>
              <a:effectLst/>
            </c:spPr>
          </c:marker>
          <c:dLbls>
            <c:dLbl>
              <c:idx val="0"/>
              <c:layout>
                <c:manualLayout>
                  <c:x val="-1.8832391713747645E-3"/>
                  <c:y val="3.12500000000000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9B2-4EB0-A35B-AE99D3933ADD}"/>
                </c:ext>
              </c:extLst>
            </c:dLbl>
            <c:dLbl>
              <c:idx val="1"/>
              <c:layout>
                <c:manualLayout>
                  <c:x val="0"/>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9B2-4EB0-A35B-AE99D3933ADD}"/>
                </c:ext>
              </c:extLst>
            </c:dLbl>
            <c:dLbl>
              <c:idx val="3"/>
              <c:layout>
                <c:manualLayout>
                  <c:x val="0"/>
                  <c:y val="-2.77777777777779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9B2-4EB0-A35B-AE99D3933ADD}"/>
                </c:ext>
              </c:extLst>
            </c:dLbl>
            <c:spPr>
              <a:noFill/>
              <a:ln>
                <a:noFill/>
              </a:ln>
              <a:effectLst/>
            </c:spPr>
            <c:txPr>
              <a:bodyPr rot="0" spcFirstLastPara="1" vertOverflow="ellipsis" vert="horz" wrap="square" anchor="ctr" anchorCtr="1"/>
              <a:lstStyle/>
              <a:p>
                <a:pPr>
                  <a:defRPr sz="800" b="1" i="0" u="none" strike="noStrike" kern="1200" baseline="0">
                    <a:solidFill>
                      <a:schemeClr val="bg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Hárok1!$C$32:$C$39</c:f>
              <c:strCache>
                <c:ptCount val="8"/>
                <c:pt idx="0">
                  <c:v>2018</c:v>
                </c:pt>
                <c:pt idx="1">
                  <c:v>2019</c:v>
                </c:pt>
                <c:pt idx="2">
                  <c:v>2020</c:v>
                </c:pt>
                <c:pt idx="3">
                  <c:v>2021</c:v>
                </c:pt>
                <c:pt idx="4">
                  <c:v>2022</c:v>
                </c:pt>
                <c:pt idx="5">
                  <c:v>2023</c:v>
                </c:pt>
                <c:pt idx="6">
                  <c:v>2024</c:v>
                </c:pt>
                <c:pt idx="7">
                  <c:v>*2025</c:v>
                </c:pt>
              </c:strCache>
            </c:strRef>
          </c:cat>
          <c:val>
            <c:numRef>
              <c:f>Hárok1!$G$32:$G$38</c:f>
              <c:numCache>
                <c:formatCode>#,##0</c:formatCode>
                <c:ptCount val="7"/>
                <c:pt idx="0">
                  <c:v>27510</c:v>
                </c:pt>
                <c:pt idx="1">
                  <c:v>27143.429</c:v>
                </c:pt>
                <c:pt idx="2">
                  <c:v>28100</c:v>
                </c:pt>
                <c:pt idx="3">
                  <c:v>8000</c:v>
                </c:pt>
                <c:pt idx="4">
                  <c:v>2500</c:v>
                </c:pt>
                <c:pt idx="5">
                  <c:v>27000</c:v>
                </c:pt>
                <c:pt idx="6">
                  <c:v>2500</c:v>
                </c:pt>
              </c:numCache>
            </c:numRef>
          </c:val>
          <c:smooth val="0"/>
          <c:extLst>
            <c:ext xmlns:c16="http://schemas.microsoft.com/office/drawing/2014/chart" uri="{C3380CC4-5D6E-409C-BE32-E72D297353CC}">
              <c16:uniqueId val="{00000009-09B2-4EB0-A35B-AE99D3933ADD}"/>
            </c:ext>
          </c:extLst>
        </c:ser>
        <c:dLbls>
          <c:showLegendKey val="0"/>
          <c:showVal val="0"/>
          <c:showCatName val="0"/>
          <c:showSerName val="0"/>
          <c:showPercent val="0"/>
          <c:showBubbleSize val="0"/>
        </c:dLbls>
        <c:marker val="1"/>
        <c:smooth val="0"/>
        <c:axId val="294688351"/>
        <c:axId val="294689599"/>
      </c:lineChart>
      <c:catAx>
        <c:axId val="2946883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94689599"/>
        <c:crosses val="autoZero"/>
        <c:auto val="1"/>
        <c:lblAlgn val="ctr"/>
        <c:lblOffset val="100"/>
        <c:noMultiLvlLbl val="0"/>
      </c:catAx>
      <c:valAx>
        <c:axId val="2946895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2946883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no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0"/>
          <c:tx>
            <c:strRef>
              <c:f>Hárok1!$T$19</c:f>
              <c:strCache>
                <c:ptCount val="1"/>
                <c:pt idx="0">
                  <c:v>Príjmy z predaja emisných kvót</c:v>
                </c:pt>
              </c:strCache>
            </c:strRef>
          </c:tx>
          <c:spPr>
            <a:solidFill>
              <a:srgbClr val="9CB9EC"/>
            </a:solidFill>
            <a:ln>
              <a:noFill/>
            </a:ln>
            <a:effectLst/>
          </c:spPr>
          <c:invertIfNegative val="0"/>
          <c:cat>
            <c:numRef>
              <c:f>Hárok1!$U$16:$AL$16</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Hárok1!$U$19:$AL$19</c:f>
              <c:numCache>
                <c:formatCode>#,##0</c:formatCode>
                <c:ptCount val="18"/>
                <c:pt idx="0">
                  <c:v>0</c:v>
                </c:pt>
                <c:pt idx="1">
                  <c:v>0</c:v>
                </c:pt>
                <c:pt idx="2">
                  <c:v>0</c:v>
                </c:pt>
                <c:pt idx="3">
                  <c:v>0</c:v>
                </c:pt>
                <c:pt idx="4" formatCode="General">
                  <c:v>0</c:v>
                </c:pt>
                <c:pt idx="5">
                  <c:v>12193</c:v>
                </c:pt>
                <c:pt idx="6">
                  <c:v>12328</c:v>
                </c:pt>
                <c:pt idx="7">
                  <c:v>17326</c:v>
                </c:pt>
                <c:pt idx="8">
                  <c:v>84425</c:v>
                </c:pt>
                <c:pt idx="9">
                  <c:v>64982</c:v>
                </c:pt>
                <c:pt idx="10">
                  <c:v>86977</c:v>
                </c:pt>
                <c:pt idx="11">
                  <c:v>229693</c:v>
                </c:pt>
                <c:pt idx="12">
                  <c:v>244185</c:v>
                </c:pt>
                <c:pt idx="13">
                  <c:v>241826.25659999999</c:v>
                </c:pt>
                <c:pt idx="14">
                  <c:v>275888.55499999999</c:v>
                </c:pt>
                <c:pt idx="15">
                  <c:v>342521.41</c:v>
                </c:pt>
                <c:pt idx="16">
                  <c:v>383183.24</c:v>
                </c:pt>
                <c:pt idx="17">
                  <c:v>291504.58399999997</c:v>
                </c:pt>
              </c:numCache>
            </c:numRef>
          </c:val>
          <c:extLst>
            <c:ext xmlns:c16="http://schemas.microsoft.com/office/drawing/2014/chart" uri="{C3380CC4-5D6E-409C-BE32-E72D297353CC}">
              <c16:uniqueId val="{00000000-FB88-489E-9535-54D4E1F6700B}"/>
            </c:ext>
          </c:extLst>
        </c:ser>
        <c:ser>
          <c:idx val="0"/>
          <c:order val="1"/>
          <c:tx>
            <c:strRef>
              <c:f>Hárok1!$T$17</c:f>
              <c:strCache>
                <c:ptCount val="1"/>
                <c:pt idx="0">
                  <c:v>*Celkové príjmy</c:v>
                </c:pt>
              </c:strCache>
            </c:strRef>
          </c:tx>
          <c:spPr>
            <a:solidFill>
              <a:schemeClr val="accent1"/>
            </a:solidFill>
            <a:ln>
              <a:noFill/>
            </a:ln>
            <a:effectLst/>
          </c:spPr>
          <c:invertIfNegative val="0"/>
          <c:cat>
            <c:numRef>
              <c:f>Hárok1!$U$16:$AL$16</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Hárok1!$U$17:$AL$17</c:f>
              <c:numCache>
                <c:formatCode>#,##0</c:formatCode>
                <c:ptCount val="18"/>
                <c:pt idx="0">
                  <c:v>73494.655779061301</c:v>
                </c:pt>
                <c:pt idx="1">
                  <c:v>139188</c:v>
                </c:pt>
                <c:pt idx="2">
                  <c:v>145893</c:v>
                </c:pt>
                <c:pt idx="3">
                  <c:v>125082</c:v>
                </c:pt>
                <c:pt idx="4">
                  <c:v>125001</c:v>
                </c:pt>
                <c:pt idx="5">
                  <c:v>136404</c:v>
                </c:pt>
                <c:pt idx="6">
                  <c:v>147120</c:v>
                </c:pt>
                <c:pt idx="7">
                  <c:v>176048</c:v>
                </c:pt>
                <c:pt idx="8">
                  <c:v>272398</c:v>
                </c:pt>
                <c:pt idx="9">
                  <c:v>331871</c:v>
                </c:pt>
                <c:pt idx="10">
                  <c:v>395673</c:v>
                </c:pt>
                <c:pt idx="11">
                  <c:v>610978</c:v>
                </c:pt>
                <c:pt idx="12">
                  <c:v>846271</c:v>
                </c:pt>
                <c:pt idx="13">
                  <c:v>1018605.19</c:v>
                </c:pt>
                <c:pt idx="14">
                  <c:v>1256187.72</c:v>
                </c:pt>
                <c:pt idx="15">
                  <c:v>1686220.0090000001</c:v>
                </c:pt>
                <c:pt idx="16">
                  <c:v>2044496.1189999999</c:v>
                </c:pt>
                <c:pt idx="17">
                  <c:v>2375940.4169999999</c:v>
                </c:pt>
              </c:numCache>
            </c:numRef>
          </c:val>
          <c:extLst>
            <c:ext xmlns:c16="http://schemas.microsoft.com/office/drawing/2014/chart" uri="{C3380CC4-5D6E-409C-BE32-E72D297353CC}">
              <c16:uniqueId val="{00000001-FB88-489E-9535-54D4E1F6700B}"/>
            </c:ext>
          </c:extLst>
        </c:ser>
        <c:dLbls>
          <c:showLegendKey val="0"/>
          <c:showVal val="0"/>
          <c:showCatName val="0"/>
          <c:showSerName val="0"/>
          <c:showPercent val="0"/>
          <c:showBubbleSize val="0"/>
        </c:dLbls>
        <c:gapWidth val="100"/>
        <c:axId val="611564432"/>
        <c:axId val="611571920"/>
      </c:barChart>
      <c:lineChart>
        <c:grouping val="standard"/>
        <c:varyColors val="0"/>
        <c:ser>
          <c:idx val="1"/>
          <c:order val="2"/>
          <c:tx>
            <c:strRef>
              <c:f>Hárok1!$T$18</c:f>
              <c:strCache>
                <c:ptCount val="1"/>
                <c:pt idx="0">
                  <c:v>Celkové výdavky</c:v>
                </c:pt>
              </c:strCache>
            </c:strRef>
          </c:tx>
          <c:spPr>
            <a:ln w="28575" cap="rnd">
              <a:noFill/>
              <a:round/>
            </a:ln>
            <a:effectLst/>
          </c:spPr>
          <c:marker>
            <c:symbol val="diamond"/>
            <c:size val="8"/>
            <c:spPr>
              <a:solidFill>
                <a:srgbClr val="F55647"/>
              </a:solidFill>
              <a:ln w="9525">
                <a:noFill/>
              </a:ln>
              <a:effectLst/>
            </c:spPr>
          </c:marker>
          <c:cat>
            <c:numRef>
              <c:f>Hárok1!$U$16:$AL$16</c:f>
              <c:numCache>
                <c:formatCode>General</c:formatCode>
                <c:ptCount val="18"/>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numCache>
            </c:numRef>
          </c:cat>
          <c:val>
            <c:numRef>
              <c:f>Hárok1!$U$18:$AL$18</c:f>
              <c:numCache>
                <c:formatCode>#,##0</c:formatCode>
                <c:ptCount val="18"/>
                <c:pt idx="0">
                  <c:v>65494.921330412297</c:v>
                </c:pt>
                <c:pt idx="1">
                  <c:v>76803</c:v>
                </c:pt>
                <c:pt idx="2">
                  <c:v>61809</c:v>
                </c:pt>
                <c:pt idx="3">
                  <c:v>48746</c:v>
                </c:pt>
                <c:pt idx="4">
                  <c:v>39681</c:v>
                </c:pt>
                <c:pt idx="5">
                  <c:v>43672</c:v>
                </c:pt>
                <c:pt idx="6">
                  <c:v>24007</c:v>
                </c:pt>
                <c:pt idx="7">
                  <c:v>34902</c:v>
                </c:pt>
                <c:pt idx="8">
                  <c:v>50578</c:v>
                </c:pt>
                <c:pt idx="9">
                  <c:v>66452</c:v>
                </c:pt>
                <c:pt idx="10">
                  <c:v>48441</c:v>
                </c:pt>
                <c:pt idx="11">
                  <c:v>62299</c:v>
                </c:pt>
                <c:pt idx="12">
                  <c:v>122653</c:v>
                </c:pt>
                <c:pt idx="13">
                  <c:v>102085.01829000001</c:v>
                </c:pt>
                <c:pt idx="14">
                  <c:v>83511.956000000006</c:v>
                </c:pt>
                <c:pt idx="15">
                  <c:v>226890.723</c:v>
                </c:pt>
                <c:pt idx="16">
                  <c:v>308316.451</c:v>
                </c:pt>
                <c:pt idx="17">
                  <c:v>396065.55300000001</c:v>
                </c:pt>
              </c:numCache>
            </c:numRef>
          </c:val>
          <c:smooth val="0"/>
          <c:extLst>
            <c:ext xmlns:c16="http://schemas.microsoft.com/office/drawing/2014/chart" uri="{C3380CC4-5D6E-409C-BE32-E72D297353CC}">
              <c16:uniqueId val="{00000002-FB88-489E-9535-54D4E1F6700B}"/>
            </c:ext>
          </c:extLst>
        </c:ser>
        <c:dLbls>
          <c:showLegendKey val="0"/>
          <c:showVal val="0"/>
          <c:showCatName val="0"/>
          <c:showSerName val="0"/>
          <c:showPercent val="0"/>
          <c:showBubbleSize val="0"/>
        </c:dLbls>
        <c:marker val="1"/>
        <c:smooth val="0"/>
        <c:axId val="611564432"/>
        <c:axId val="611571920"/>
      </c:lineChart>
      <c:catAx>
        <c:axId val="61156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71920"/>
        <c:crosses val="autoZero"/>
        <c:auto val="1"/>
        <c:lblAlgn val="ctr"/>
        <c:lblOffset val="100"/>
        <c:noMultiLvlLbl val="0"/>
      </c:catAx>
      <c:valAx>
        <c:axId val="611571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64432"/>
        <c:crosses val="autoZero"/>
        <c:crossBetween val="between"/>
        <c:dispUnits>
          <c:builtInUnit val="thousan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253556448698433E-2"/>
          <c:y val="5.0505050505050504E-2"/>
          <c:w val="0.89829396325459321"/>
          <c:h val="0.64751099445902605"/>
        </c:manualLayout>
      </c:layout>
      <c:barChart>
        <c:barDir val="col"/>
        <c:grouping val="clustered"/>
        <c:varyColors val="0"/>
        <c:ser>
          <c:idx val="0"/>
          <c:order val="0"/>
          <c:tx>
            <c:strRef>
              <c:f>'Graf 6'!$C$2</c:f>
              <c:strCache>
                <c:ptCount val="1"/>
                <c:pt idx="0">
                  <c:v>2024</c:v>
                </c:pt>
              </c:strCache>
            </c:strRef>
          </c:tx>
          <c:spPr>
            <a:solidFill>
              <a:srgbClr val="9CB9EC"/>
            </a:solidFill>
            <a:ln>
              <a:noFill/>
            </a:ln>
            <a:effectLst/>
          </c:spPr>
          <c:invertIfNegative val="0"/>
          <c:dPt>
            <c:idx val="10"/>
            <c:invertIfNegative val="0"/>
            <c:bubble3D val="0"/>
            <c:spPr>
              <a:solidFill>
                <a:srgbClr val="F55647"/>
              </a:solidFill>
              <a:ln>
                <a:noFill/>
              </a:ln>
              <a:effectLst/>
            </c:spPr>
            <c:extLst>
              <c:ext xmlns:c16="http://schemas.microsoft.com/office/drawing/2014/chart" uri="{C3380CC4-5D6E-409C-BE32-E72D297353CC}">
                <c16:uniqueId val="{00000001-FFB7-480F-85D9-3C04406707BB}"/>
              </c:ext>
            </c:extLst>
          </c:dPt>
          <c:dLbls>
            <c:dLbl>
              <c:idx val="10"/>
              <c:layout>
                <c:manualLayout>
                  <c:x val="0"/>
                  <c:y val="-3.5555555555555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B7-480F-85D9-3C04406707B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6"/>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F55647"/>
                      </a:solidFill>
                      <a:round/>
                    </a:ln>
                    <a:effectLst/>
                  </c:spPr>
                </c15:leaderLines>
              </c:ext>
            </c:extLst>
          </c:dLbls>
          <c:cat>
            <c:strRef>
              <c:f>'Graf 6'!$B$3:$B$29</c:f>
              <c:strCache>
                <c:ptCount val="27"/>
                <c:pt idx="0">
                  <c:v>Francúzsko</c:v>
                </c:pt>
                <c:pt idx="1">
                  <c:v>Fínsko</c:v>
                </c:pt>
                <c:pt idx="2">
                  <c:v>Rakúsko</c:v>
                </c:pt>
                <c:pt idx="3">
                  <c:v>Belgicko</c:v>
                </c:pt>
                <c:pt idx="4">
                  <c:v>Taliansko</c:v>
                </c:pt>
                <c:pt idx="5">
                  <c:v>Švédsko</c:v>
                </c:pt>
                <c:pt idx="6">
                  <c:v>Nemecko</c:v>
                </c:pt>
                <c:pt idx="7">
                  <c:v>Poľsko</c:v>
                </c:pt>
                <c:pt idx="8">
                  <c:v>Grécko</c:v>
                </c:pt>
                <c:pt idx="9">
                  <c:v>Chorvátsko</c:v>
                </c:pt>
                <c:pt idx="10">
                  <c:v>Slovensko</c:v>
                </c:pt>
                <c:pt idx="11">
                  <c:v>Maďarsko</c:v>
                </c:pt>
                <c:pt idx="12">
                  <c:v>Luxembursko</c:v>
                </c:pt>
                <c:pt idx="13">
                  <c:v>Slovinsko</c:v>
                </c:pt>
                <c:pt idx="14">
                  <c:v>Dánsko</c:v>
                </c:pt>
                <c:pt idx="15">
                  <c:v>Lotyšsko</c:v>
                </c:pt>
                <c:pt idx="16">
                  <c:v>Španielsko</c:v>
                </c:pt>
                <c:pt idx="17">
                  <c:v>Estónsko</c:v>
                </c:pt>
                <c:pt idx="18">
                  <c:v>Holandsko</c:v>
                </c:pt>
                <c:pt idx="19">
                  <c:v>Rumunsko</c:v>
                </c:pt>
                <c:pt idx="20">
                  <c:v>Česko</c:v>
                </c:pt>
                <c:pt idx="21">
                  <c:v>Portugalsko</c:v>
                </c:pt>
                <c:pt idx="22">
                  <c:v>Cyprus</c:v>
                </c:pt>
                <c:pt idx="23">
                  <c:v>Bulharsko</c:v>
                </c:pt>
                <c:pt idx="24">
                  <c:v>Litva</c:v>
                </c:pt>
                <c:pt idx="25">
                  <c:v>Malta</c:v>
                </c:pt>
                <c:pt idx="26">
                  <c:v>Írsko</c:v>
                </c:pt>
              </c:strCache>
            </c:strRef>
          </c:cat>
          <c:val>
            <c:numRef>
              <c:f>'Graf 6'!$C$3:$C$29</c:f>
              <c:numCache>
                <c:formatCode>_-* #\ ##0.0_-;\-* #\ ##0.0_-;_-* "-"??_-;_-@_-</c:formatCode>
                <c:ptCount val="27"/>
                <c:pt idx="0">
                  <c:v>57.6</c:v>
                </c:pt>
                <c:pt idx="1">
                  <c:v>57.1</c:v>
                </c:pt>
                <c:pt idx="2">
                  <c:v>56.3</c:v>
                </c:pt>
                <c:pt idx="3">
                  <c:v>54.5</c:v>
                </c:pt>
                <c:pt idx="4">
                  <c:v>50.6</c:v>
                </c:pt>
                <c:pt idx="5">
                  <c:v>50</c:v>
                </c:pt>
                <c:pt idx="6">
                  <c:v>49.5</c:v>
                </c:pt>
                <c:pt idx="7">
                  <c:v>49.4</c:v>
                </c:pt>
                <c:pt idx="8">
                  <c:v>48</c:v>
                </c:pt>
                <c:pt idx="9">
                  <c:v>48</c:v>
                </c:pt>
                <c:pt idx="10">
                  <c:v>47.1</c:v>
                </c:pt>
                <c:pt idx="11">
                  <c:v>46.9</c:v>
                </c:pt>
                <c:pt idx="12">
                  <c:v>46.9</c:v>
                </c:pt>
                <c:pt idx="13">
                  <c:v>46.8</c:v>
                </c:pt>
                <c:pt idx="14">
                  <c:v>46.5</c:v>
                </c:pt>
                <c:pt idx="15">
                  <c:v>45.7</c:v>
                </c:pt>
                <c:pt idx="16">
                  <c:v>45.4</c:v>
                </c:pt>
                <c:pt idx="17">
                  <c:v>44</c:v>
                </c:pt>
                <c:pt idx="18">
                  <c:v>43.9</c:v>
                </c:pt>
                <c:pt idx="19">
                  <c:v>43.5</c:v>
                </c:pt>
                <c:pt idx="20">
                  <c:v>43</c:v>
                </c:pt>
                <c:pt idx="21">
                  <c:v>42.8</c:v>
                </c:pt>
                <c:pt idx="22">
                  <c:v>40</c:v>
                </c:pt>
                <c:pt idx="23">
                  <c:v>39.799999999999997</c:v>
                </c:pt>
                <c:pt idx="24">
                  <c:v>39.5</c:v>
                </c:pt>
                <c:pt idx="25">
                  <c:v>38.299999999999997</c:v>
                </c:pt>
                <c:pt idx="26">
                  <c:v>23.5</c:v>
                </c:pt>
              </c:numCache>
            </c:numRef>
          </c:val>
          <c:extLst>
            <c:ext xmlns:c16="http://schemas.microsoft.com/office/drawing/2014/chart" uri="{C3380CC4-5D6E-409C-BE32-E72D297353CC}">
              <c16:uniqueId val="{00000002-FFB7-480F-85D9-3C04406707BB}"/>
            </c:ext>
          </c:extLst>
        </c:ser>
        <c:dLbls>
          <c:showLegendKey val="0"/>
          <c:showVal val="0"/>
          <c:showCatName val="0"/>
          <c:showSerName val="0"/>
          <c:showPercent val="0"/>
          <c:showBubbleSize val="0"/>
        </c:dLbls>
        <c:gapWidth val="100"/>
        <c:axId val="611564432"/>
        <c:axId val="611571920"/>
      </c:barChart>
      <c:lineChart>
        <c:grouping val="standard"/>
        <c:varyColors val="0"/>
        <c:ser>
          <c:idx val="1"/>
          <c:order val="1"/>
          <c:tx>
            <c:strRef>
              <c:f>'Graf 6'!$F$2</c:f>
              <c:strCache>
                <c:ptCount val="1"/>
                <c:pt idx="0">
                  <c:v>Priemer EÚ</c:v>
                </c:pt>
              </c:strCache>
            </c:strRef>
          </c:tx>
          <c:spPr>
            <a:ln w="22225" cap="rnd">
              <a:solidFill>
                <a:srgbClr val="314364"/>
              </a:solidFill>
              <a:prstDash val="sysDash"/>
              <a:round/>
            </a:ln>
            <a:effectLst/>
          </c:spPr>
          <c:marker>
            <c:symbol val="none"/>
          </c:marker>
          <c:dLbls>
            <c:dLbl>
              <c:idx val="18"/>
              <c:layout>
                <c:manualLayout>
                  <c:x val="0.10584343991179714"/>
                  <c:y val="-6.5185185185185193E-2"/>
                </c:manualLayout>
              </c:layout>
              <c:tx>
                <c:rich>
                  <a:bodyPr/>
                  <a:lstStyle/>
                  <a:p>
                    <a:fld id="{8D6C6C8A-9DA5-44EB-9D30-B18793D4E9A3}" type="SERIESNAME">
                      <a:rPr lang="en-US"/>
                      <a:pPr/>
                      <a:t>[NÁZOV RADU]</a:t>
                    </a:fld>
                    <a:r>
                      <a:rPr lang="en-US" baseline="0"/>
                      <a:t> –</a:t>
                    </a:r>
                    <a:fld id="{F4C537D2-1AE8-43C1-B233-C1B4DD05BFA3}" type="VALUE">
                      <a:rPr lang="en-US" baseline="0"/>
                      <a:pPr/>
                      <a:t>[HODNOTA]</a:t>
                    </a:fld>
                    <a:endParaRPr lang="en-US" baseline="0"/>
                  </a:p>
                </c:rich>
              </c:tx>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FB7-480F-85D9-3C04406707BB}"/>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rgbClr val="314364"/>
                      </a:solidFill>
                      <a:round/>
                    </a:ln>
                    <a:effectLst/>
                  </c:spPr>
                </c15:leaderLines>
              </c:ext>
            </c:extLst>
          </c:dLbls>
          <c:cat>
            <c:strRef>
              <c:f>'Graf 6'!$B$3:$B$29</c:f>
              <c:strCache>
                <c:ptCount val="27"/>
                <c:pt idx="0">
                  <c:v>Francúzsko</c:v>
                </c:pt>
                <c:pt idx="1">
                  <c:v>Fínsko</c:v>
                </c:pt>
                <c:pt idx="2">
                  <c:v>Rakúsko</c:v>
                </c:pt>
                <c:pt idx="3">
                  <c:v>Belgicko</c:v>
                </c:pt>
                <c:pt idx="4">
                  <c:v>Taliansko</c:v>
                </c:pt>
                <c:pt idx="5">
                  <c:v>Švédsko</c:v>
                </c:pt>
                <c:pt idx="6">
                  <c:v>Nemecko</c:v>
                </c:pt>
                <c:pt idx="7">
                  <c:v>Poľsko</c:v>
                </c:pt>
                <c:pt idx="8">
                  <c:v>Grécko</c:v>
                </c:pt>
                <c:pt idx="9">
                  <c:v>Chorvátsko</c:v>
                </c:pt>
                <c:pt idx="10">
                  <c:v>Slovensko</c:v>
                </c:pt>
                <c:pt idx="11">
                  <c:v>Maďarsko</c:v>
                </c:pt>
                <c:pt idx="12">
                  <c:v>Luxembursko</c:v>
                </c:pt>
                <c:pt idx="13">
                  <c:v>Slovinsko</c:v>
                </c:pt>
                <c:pt idx="14">
                  <c:v>Dánsko</c:v>
                </c:pt>
                <c:pt idx="15">
                  <c:v>Lotyšsko</c:v>
                </c:pt>
                <c:pt idx="16">
                  <c:v>Španielsko</c:v>
                </c:pt>
                <c:pt idx="17">
                  <c:v>Estónsko</c:v>
                </c:pt>
                <c:pt idx="18">
                  <c:v>Holandsko</c:v>
                </c:pt>
                <c:pt idx="19">
                  <c:v>Rumunsko</c:v>
                </c:pt>
                <c:pt idx="20">
                  <c:v>Česko</c:v>
                </c:pt>
                <c:pt idx="21">
                  <c:v>Portugalsko</c:v>
                </c:pt>
                <c:pt idx="22">
                  <c:v>Cyprus</c:v>
                </c:pt>
                <c:pt idx="23">
                  <c:v>Bulharsko</c:v>
                </c:pt>
                <c:pt idx="24">
                  <c:v>Litva</c:v>
                </c:pt>
                <c:pt idx="25">
                  <c:v>Malta</c:v>
                </c:pt>
                <c:pt idx="26">
                  <c:v>Írsko</c:v>
                </c:pt>
              </c:strCache>
            </c:strRef>
          </c:cat>
          <c:val>
            <c:numRef>
              <c:f>'Graf 6'!$F$3:$F$29</c:f>
              <c:numCache>
                <c:formatCode>_-* #\ ##0.0_-;\-* #\ ##0.0_-;_-* "-"??_-;_-@_-</c:formatCode>
                <c:ptCount val="27"/>
                <c:pt idx="0">
                  <c:v>49.2</c:v>
                </c:pt>
                <c:pt idx="1">
                  <c:v>49.2</c:v>
                </c:pt>
                <c:pt idx="2">
                  <c:v>49.2</c:v>
                </c:pt>
                <c:pt idx="3">
                  <c:v>49.2</c:v>
                </c:pt>
                <c:pt idx="4">
                  <c:v>49.2</c:v>
                </c:pt>
                <c:pt idx="5">
                  <c:v>49.2</c:v>
                </c:pt>
                <c:pt idx="6">
                  <c:v>49.2</c:v>
                </c:pt>
                <c:pt idx="7">
                  <c:v>49.2</c:v>
                </c:pt>
                <c:pt idx="8">
                  <c:v>49.2</c:v>
                </c:pt>
                <c:pt idx="9">
                  <c:v>49.2</c:v>
                </c:pt>
                <c:pt idx="10">
                  <c:v>49.2</c:v>
                </c:pt>
                <c:pt idx="11">
                  <c:v>49.2</c:v>
                </c:pt>
                <c:pt idx="12">
                  <c:v>49.2</c:v>
                </c:pt>
                <c:pt idx="13">
                  <c:v>49.2</c:v>
                </c:pt>
                <c:pt idx="14">
                  <c:v>49.2</c:v>
                </c:pt>
                <c:pt idx="15">
                  <c:v>49.2</c:v>
                </c:pt>
                <c:pt idx="16">
                  <c:v>49.2</c:v>
                </c:pt>
                <c:pt idx="17">
                  <c:v>49.2</c:v>
                </c:pt>
                <c:pt idx="18">
                  <c:v>49.2</c:v>
                </c:pt>
                <c:pt idx="19">
                  <c:v>49.2</c:v>
                </c:pt>
                <c:pt idx="20">
                  <c:v>49.2</c:v>
                </c:pt>
                <c:pt idx="21">
                  <c:v>49.2</c:v>
                </c:pt>
                <c:pt idx="22">
                  <c:v>49.2</c:v>
                </c:pt>
                <c:pt idx="23">
                  <c:v>49.2</c:v>
                </c:pt>
                <c:pt idx="24">
                  <c:v>49.2</c:v>
                </c:pt>
                <c:pt idx="25">
                  <c:v>49.2</c:v>
                </c:pt>
                <c:pt idx="26">
                  <c:v>49.2</c:v>
                </c:pt>
              </c:numCache>
            </c:numRef>
          </c:val>
          <c:smooth val="0"/>
          <c:extLst>
            <c:ext xmlns:c16="http://schemas.microsoft.com/office/drawing/2014/chart" uri="{C3380CC4-5D6E-409C-BE32-E72D297353CC}">
              <c16:uniqueId val="{00000004-FFB7-480F-85D9-3C04406707BB}"/>
            </c:ext>
          </c:extLst>
        </c:ser>
        <c:dLbls>
          <c:showLegendKey val="0"/>
          <c:showVal val="0"/>
          <c:showCatName val="0"/>
          <c:showSerName val="0"/>
          <c:showPercent val="0"/>
          <c:showBubbleSize val="0"/>
        </c:dLbls>
        <c:marker val="1"/>
        <c:smooth val="0"/>
        <c:axId val="611564432"/>
        <c:axId val="611571920"/>
      </c:lineChart>
      <c:catAx>
        <c:axId val="61156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71920"/>
        <c:crosses val="autoZero"/>
        <c:auto val="1"/>
        <c:lblAlgn val="ctr"/>
        <c:lblOffset val="100"/>
        <c:noMultiLvlLbl val="0"/>
      </c:catAx>
      <c:valAx>
        <c:axId val="611571920"/>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64432"/>
        <c:crosses val="autoZero"/>
        <c:crossBetween val="between"/>
        <c:majorUnit val="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5784847774806228E-2"/>
          <c:y val="9.181522419175496E-2"/>
          <c:w val="0.87947425535424395"/>
          <c:h val="0.70281980927185461"/>
        </c:manualLayout>
      </c:layout>
      <c:barChart>
        <c:barDir val="col"/>
        <c:grouping val="clustered"/>
        <c:varyColors val="0"/>
        <c:ser>
          <c:idx val="0"/>
          <c:order val="0"/>
          <c:tx>
            <c:strRef>
              <c:f>'Graf 7'!$B$3</c:f>
              <c:strCache>
                <c:ptCount val="1"/>
                <c:pt idx="0">
                  <c:v>Hrubý dlh VS v % z HDP</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 7'!$H$2:$R$2</c:f>
              <c:strCache>
                <c:ptCount val="11"/>
                <c:pt idx="0">
                  <c:v>2015</c:v>
                </c:pt>
                <c:pt idx="1">
                  <c:v>2016</c:v>
                </c:pt>
                <c:pt idx="2">
                  <c:v>2017</c:v>
                </c:pt>
                <c:pt idx="3">
                  <c:v>2018</c:v>
                </c:pt>
                <c:pt idx="4">
                  <c:v>2019</c:v>
                </c:pt>
                <c:pt idx="5">
                  <c:v>2020</c:v>
                </c:pt>
                <c:pt idx="6">
                  <c:v>2021</c:v>
                </c:pt>
                <c:pt idx="7">
                  <c:v>2022</c:v>
                </c:pt>
                <c:pt idx="8">
                  <c:v>2023</c:v>
                </c:pt>
                <c:pt idx="9">
                  <c:v>2024</c:v>
                </c:pt>
                <c:pt idx="10">
                  <c:v>2025*</c:v>
                </c:pt>
              </c:strCache>
            </c:strRef>
          </c:cat>
          <c:val>
            <c:numRef>
              <c:f>'Graf 7'!$H$3:$R$3</c:f>
              <c:numCache>
                <c:formatCode>0.0</c:formatCode>
                <c:ptCount val="11"/>
                <c:pt idx="0">
                  <c:v>51.6</c:v>
                </c:pt>
                <c:pt idx="1">
                  <c:v>52.2</c:v>
                </c:pt>
                <c:pt idx="2">
                  <c:v>51.4</c:v>
                </c:pt>
                <c:pt idx="3">
                  <c:v>49.3</c:v>
                </c:pt>
                <c:pt idx="4">
                  <c:v>48</c:v>
                </c:pt>
                <c:pt idx="5">
                  <c:v>58.4</c:v>
                </c:pt>
                <c:pt idx="6">
                  <c:v>60.18</c:v>
                </c:pt>
                <c:pt idx="7">
                  <c:v>57.7</c:v>
                </c:pt>
                <c:pt idx="8">
                  <c:v>55.6</c:v>
                </c:pt>
                <c:pt idx="9">
                  <c:v>59.3</c:v>
                </c:pt>
                <c:pt idx="10">
                  <c:v>61.1</c:v>
                </c:pt>
              </c:numCache>
            </c:numRef>
          </c:val>
          <c:extLst>
            <c:ext xmlns:c16="http://schemas.microsoft.com/office/drawing/2014/chart" uri="{C3380CC4-5D6E-409C-BE32-E72D297353CC}">
              <c16:uniqueId val="{00000000-ACA2-4FFF-9CE8-DD80D3DF02BF}"/>
            </c:ext>
          </c:extLst>
        </c:ser>
        <c:ser>
          <c:idx val="1"/>
          <c:order val="1"/>
          <c:tx>
            <c:strRef>
              <c:f>'Graf 7'!$B$4</c:f>
              <c:strCache>
                <c:ptCount val="1"/>
                <c:pt idx="0">
                  <c:v>Čistý dlh VS v % z HDP</c:v>
                </c:pt>
              </c:strCache>
            </c:strRef>
          </c:tx>
          <c:spPr>
            <a:solidFill>
              <a:schemeClr val="accent2"/>
            </a:solidFill>
            <a:ln>
              <a:noFill/>
            </a:ln>
            <a:effectLst/>
          </c:spPr>
          <c:invertIfNegative val="0"/>
          <c:cat>
            <c:strRef>
              <c:f>'Graf 7'!$H$2:$R$2</c:f>
              <c:strCache>
                <c:ptCount val="11"/>
                <c:pt idx="0">
                  <c:v>2015</c:v>
                </c:pt>
                <c:pt idx="1">
                  <c:v>2016</c:v>
                </c:pt>
                <c:pt idx="2">
                  <c:v>2017</c:v>
                </c:pt>
                <c:pt idx="3">
                  <c:v>2018</c:v>
                </c:pt>
                <c:pt idx="4">
                  <c:v>2019</c:v>
                </c:pt>
                <c:pt idx="5">
                  <c:v>2020</c:v>
                </c:pt>
                <c:pt idx="6">
                  <c:v>2021</c:v>
                </c:pt>
                <c:pt idx="7">
                  <c:v>2022</c:v>
                </c:pt>
                <c:pt idx="8">
                  <c:v>2023</c:v>
                </c:pt>
                <c:pt idx="9">
                  <c:v>2024</c:v>
                </c:pt>
                <c:pt idx="10">
                  <c:v>2025*</c:v>
                </c:pt>
              </c:strCache>
            </c:strRef>
          </c:cat>
          <c:val>
            <c:numRef>
              <c:f>'Graf 7'!$H$4:$R$4</c:f>
              <c:numCache>
                <c:formatCode>0.0</c:formatCode>
                <c:ptCount val="11"/>
                <c:pt idx="0">
                  <c:v>47.175871494457944</c:v>
                </c:pt>
                <c:pt idx="1">
                  <c:v>46.786452360649633</c:v>
                </c:pt>
                <c:pt idx="2">
                  <c:v>45.649665020409508</c:v>
                </c:pt>
                <c:pt idx="3">
                  <c:v>43.219246775717551</c:v>
                </c:pt>
                <c:pt idx="4">
                  <c:v>43.120059229487829</c:v>
                </c:pt>
                <c:pt idx="5">
                  <c:v>48.525022105457346</c:v>
                </c:pt>
                <c:pt idx="6">
                  <c:v>48.908163005100036</c:v>
                </c:pt>
                <c:pt idx="7">
                  <c:v>47.558804453867154</c:v>
                </c:pt>
                <c:pt idx="8">
                  <c:v>48</c:v>
                </c:pt>
                <c:pt idx="9">
                  <c:v>51</c:v>
                </c:pt>
                <c:pt idx="10">
                  <c:v>53.3</c:v>
                </c:pt>
              </c:numCache>
            </c:numRef>
          </c:val>
          <c:extLst>
            <c:ext xmlns:c16="http://schemas.microsoft.com/office/drawing/2014/chart" uri="{C3380CC4-5D6E-409C-BE32-E72D297353CC}">
              <c16:uniqueId val="{00000001-ACA2-4FFF-9CE8-DD80D3DF02BF}"/>
            </c:ext>
          </c:extLst>
        </c:ser>
        <c:dLbls>
          <c:showLegendKey val="0"/>
          <c:showVal val="0"/>
          <c:showCatName val="0"/>
          <c:showSerName val="0"/>
          <c:showPercent val="0"/>
          <c:showBubbleSize val="0"/>
        </c:dLbls>
        <c:gapWidth val="100"/>
        <c:axId val="1041741935"/>
        <c:axId val="1041743599"/>
      </c:barChart>
      <c:lineChart>
        <c:grouping val="stacked"/>
        <c:varyColors val="0"/>
        <c:ser>
          <c:idx val="2"/>
          <c:order val="2"/>
          <c:tx>
            <c:strRef>
              <c:f>'Graf 7'!$B$5</c:f>
              <c:strCache>
                <c:ptCount val="1"/>
                <c:pt idx="0">
                  <c:v>Hrubý dlh VS v mil. eur (pravá os)</c:v>
                </c:pt>
              </c:strCache>
            </c:strRef>
          </c:tx>
          <c:spPr>
            <a:ln w="25400" cap="rnd">
              <a:solidFill>
                <a:srgbClr val="F55647"/>
              </a:solidFill>
              <a:prstDash val="solid"/>
              <a:round/>
            </a:ln>
            <a:effectLst/>
          </c:spPr>
          <c:marker>
            <c:symbol val="circle"/>
            <c:size val="5"/>
            <c:spPr>
              <a:solidFill>
                <a:srgbClr val="F55647"/>
              </a:solidFill>
              <a:ln w="9525">
                <a:solidFill>
                  <a:srgbClr val="F55647"/>
                </a:solidFill>
              </a:ln>
              <a:effectLst/>
            </c:spPr>
          </c:marker>
          <c:cat>
            <c:strRef>
              <c:f>'Graf 7'!$H$2:$R$2</c:f>
              <c:strCache>
                <c:ptCount val="11"/>
                <c:pt idx="0">
                  <c:v>2015</c:v>
                </c:pt>
                <c:pt idx="1">
                  <c:v>2016</c:v>
                </c:pt>
                <c:pt idx="2">
                  <c:v>2017</c:v>
                </c:pt>
                <c:pt idx="3">
                  <c:v>2018</c:v>
                </c:pt>
                <c:pt idx="4">
                  <c:v>2019</c:v>
                </c:pt>
                <c:pt idx="5">
                  <c:v>2020</c:v>
                </c:pt>
                <c:pt idx="6">
                  <c:v>2021</c:v>
                </c:pt>
                <c:pt idx="7">
                  <c:v>2022</c:v>
                </c:pt>
                <c:pt idx="8">
                  <c:v>2023</c:v>
                </c:pt>
                <c:pt idx="9">
                  <c:v>2024</c:v>
                </c:pt>
                <c:pt idx="10">
                  <c:v>2025*</c:v>
                </c:pt>
              </c:strCache>
            </c:strRef>
          </c:cat>
          <c:val>
            <c:numRef>
              <c:f>'Graf 7'!$H$5:$R$5</c:f>
              <c:numCache>
                <c:formatCode>#,##0</c:formatCode>
                <c:ptCount val="11"/>
                <c:pt idx="0">
                  <c:v>41474</c:v>
                </c:pt>
                <c:pt idx="1">
                  <c:v>42554</c:v>
                </c:pt>
                <c:pt idx="2">
                  <c:v>43654</c:v>
                </c:pt>
                <c:pt idx="3">
                  <c:v>44479</c:v>
                </c:pt>
                <c:pt idx="4">
                  <c:v>45392</c:v>
                </c:pt>
                <c:pt idx="5">
                  <c:v>55091</c:v>
                </c:pt>
                <c:pt idx="6">
                  <c:v>61346.33</c:v>
                </c:pt>
                <c:pt idx="7">
                  <c:v>63499</c:v>
                </c:pt>
                <c:pt idx="8">
                  <c:v>68896.209000000003</c:v>
                </c:pt>
                <c:pt idx="9">
                  <c:v>77648.308999999994</c:v>
                </c:pt>
                <c:pt idx="10">
                  <c:v>84029</c:v>
                </c:pt>
              </c:numCache>
            </c:numRef>
          </c:val>
          <c:smooth val="0"/>
          <c:extLst>
            <c:ext xmlns:c16="http://schemas.microsoft.com/office/drawing/2014/chart" uri="{C3380CC4-5D6E-409C-BE32-E72D297353CC}">
              <c16:uniqueId val="{00000002-ACA2-4FFF-9CE8-DD80D3DF02BF}"/>
            </c:ext>
          </c:extLst>
        </c:ser>
        <c:dLbls>
          <c:showLegendKey val="0"/>
          <c:showVal val="0"/>
          <c:showCatName val="0"/>
          <c:showSerName val="0"/>
          <c:showPercent val="0"/>
          <c:showBubbleSize val="0"/>
        </c:dLbls>
        <c:marker val="1"/>
        <c:smooth val="0"/>
        <c:axId val="1045524095"/>
        <c:axId val="1045499551"/>
      </c:lineChart>
      <c:catAx>
        <c:axId val="10417419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041743599"/>
        <c:crosses val="autoZero"/>
        <c:auto val="1"/>
        <c:lblAlgn val="ctr"/>
        <c:lblOffset val="100"/>
        <c:noMultiLvlLbl val="0"/>
      </c:catAx>
      <c:valAx>
        <c:axId val="1041743599"/>
        <c:scaling>
          <c:orientation val="minMax"/>
          <c:max val="9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041741935"/>
        <c:crosses val="autoZero"/>
        <c:crossBetween val="between"/>
      </c:valAx>
      <c:valAx>
        <c:axId val="1045499551"/>
        <c:scaling>
          <c:orientation val="minMax"/>
          <c:max val="90000"/>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045524095"/>
        <c:crosses val="max"/>
        <c:crossBetween val="between"/>
      </c:valAx>
      <c:catAx>
        <c:axId val="1045524095"/>
        <c:scaling>
          <c:orientation val="minMax"/>
        </c:scaling>
        <c:delete val="1"/>
        <c:axPos val="b"/>
        <c:numFmt formatCode="General" sourceLinked="1"/>
        <c:majorTickMark val="out"/>
        <c:minorTickMark val="none"/>
        <c:tickLblPos val="nextTo"/>
        <c:crossAx val="1045499551"/>
        <c:crosses val="autoZero"/>
        <c:auto val="1"/>
        <c:lblAlgn val="ctr"/>
        <c:lblOffset val="100"/>
        <c:noMultiLvlLbl val="0"/>
      </c:catAx>
      <c:spPr>
        <a:noFill/>
        <a:ln>
          <a:noFill/>
        </a:ln>
        <a:effectLst/>
      </c:spPr>
    </c:plotArea>
    <c:legend>
      <c:legendPos val="b"/>
      <c:layout>
        <c:manualLayout>
          <c:xMode val="edge"/>
          <c:yMode val="edge"/>
          <c:x val="4.0541197510178921E-2"/>
          <c:y val="0.92607186237064887"/>
          <c:w val="0.93787566521108789"/>
          <c:h val="7.1018791802436712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legend>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253556448698433E-2"/>
          <c:y val="5.0505050505050504E-2"/>
          <c:w val="0.89829396325459321"/>
          <c:h val="0.84434466352862914"/>
        </c:manualLayout>
      </c:layout>
      <c:barChart>
        <c:barDir val="col"/>
        <c:grouping val="clustered"/>
        <c:varyColors val="0"/>
        <c:ser>
          <c:idx val="0"/>
          <c:order val="0"/>
          <c:tx>
            <c:strRef>
              <c:f>'Graf DLH_3'!$B$6</c:f>
              <c:strCache>
                <c:ptCount val="1"/>
                <c:pt idx="0">
                  <c:v>Dlh na obyvateľa</c:v>
                </c:pt>
              </c:strCache>
            </c:strRef>
          </c:tx>
          <c:spPr>
            <a:solidFill>
              <a:srgbClr val="314364"/>
            </a:solidFill>
            <a:ln>
              <a:solidFill>
                <a:srgbClr val="314364"/>
              </a:solidFill>
            </a:ln>
            <a:effectLst/>
          </c:spPr>
          <c:invertIfNegative val="0"/>
          <c:dPt>
            <c:idx val="6"/>
            <c:invertIfNegative val="0"/>
            <c:bubble3D val="0"/>
            <c:spPr>
              <a:solidFill>
                <a:srgbClr val="314364"/>
              </a:solidFill>
              <a:ln>
                <a:solidFill>
                  <a:srgbClr val="314364"/>
                </a:solidFill>
              </a:ln>
              <a:effectLst/>
            </c:spPr>
            <c:extLst>
              <c:ext xmlns:c16="http://schemas.microsoft.com/office/drawing/2014/chart" uri="{C3380CC4-5D6E-409C-BE32-E72D297353CC}">
                <c16:uniqueId val="{00000001-A105-4EB3-AF71-D0157F4FD4E6}"/>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 DLH_3'!$G$3:$Q$3</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'Graf DLH_3'!$G$6:$Q$6</c:f>
              <c:numCache>
                <c:formatCode>#\ ##0_ ;\-#\ ##0\ </c:formatCode>
                <c:ptCount val="11"/>
                <c:pt idx="0">
                  <c:v>7541.4384441212433</c:v>
                </c:pt>
                <c:pt idx="1">
                  <c:v>7638.9404187039045</c:v>
                </c:pt>
                <c:pt idx="2">
                  <c:v>7828.8396852929045</c:v>
                </c:pt>
                <c:pt idx="3">
                  <c:v>8016.5019944463502</c:v>
                </c:pt>
                <c:pt idx="4">
                  <c:v>8158.0049677390898</c:v>
                </c:pt>
                <c:pt idx="5">
                  <c:v>8312.3896300854558</c:v>
                </c:pt>
                <c:pt idx="6">
                  <c:v>10075.935991914799</c:v>
                </c:pt>
                <c:pt idx="7">
                  <c:v>11237.879018657546</c:v>
                </c:pt>
                <c:pt idx="8">
                  <c:v>11661.819062353259</c:v>
                </c:pt>
                <c:pt idx="9">
                  <c:v>12678.767394293242</c:v>
                </c:pt>
                <c:pt idx="10">
                  <c:v>14327.705887552078</c:v>
                </c:pt>
              </c:numCache>
            </c:numRef>
          </c:val>
          <c:extLst>
            <c:ext xmlns:c16="http://schemas.microsoft.com/office/drawing/2014/chart" uri="{C3380CC4-5D6E-409C-BE32-E72D297353CC}">
              <c16:uniqueId val="{00000002-A105-4EB3-AF71-D0157F4FD4E6}"/>
            </c:ext>
          </c:extLst>
        </c:ser>
        <c:dLbls>
          <c:showLegendKey val="0"/>
          <c:showVal val="0"/>
          <c:showCatName val="0"/>
          <c:showSerName val="0"/>
          <c:showPercent val="0"/>
          <c:showBubbleSize val="0"/>
        </c:dLbls>
        <c:gapWidth val="100"/>
        <c:axId val="611564432"/>
        <c:axId val="611571920"/>
      </c:barChart>
      <c:catAx>
        <c:axId val="611564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71920"/>
        <c:crosses val="autoZero"/>
        <c:auto val="1"/>
        <c:lblAlgn val="ctr"/>
        <c:lblOffset val="100"/>
        <c:noMultiLvlLbl val="0"/>
      </c:catAx>
      <c:valAx>
        <c:axId val="6115719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611564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4.7624434542581404E-2"/>
          <c:y val="3.5859811495983031E-2"/>
          <c:w val="0.93452861028030398"/>
          <c:h val="0.77148931932071196"/>
        </c:manualLayout>
      </c:layout>
      <c:barChart>
        <c:barDir val="col"/>
        <c:grouping val="clustered"/>
        <c:varyColors val="0"/>
        <c:ser>
          <c:idx val="0"/>
          <c:order val="0"/>
          <c:tx>
            <c:strRef>
              <c:f>'D:\SYSTÉMOVÉ PRIEČINKY\Desktop\Stanovisko_ŠZÚ\[Stanovisko NKÚ SR_grafy.xlsx]Graf DLH_2'!$C$2</c:f>
              <c:strCache>
                <c:ptCount val="1"/>
                <c:pt idx="0">
                  <c:v>Hrubý dlh VS 2024</c:v>
                </c:pt>
              </c:strCache>
            </c:strRef>
          </c:tx>
          <c:spPr>
            <a:solidFill>
              <a:schemeClr val="bg2"/>
            </a:solidFill>
            <a:ln>
              <a:solidFill>
                <a:schemeClr val="bg2"/>
              </a:solidFill>
            </a:ln>
            <a:effectLst/>
          </c:spPr>
          <c:invertIfNegative val="0"/>
          <c:dPt>
            <c:idx val="8"/>
            <c:invertIfNegative val="0"/>
            <c:bubble3D val="0"/>
            <c:spPr>
              <a:solidFill>
                <a:schemeClr val="bg2"/>
              </a:solidFill>
              <a:ln>
                <a:solidFill>
                  <a:schemeClr val="bg2"/>
                </a:solidFill>
              </a:ln>
              <a:effectLst/>
            </c:spPr>
            <c:extLst>
              <c:ext xmlns:c16="http://schemas.microsoft.com/office/drawing/2014/chart" uri="{C3380CC4-5D6E-409C-BE32-E72D297353CC}">
                <c16:uniqueId val="{00000001-C86C-4BDF-98B9-CC45A05CA9D8}"/>
              </c:ext>
            </c:extLst>
          </c:dPt>
          <c:dPt>
            <c:idx val="9"/>
            <c:invertIfNegative val="0"/>
            <c:bubble3D val="0"/>
            <c:spPr>
              <a:solidFill>
                <a:schemeClr val="bg2"/>
              </a:solidFill>
              <a:ln>
                <a:solidFill>
                  <a:schemeClr val="bg2"/>
                </a:solidFill>
              </a:ln>
              <a:effectLst/>
            </c:spPr>
            <c:extLst>
              <c:ext xmlns:c16="http://schemas.microsoft.com/office/drawing/2014/chart" uri="{C3380CC4-5D6E-409C-BE32-E72D297353CC}">
                <c16:uniqueId val="{00000003-C86C-4BDF-98B9-CC45A05CA9D8}"/>
              </c:ext>
            </c:extLst>
          </c:dPt>
          <c:dPt>
            <c:idx val="12"/>
            <c:invertIfNegative val="0"/>
            <c:bubble3D val="0"/>
            <c:spPr>
              <a:solidFill>
                <a:srgbClr val="F55647"/>
              </a:solidFill>
              <a:ln>
                <a:solidFill>
                  <a:srgbClr val="F55647"/>
                </a:solidFill>
              </a:ln>
              <a:effectLst/>
            </c:spPr>
            <c:extLst>
              <c:ext xmlns:c16="http://schemas.microsoft.com/office/drawing/2014/chart" uri="{C3380CC4-5D6E-409C-BE32-E72D297353CC}">
                <c16:uniqueId val="{00000005-C86C-4BDF-98B9-CC45A05CA9D8}"/>
              </c:ext>
            </c:extLst>
          </c:dPt>
          <c:dPt>
            <c:idx val="13"/>
            <c:invertIfNegative val="0"/>
            <c:bubble3D val="0"/>
            <c:spPr>
              <a:solidFill>
                <a:schemeClr val="bg2"/>
              </a:solidFill>
              <a:ln>
                <a:solidFill>
                  <a:schemeClr val="bg2"/>
                </a:solidFill>
              </a:ln>
              <a:effectLst/>
            </c:spPr>
            <c:extLst>
              <c:ext xmlns:c16="http://schemas.microsoft.com/office/drawing/2014/chart" uri="{C3380CC4-5D6E-409C-BE32-E72D297353CC}">
                <c16:uniqueId val="{00000007-C86C-4BDF-98B9-CC45A05CA9D8}"/>
              </c:ext>
            </c:extLst>
          </c:dPt>
          <c:dPt>
            <c:idx val="14"/>
            <c:invertIfNegative val="0"/>
            <c:bubble3D val="0"/>
            <c:spPr>
              <a:solidFill>
                <a:schemeClr val="bg2"/>
              </a:solidFill>
              <a:ln>
                <a:solidFill>
                  <a:schemeClr val="bg2"/>
                </a:solidFill>
              </a:ln>
              <a:effectLst/>
            </c:spPr>
            <c:extLst>
              <c:ext xmlns:c16="http://schemas.microsoft.com/office/drawing/2014/chart" uri="{C3380CC4-5D6E-409C-BE32-E72D297353CC}">
                <c16:uniqueId val="{00000009-C86C-4BDF-98B9-CC45A05CA9D8}"/>
              </c:ext>
            </c:extLst>
          </c:dPt>
          <c:dPt>
            <c:idx val="15"/>
            <c:invertIfNegative val="0"/>
            <c:bubble3D val="0"/>
            <c:spPr>
              <a:solidFill>
                <a:schemeClr val="bg2"/>
              </a:solidFill>
              <a:ln>
                <a:solidFill>
                  <a:schemeClr val="bg2"/>
                </a:solidFill>
              </a:ln>
              <a:effectLst/>
            </c:spPr>
            <c:extLst>
              <c:ext xmlns:c16="http://schemas.microsoft.com/office/drawing/2014/chart" uri="{C3380CC4-5D6E-409C-BE32-E72D297353CC}">
                <c16:uniqueId val="{0000000B-C86C-4BDF-98B9-CC45A05CA9D8}"/>
              </c:ext>
            </c:extLst>
          </c:dPt>
          <c:dPt>
            <c:idx val="17"/>
            <c:invertIfNegative val="0"/>
            <c:bubble3D val="0"/>
            <c:spPr>
              <a:solidFill>
                <a:schemeClr val="bg2"/>
              </a:solidFill>
              <a:ln>
                <a:solidFill>
                  <a:schemeClr val="bg2"/>
                </a:solidFill>
              </a:ln>
              <a:effectLst/>
            </c:spPr>
            <c:extLst>
              <c:ext xmlns:c16="http://schemas.microsoft.com/office/drawing/2014/chart" uri="{C3380CC4-5D6E-409C-BE32-E72D297353CC}">
                <c16:uniqueId val="{0000000D-C86C-4BDF-98B9-CC45A05CA9D8}"/>
              </c:ext>
            </c:extLst>
          </c:dPt>
          <c:dPt>
            <c:idx val="18"/>
            <c:invertIfNegative val="0"/>
            <c:bubble3D val="0"/>
            <c:spPr>
              <a:solidFill>
                <a:schemeClr val="bg2"/>
              </a:solidFill>
              <a:ln>
                <a:solidFill>
                  <a:schemeClr val="bg2"/>
                </a:solidFill>
              </a:ln>
              <a:effectLst/>
            </c:spPr>
            <c:extLst>
              <c:ext xmlns:c16="http://schemas.microsoft.com/office/drawing/2014/chart" uri="{C3380CC4-5D6E-409C-BE32-E72D297353CC}">
                <c16:uniqueId val="{0000000F-C86C-4BDF-98B9-CC45A05CA9D8}"/>
              </c:ext>
            </c:extLst>
          </c:dPt>
          <c:dPt>
            <c:idx val="20"/>
            <c:invertIfNegative val="0"/>
            <c:bubble3D val="0"/>
            <c:spPr>
              <a:solidFill>
                <a:schemeClr val="bg2"/>
              </a:solidFill>
              <a:ln>
                <a:solidFill>
                  <a:schemeClr val="bg2"/>
                </a:solidFill>
              </a:ln>
              <a:effectLst/>
            </c:spPr>
            <c:extLst>
              <c:ext xmlns:c16="http://schemas.microsoft.com/office/drawing/2014/chart" uri="{C3380CC4-5D6E-409C-BE32-E72D297353CC}">
                <c16:uniqueId val="{00000011-C86C-4BDF-98B9-CC45A05CA9D8}"/>
              </c:ext>
            </c:extLst>
          </c:dPt>
          <c:dLbls>
            <c:dLbl>
              <c:idx val="12"/>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55648"/>
                      </a:solidFill>
                      <a:latin typeface="Segoe UI" panose="020B0502040204020203" pitchFamily="34" charset="0"/>
                      <a:ea typeface="+mn-ea"/>
                      <a:cs typeface="Segoe UI" panose="020B0502040204020203" pitchFamily="34" charset="0"/>
                    </a:defRPr>
                  </a:pPr>
                  <a:endParaRPr lang="sk-SK"/>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86C-4BDF-98B9-CC45A05CA9D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'[15]Graf DLH_2'!$B$3:$B$29</c:f>
              <c:strCache>
                <c:ptCount val="27"/>
                <c:pt idx="0">
                  <c:v>Grécko</c:v>
                </c:pt>
                <c:pt idx="1">
                  <c:v>Taliansko</c:v>
                </c:pt>
                <c:pt idx="2">
                  <c:v>Francúzsko</c:v>
                </c:pt>
                <c:pt idx="3">
                  <c:v>Belgicko</c:v>
                </c:pt>
                <c:pt idx="4">
                  <c:v>Španielsko</c:v>
                </c:pt>
                <c:pt idx="5">
                  <c:v>Portugalsko</c:v>
                </c:pt>
                <c:pt idx="6">
                  <c:v>Fínsko</c:v>
                </c:pt>
                <c:pt idx="7">
                  <c:v>Rakúsko</c:v>
                </c:pt>
                <c:pt idx="8">
                  <c:v>Maďarsko</c:v>
                </c:pt>
                <c:pt idx="9">
                  <c:v>Slovinsko</c:v>
                </c:pt>
                <c:pt idx="10">
                  <c:v>Cyprus</c:v>
                </c:pt>
                <c:pt idx="11">
                  <c:v>Nemecko</c:v>
                </c:pt>
                <c:pt idx="12">
                  <c:v>Slovensko</c:v>
                </c:pt>
                <c:pt idx="13">
                  <c:v>Chorvátsko</c:v>
                </c:pt>
                <c:pt idx="14">
                  <c:v>Poľsko</c:v>
                </c:pt>
                <c:pt idx="15">
                  <c:v>Rumunsko</c:v>
                </c:pt>
                <c:pt idx="16">
                  <c:v>Malta</c:v>
                </c:pt>
                <c:pt idx="17">
                  <c:v>Lotyšsko</c:v>
                </c:pt>
                <c:pt idx="18">
                  <c:v>Česká republika</c:v>
                </c:pt>
                <c:pt idx="19">
                  <c:v>Holandsko</c:v>
                </c:pt>
                <c:pt idx="20">
                  <c:v>Írsko</c:v>
                </c:pt>
                <c:pt idx="21">
                  <c:v>Litva</c:v>
                </c:pt>
                <c:pt idx="22">
                  <c:v>Švédsko</c:v>
                </c:pt>
                <c:pt idx="23">
                  <c:v>Dánsko</c:v>
                </c:pt>
                <c:pt idx="24">
                  <c:v>Luxembursko</c:v>
                </c:pt>
                <c:pt idx="25">
                  <c:v>Bulharsko</c:v>
                </c:pt>
                <c:pt idx="26">
                  <c:v>Estónsko</c:v>
                </c:pt>
              </c:strCache>
            </c:strRef>
          </c:cat>
          <c:val>
            <c:numRef>
              <c:f>'[15]Graf DLH_2'!$C$3:$C$29</c:f>
              <c:numCache>
                <c:formatCode>General</c:formatCode>
                <c:ptCount val="27"/>
                <c:pt idx="0">
                  <c:v>153.6</c:v>
                </c:pt>
                <c:pt idx="1">
                  <c:v>135.30000000000001</c:v>
                </c:pt>
                <c:pt idx="2">
                  <c:v>113</c:v>
                </c:pt>
                <c:pt idx="3">
                  <c:v>104.7</c:v>
                </c:pt>
                <c:pt idx="4">
                  <c:v>101.8</c:v>
                </c:pt>
                <c:pt idx="5">
                  <c:v>94.9</c:v>
                </c:pt>
                <c:pt idx="6">
                  <c:v>82.1</c:v>
                </c:pt>
                <c:pt idx="7">
                  <c:v>81.8</c:v>
                </c:pt>
                <c:pt idx="8">
                  <c:v>73.5</c:v>
                </c:pt>
                <c:pt idx="9">
                  <c:v>67</c:v>
                </c:pt>
                <c:pt idx="10">
                  <c:v>65</c:v>
                </c:pt>
                <c:pt idx="11">
                  <c:v>62.5</c:v>
                </c:pt>
                <c:pt idx="12">
                  <c:v>59.3</c:v>
                </c:pt>
                <c:pt idx="13">
                  <c:v>57.6</c:v>
                </c:pt>
                <c:pt idx="14">
                  <c:v>55.3</c:v>
                </c:pt>
                <c:pt idx="15">
                  <c:v>54.8</c:v>
                </c:pt>
                <c:pt idx="16">
                  <c:v>47.4</c:v>
                </c:pt>
                <c:pt idx="17">
                  <c:v>46.8</c:v>
                </c:pt>
                <c:pt idx="18">
                  <c:v>43.6</c:v>
                </c:pt>
                <c:pt idx="19">
                  <c:v>43.3</c:v>
                </c:pt>
                <c:pt idx="20">
                  <c:v>40.9</c:v>
                </c:pt>
                <c:pt idx="21">
                  <c:v>38.200000000000003</c:v>
                </c:pt>
                <c:pt idx="22">
                  <c:v>33.5</c:v>
                </c:pt>
                <c:pt idx="23">
                  <c:v>31.1</c:v>
                </c:pt>
                <c:pt idx="24">
                  <c:v>26.3</c:v>
                </c:pt>
                <c:pt idx="25">
                  <c:v>24.1</c:v>
                </c:pt>
                <c:pt idx="26">
                  <c:v>23.6</c:v>
                </c:pt>
              </c:numCache>
            </c:numRef>
          </c:val>
          <c:extLst>
            <c:ext xmlns:c16="http://schemas.microsoft.com/office/drawing/2014/chart" uri="{C3380CC4-5D6E-409C-BE32-E72D297353CC}">
              <c16:uniqueId val="{00000012-C86C-4BDF-98B9-CC45A05CA9D8}"/>
            </c:ext>
          </c:extLst>
        </c:ser>
        <c:dLbls>
          <c:showLegendKey val="0"/>
          <c:showVal val="0"/>
          <c:showCatName val="0"/>
          <c:showSerName val="0"/>
          <c:showPercent val="0"/>
          <c:showBubbleSize val="0"/>
        </c:dLbls>
        <c:gapWidth val="100"/>
        <c:axId val="1377750255"/>
        <c:axId val="1377733199"/>
      </c:barChart>
      <c:lineChart>
        <c:grouping val="standard"/>
        <c:varyColors val="0"/>
        <c:ser>
          <c:idx val="1"/>
          <c:order val="1"/>
          <c:tx>
            <c:strRef>
              <c:f>'D:\SYSTÉMOVÉ PRIEČINKY\Desktop\Stanovisko_ŠZÚ\[Stanovisko NKÚ SR_grafy.xlsx]Graf DLH_2'!$D$2</c:f>
              <c:strCache>
                <c:ptCount val="1"/>
                <c:pt idx="0">
                  <c:v>Priemer EÚ 27</c:v>
                </c:pt>
              </c:strCache>
            </c:strRef>
          </c:tx>
          <c:spPr>
            <a:ln w="28575" cap="rnd">
              <a:solidFill>
                <a:schemeClr val="tx2"/>
              </a:solidFill>
              <a:prstDash val="sysDash"/>
              <a:round/>
            </a:ln>
            <a:effectLst/>
          </c:spPr>
          <c:marker>
            <c:symbol val="none"/>
          </c:marker>
          <c:dLbls>
            <c:dLbl>
              <c:idx val="19"/>
              <c:layout>
                <c:manualLayout>
                  <c:x val="8.3960447612185185E-2"/>
                  <c:y val="-0.10449126820041349"/>
                </c:manualLayout>
              </c:layout>
              <c:tx>
                <c:rich>
                  <a:bodyPr/>
                  <a:lstStyle/>
                  <a:p>
                    <a:fld id="{00F8050B-4D6D-42DF-BD8F-166FFF372AB4}" type="SERIESNAME">
                      <a:rPr lang="en-US"/>
                      <a:pPr/>
                      <a:t>[NÁZOV RADU]</a:t>
                    </a:fld>
                    <a:r>
                      <a:rPr lang="en-US"/>
                      <a:t> –</a:t>
                    </a:r>
                    <a:r>
                      <a:rPr lang="en-US" baseline="0"/>
                      <a:t> </a:t>
                    </a:r>
                    <a:fld id="{B430B32F-59DC-4E27-B0CA-E117D9D6B1D7}" type="VALUE">
                      <a:rPr lang="en-US" baseline="0"/>
                      <a:pPr/>
                      <a:t>[HODNOTA]</a:t>
                    </a:fld>
                    <a:endParaRPr lang="en-US" baseline="0"/>
                  </a:p>
                </c:rich>
              </c:tx>
              <c:dLblPos val="r"/>
              <c:showLegendKey val="0"/>
              <c:showVal val="1"/>
              <c:showCatName val="0"/>
              <c:showSerName val="1"/>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3-C86C-4BDF-98B9-CC45A05CA9D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'[15]Graf DLH_2'!$D$3:$D$29</c:f>
              <c:numCache>
                <c:formatCode>General</c:formatCode>
                <c:ptCount val="27"/>
                <c:pt idx="0">
                  <c:v>81</c:v>
                </c:pt>
                <c:pt idx="1">
                  <c:v>81</c:v>
                </c:pt>
                <c:pt idx="2">
                  <c:v>81</c:v>
                </c:pt>
                <c:pt idx="3">
                  <c:v>81</c:v>
                </c:pt>
                <c:pt idx="4">
                  <c:v>81</c:v>
                </c:pt>
                <c:pt idx="5">
                  <c:v>81</c:v>
                </c:pt>
                <c:pt idx="6">
                  <c:v>81</c:v>
                </c:pt>
                <c:pt idx="7">
                  <c:v>81</c:v>
                </c:pt>
                <c:pt idx="8">
                  <c:v>81</c:v>
                </c:pt>
                <c:pt idx="9">
                  <c:v>81</c:v>
                </c:pt>
                <c:pt idx="10">
                  <c:v>81</c:v>
                </c:pt>
                <c:pt idx="11">
                  <c:v>81</c:v>
                </c:pt>
                <c:pt idx="12">
                  <c:v>81</c:v>
                </c:pt>
                <c:pt idx="13">
                  <c:v>81</c:v>
                </c:pt>
                <c:pt idx="14">
                  <c:v>81</c:v>
                </c:pt>
                <c:pt idx="15">
                  <c:v>81</c:v>
                </c:pt>
                <c:pt idx="16">
                  <c:v>81</c:v>
                </c:pt>
                <c:pt idx="17">
                  <c:v>81</c:v>
                </c:pt>
                <c:pt idx="18">
                  <c:v>81</c:v>
                </c:pt>
                <c:pt idx="19">
                  <c:v>81</c:v>
                </c:pt>
                <c:pt idx="20">
                  <c:v>81</c:v>
                </c:pt>
                <c:pt idx="21">
                  <c:v>81</c:v>
                </c:pt>
                <c:pt idx="22">
                  <c:v>81</c:v>
                </c:pt>
                <c:pt idx="23">
                  <c:v>81</c:v>
                </c:pt>
                <c:pt idx="24">
                  <c:v>81</c:v>
                </c:pt>
                <c:pt idx="25">
                  <c:v>81</c:v>
                </c:pt>
                <c:pt idx="26">
                  <c:v>81</c:v>
                </c:pt>
              </c:numCache>
            </c:numRef>
          </c:val>
          <c:smooth val="0"/>
          <c:extLst>
            <c:ext xmlns:c16="http://schemas.microsoft.com/office/drawing/2014/chart" uri="{C3380CC4-5D6E-409C-BE32-E72D297353CC}">
              <c16:uniqueId val="{00000014-C86C-4BDF-98B9-CC45A05CA9D8}"/>
            </c:ext>
          </c:extLst>
        </c:ser>
        <c:dLbls>
          <c:showLegendKey val="0"/>
          <c:showVal val="0"/>
          <c:showCatName val="0"/>
          <c:showSerName val="0"/>
          <c:showPercent val="0"/>
          <c:showBubbleSize val="0"/>
        </c:dLbls>
        <c:marker val="1"/>
        <c:smooth val="0"/>
        <c:axId val="1377750255"/>
        <c:axId val="1377733199"/>
      </c:lineChart>
      <c:catAx>
        <c:axId val="1377750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377733199"/>
        <c:crosses val="autoZero"/>
        <c:auto val="1"/>
        <c:lblAlgn val="ctr"/>
        <c:lblOffset val="100"/>
        <c:noMultiLvlLbl val="0"/>
      </c:catAx>
      <c:valAx>
        <c:axId val="1377733199"/>
        <c:scaling>
          <c:orientation val="minMax"/>
          <c:max val="16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2"/>
                </a:solidFill>
                <a:latin typeface="Segoe UI" panose="020B0502040204020203" pitchFamily="34" charset="0"/>
                <a:ea typeface="+mn-ea"/>
                <a:cs typeface="Segoe UI" panose="020B0502040204020203" pitchFamily="34" charset="0"/>
              </a:defRPr>
            </a:pPr>
            <a:endParaRPr lang="sk-SK"/>
          </a:p>
        </c:txPr>
        <c:crossAx val="137775025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2"/>
          </a:solidFill>
          <a:latin typeface="Segoe UI" panose="020B0502040204020203" pitchFamily="34" charset="0"/>
          <a:cs typeface="Segoe UI" panose="020B0502040204020203" pitchFamily="34" charset="0"/>
        </a:defRPr>
      </a:pPr>
      <a:endParaRPr lang="sk-SK"/>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Reversed" id="26">
  <a:schemeClr val="accent6"/>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withinLinear" id="15">
  <a:schemeClr val="accent2"/>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withinLinear" id="15">
  <a:schemeClr val="accent2"/>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withinLinearReversed" id="21">
  <a:schemeClr val="accent1"/>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0.1824</cdr:x>
      <cdr:y>0.28027</cdr:y>
    </cdr:from>
    <cdr:to>
      <cdr:x>0.18388</cdr:x>
      <cdr:y>0.70634</cdr:y>
    </cdr:to>
    <cdr:cxnSp macro="">
      <cdr:nvCxnSpPr>
        <cdr:cNvPr id="3" name="Rovná spojnica 2"/>
        <cdr:cNvCxnSpPr/>
      </cdr:nvCxnSpPr>
      <cdr:spPr>
        <a:xfrm xmlns:a="http://schemas.openxmlformats.org/drawingml/2006/main" flipH="1">
          <a:off x="1014626" y="520741"/>
          <a:ext cx="8233" cy="791642"/>
        </a:xfrm>
        <a:prstGeom xmlns:a="http://schemas.openxmlformats.org/drawingml/2006/main" prst="line">
          <a:avLst/>
        </a:prstGeom>
        <a:ln xmlns:a="http://schemas.openxmlformats.org/drawingml/2006/main">
          <a:solidFill>
            <a:schemeClr val="accent1"/>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4CFA9320A03148E98EF733F7A917AECF"/>
        <w:category>
          <w:name w:val="Všeobecné"/>
          <w:gallery w:val="placeholder"/>
        </w:category>
        <w:types>
          <w:type w:val="bbPlcHdr"/>
        </w:types>
        <w:behaviors>
          <w:behavior w:val="content"/>
        </w:behaviors>
        <w:guid w:val="{EAF649BF-7601-4D14-95D7-FEA20E0734E3}"/>
      </w:docPartPr>
      <w:docPartBody>
        <w:p w:rsidR="00F869BD" w:rsidRDefault="000B5EA4">
          <w:pPr>
            <w:pStyle w:val="4CFA9320A03148E98EF733F7A917AECF"/>
          </w:pPr>
          <w:r w:rsidRPr="00F539EB">
            <w:t>Názov</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Montserrat">
    <w:panose1 w:val="00000500000000000000"/>
    <w:charset w:val="EE"/>
    <w:family w:val="auto"/>
    <w:pitch w:val="variable"/>
    <w:sig w:usb0="2000020F" w:usb1="00000003" w:usb2="00000000" w:usb3="00000000" w:csb0="00000197" w:csb1="00000000"/>
  </w:font>
  <w:font w:name="Ebrima">
    <w:panose1 w:val="02000000000000000000"/>
    <w:charset w:val="EE"/>
    <w:family w:val="auto"/>
    <w:pitch w:val="variable"/>
    <w:sig w:usb0="A000005F" w:usb1="02000041" w:usb2="00000800" w:usb3="00000000" w:csb0="00000093" w:csb1="00000000"/>
  </w:font>
  <w:font w:name="+mn-ea">
    <w:panose1 w:val="00000000000000000000"/>
    <w:charset w:val="00"/>
    <w:family w:val="roman"/>
    <w:notTrueType/>
    <w:pitch w:val="default"/>
  </w:font>
  <w:font w:name="Arial Unicode MS">
    <w:panose1 w:val="020B0604020202020204"/>
    <w:charset w:val="00"/>
    <w:family w:val="roman"/>
    <w:pitch w:val="default"/>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5EA4"/>
    <w:rsid w:val="00003CA5"/>
    <w:rsid w:val="000155BB"/>
    <w:rsid w:val="00057075"/>
    <w:rsid w:val="000662D0"/>
    <w:rsid w:val="00074CD0"/>
    <w:rsid w:val="000757F3"/>
    <w:rsid w:val="00076129"/>
    <w:rsid w:val="00084DC9"/>
    <w:rsid w:val="00087C69"/>
    <w:rsid w:val="00090411"/>
    <w:rsid w:val="000B165A"/>
    <w:rsid w:val="000B5EA4"/>
    <w:rsid w:val="000E0014"/>
    <w:rsid w:val="001068C9"/>
    <w:rsid w:val="00135665"/>
    <w:rsid w:val="001510FC"/>
    <w:rsid w:val="001553B3"/>
    <w:rsid w:val="00161F43"/>
    <w:rsid w:val="001702EC"/>
    <w:rsid w:val="00173F9A"/>
    <w:rsid w:val="00182719"/>
    <w:rsid w:val="001A2E48"/>
    <w:rsid w:val="001A5900"/>
    <w:rsid w:val="001C3668"/>
    <w:rsid w:val="001C4599"/>
    <w:rsid w:val="001C7FFB"/>
    <w:rsid w:val="001D407D"/>
    <w:rsid w:val="001D6AB0"/>
    <w:rsid w:val="001F0BD9"/>
    <w:rsid w:val="001F14AF"/>
    <w:rsid w:val="001F6850"/>
    <w:rsid w:val="00232571"/>
    <w:rsid w:val="00232B5C"/>
    <w:rsid w:val="002611D6"/>
    <w:rsid w:val="002634EE"/>
    <w:rsid w:val="002636A4"/>
    <w:rsid w:val="0027791D"/>
    <w:rsid w:val="00292AE7"/>
    <w:rsid w:val="002A283B"/>
    <w:rsid w:val="002C0C35"/>
    <w:rsid w:val="00303B67"/>
    <w:rsid w:val="003118CD"/>
    <w:rsid w:val="0032329F"/>
    <w:rsid w:val="00334CD9"/>
    <w:rsid w:val="0033749D"/>
    <w:rsid w:val="00347D99"/>
    <w:rsid w:val="0035249B"/>
    <w:rsid w:val="00366538"/>
    <w:rsid w:val="00372355"/>
    <w:rsid w:val="003737E2"/>
    <w:rsid w:val="00374CD7"/>
    <w:rsid w:val="0039618E"/>
    <w:rsid w:val="003F0569"/>
    <w:rsid w:val="0040595D"/>
    <w:rsid w:val="00416D27"/>
    <w:rsid w:val="00417AA4"/>
    <w:rsid w:val="00422D76"/>
    <w:rsid w:val="0042491C"/>
    <w:rsid w:val="00425470"/>
    <w:rsid w:val="0042620F"/>
    <w:rsid w:val="00444471"/>
    <w:rsid w:val="00461AD5"/>
    <w:rsid w:val="00497BAF"/>
    <w:rsid w:val="004B5FD0"/>
    <w:rsid w:val="004C6312"/>
    <w:rsid w:val="004D6930"/>
    <w:rsid w:val="004E1FCD"/>
    <w:rsid w:val="004E364E"/>
    <w:rsid w:val="004F277A"/>
    <w:rsid w:val="0050312C"/>
    <w:rsid w:val="005318E5"/>
    <w:rsid w:val="00542D8C"/>
    <w:rsid w:val="00564AC7"/>
    <w:rsid w:val="00574A98"/>
    <w:rsid w:val="00581C8A"/>
    <w:rsid w:val="0059222F"/>
    <w:rsid w:val="005A1559"/>
    <w:rsid w:val="005A6CD2"/>
    <w:rsid w:val="005A7CFF"/>
    <w:rsid w:val="005C05BA"/>
    <w:rsid w:val="005C121E"/>
    <w:rsid w:val="005D254A"/>
    <w:rsid w:val="005D5943"/>
    <w:rsid w:val="00617F99"/>
    <w:rsid w:val="00633546"/>
    <w:rsid w:val="006405E1"/>
    <w:rsid w:val="00642F00"/>
    <w:rsid w:val="00647234"/>
    <w:rsid w:val="00652B14"/>
    <w:rsid w:val="00656DEC"/>
    <w:rsid w:val="00664ED5"/>
    <w:rsid w:val="00670B96"/>
    <w:rsid w:val="006826E8"/>
    <w:rsid w:val="006850A5"/>
    <w:rsid w:val="00690498"/>
    <w:rsid w:val="00693988"/>
    <w:rsid w:val="006B1A51"/>
    <w:rsid w:val="006B5F9E"/>
    <w:rsid w:val="006C1D70"/>
    <w:rsid w:val="007153BF"/>
    <w:rsid w:val="00715EB6"/>
    <w:rsid w:val="00765C74"/>
    <w:rsid w:val="007703C8"/>
    <w:rsid w:val="00771B8A"/>
    <w:rsid w:val="00785750"/>
    <w:rsid w:val="007A4FCA"/>
    <w:rsid w:val="007D13D5"/>
    <w:rsid w:val="007F1475"/>
    <w:rsid w:val="00813EAD"/>
    <w:rsid w:val="0082313E"/>
    <w:rsid w:val="00830374"/>
    <w:rsid w:val="008317C9"/>
    <w:rsid w:val="00854BE8"/>
    <w:rsid w:val="00857BE3"/>
    <w:rsid w:val="0086424E"/>
    <w:rsid w:val="0086572A"/>
    <w:rsid w:val="00866251"/>
    <w:rsid w:val="00874A05"/>
    <w:rsid w:val="00875292"/>
    <w:rsid w:val="00893148"/>
    <w:rsid w:val="00893EF9"/>
    <w:rsid w:val="008A3A6F"/>
    <w:rsid w:val="008A4B3A"/>
    <w:rsid w:val="008B771C"/>
    <w:rsid w:val="008C2469"/>
    <w:rsid w:val="008D3958"/>
    <w:rsid w:val="008E1B2D"/>
    <w:rsid w:val="008E6453"/>
    <w:rsid w:val="00903514"/>
    <w:rsid w:val="00914754"/>
    <w:rsid w:val="009212DB"/>
    <w:rsid w:val="00932589"/>
    <w:rsid w:val="00934470"/>
    <w:rsid w:val="00967812"/>
    <w:rsid w:val="009779C3"/>
    <w:rsid w:val="00984A3D"/>
    <w:rsid w:val="0099608B"/>
    <w:rsid w:val="00996F0F"/>
    <w:rsid w:val="009B5CFD"/>
    <w:rsid w:val="009B7235"/>
    <w:rsid w:val="009F3446"/>
    <w:rsid w:val="00A4130A"/>
    <w:rsid w:val="00A43C2B"/>
    <w:rsid w:val="00A51F3C"/>
    <w:rsid w:val="00A535C9"/>
    <w:rsid w:val="00A73A88"/>
    <w:rsid w:val="00A73C83"/>
    <w:rsid w:val="00A8256A"/>
    <w:rsid w:val="00A97925"/>
    <w:rsid w:val="00AA6427"/>
    <w:rsid w:val="00AC0E09"/>
    <w:rsid w:val="00AF1584"/>
    <w:rsid w:val="00B13A8F"/>
    <w:rsid w:val="00B17BEA"/>
    <w:rsid w:val="00B22B71"/>
    <w:rsid w:val="00B61D08"/>
    <w:rsid w:val="00B633EF"/>
    <w:rsid w:val="00B648A8"/>
    <w:rsid w:val="00B73C80"/>
    <w:rsid w:val="00B76AA4"/>
    <w:rsid w:val="00B81EF4"/>
    <w:rsid w:val="00B9157A"/>
    <w:rsid w:val="00BA7077"/>
    <w:rsid w:val="00BB1574"/>
    <w:rsid w:val="00BB308D"/>
    <w:rsid w:val="00BC05AE"/>
    <w:rsid w:val="00BC5436"/>
    <w:rsid w:val="00BC5B29"/>
    <w:rsid w:val="00BD40E4"/>
    <w:rsid w:val="00BF19D2"/>
    <w:rsid w:val="00BF5450"/>
    <w:rsid w:val="00C060B5"/>
    <w:rsid w:val="00C3643E"/>
    <w:rsid w:val="00C379C5"/>
    <w:rsid w:val="00C438E5"/>
    <w:rsid w:val="00C544E3"/>
    <w:rsid w:val="00C55C53"/>
    <w:rsid w:val="00C60099"/>
    <w:rsid w:val="00C82BE0"/>
    <w:rsid w:val="00CB6AB0"/>
    <w:rsid w:val="00CC0DE8"/>
    <w:rsid w:val="00CC199A"/>
    <w:rsid w:val="00CC2EDC"/>
    <w:rsid w:val="00CD6F64"/>
    <w:rsid w:val="00CD74B6"/>
    <w:rsid w:val="00CE5507"/>
    <w:rsid w:val="00CE6B8B"/>
    <w:rsid w:val="00D2242A"/>
    <w:rsid w:val="00D30162"/>
    <w:rsid w:val="00D35FD5"/>
    <w:rsid w:val="00D43E4F"/>
    <w:rsid w:val="00DC3754"/>
    <w:rsid w:val="00DF0F28"/>
    <w:rsid w:val="00DF26D1"/>
    <w:rsid w:val="00DF6948"/>
    <w:rsid w:val="00E20D93"/>
    <w:rsid w:val="00E33D43"/>
    <w:rsid w:val="00E42234"/>
    <w:rsid w:val="00E4363D"/>
    <w:rsid w:val="00E5533A"/>
    <w:rsid w:val="00E63FA6"/>
    <w:rsid w:val="00E81E61"/>
    <w:rsid w:val="00E9217C"/>
    <w:rsid w:val="00E94C6C"/>
    <w:rsid w:val="00EA3C7A"/>
    <w:rsid w:val="00EB3E5C"/>
    <w:rsid w:val="00EB6F97"/>
    <w:rsid w:val="00EB7026"/>
    <w:rsid w:val="00EC3E2D"/>
    <w:rsid w:val="00ED18B2"/>
    <w:rsid w:val="00ED2999"/>
    <w:rsid w:val="00EE1DCA"/>
    <w:rsid w:val="00EE76E0"/>
    <w:rsid w:val="00EF49B7"/>
    <w:rsid w:val="00EF7403"/>
    <w:rsid w:val="00F219F2"/>
    <w:rsid w:val="00F34EAB"/>
    <w:rsid w:val="00F357CC"/>
    <w:rsid w:val="00F37566"/>
    <w:rsid w:val="00F46DEB"/>
    <w:rsid w:val="00F50487"/>
    <w:rsid w:val="00F51AB5"/>
    <w:rsid w:val="00F869BD"/>
    <w:rsid w:val="00F95591"/>
    <w:rsid w:val="00FA15FF"/>
    <w:rsid w:val="00FB6CF1"/>
    <w:rsid w:val="00FD3FB1"/>
    <w:rsid w:val="00FD704C"/>
    <w:rsid w:val="00FD7993"/>
    <w:rsid w:val="00FF3C50"/>
    <w:rsid w:val="00FF77E9"/>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sk-SK" w:eastAsia="sk-SK"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4CFA9320A03148E98EF733F7A917AECF">
    <w:name w:val="4CFA9320A03148E98EF733F7A917AE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Motív balíka Office">
  <a:themeElements>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NKÚ SR">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NKÚ">
    <a:dk1>
      <a:sysClr val="windowText" lastClr="000000"/>
    </a:dk1>
    <a:lt1>
      <a:sysClr val="window" lastClr="FFFFFF"/>
    </a:lt1>
    <a:dk2>
      <a:srgbClr val="314364"/>
    </a:dk2>
    <a:lt2>
      <a:srgbClr val="9CB9EC"/>
    </a:lt2>
    <a:accent1>
      <a:srgbClr val="314364"/>
    </a:accent1>
    <a:accent2>
      <a:srgbClr val="9CB9EC"/>
    </a:accent2>
    <a:accent3>
      <a:srgbClr val="6D87B7"/>
    </a:accent3>
    <a:accent4>
      <a:srgbClr val="B3BECF"/>
    </a:accent4>
    <a:accent5>
      <a:srgbClr val="B7706D"/>
    </a:accent5>
    <a:accent6>
      <a:srgbClr val="F55647"/>
    </a:accent6>
    <a:hlink>
      <a:srgbClr val="314364"/>
    </a:hlink>
    <a:folHlink>
      <a:srgbClr val="31436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3D3AD7-F462-495A-A88C-9AE4A315D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30590</Words>
  <Characters>174365</Characters>
  <Application>Microsoft Office Word</Application>
  <DocSecurity>0</DocSecurity>
  <Lines>1453</Lines>
  <Paragraphs>409</Paragraphs>
  <ScaleCrop>false</ScaleCrop>
  <Company/>
  <LinksUpToDate>false</LinksUpToDate>
  <CharactersWithSpaces>204546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2025-05-20T11:25:00Z</dcterms:created>
  <dcterms:modified xsi:type="dcterms:W3CDTF">2025-05-20T11:26:00Z</dcterms:modified>
</cp:coreProperties>
</file>